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10.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1.xml" ContentType="application/vnd.openxmlformats-officedocument.drawingml.chart+xml"/>
  <Override PartName="/word/charts/chart12.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13.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4.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charts/chart1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20.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2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E3248" w14:textId="77777777" w:rsidR="008E3CB7" w:rsidRDefault="008E3CB7" w:rsidP="00F94090">
      <w:pPr>
        <w:jc w:val="both"/>
        <w:rPr>
          <w:b/>
          <w:sz w:val="28"/>
          <w:szCs w:val="28"/>
        </w:rPr>
      </w:pPr>
    </w:p>
    <w:p w14:paraId="51FBEAB1" w14:textId="77777777" w:rsidR="008E3CB7" w:rsidRDefault="008E3CB7" w:rsidP="00F94090">
      <w:pPr>
        <w:jc w:val="both"/>
        <w:rPr>
          <w:b/>
          <w:sz w:val="28"/>
          <w:szCs w:val="28"/>
        </w:rPr>
      </w:pPr>
    </w:p>
    <w:p w14:paraId="48676FC7" w14:textId="42A0D704" w:rsidR="001609EE" w:rsidRDefault="00A970AB" w:rsidP="00F94090">
      <w:pPr>
        <w:jc w:val="both"/>
        <w:rPr>
          <w:b/>
          <w:sz w:val="28"/>
          <w:szCs w:val="28"/>
        </w:rPr>
      </w:pPr>
      <w:bookmarkStart w:id="0" w:name="_Hlk163222400"/>
      <w:bookmarkStart w:id="1" w:name="_Hlk161402242"/>
      <w:r>
        <w:rPr>
          <w:b/>
          <w:sz w:val="28"/>
          <w:szCs w:val="28"/>
        </w:rPr>
        <w:t>U</w:t>
      </w:r>
      <w:r w:rsidR="009C46BE" w:rsidRPr="00B7539A">
        <w:rPr>
          <w:b/>
          <w:sz w:val="28"/>
          <w:szCs w:val="28"/>
        </w:rPr>
        <w:t xml:space="preserve">tilisation analysis of PBS-listed medicines </w:t>
      </w:r>
      <w:r w:rsidR="00467DC1">
        <w:rPr>
          <w:b/>
          <w:sz w:val="28"/>
          <w:szCs w:val="28"/>
        </w:rPr>
        <w:t xml:space="preserve">for </w:t>
      </w:r>
      <w:r w:rsidR="00682343">
        <w:rPr>
          <w:b/>
          <w:sz w:val="28"/>
          <w:szCs w:val="28"/>
        </w:rPr>
        <w:t>heart failure</w:t>
      </w:r>
      <w:r w:rsidR="00B93EE4">
        <w:rPr>
          <w:b/>
          <w:sz w:val="28"/>
          <w:szCs w:val="28"/>
        </w:rPr>
        <w:t xml:space="preserve"> </w:t>
      </w:r>
      <w:r w:rsidR="00467DC1">
        <w:rPr>
          <w:b/>
          <w:sz w:val="28"/>
          <w:szCs w:val="28"/>
        </w:rPr>
        <w:t xml:space="preserve"> </w:t>
      </w:r>
      <w:r w:rsidR="009C46BE" w:rsidRPr="00B7539A">
        <w:rPr>
          <w:b/>
          <w:sz w:val="28"/>
          <w:szCs w:val="28"/>
        </w:rPr>
        <w:t xml:space="preserve"> </w:t>
      </w:r>
      <w:bookmarkEnd w:id="0"/>
      <w:r w:rsidR="00202BB2">
        <w:rPr>
          <w:b/>
          <w:sz w:val="28"/>
          <w:szCs w:val="28"/>
        </w:rPr>
        <w:t xml:space="preserve"> </w:t>
      </w:r>
      <w:r w:rsidR="000C562F">
        <w:rPr>
          <w:b/>
          <w:sz w:val="28"/>
          <w:szCs w:val="28"/>
        </w:rPr>
        <w:t xml:space="preserve"> </w:t>
      </w:r>
    </w:p>
    <w:bookmarkEnd w:id="1"/>
    <w:p w14:paraId="4337F936" w14:textId="68FCBE86" w:rsidR="00A21A1B" w:rsidRDefault="00A21A1B" w:rsidP="00F94090">
      <w:pPr>
        <w:jc w:val="both"/>
        <w:rPr>
          <w:b/>
          <w:sz w:val="28"/>
          <w:szCs w:val="28"/>
        </w:rPr>
      </w:pPr>
    </w:p>
    <w:p w14:paraId="43261257" w14:textId="269A7085" w:rsidR="00045342" w:rsidRDefault="00045342" w:rsidP="00F94090">
      <w:pPr>
        <w:jc w:val="both"/>
        <w:rPr>
          <w:b/>
          <w:sz w:val="28"/>
          <w:szCs w:val="28"/>
        </w:rPr>
      </w:pPr>
    </w:p>
    <w:p w14:paraId="0DDB5AC9" w14:textId="33369AE6" w:rsidR="00045342" w:rsidRDefault="00045342" w:rsidP="00F94090">
      <w:pPr>
        <w:jc w:val="both"/>
        <w:rPr>
          <w:b/>
          <w:sz w:val="28"/>
          <w:szCs w:val="28"/>
        </w:rPr>
      </w:pPr>
    </w:p>
    <w:p w14:paraId="50E14724" w14:textId="6D7304E5" w:rsidR="00045342" w:rsidRDefault="00045342" w:rsidP="00F94090">
      <w:pPr>
        <w:jc w:val="both"/>
        <w:rPr>
          <w:b/>
          <w:sz w:val="28"/>
          <w:szCs w:val="28"/>
        </w:rPr>
      </w:pPr>
    </w:p>
    <w:p w14:paraId="708FB6B5" w14:textId="54611EC9" w:rsidR="00045342" w:rsidRDefault="00045342" w:rsidP="00F94090">
      <w:pPr>
        <w:jc w:val="both"/>
        <w:rPr>
          <w:b/>
          <w:sz w:val="28"/>
          <w:szCs w:val="28"/>
        </w:rPr>
      </w:pPr>
    </w:p>
    <w:p w14:paraId="2CE6E78D" w14:textId="314DE098" w:rsidR="00045342" w:rsidRDefault="00045342" w:rsidP="00F94090">
      <w:pPr>
        <w:jc w:val="both"/>
        <w:rPr>
          <w:b/>
          <w:sz w:val="28"/>
          <w:szCs w:val="28"/>
        </w:rPr>
      </w:pPr>
    </w:p>
    <w:p w14:paraId="13ADEEEE" w14:textId="12B3CD6C" w:rsidR="00045342" w:rsidRDefault="00045342" w:rsidP="00F94090">
      <w:pPr>
        <w:jc w:val="both"/>
        <w:rPr>
          <w:b/>
          <w:sz w:val="28"/>
          <w:szCs w:val="28"/>
        </w:rPr>
      </w:pPr>
    </w:p>
    <w:p w14:paraId="16DC5B1D" w14:textId="1EA027D3" w:rsidR="00045342" w:rsidRDefault="00045342" w:rsidP="00F94090">
      <w:pPr>
        <w:jc w:val="both"/>
        <w:rPr>
          <w:b/>
          <w:sz w:val="28"/>
          <w:szCs w:val="28"/>
        </w:rPr>
      </w:pPr>
    </w:p>
    <w:p w14:paraId="01249DA7" w14:textId="74C0B488" w:rsidR="00045342" w:rsidRDefault="00045342" w:rsidP="00F94090">
      <w:pPr>
        <w:jc w:val="both"/>
        <w:rPr>
          <w:b/>
          <w:sz w:val="28"/>
          <w:szCs w:val="28"/>
        </w:rPr>
      </w:pPr>
    </w:p>
    <w:p w14:paraId="1FDAAD56" w14:textId="233878DC" w:rsidR="00045342" w:rsidRDefault="00045342" w:rsidP="00F94090">
      <w:pPr>
        <w:jc w:val="both"/>
        <w:rPr>
          <w:b/>
          <w:sz w:val="28"/>
          <w:szCs w:val="28"/>
        </w:rPr>
      </w:pPr>
    </w:p>
    <w:p w14:paraId="488167BD" w14:textId="27759301" w:rsidR="00045342" w:rsidRDefault="00045342" w:rsidP="00F94090">
      <w:pPr>
        <w:jc w:val="both"/>
        <w:rPr>
          <w:b/>
          <w:sz w:val="28"/>
          <w:szCs w:val="28"/>
        </w:rPr>
      </w:pPr>
    </w:p>
    <w:p w14:paraId="649562EE" w14:textId="52012EEF" w:rsidR="00045342" w:rsidRDefault="00045342" w:rsidP="00F94090">
      <w:pPr>
        <w:jc w:val="both"/>
        <w:rPr>
          <w:b/>
          <w:sz w:val="28"/>
          <w:szCs w:val="28"/>
        </w:rPr>
      </w:pPr>
    </w:p>
    <w:p w14:paraId="127264F0" w14:textId="77777777" w:rsidR="00045342" w:rsidRDefault="00045342" w:rsidP="00F94090">
      <w:pPr>
        <w:jc w:val="both"/>
        <w:rPr>
          <w:b/>
          <w:sz w:val="28"/>
          <w:szCs w:val="28"/>
        </w:rPr>
      </w:pPr>
    </w:p>
    <w:p w14:paraId="5560773D" w14:textId="77777777" w:rsidR="008A688C" w:rsidRDefault="008A688C" w:rsidP="00F94090">
      <w:pPr>
        <w:jc w:val="both"/>
        <w:rPr>
          <w:rFonts w:cstheme="minorHAnsi"/>
          <w:bCs/>
        </w:rPr>
      </w:pPr>
      <w:r w:rsidRPr="008A688C">
        <w:rPr>
          <w:rFonts w:cstheme="minorHAnsi"/>
          <w:bCs/>
        </w:rPr>
        <w:t>Prepared for: Department of Health and Aged Care</w:t>
      </w:r>
    </w:p>
    <w:p w14:paraId="70CB4B34" w14:textId="77777777" w:rsidR="008A688C" w:rsidRPr="008A688C" w:rsidRDefault="008A688C" w:rsidP="00F94090">
      <w:pPr>
        <w:jc w:val="both"/>
        <w:rPr>
          <w:rFonts w:cstheme="minorHAnsi"/>
          <w:bCs/>
        </w:rPr>
      </w:pPr>
      <w:r>
        <w:rPr>
          <w:rFonts w:cstheme="minorHAnsi"/>
          <w:bCs/>
        </w:rPr>
        <w:t xml:space="preserve">Reference ID: </w:t>
      </w:r>
      <w:r w:rsidRPr="008A688C">
        <w:rPr>
          <w:noProof/>
        </w:rPr>
        <w:t>E23-78482</w:t>
      </w:r>
      <w:r w:rsidRPr="008A688C">
        <w:rPr>
          <w:noProof/>
        </w:rPr>
        <w:tab/>
      </w:r>
    </w:p>
    <w:p w14:paraId="4211073F" w14:textId="77777777" w:rsidR="008A688C" w:rsidRDefault="008A688C" w:rsidP="00F94090">
      <w:pPr>
        <w:jc w:val="both"/>
        <w:rPr>
          <w:rFonts w:cstheme="minorHAnsi"/>
          <w:bCs/>
        </w:rPr>
      </w:pPr>
      <w:r w:rsidRPr="008A688C">
        <w:rPr>
          <w:rFonts w:cstheme="minorHAnsi"/>
          <w:bCs/>
        </w:rPr>
        <w:t>Prepared by:</w:t>
      </w:r>
      <w:r>
        <w:rPr>
          <w:rFonts w:cstheme="minorHAnsi"/>
          <w:bCs/>
        </w:rPr>
        <w:t xml:space="preserve"> </w:t>
      </w:r>
      <w:r w:rsidR="00A20120">
        <w:rPr>
          <w:rFonts w:cstheme="minorHAnsi"/>
          <w:bCs/>
        </w:rPr>
        <w:t>University of South Australia</w:t>
      </w:r>
    </w:p>
    <w:p w14:paraId="224FD162" w14:textId="77777777" w:rsidR="00A970AB" w:rsidRDefault="00A970AB" w:rsidP="00F94090">
      <w:pPr>
        <w:jc w:val="both"/>
        <w:rPr>
          <w:rFonts w:cstheme="minorHAnsi"/>
          <w:bCs/>
        </w:rPr>
      </w:pPr>
      <w:r>
        <w:rPr>
          <w:rFonts w:cstheme="minorHAnsi"/>
          <w:bCs/>
        </w:rPr>
        <w:t xml:space="preserve">                        Dr Svetla Gadzhanova</w:t>
      </w:r>
    </w:p>
    <w:p w14:paraId="6B2059BE" w14:textId="77777777" w:rsidR="00A970AB" w:rsidRDefault="00A970AB" w:rsidP="00F94090">
      <w:pPr>
        <w:jc w:val="both"/>
        <w:rPr>
          <w:rFonts w:cstheme="minorHAnsi"/>
          <w:bCs/>
        </w:rPr>
      </w:pPr>
      <w:r>
        <w:rPr>
          <w:rFonts w:cstheme="minorHAnsi"/>
          <w:bCs/>
        </w:rPr>
        <w:t xml:space="preserve">                         Prof Libby Roughead</w:t>
      </w:r>
    </w:p>
    <w:p w14:paraId="531FB041" w14:textId="4EF72837" w:rsidR="00A20120" w:rsidRDefault="00A20120" w:rsidP="00F94090">
      <w:pPr>
        <w:jc w:val="both"/>
        <w:rPr>
          <w:rFonts w:cstheme="minorHAnsi"/>
          <w:bCs/>
        </w:rPr>
      </w:pPr>
      <w:r>
        <w:rPr>
          <w:rFonts w:cstheme="minorHAnsi"/>
          <w:bCs/>
        </w:rPr>
        <w:t xml:space="preserve">Date: </w:t>
      </w:r>
      <w:r w:rsidR="002038C4">
        <w:rPr>
          <w:rFonts w:cstheme="minorHAnsi"/>
          <w:bCs/>
        </w:rPr>
        <w:t>1</w:t>
      </w:r>
      <w:r w:rsidR="0054297D">
        <w:rPr>
          <w:rFonts w:cstheme="minorHAnsi"/>
          <w:bCs/>
        </w:rPr>
        <w:t xml:space="preserve"> </w:t>
      </w:r>
      <w:r w:rsidR="002038C4">
        <w:rPr>
          <w:rFonts w:cstheme="minorHAnsi"/>
          <w:bCs/>
        </w:rPr>
        <w:t>May</w:t>
      </w:r>
      <w:r>
        <w:rPr>
          <w:rFonts w:cstheme="minorHAnsi"/>
          <w:bCs/>
        </w:rPr>
        <w:t xml:space="preserve"> 202</w:t>
      </w:r>
      <w:r w:rsidR="00A970AB">
        <w:rPr>
          <w:rFonts w:cstheme="minorHAnsi"/>
          <w:bCs/>
        </w:rPr>
        <w:t>4</w:t>
      </w:r>
    </w:p>
    <w:p w14:paraId="01B98C8D" w14:textId="77777777" w:rsidR="00E72741" w:rsidRDefault="00E72741">
      <w:pPr>
        <w:rPr>
          <w:rFonts w:cstheme="minorHAnsi"/>
          <w:bCs/>
        </w:rPr>
      </w:pPr>
      <w:r>
        <w:rPr>
          <w:rFonts w:cstheme="minorHAnsi"/>
          <w:bCs/>
        </w:rPr>
        <w:br w:type="page"/>
      </w:r>
    </w:p>
    <w:sdt>
      <w:sdtPr>
        <w:rPr>
          <w:rFonts w:asciiTheme="minorHAnsi" w:eastAsiaTheme="minorHAnsi" w:hAnsiTheme="minorHAnsi" w:cstheme="minorBidi"/>
          <w:color w:val="auto"/>
          <w:sz w:val="22"/>
          <w:szCs w:val="22"/>
          <w:lang w:val="en-AU"/>
        </w:rPr>
        <w:id w:val="-1985847256"/>
        <w:docPartObj>
          <w:docPartGallery w:val="Table of Contents"/>
          <w:docPartUnique/>
        </w:docPartObj>
      </w:sdtPr>
      <w:sdtEndPr>
        <w:rPr>
          <w:b/>
          <w:bCs/>
          <w:noProof/>
        </w:rPr>
      </w:sdtEndPr>
      <w:sdtContent>
        <w:p w14:paraId="4651B605" w14:textId="77777777" w:rsidR="00A21A1B" w:rsidRDefault="00A21A1B">
          <w:pPr>
            <w:pStyle w:val="TOCHeading"/>
          </w:pPr>
          <w:r>
            <w:t>Contents</w:t>
          </w:r>
        </w:p>
        <w:p w14:paraId="47C0AB85" w14:textId="77777777" w:rsidR="00865FE5" w:rsidRPr="00865FE5" w:rsidRDefault="00865FE5" w:rsidP="00865FE5">
          <w:pPr>
            <w:rPr>
              <w:lang w:val="en-US"/>
            </w:rPr>
          </w:pPr>
        </w:p>
        <w:p w14:paraId="1D8131B4" w14:textId="6686F486" w:rsidR="00CE5BB7" w:rsidRDefault="00A21A1B">
          <w:pPr>
            <w:pStyle w:val="TOC2"/>
            <w:rPr>
              <w:rFonts w:eastAsiaTheme="minorEastAsia"/>
              <w:noProof/>
              <w:lang w:eastAsia="en-AU"/>
            </w:rPr>
          </w:pPr>
          <w:r>
            <w:fldChar w:fldCharType="begin"/>
          </w:r>
          <w:r>
            <w:instrText xml:space="preserve"> TOC \o "1-3" \h \z \u </w:instrText>
          </w:r>
          <w:r>
            <w:fldChar w:fldCharType="separate"/>
          </w:r>
          <w:hyperlink w:anchor="_Toc165448381" w:history="1">
            <w:r w:rsidR="00CE5BB7" w:rsidRPr="00B071EB">
              <w:rPr>
                <w:rStyle w:val="Hyperlink"/>
                <w:noProof/>
              </w:rPr>
              <w:t>Table of abbreviations</w:t>
            </w:r>
            <w:r w:rsidR="00CE5BB7">
              <w:rPr>
                <w:noProof/>
                <w:webHidden/>
              </w:rPr>
              <w:tab/>
            </w:r>
            <w:r w:rsidR="00CE5BB7">
              <w:rPr>
                <w:noProof/>
                <w:webHidden/>
              </w:rPr>
              <w:fldChar w:fldCharType="begin"/>
            </w:r>
            <w:r w:rsidR="00CE5BB7">
              <w:rPr>
                <w:noProof/>
                <w:webHidden/>
              </w:rPr>
              <w:instrText xml:space="preserve"> PAGEREF _Toc165448381 \h </w:instrText>
            </w:r>
            <w:r w:rsidR="00CE5BB7">
              <w:rPr>
                <w:noProof/>
                <w:webHidden/>
              </w:rPr>
            </w:r>
            <w:r w:rsidR="00CE5BB7">
              <w:rPr>
                <w:noProof/>
                <w:webHidden/>
              </w:rPr>
              <w:fldChar w:fldCharType="separate"/>
            </w:r>
            <w:r w:rsidR="00C249E5">
              <w:rPr>
                <w:noProof/>
                <w:webHidden/>
              </w:rPr>
              <w:t>4</w:t>
            </w:r>
            <w:r w:rsidR="00CE5BB7">
              <w:rPr>
                <w:noProof/>
                <w:webHidden/>
              </w:rPr>
              <w:fldChar w:fldCharType="end"/>
            </w:r>
          </w:hyperlink>
        </w:p>
        <w:p w14:paraId="005C7959" w14:textId="17A447E6" w:rsidR="00CE5BB7" w:rsidRDefault="00CE5BB7">
          <w:pPr>
            <w:pStyle w:val="TOC2"/>
            <w:rPr>
              <w:rFonts w:eastAsiaTheme="minorEastAsia"/>
              <w:noProof/>
              <w:lang w:eastAsia="en-AU"/>
            </w:rPr>
          </w:pPr>
          <w:hyperlink w:anchor="_Toc165448382" w:history="1">
            <w:r w:rsidRPr="00B071EB">
              <w:rPr>
                <w:rStyle w:val="Hyperlink"/>
                <w:noProof/>
              </w:rPr>
              <w:t>Executive Summary</w:t>
            </w:r>
            <w:r>
              <w:rPr>
                <w:noProof/>
                <w:webHidden/>
              </w:rPr>
              <w:tab/>
            </w:r>
            <w:r>
              <w:rPr>
                <w:noProof/>
                <w:webHidden/>
              </w:rPr>
              <w:fldChar w:fldCharType="begin"/>
            </w:r>
            <w:r>
              <w:rPr>
                <w:noProof/>
                <w:webHidden/>
              </w:rPr>
              <w:instrText xml:space="preserve"> PAGEREF _Toc165448382 \h </w:instrText>
            </w:r>
            <w:r>
              <w:rPr>
                <w:noProof/>
                <w:webHidden/>
              </w:rPr>
            </w:r>
            <w:r>
              <w:rPr>
                <w:noProof/>
                <w:webHidden/>
              </w:rPr>
              <w:fldChar w:fldCharType="separate"/>
            </w:r>
            <w:r w:rsidR="00C249E5">
              <w:rPr>
                <w:noProof/>
                <w:webHidden/>
              </w:rPr>
              <w:t>5</w:t>
            </w:r>
            <w:r>
              <w:rPr>
                <w:noProof/>
                <w:webHidden/>
              </w:rPr>
              <w:fldChar w:fldCharType="end"/>
            </w:r>
          </w:hyperlink>
        </w:p>
        <w:p w14:paraId="76A7EC39" w14:textId="4E7D711E" w:rsidR="00CE5BB7" w:rsidRDefault="00CE5BB7">
          <w:pPr>
            <w:pStyle w:val="TOC2"/>
            <w:rPr>
              <w:rFonts w:eastAsiaTheme="minorEastAsia"/>
              <w:noProof/>
              <w:lang w:eastAsia="en-AU"/>
            </w:rPr>
          </w:pPr>
          <w:hyperlink w:anchor="_Toc165448383" w:history="1">
            <w:r w:rsidRPr="00B071EB">
              <w:rPr>
                <w:rStyle w:val="Hyperlink"/>
                <w:noProof/>
              </w:rPr>
              <w:t>Background</w:t>
            </w:r>
            <w:r>
              <w:rPr>
                <w:noProof/>
                <w:webHidden/>
              </w:rPr>
              <w:tab/>
            </w:r>
            <w:r>
              <w:rPr>
                <w:noProof/>
                <w:webHidden/>
              </w:rPr>
              <w:fldChar w:fldCharType="begin"/>
            </w:r>
            <w:r>
              <w:rPr>
                <w:noProof/>
                <w:webHidden/>
              </w:rPr>
              <w:instrText xml:space="preserve"> PAGEREF _Toc165448383 \h </w:instrText>
            </w:r>
            <w:r>
              <w:rPr>
                <w:noProof/>
                <w:webHidden/>
              </w:rPr>
            </w:r>
            <w:r>
              <w:rPr>
                <w:noProof/>
                <w:webHidden/>
              </w:rPr>
              <w:fldChar w:fldCharType="separate"/>
            </w:r>
            <w:r w:rsidR="00C249E5">
              <w:rPr>
                <w:noProof/>
                <w:webHidden/>
              </w:rPr>
              <w:t>9</w:t>
            </w:r>
            <w:r>
              <w:rPr>
                <w:noProof/>
                <w:webHidden/>
              </w:rPr>
              <w:fldChar w:fldCharType="end"/>
            </w:r>
          </w:hyperlink>
        </w:p>
        <w:p w14:paraId="231E3CF3" w14:textId="123C9522" w:rsidR="00CE5BB7" w:rsidRDefault="00CE5BB7">
          <w:pPr>
            <w:pStyle w:val="TOC2"/>
            <w:rPr>
              <w:rFonts w:eastAsiaTheme="minorEastAsia"/>
              <w:noProof/>
              <w:lang w:eastAsia="en-AU"/>
            </w:rPr>
          </w:pPr>
          <w:hyperlink w:anchor="_Toc165448384" w:history="1">
            <w:r w:rsidRPr="00B071EB">
              <w:rPr>
                <w:rStyle w:val="Hyperlink"/>
                <w:noProof/>
              </w:rPr>
              <w:t>Data</w:t>
            </w:r>
            <w:r>
              <w:rPr>
                <w:noProof/>
                <w:webHidden/>
              </w:rPr>
              <w:tab/>
            </w:r>
            <w:r>
              <w:rPr>
                <w:noProof/>
                <w:webHidden/>
              </w:rPr>
              <w:fldChar w:fldCharType="begin"/>
            </w:r>
            <w:r>
              <w:rPr>
                <w:noProof/>
                <w:webHidden/>
              </w:rPr>
              <w:instrText xml:space="preserve"> PAGEREF _Toc165448384 \h </w:instrText>
            </w:r>
            <w:r>
              <w:rPr>
                <w:noProof/>
                <w:webHidden/>
              </w:rPr>
            </w:r>
            <w:r>
              <w:rPr>
                <w:noProof/>
                <w:webHidden/>
              </w:rPr>
              <w:fldChar w:fldCharType="separate"/>
            </w:r>
            <w:r w:rsidR="00C249E5">
              <w:rPr>
                <w:noProof/>
                <w:webHidden/>
              </w:rPr>
              <w:t>11</w:t>
            </w:r>
            <w:r>
              <w:rPr>
                <w:noProof/>
                <w:webHidden/>
              </w:rPr>
              <w:fldChar w:fldCharType="end"/>
            </w:r>
          </w:hyperlink>
        </w:p>
        <w:p w14:paraId="5A14E9E7" w14:textId="4CB8E2C8" w:rsidR="00CE5BB7" w:rsidRDefault="00CE5BB7">
          <w:pPr>
            <w:pStyle w:val="TOC2"/>
            <w:rPr>
              <w:rFonts w:eastAsiaTheme="minorEastAsia"/>
              <w:noProof/>
              <w:lang w:eastAsia="en-AU"/>
            </w:rPr>
          </w:pPr>
          <w:hyperlink w:anchor="_Toc165448385" w:history="1">
            <w:r w:rsidRPr="00B071EB">
              <w:rPr>
                <w:rStyle w:val="Hyperlink"/>
                <w:noProof/>
              </w:rPr>
              <w:t>Methods</w:t>
            </w:r>
            <w:r>
              <w:rPr>
                <w:noProof/>
                <w:webHidden/>
              </w:rPr>
              <w:tab/>
            </w:r>
            <w:r>
              <w:rPr>
                <w:noProof/>
                <w:webHidden/>
              </w:rPr>
              <w:fldChar w:fldCharType="begin"/>
            </w:r>
            <w:r>
              <w:rPr>
                <w:noProof/>
                <w:webHidden/>
              </w:rPr>
              <w:instrText xml:space="preserve"> PAGEREF _Toc165448385 \h </w:instrText>
            </w:r>
            <w:r>
              <w:rPr>
                <w:noProof/>
                <w:webHidden/>
              </w:rPr>
            </w:r>
            <w:r>
              <w:rPr>
                <w:noProof/>
                <w:webHidden/>
              </w:rPr>
              <w:fldChar w:fldCharType="separate"/>
            </w:r>
            <w:r w:rsidR="00C249E5">
              <w:rPr>
                <w:noProof/>
                <w:webHidden/>
              </w:rPr>
              <w:t>13</w:t>
            </w:r>
            <w:r>
              <w:rPr>
                <w:noProof/>
                <w:webHidden/>
              </w:rPr>
              <w:fldChar w:fldCharType="end"/>
            </w:r>
          </w:hyperlink>
        </w:p>
        <w:p w14:paraId="6F5E2286" w14:textId="2D9304AF" w:rsidR="00CE5BB7" w:rsidRDefault="00CE5BB7">
          <w:pPr>
            <w:pStyle w:val="TOC3"/>
            <w:tabs>
              <w:tab w:val="right" w:leader="dot" w:pos="9016"/>
            </w:tabs>
            <w:rPr>
              <w:rFonts w:eastAsiaTheme="minorEastAsia"/>
              <w:noProof/>
              <w:lang w:eastAsia="en-AU"/>
            </w:rPr>
          </w:pPr>
          <w:hyperlink w:anchor="_Toc165448386" w:history="1">
            <w:r w:rsidRPr="00B071EB">
              <w:rPr>
                <w:rStyle w:val="Hyperlink"/>
                <w:noProof/>
              </w:rPr>
              <w:t>Utilisation of heart failure medicines in Australia</w:t>
            </w:r>
            <w:r>
              <w:rPr>
                <w:noProof/>
                <w:webHidden/>
              </w:rPr>
              <w:tab/>
            </w:r>
            <w:r>
              <w:rPr>
                <w:noProof/>
                <w:webHidden/>
              </w:rPr>
              <w:fldChar w:fldCharType="begin"/>
            </w:r>
            <w:r>
              <w:rPr>
                <w:noProof/>
                <w:webHidden/>
              </w:rPr>
              <w:instrText xml:space="preserve"> PAGEREF _Toc165448386 \h </w:instrText>
            </w:r>
            <w:r>
              <w:rPr>
                <w:noProof/>
                <w:webHidden/>
              </w:rPr>
            </w:r>
            <w:r>
              <w:rPr>
                <w:noProof/>
                <w:webHidden/>
              </w:rPr>
              <w:fldChar w:fldCharType="separate"/>
            </w:r>
            <w:r w:rsidR="00C249E5">
              <w:rPr>
                <w:noProof/>
                <w:webHidden/>
              </w:rPr>
              <w:t>13</w:t>
            </w:r>
            <w:r>
              <w:rPr>
                <w:noProof/>
                <w:webHidden/>
              </w:rPr>
              <w:fldChar w:fldCharType="end"/>
            </w:r>
          </w:hyperlink>
        </w:p>
        <w:p w14:paraId="095F6632" w14:textId="0FBCEAA3" w:rsidR="00CE5BB7" w:rsidRDefault="00CE5BB7">
          <w:pPr>
            <w:pStyle w:val="TOC3"/>
            <w:tabs>
              <w:tab w:val="right" w:leader="dot" w:pos="9016"/>
            </w:tabs>
            <w:rPr>
              <w:rFonts w:eastAsiaTheme="minorEastAsia"/>
              <w:noProof/>
              <w:lang w:eastAsia="en-AU"/>
            </w:rPr>
          </w:pPr>
          <w:hyperlink w:anchor="_Toc165448387" w:history="1">
            <w:r w:rsidRPr="00B071EB">
              <w:rPr>
                <w:rStyle w:val="Hyperlink"/>
                <w:noProof/>
              </w:rPr>
              <w:t>Treatment regimens</w:t>
            </w:r>
            <w:r>
              <w:rPr>
                <w:noProof/>
                <w:webHidden/>
              </w:rPr>
              <w:tab/>
            </w:r>
            <w:r>
              <w:rPr>
                <w:noProof/>
                <w:webHidden/>
              </w:rPr>
              <w:fldChar w:fldCharType="begin"/>
            </w:r>
            <w:r>
              <w:rPr>
                <w:noProof/>
                <w:webHidden/>
              </w:rPr>
              <w:instrText xml:space="preserve"> PAGEREF _Toc165448387 \h </w:instrText>
            </w:r>
            <w:r>
              <w:rPr>
                <w:noProof/>
                <w:webHidden/>
              </w:rPr>
            </w:r>
            <w:r>
              <w:rPr>
                <w:noProof/>
                <w:webHidden/>
              </w:rPr>
              <w:fldChar w:fldCharType="separate"/>
            </w:r>
            <w:r w:rsidR="00C249E5">
              <w:rPr>
                <w:noProof/>
                <w:webHidden/>
              </w:rPr>
              <w:t>14</w:t>
            </w:r>
            <w:r>
              <w:rPr>
                <w:noProof/>
                <w:webHidden/>
              </w:rPr>
              <w:fldChar w:fldCharType="end"/>
            </w:r>
          </w:hyperlink>
        </w:p>
        <w:p w14:paraId="2BE034DA" w14:textId="64F82C48" w:rsidR="00CE5BB7" w:rsidRDefault="00CE5BB7">
          <w:pPr>
            <w:pStyle w:val="TOC3"/>
            <w:tabs>
              <w:tab w:val="right" w:leader="dot" w:pos="9016"/>
            </w:tabs>
            <w:rPr>
              <w:rFonts w:eastAsiaTheme="minorEastAsia"/>
              <w:noProof/>
              <w:lang w:eastAsia="en-AU"/>
            </w:rPr>
          </w:pPr>
          <w:hyperlink w:anchor="_Toc165448388" w:history="1">
            <w:r w:rsidRPr="00B071EB">
              <w:rPr>
                <w:rStyle w:val="Hyperlink"/>
                <w:noProof/>
                <w:lang w:val="en-US"/>
              </w:rPr>
              <w:t>Standard of care in prevalent users of HF restricted medicines</w:t>
            </w:r>
            <w:r>
              <w:rPr>
                <w:noProof/>
                <w:webHidden/>
              </w:rPr>
              <w:tab/>
            </w:r>
            <w:r>
              <w:rPr>
                <w:noProof/>
                <w:webHidden/>
              </w:rPr>
              <w:fldChar w:fldCharType="begin"/>
            </w:r>
            <w:r>
              <w:rPr>
                <w:noProof/>
                <w:webHidden/>
              </w:rPr>
              <w:instrText xml:space="preserve"> PAGEREF _Toc165448388 \h </w:instrText>
            </w:r>
            <w:r>
              <w:rPr>
                <w:noProof/>
                <w:webHidden/>
              </w:rPr>
            </w:r>
            <w:r>
              <w:rPr>
                <w:noProof/>
                <w:webHidden/>
              </w:rPr>
              <w:fldChar w:fldCharType="separate"/>
            </w:r>
            <w:r w:rsidR="00C249E5">
              <w:rPr>
                <w:noProof/>
                <w:webHidden/>
              </w:rPr>
              <w:t>14</w:t>
            </w:r>
            <w:r>
              <w:rPr>
                <w:noProof/>
                <w:webHidden/>
              </w:rPr>
              <w:fldChar w:fldCharType="end"/>
            </w:r>
          </w:hyperlink>
        </w:p>
        <w:p w14:paraId="53585ADF" w14:textId="49D2F9FB" w:rsidR="00CE5BB7" w:rsidRDefault="00CE5BB7">
          <w:pPr>
            <w:pStyle w:val="TOC3"/>
            <w:tabs>
              <w:tab w:val="right" w:leader="dot" w:pos="9016"/>
            </w:tabs>
            <w:rPr>
              <w:rFonts w:eastAsiaTheme="minorEastAsia"/>
              <w:noProof/>
              <w:lang w:eastAsia="en-AU"/>
            </w:rPr>
          </w:pPr>
          <w:hyperlink w:anchor="_Toc165448389" w:history="1">
            <w:r w:rsidRPr="00B071EB">
              <w:rPr>
                <w:rStyle w:val="Hyperlink"/>
                <w:noProof/>
              </w:rPr>
              <w:t>Standard of care at initiation and add-on prescribing to standard care heart failure medicines</w:t>
            </w:r>
            <w:r>
              <w:rPr>
                <w:noProof/>
                <w:webHidden/>
              </w:rPr>
              <w:tab/>
            </w:r>
            <w:r>
              <w:rPr>
                <w:noProof/>
                <w:webHidden/>
              </w:rPr>
              <w:fldChar w:fldCharType="begin"/>
            </w:r>
            <w:r>
              <w:rPr>
                <w:noProof/>
                <w:webHidden/>
              </w:rPr>
              <w:instrText xml:space="preserve"> PAGEREF _Toc165448389 \h </w:instrText>
            </w:r>
            <w:r>
              <w:rPr>
                <w:noProof/>
                <w:webHidden/>
              </w:rPr>
            </w:r>
            <w:r>
              <w:rPr>
                <w:noProof/>
                <w:webHidden/>
              </w:rPr>
              <w:fldChar w:fldCharType="separate"/>
            </w:r>
            <w:r w:rsidR="00C249E5">
              <w:rPr>
                <w:noProof/>
                <w:webHidden/>
              </w:rPr>
              <w:t>14</w:t>
            </w:r>
            <w:r>
              <w:rPr>
                <w:noProof/>
                <w:webHidden/>
              </w:rPr>
              <w:fldChar w:fldCharType="end"/>
            </w:r>
          </w:hyperlink>
        </w:p>
        <w:p w14:paraId="7FA30861" w14:textId="77318EC0" w:rsidR="00CE5BB7" w:rsidRDefault="00CE5BB7">
          <w:pPr>
            <w:pStyle w:val="TOC3"/>
            <w:tabs>
              <w:tab w:val="right" w:leader="dot" w:pos="9016"/>
            </w:tabs>
            <w:rPr>
              <w:rFonts w:eastAsiaTheme="minorEastAsia"/>
              <w:noProof/>
              <w:lang w:eastAsia="en-AU"/>
            </w:rPr>
          </w:pPr>
          <w:hyperlink w:anchor="_Toc165448390" w:history="1">
            <w:r w:rsidRPr="00B071EB">
              <w:rPr>
                <w:rStyle w:val="Hyperlink"/>
                <w:noProof/>
              </w:rPr>
              <w:t>Treatment sequences</w:t>
            </w:r>
            <w:r>
              <w:rPr>
                <w:noProof/>
                <w:webHidden/>
              </w:rPr>
              <w:tab/>
            </w:r>
            <w:r>
              <w:rPr>
                <w:noProof/>
                <w:webHidden/>
              </w:rPr>
              <w:fldChar w:fldCharType="begin"/>
            </w:r>
            <w:r>
              <w:rPr>
                <w:noProof/>
                <w:webHidden/>
              </w:rPr>
              <w:instrText xml:space="preserve"> PAGEREF _Toc165448390 \h </w:instrText>
            </w:r>
            <w:r>
              <w:rPr>
                <w:noProof/>
                <w:webHidden/>
              </w:rPr>
            </w:r>
            <w:r>
              <w:rPr>
                <w:noProof/>
                <w:webHidden/>
              </w:rPr>
              <w:fldChar w:fldCharType="separate"/>
            </w:r>
            <w:r w:rsidR="00C249E5">
              <w:rPr>
                <w:noProof/>
                <w:webHidden/>
              </w:rPr>
              <w:t>15</w:t>
            </w:r>
            <w:r>
              <w:rPr>
                <w:noProof/>
                <w:webHidden/>
              </w:rPr>
              <w:fldChar w:fldCharType="end"/>
            </w:r>
          </w:hyperlink>
        </w:p>
        <w:p w14:paraId="2C857C9B" w14:textId="46835D9E" w:rsidR="00CE5BB7" w:rsidRDefault="00CE5BB7">
          <w:pPr>
            <w:pStyle w:val="TOC3"/>
            <w:tabs>
              <w:tab w:val="right" w:leader="dot" w:pos="9016"/>
            </w:tabs>
            <w:rPr>
              <w:rFonts w:eastAsiaTheme="minorEastAsia"/>
              <w:noProof/>
              <w:lang w:eastAsia="en-AU"/>
            </w:rPr>
          </w:pPr>
          <w:hyperlink w:anchor="_Toc165448391" w:history="1">
            <w:r w:rsidRPr="00B071EB">
              <w:rPr>
                <w:rStyle w:val="Hyperlink"/>
                <w:noProof/>
              </w:rPr>
              <w:t>Treatment duration</w:t>
            </w:r>
            <w:r>
              <w:rPr>
                <w:noProof/>
                <w:webHidden/>
              </w:rPr>
              <w:tab/>
            </w:r>
            <w:r>
              <w:rPr>
                <w:noProof/>
                <w:webHidden/>
              </w:rPr>
              <w:fldChar w:fldCharType="begin"/>
            </w:r>
            <w:r>
              <w:rPr>
                <w:noProof/>
                <w:webHidden/>
              </w:rPr>
              <w:instrText xml:space="preserve"> PAGEREF _Toc165448391 \h </w:instrText>
            </w:r>
            <w:r>
              <w:rPr>
                <w:noProof/>
                <w:webHidden/>
              </w:rPr>
            </w:r>
            <w:r>
              <w:rPr>
                <w:noProof/>
                <w:webHidden/>
              </w:rPr>
              <w:fldChar w:fldCharType="separate"/>
            </w:r>
            <w:r w:rsidR="00C249E5">
              <w:rPr>
                <w:noProof/>
                <w:webHidden/>
              </w:rPr>
              <w:t>16</w:t>
            </w:r>
            <w:r>
              <w:rPr>
                <w:noProof/>
                <w:webHidden/>
              </w:rPr>
              <w:fldChar w:fldCharType="end"/>
            </w:r>
          </w:hyperlink>
        </w:p>
        <w:p w14:paraId="180A1A75" w14:textId="1EAAEBEA" w:rsidR="00CE5BB7" w:rsidRDefault="00CE5BB7">
          <w:pPr>
            <w:pStyle w:val="TOC3"/>
            <w:tabs>
              <w:tab w:val="right" w:leader="dot" w:pos="9016"/>
            </w:tabs>
            <w:rPr>
              <w:rFonts w:eastAsiaTheme="minorEastAsia"/>
              <w:noProof/>
              <w:lang w:eastAsia="en-AU"/>
            </w:rPr>
          </w:pPr>
          <w:hyperlink w:anchor="_Toc165448392" w:history="1">
            <w:r w:rsidRPr="00B071EB">
              <w:rPr>
                <w:rStyle w:val="Hyperlink"/>
                <w:noProof/>
              </w:rPr>
              <w:t>Extent of use in accord and outside of PBS restrictions</w:t>
            </w:r>
            <w:r>
              <w:rPr>
                <w:noProof/>
                <w:webHidden/>
              </w:rPr>
              <w:tab/>
            </w:r>
            <w:r>
              <w:rPr>
                <w:noProof/>
                <w:webHidden/>
              </w:rPr>
              <w:fldChar w:fldCharType="begin"/>
            </w:r>
            <w:r>
              <w:rPr>
                <w:noProof/>
                <w:webHidden/>
              </w:rPr>
              <w:instrText xml:space="preserve"> PAGEREF _Toc165448392 \h </w:instrText>
            </w:r>
            <w:r>
              <w:rPr>
                <w:noProof/>
                <w:webHidden/>
              </w:rPr>
            </w:r>
            <w:r>
              <w:rPr>
                <w:noProof/>
                <w:webHidden/>
              </w:rPr>
              <w:fldChar w:fldCharType="separate"/>
            </w:r>
            <w:r w:rsidR="00C249E5">
              <w:rPr>
                <w:noProof/>
                <w:webHidden/>
              </w:rPr>
              <w:t>16</w:t>
            </w:r>
            <w:r>
              <w:rPr>
                <w:noProof/>
                <w:webHidden/>
              </w:rPr>
              <w:fldChar w:fldCharType="end"/>
            </w:r>
          </w:hyperlink>
        </w:p>
        <w:p w14:paraId="56A5AD4E" w14:textId="2B79BB43" w:rsidR="00CE5BB7" w:rsidRDefault="00CE5BB7">
          <w:pPr>
            <w:pStyle w:val="TOC2"/>
            <w:rPr>
              <w:rFonts w:eastAsiaTheme="minorEastAsia"/>
              <w:noProof/>
              <w:lang w:eastAsia="en-AU"/>
            </w:rPr>
          </w:pPr>
          <w:hyperlink w:anchor="_Toc165448393" w:history="1">
            <w:r w:rsidRPr="00B071EB">
              <w:rPr>
                <w:rStyle w:val="Hyperlink"/>
                <w:noProof/>
              </w:rPr>
              <w:t>Results</w:t>
            </w:r>
            <w:r>
              <w:rPr>
                <w:noProof/>
                <w:webHidden/>
              </w:rPr>
              <w:tab/>
            </w:r>
            <w:r>
              <w:rPr>
                <w:noProof/>
                <w:webHidden/>
              </w:rPr>
              <w:fldChar w:fldCharType="begin"/>
            </w:r>
            <w:r>
              <w:rPr>
                <w:noProof/>
                <w:webHidden/>
              </w:rPr>
              <w:instrText xml:space="preserve"> PAGEREF _Toc165448393 \h </w:instrText>
            </w:r>
            <w:r>
              <w:rPr>
                <w:noProof/>
                <w:webHidden/>
              </w:rPr>
            </w:r>
            <w:r>
              <w:rPr>
                <w:noProof/>
                <w:webHidden/>
              </w:rPr>
              <w:fldChar w:fldCharType="separate"/>
            </w:r>
            <w:r w:rsidR="00C249E5">
              <w:rPr>
                <w:noProof/>
                <w:webHidden/>
              </w:rPr>
              <w:t>17</w:t>
            </w:r>
            <w:r>
              <w:rPr>
                <w:noProof/>
                <w:webHidden/>
              </w:rPr>
              <w:fldChar w:fldCharType="end"/>
            </w:r>
          </w:hyperlink>
        </w:p>
        <w:p w14:paraId="2CF66905" w14:textId="5E91C0DF" w:rsidR="00CE5BB7" w:rsidRDefault="00CE5BB7">
          <w:pPr>
            <w:pStyle w:val="TOC2"/>
            <w:rPr>
              <w:rFonts w:eastAsiaTheme="minorEastAsia"/>
              <w:noProof/>
              <w:lang w:eastAsia="en-AU"/>
            </w:rPr>
          </w:pPr>
          <w:hyperlink w:anchor="_Toc165448394" w:history="1">
            <w:r w:rsidRPr="00B071EB">
              <w:rPr>
                <w:rStyle w:val="Hyperlink"/>
                <w:noProof/>
              </w:rPr>
              <w:t>Utilisation of heart failure medicines in Australia</w:t>
            </w:r>
            <w:r>
              <w:rPr>
                <w:noProof/>
                <w:webHidden/>
              </w:rPr>
              <w:tab/>
            </w:r>
            <w:r>
              <w:rPr>
                <w:noProof/>
                <w:webHidden/>
              </w:rPr>
              <w:fldChar w:fldCharType="begin"/>
            </w:r>
            <w:r>
              <w:rPr>
                <w:noProof/>
                <w:webHidden/>
              </w:rPr>
              <w:instrText xml:space="preserve"> PAGEREF _Toc165448394 \h </w:instrText>
            </w:r>
            <w:r>
              <w:rPr>
                <w:noProof/>
                <w:webHidden/>
              </w:rPr>
            </w:r>
            <w:r>
              <w:rPr>
                <w:noProof/>
                <w:webHidden/>
              </w:rPr>
              <w:fldChar w:fldCharType="separate"/>
            </w:r>
            <w:r w:rsidR="00C249E5">
              <w:rPr>
                <w:noProof/>
                <w:webHidden/>
              </w:rPr>
              <w:t>17</w:t>
            </w:r>
            <w:r>
              <w:rPr>
                <w:noProof/>
                <w:webHidden/>
              </w:rPr>
              <w:fldChar w:fldCharType="end"/>
            </w:r>
          </w:hyperlink>
        </w:p>
        <w:p w14:paraId="0427BCF0" w14:textId="7962B5E4" w:rsidR="00CE5BB7" w:rsidRDefault="00CE5BB7">
          <w:pPr>
            <w:pStyle w:val="TOC3"/>
            <w:tabs>
              <w:tab w:val="right" w:leader="dot" w:pos="9016"/>
            </w:tabs>
            <w:rPr>
              <w:rFonts w:eastAsiaTheme="minorEastAsia"/>
              <w:noProof/>
              <w:lang w:eastAsia="en-AU"/>
            </w:rPr>
          </w:pPr>
          <w:hyperlink w:anchor="_Toc165448395" w:history="1">
            <w:r w:rsidRPr="00B071EB">
              <w:rPr>
                <w:rStyle w:val="Hyperlink"/>
                <w:noProof/>
              </w:rPr>
              <w:t>Prevalence</w:t>
            </w:r>
            <w:r>
              <w:rPr>
                <w:noProof/>
                <w:webHidden/>
              </w:rPr>
              <w:tab/>
            </w:r>
            <w:r>
              <w:rPr>
                <w:noProof/>
                <w:webHidden/>
              </w:rPr>
              <w:fldChar w:fldCharType="begin"/>
            </w:r>
            <w:r>
              <w:rPr>
                <w:noProof/>
                <w:webHidden/>
              </w:rPr>
              <w:instrText xml:space="preserve"> PAGEREF _Toc165448395 \h </w:instrText>
            </w:r>
            <w:r>
              <w:rPr>
                <w:noProof/>
                <w:webHidden/>
              </w:rPr>
            </w:r>
            <w:r>
              <w:rPr>
                <w:noProof/>
                <w:webHidden/>
              </w:rPr>
              <w:fldChar w:fldCharType="separate"/>
            </w:r>
            <w:r w:rsidR="00C249E5">
              <w:rPr>
                <w:noProof/>
                <w:webHidden/>
              </w:rPr>
              <w:t>17</w:t>
            </w:r>
            <w:r>
              <w:rPr>
                <w:noProof/>
                <w:webHidden/>
              </w:rPr>
              <w:fldChar w:fldCharType="end"/>
            </w:r>
          </w:hyperlink>
        </w:p>
        <w:p w14:paraId="0387E7AE" w14:textId="34B98065" w:rsidR="00CE5BB7" w:rsidRDefault="00CE5BB7">
          <w:pPr>
            <w:pStyle w:val="TOC3"/>
            <w:tabs>
              <w:tab w:val="right" w:leader="dot" w:pos="9016"/>
            </w:tabs>
            <w:rPr>
              <w:rFonts w:eastAsiaTheme="minorEastAsia"/>
              <w:noProof/>
              <w:lang w:eastAsia="en-AU"/>
            </w:rPr>
          </w:pPr>
          <w:hyperlink w:anchor="_Toc165448396" w:history="1">
            <w:r w:rsidRPr="00B071EB">
              <w:rPr>
                <w:rStyle w:val="Hyperlink"/>
                <w:noProof/>
              </w:rPr>
              <w:t>Incidence</w:t>
            </w:r>
            <w:r>
              <w:rPr>
                <w:noProof/>
                <w:webHidden/>
              </w:rPr>
              <w:tab/>
            </w:r>
            <w:r>
              <w:rPr>
                <w:noProof/>
                <w:webHidden/>
              </w:rPr>
              <w:fldChar w:fldCharType="begin"/>
            </w:r>
            <w:r>
              <w:rPr>
                <w:noProof/>
                <w:webHidden/>
              </w:rPr>
              <w:instrText xml:space="preserve"> PAGEREF _Toc165448396 \h </w:instrText>
            </w:r>
            <w:r>
              <w:rPr>
                <w:noProof/>
                <w:webHidden/>
              </w:rPr>
            </w:r>
            <w:r>
              <w:rPr>
                <w:noProof/>
                <w:webHidden/>
              </w:rPr>
              <w:fldChar w:fldCharType="separate"/>
            </w:r>
            <w:r w:rsidR="00C249E5">
              <w:rPr>
                <w:noProof/>
                <w:webHidden/>
              </w:rPr>
              <w:t>20</w:t>
            </w:r>
            <w:r>
              <w:rPr>
                <w:noProof/>
                <w:webHidden/>
              </w:rPr>
              <w:fldChar w:fldCharType="end"/>
            </w:r>
          </w:hyperlink>
        </w:p>
        <w:p w14:paraId="0FCFC34C" w14:textId="7497220D" w:rsidR="00CE5BB7" w:rsidRDefault="00CE5BB7">
          <w:pPr>
            <w:pStyle w:val="TOC2"/>
            <w:rPr>
              <w:rFonts w:eastAsiaTheme="minorEastAsia"/>
              <w:noProof/>
              <w:lang w:eastAsia="en-AU"/>
            </w:rPr>
          </w:pPr>
          <w:hyperlink w:anchor="_Toc165448397" w:history="1">
            <w:r w:rsidRPr="00B071EB">
              <w:rPr>
                <w:rStyle w:val="Hyperlink"/>
                <w:noProof/>
              </w:rPr>
              <w:t>Treatment regimens</w:t>
            </w:r>
            <w:r>
              <w:rPr>
                <w:noProof/>
                <w:webHidden/>
              </w:rPr>
              <w:tab/>
            </w:r>
            <w:r>
              <w:rPr>
                <w:noProof/>
                <w:webHidden/>
              </w:rPr>
              <w:fldChar w:fldCharType="begin"/>
            </w:r>
            <w:r>
              <w:rPr>
                <w:noProof/>
                <w:webHidden/>
              </w:rPr>
              <w:instrText xml:space="preserve"> PAGEREF _Toc165448397 \h </w:instrText>
            </w:r>
            <w:r>
              <w:rPr>
                <w:noProof/>
                <w:webHidden/>
              </w:rPr>
            </w:r>
            <w:r>
              <w:rPr>
                <w:noProof/>
                <w:webHidden/>
              </w:rPr>
              <w:fldChar w:fldCharType="separate"/>
            </w:r>
            <w:r w:rsidR="00C249E5">
              <w:rPr>
                <w:noProof/>
                <w:webHidden/>
              </w:rPr>
              <w:t>25</w:t>
            </w:r>
            <w:r>
              <w:rPr>
                <w:noProof/>
                <w:webHidden/>
              </w:rPr>
              <w:fldChar w:fldCharType="end"/>
            </w:r>
          </w:hyperlink>
        </w:p>
        <w:p w14:paraId="30840038" w14:textId="2131B5BF" w:rsidR="00CE5BB7" w:rsidRDefault="00CE5BB7">
          <w:pPr>
            <w:pStyle w:val="TOC3"/>
            <w:tabs>
              <w:tab w:val="right" w:leader="dot" w:pos="9016"/>
            </w:tabs>
            <w:rPr>
              <w:rFonts w:eastAsiaTheme="minorEastAsia"/>
              <w:noProof/>
              <w:lang w:eastAsia="en-AU"/>
            </w:rPr>
          </w:pPr>
          <w:hyperlink w:anchor="_Toc165448398" w:history="1">
            <w:r w:rsidRPr="00B071EB">
              <w:rPr>
                <w:rStyle w:val="Hyperlink"/>
                <w:noProof/>
                <w:lang w:val="en-US"/>
              </w:rPr>
              <w:t>Treatment regimens for PBS restricted HF medicines</w:t>
            </w:r>
            <w:r>
              <w:rPr>
                <w:noProof/>
                <w:webHidden/>
              </w:rPr>
              <w:tab/>
            </w:r>
            <w:r>
              <w:rPr>
                <w:noProof/>
                <w:webHidden/>
              </w:rPr>
              <w:fldChar w:fldCharType="begin"/>
            </w:r>
            <w:r>
              <w:rPr>
                <w:noProof/>
                <w:webHidden/>
              </w:rPr>
              <w:instrText xml:space="preserve"> PAGEREF _Toc165448398 \h </w:instrText>
            </w:r>
            <w:r>
              <w:rPr>
                <w:noProof/>
                <w:webHidden/>
              </w:rPr>
            </w:r>
            <w:r>
              <w:rPr>
                <w:noProof/>
                <w:webHidden/>
              </w:rPr>
              <w:fldChar w:fldCharType="separate"/>
            </w:r>
            <w:r w:rsidR="00C249E5">
              <w:rPr>
                <w:noProof/>
                <w:webHidden/>
              </w:rPr>
              <w:t>25</w:t>
            </w:r>
            <w:r>
              <w:rPr>
                <w:noProof/>
                <w:webHidden/>
              </w:rPr>
              <w:fldChar w:fldCharType="end"/>
            </w:r>
          </w:hyperlink>
        </w:p>
        <w:p w14:paraId="5309345E" w14:textId="69A2EFD8" w:rsidR="00CE5BB7" w:rsidRDefault="00CE5BB7">
          <w:pPr>
            <w:pStyle w:val="TOC3"/>
            <w:tabs>
              <w:tab w:val="right" w:leader="dot" w:pos="9016"/>
            </w:tabs>
            <w:rPr>
              <w:rFonts w:eastAsiaTheme="minorEastAsia"/>
              <w:noProof/>
              <w:lang w:eastAsia="en-AU"/>
            </w:rPr>
          </w:pPr>
          <w:hyperlink w:anchor="_Toc165448399" w:history="1">
            <w:r w:rsidRPr="00B071EB">
              <w:rPr>
                <w:rStyle w:val="Hyperlink"/>
                <w:noProof/>
                <w:lang w:val="en-US"/>
              </w:rPr>
              <w:t>Treatment regimens for restricted and unrestricted PBS listings for HF</w:t>
            </w:r>
            <w:r>
              <w:rPr>
                <w:noProof/>
                <w:webHidden/>
              </w:rPr>
              <w:tab/>
            </w:r>
            <w:r>
              <w:rPr>
                <w:noProof/>
                <w:webHidden/>
              </w:rPr>
              <w:fldChar w:fldCharType="begin"/>
            </w:r>
            <w:r>
              <w:rPr>
                <w:noProof/>
                <w:webHidden/>
              </w:rPr>
              <w:instrText xml:space="preserve"> PAGEREF _Toc165448399 \h </w:instrText>
            </w:r>
            <w:r>
              <w:rPr>
                <w:noProof/>
                <w:webHidden/>
              </w:rPr>
            </w:r>
            <w:r>
              <w:rPr>
                <w:noProof/>
                <w:webHidden/>
              </w:rPr>
              <w:fldChar w:fldCharType="separate"/>
            </w:r>
            <w:r w:rsidR="00C249E5">
              <w:rPr>
                <w:noProof/>
                <w:webHidden/>
              </w:rPr>
              <w:t>29</w:t>
            </w:r>
            <w:r>
              <w:rPr>
                <w:noProof/>
                <w:webHidden/>
              </w:rPr>
              <w:fldChar w:fldCharType="end"/>
            </w:r>
          </w:hyperlink>
        </w:p>
        <w:p w14:paraId="232AD3B1" w14:textId="3DAC8212" w:rsidR="00CE5BB7" w:rsidRDefault="00CE5BB7">
          <w:pPr>
            <w:pStyle w:val="TOC2"/>
            <w:rPr>
              <w:rFonts w:eastAsiaTheme="minorEastAsia"/>
              <w:noProof/>
              <w:lang w:eastAsia="en-AU"/>
            </w:rPr>
          </w:pPr>
          <w:hyperlink w:anchor="_Toc165448400" w:history="1">
            <w:r w:rsidRPr="00B071EB">
              <w:rPr>
                <w:rStyle w:val="Hyperlink"/>
                <w:noProof/>
              </w:rPr>
              <w:t>Standard of care in prevalent users of HF restricted medicines</w:t>
            </w:r>
            <w:r>
              <w:rPr>
                <w:noProof/>
                <w:webHidden/>
              </w:rPr>
              <w:tab/>
            </w:r>
            <w:r>
              <w:rPr>
                <w:noProof/>
                <w:webHidden/>
              </w:rPr>
              <w:fldChar w:fldCharType="begin"/>
            </w:r>
            <w:r>
              <w:rPr>
                <w:noProof/>
                <w:webHidden/>
              </w:rPr>
              <w:instrText xml:space="preserve"> PAGEREF _Toc165448400 \h </w:instrText>
            </w:r>
            <w:r>
              <w:rPr>
                <w:noProof/>
                <w:webHidden/>
              </w:rPr>
            </w:r>
            <w:r>
              <w:rPr>
                <w:noProof/>
                <w:webHidden/>
              </w:rPr>
              <w:fldChar w:fldCharType="separate"/>
            </w:r>
            <w:r w:rsidR="00C249E5">
              <w:rPr>
                <w:noProof/>
                <w:webHidden/>
              </w:rPr>
              <w:t>33</w:t>
            </w:r>
            <w:r>
              <w:rPr>
                <w:noProof/>
                <w:webHidden/>
              </w:rPr>
              <w:fldChar w:fldCharType="end"/>
            </w:r>
          </w:hyperlink>
        </w:p>
        <w:p w14:paraId="3D07E31A" w14:textId="02910476" w:rsidR="00CE5BB7" w:rsidRDefault="00CE5BB7">
          <w:pPr>
            <w:pStyle w:val="TOC2"/>
            <w:rPr>
              <w:rFonts w:eastAsiaTheme="minorEastAsia"/>
              <w:noProof/>
              <w:lang w:eastAsia="en-AU"/>
            </w:rPr>
          </w:pPr>
          <w:hyperlink w:anchor="_Toc165448401" w:history="1">
            <w:r w:rsidRPr="00B071EB">
              <w:rPr>
                <w:rStyle w:val="Hyperlink"/>
                <w:noProof/>
              </w:rPr>
              <w:t>Standard of care at initiation and add-on prescribing to standard care heart failure medicines</w:t>
            </w:r>
            <w:r>
              <w:rPr>
                <w:noProof/>
                <w:webHidden/>
              </w:rPr>
              <w:tab/>
            </w:r>
            <w:r>
              <w:rPr>
                <w:noProof/>
                <w:webHidden/>
              </w:rPr>
              <w:fldChar w:fldCharType="begin"/>
            </w:r>
            <w:r>
              <w:rPr>
                <w:noProof/>
                <w:webHidden/>
              </w:rPr>
              <w:instrText xml:space="preserve"> PAGEREF _Toc165448401 \h </w:instrText>
            </w:r>
            <w:r>
              <w:rPr>
                <w:noProof/>
                <w:webHidden/>
              </w:rPr>
            </w:r>
            <w:r>
              <w:rPr>
                <w:noProof/>
                <w:webHidden/>
              </w:rPr>
              <w:fldChar w:fldCharType="separate"/>
            </w:r>
            <w:r w:rsidR="00C249E5">
              <w:rPr>
                <w:noProof/>
                <w:webHidden/>
              </w:rPr>
              <w:t>34</w:t>
            </w:r>
            <w:r>
              <w:rPr>
                <w:noProof/>
                <w:webHidden/>
              </w:rPr>
              <w:fldChar w:fldCharType="end"/>
            </w:r>
          </w:hyperlink>
        </w:p>
        <w:p w14:paraId="72A01FF4" w14:textId="06BF2850" w:rsidR="00CE5BB7" w:rsidRDefault="00CE5BB7">
          <w:pPr>
            <w:pStyle w:val="TOC3"/>
            <w:tabs>
              <w:tab w:val="right" w:leader="dot" w:pos="9016"/>
            </w:tabs>
            <w:rPr>
              <w:rFonts w:eastAsiaTheme="minorEastAsia"/>
              <w:noProof/>
              <w:lang w:eastAsia="en-AU"/>
            </w:rPr>
          </w:pPr>
          <w:hyperlink w:anchor="_Toc165448402" w:history="1">
            <w:r w:rsidRPr="00B071EB">
              <w:rPr>
                <w:rStyle w:val="Hyperlink"/>
                <w:noProof/>
                <w:lang w:val="en-US"/>
              </w:rPr>
              <w:t>Standard of care at initiation</w:t>
            </w:r>
            <w:r>
              <w:rPr>
                <w:noProof/>
                <w:webHidden/>
              </w:rPr>
              <w:tab/>
            </w:r>
            <w:r>
              <w:rPr>
                <w:noProof/>
                <w:webHidden/>
              </w:rPr>
              <w:fldChar w:fldCharType="begin"/>
            </w:r>
            <w:r>
              <w:rPr>
                <w:noProof/>
                <w:webHidden/>
              </w:rPr>
              <w:instrText xml:space="preserve"> PAGEREF _Toc165448402 \h </w:instrText>
            </w:r>
            <w:r>
              <w:rPr>
                <w:noProof/>
                <w:webHidden/>
              </w:rPr>
            </w:r>
            <w:r>
              <w:rPr>
                <w:noProof/>
                <w:webHidden/>
              </w:rPr>
              <w:fldChar w:fldCharType="separate"/>
            </w:r>
            <w:r w:rsidR="00C249E5">
              <w:rPr>
                <w:noProof/>
                <w:webHidden/>
              </w:rPr>
              <w:t>34</w:t>
            </w:r>
            <w:r>
              <w:rPr>
                <w:noProof/>
                <w:webHidden/>
              </w:rPr>
              <w:fldChar w:fldCharType="end"/>
            </w:r>
          </w:hyperlink>
        </w:p>
        <w:p w14:paraId="03F6C6BC" w14:textId="609BA607" w:rsidR="00CE5BB7" w:rsidRDefault="00CE5BB7">
          <w:pPr>
            <w:pStyle w:val="TOC3"/>
            <w:tabs>
              <w:tab w:val="right" w:leader="dot" w:pos="9016"/>
            </w:tabs>
            <w:rPr>
              <w:rFonts w:eastAsiaTheme="minorEastAsia"/>
              <w:noProof/>
              <w:lang w:eastAsia="en-AU"/>
            </w:rPr>
          </w:pPr>
          <w:hyperlink w:anchor="_Toc165448403" w:history="1">
            <w:r w:rsidRPr="00B071EB">
              <w:rPr>
                <w:rStyle w:val="Hyperlink"/>
                <w:noProof/>
              </w:rPr>
              <w:t>Add-on prescribing to standard of care heart failure medicines</w:t>
            </w:r>
            <w:r>
              <w:rPr>
                <w:noProof/>
                <w:webHidden/>
              </w:rPr>
              <w:tab/>
            </w:r>
            <w:r>
              <w:rPr>
                <w:noProof/>
                <w:webHidden/>
              </w:rPr>
              <w:fldChar w:fldCharType="begin"/>
            </w:r>
            <w:r>
              <w:rPr>
                <w:noProof/>
                <w:webHidden/>
              </w:rPr>
              <w:instrText xml:space="preserve"> PAGEREF _Toc165448403 \h </w:instrText>
            </w:r>
            <w:r>
              <w:rPr>
                <w:noProof/>
                <w:webHidden/>
              </w:rPr>
            </w:r>
            <w:r>
              <w:rPr>
                <w:noProof/>
                <w:webHidden/>
              </w:rPr>
              <w:fldChar w:fldCharType="separate"/>
            </w:r>
            <w:r w:rsidR="00C249E5">
              <w:rPr>
                <w:noProof/>
                <w:webHidden/>
              </w:rPr>
              <w:t>35</w:t>
            </w:r>
            <w:r>
              <w:rPr>
                <w:noProof/>
                <w:webHidden/>
              </w:rPr>
              <w:fldChar w:fldCharType="end"/>
            </w:r>
          </w:hyperlink>
        </w:p>
        <w:p w14:paraId="2D32CDC6" w14:textId="21AFAFFE" w:rsidR="00CE5BB7" w:rsidRDefault="00CE5BB7">
          <w:pPr>
            <w:pStyle w:val="TOC2"/>
            <w:rPr>
              <w:rFonts w:eastAsiaTheme="minorEastAsia"/>
              <w:noProof/>
              <w:lang w:eastAsia="en-AU"/>
            </w:rPr>
          </w:pPr>
          <w:hyperlink w:anchor="_Toc165448404" w:history="1">
            <w:r w:rsidRPr="00B071EB">
              <w:rPr>
                <w:rStyle w:val="Hyperlink"/>
                <w:noProof/>
              </w:rPr>
              <w:t>Treatment sequences</w:t>
            </w:r>
            <w:r>
              <w:rPr>
                <w:noProof/>
                <w:webHidden/>
              </w:rPr>
              <w:tab/>
            </w:r>
            <w:r>
              <w:rPr>
                <w:noProof/>
                <w:webHidden/>
              </w:rPr>
              <w:fldChar w:fldCharType="begin"/>
            </w:r>
            <w:r>
              <w:rPr>
                <w:noProof/>
                <w:webHidden/>
              </w:rPr>
              <w:instrText xml:space="preserve"> PAGEREF _Toc165448404 \h </w:instrText>
            </w:r>
            <w:r>
              <w:rPr>
                <w:noProof/>
                <w:webHidden/>
              </w:rPr>
            </w:r>
            <w:r>
              <w:rPr>
                <w:noProof/>
                <w:webHidden/>
              </w:rPr>
              <w:fldChar w:fldCharType="separate"/>
            </w:r>
            <w:r w:rsidR="00C249E5">
              <w:rPr>
                <w:noProof/>
                <w:webHidden/>
              </w:rPr>
              <w:t>37</w:t>
            </w:r>
            <w:r>
              <w:rPr>
                <w:noProof/>
                <w:webHidden/>
              </w:rPr>
              <w:fldChar w:fldCharType="end"/>
            </w:r>
          </w:hyperlink>
        </w:p>
        <w:p w14:paraId="110CF69B" w14:textId="41E2E50E" w:rsidR="00CE5BB7" w:rsidRDefault="00CE5BB7">
          <w:pPr>
            <w:pStyle w:val="TOC2"/>
            <w:rPr>
              <w:rFonts w:eastAsiaTheme="minorEastAsia"/>
              <w:noProof/>
              <w:lang w:eastAsia="en-AU"/>
            </w:rPr>
          </w:pPr>
          <w:hyperlink w:anchor="_Toc165448405" w:history="1">
            <w:r w:rsidRPr="00B071EB">
              <w:rPr>
                <w:rStyle w:val="Hyperlink"/>
                <w:noProof/>
              </w:rPr>
              <w:t>Treatment duration</w:t>
            </w:r>
            <w:r>
              <w:rPr>
                <w:noProof/>
                <w:webHidden/>
              </w:rPr>
              <w:tab/>
            </w:r>
            <w:r>
              <w:rPr>
                <w:noProof/>
                <w:webHidden/>
              </w:rPr>
              <w:fldChar w:fldCharType="begin"/>
            </w:r>
            <w:r>
              <w:rPr>
                <w:noProof/>
                <w:webHidden/>
              </w:rPr>
              <w:instrText xml:space="preserve"> PAGEREF _Toc165448405 \h </w:instrText>
            </w:r>
            <w:r>
              <w:rPr>
                <w:noProof/>
                <w:webHidden/>
              </w:rPr>
            </w:r>
            <w:r>
              <w:rPr>
                <w:noProof/>
                <w:webHidden/>
              </w:rPr>
              <w:fldChar w:fldCharType="separate"/>
            </w:r>
            <w:r w:rsidR="00C249E5">
              <w:rPr>
                <w:noProof/>
                <w:webHidden/>
              </w:rPr>
              <w:t>39</w:t>
            </w:r>
            <w:r>
              <w:rPr>
                <w:noProof/>
                <w:webHidden/>
              </w:rPr>
              <w:fldChar w:fldCharType="end"/>
            </w:r>
          </w:hyperlink>
        </w:p>
        <w:p w14:paraId="395D4B56" w14:textId="3FAD192F" w:rsidR="00CE5BB7" w:rsidRDefault="00CE5BB7">
          <w:pPr>
            <w:pStyle w:val="TOC3"/>
            <w:tabs>
              <w:tab w:val="right" w:leader="dot" w:pos="9016"/>
            </w:tabs>
            <w:rPr>
              <w:rFonts w:eastAsiaTheme="minorEastAsia"/>
              <w:noProof/>
              <w:lang w:eastAsia="en-AU"/>
            </w:rPr>
          </w:pPr>
          <w:hyperlink w:anchor="_Toc165448406" w:history="1">
            <w:r w:rsidRPr="00B071EB">
              <w:rPr>
                <w:rStyle w:val="Hyperlink"/>
                <w:noProof/>
              </w:rPr>
              <w:t>Time to switch or cessation of PBS restricted HF medicine</w:t>
            </w:r>
            <w:r>
              <w:rPr>
                <w:noProof/>
                <w:webHidden/>
              </w:rPr>
              <w:tab/>
            </w:r>
            <w:r>
              <w:rPr>
                <w:noProof/>
                <w:webHidden/>
              </w:rPr>
              <w:fldChar w:fldCharType="begin"/>
            </w:r>
            <w:r>
              <w:rPr>
                <w:noProof/>
                <w:webHidden/>
              </w:rPr>
              <w:instrText xml:space="preserve"> PAGEREF _Toc165448406 \h </w:instrText>
            </w:r>
            <w:r>
              <w:rPr>
                <w:noProof/>
                <w:webHidden/>
              </w:rPr>
            </w:r>
            <w:r>
              <w:rPr>
                <w:noProof/>
                <w:webHidden/>
              </w:rPr>
              <w:fldChar w:fldCharType="separate"/>
            </w:r>
            <w:r w:rsidR="00C249E5">
              <w:rPr>
                <w:noProof/>
                <w:webHidden/>
              </w:rPr>
              <w:t>40</w:t>
            </w:r>
            <w:r>
              <w:rPr>
                <w:noProof/>
                <w:webHidden/>
              </w:rPr>
              <w:fldChar w:fldCharType="end"/>
            </w:r>
          </w:hyperlink>
        </w:p>
        <w:p w14:paraId="4B1FF078" w14:textId="585A03C3" w:rsidR="00CE5BB7" w:rsidRDefault="00CE5BB7">
          <w:pPr>
            <w:pStyle w:val="TOC3"/>
            <w:tabs>
              <w:tab w:val="right" w:leader="dot" w:pos="9016"/>
            </w:tabs>
            <w:rPr>
              <w:rFonts w:eastAsiaTheme="minorEastAsia"/>
              <w:noProof/>
              <w:lang w:eastAsia="en-AU"/>
            </w:rPr>
          </w:pPr>
          <w:hyperlink w:anchor="_Toc165448407" w:history="1">
            <w:r w:rsidRPr="00B071EB">
              <w:rPr>
                <w:rStyle w:val="Hyperlink"/>
                <w:noProof/>
              </w:rPr>
              <w:t>Time to addition of a second PBS restricted HF medicine or cessation</w:t>
            </w:r>
            <w:r>
              <w:rPr>
                <w:noProof/>
                <w:webHidden/>
              </w:rPr>
              <w:tab/>
            </w:r>
            <w:r>
              <w:rPr>
                <w:noProof/>
                <w:webHidden/>
              </w:rPr>
              <w:fldChar w:fldCharType="begin"/>
            </w:r>
            <w:r>
              <w:rPr>
                <w:noProof/>
                <w:webHidden/>
              </w:rPr>
              <w:instrText xml:space="preserve"> PAGEREF _Toc165448407 \h </w:instrText>
            </w:r>
            <w:r>
              <w:rPr>
                <w:noProof/>
                <w:webHidden/>
              </w:rPr>
            </w:r>
            <w:r>
              <w:rPr>
                <w:noProof/>
                <w:webHidden/>
              </w:rPr>
              <w:fldChar w:fldCharType="separate"/>
            </w:r>
            <w:r w:rsidR="00C249E5">
              <w:rPr>
                <w:noProof/>
                <w:webHidden/>
              </w:rPr>
              <w:t>41</w:t>
            </w:r>
            <w:r>
              <w:rPr>
                <w:noProof/>
                <w:webHidden/>
              </w:rPr>
              <w:fldChar w:fldCharType="end"/>
            </w:r>
          </w:hyperlink>
        </w:p>
        <w:p w14:paraId="2358F759" w14:textId="4A8E2C65" w:rsidR="00CE5BB7" w:rsidRDefault="00CE5BB7">
          <w:pPr>
            <w:pStyle w:val="TOC3"/>
            <w:tabs>
              <w:tab w:val="right" w:leader="dot" w:pos="9016"/>
            </w:tabs>
            <w:rPr>
              <w:rFonts w:eastAsiaTheme="minorEastAsia"/>
              <w:noProof/>
              <w:lang w:eastAsia="en-AU"/>
            </w:rPr>
          </w:pPr>
          <w:hyperlink w:anchor="_Toc165448408" w:history="1">
            <w:r w:rsidRPr="00B071EB">
              <w:rPr>
                <w:rStyle w:val="Hyperlink"/>
                <w:noProof/>
              </w:rPr>
              <w:t>Cumulative treatment duration - from first to last treatment episode</w:t>
            </w:r>
            <w:r>
              <w:rPr>
                <w:noProof/>
                <w:webHidden/>
              </w:rPr>
              <w:tab/>
            </w:r>
            <w:r>
              <w:rPr>
                <w:noProof/>
                <w:webHidden/>
              </w:rPr>
              <w:fldChar w:fldCharType="begin"/>
            </w:r>
            <w:r>
              <w:rPr>
                <w:noProof/>
                <w:webHidden/>
              </w:rPr>
              <w:instrText xml:space="preserve"> PAGEREF _Toc165448408 \h </w:instrText>
            </w:r>
            <w:r>
              <w:rPr>
                <w:noProof/>
                <w:webHidden/>
              </w:rPr>
            </w:r>
            <w:r>
              <w:rPr>
                <w:noProof/>
                <w:webHidden/>
              </w:rPr>
              <w:fldChar w:fldCharType="separate"/>
            </w:r>
            <w:r w:rsidR="00C249E5">
              <w:rPr>
                <w:noProof/>
                <w:webHidden/>
              </w:rPr>
              <w:t>42</w:t>
            </w:r>
            <w:r>
              <w:rPr>
                <w:noProof/>
                <w:webHidden/>
              </w:rPr>
              <w:fldChar w:fldCharType="end"/>
            </w:r>
          </w:hyperlink>
        </w:p>
        <w:p w14:paraId="2715DD50" w14:textId="72AA6A3A" w:rsidR="00CE5BB7" w:rsidRDefault="00CE5BB7">
          <w:pPr>
            <w:pStyle w:val="TOC3"/>
            <w:tabs>
              <w:tab w:val="right" w:leader="dot" w:pos="9016"/>
            </w:tabs>
            <w:rPr>
              <w:rFonts w:eastAsiaTheme="minorEastAsia"/>
              <w:noProof/>
              <w:lang w:eastAsia="en-AU"/>
            </w:rPr>
          </w:pPr>
          <w:hyperlink w:anchor="_Toc165448409" w:history="1">
            <w:r w:rsidRPr="00B071EB">
              <w:rPr>
                <w:rStyle w:val="Hyperlink"/>
                <w:noProof/>
                <w:lang w:val="en-US"/>
              </w:rPr>
              <w:t>Survival analysis of 2020 and 2021 initiators of HF restricted medicines</w:t>
            </w:r>
            <w:r>
              <w:rPr>
                <w:noProof/>
                <w:webHidden/>
              </w:rPr>
              <w:tab/>
            </w:r>
            <w:r>
              <w:rPr>
                <w:noProof/>
                <w:webHidden/>
              </w:rPr>
              <w:fldChar w:fldCharType="begin"/>
            </w:r>
            <w:r>
              <w:rPr>
                <w:noProof/>
                <w:webHidden/>
              </w:rPr>
              <w:instrText xml:space="preserve"> PAGEREF _Toc165448409 \h </w:instrText>
            </w:r>
            <w:r>
              <w:rPr>
                <w:noProof/>
                <w:webHidden/>
              </w:rPr>
            </w:r>
            <w:r>
              <w:rPr>
                <w:noProof/>
                <w:webHidden/>
              </w:rPr>
              <w:fldChar w:fldCharType="separate"/>
            </w:r>
            <w:r w:rsidR="00C249E5">
              <w:rPr>
                <w:noProof/>
                <w:webHidden/>
              </w:rPr>
              <w:t>43</w:t>
            </w:r>
            <w:r>
              <w:rPr>
                <w:noProof/>
                <w:webHidden/>
              </w:rPr>
              <w:fldChar w:fldCharType="end"/>
            </w:r>
          </w:hyperlink>
        </w:p>
        <w:p w14:paraId="0CD80096" w14:textId="1698E9D6" w:rsidR="00CE5BB7" w:rsidRDefault="00CE5BB7">
          <w:pPr>
            <w:pStyle w:val="TOC2"/>
            <w:rPr>
              <w:rFonts w:eastAsiaTheme="minorEastAsia"/>
              <w:noProof/>
              <w:lang w:eastAsia="en-AU"/>
            </w:rPr>
          </w:pPr>
          <w:hyperlink w:anchor="_Toc165448410" w:history="1">
            <w:r w:rsidRPr="00B071EB">
              <w:rPr>
                <w:rStyle w:val="Hyperlink"/>
                <w:noProof/>
              </w:rPr>
              <w:t>Extent of use in accord and outside of PBS restrictions (2022)</w:t>
            </w:r>
            <w:r>
              <w:rPr>
                <w:noProof/>
                <w:webHidden/>
              </w:rPr>
              <w:tab/>
            </w:r>
            <w:r>
              <w:rPr>
                <w:noProof/>
                <w:webHidden/>
              </w:rPr>
              <w:fldChar w:fldCharType="begin"/>
            </w:r>
            <w:r>
              <w:rPr>
                <w:noProof/>
                <w:webHidden/>
              </w:rPr>
              <w:instrText xml:space="preserve"> PAGEREF _Toc165448410 \h </w:instrText>
            </w:r>
            <w:r>
              <w:rPr>
                <w:noProof/>
                <w:webHidden/>
              </w:rPr>
            </w:r>
            <w:r>
              <w:rPr>
                <w:noProof/>
                <w:webHidden/>
              </w:rPr>
              <w:fldChar w:fldCharType="separate"/>
            </w:r>
            <w:r w:rsidR="00C249E5">
              <w:rPr>
                <w:noProof/>
                <w:webHidden/>
              </w:rPr>
              <w:t>45</w:t>
            </w:r>
            <w:r>
              <w:rPr>
                <w:noProof/>
                <w:webHidden/>
              </w:rPr>
              <w:fldChar w:fldCharType="end"/>
            </w:r>
          </w:hyperlink>
        </w:p>
        <w:p w14:paraId="559B28A6" w14:textId="1B87B70A" w:rsidR="00CE5BB7" w:rsidRDefault="00CE5BB7">
          <w:pPr>
            <w:pStyle w:val="TOC2"/>
            <w:rPr>
              <w:rFonts w:eastAsiaTheme="minorEastAsia"/>
              <w:noProof/>
              <w:lang w:eastAsia="en-AU"/>
            </w:rPr>
          </w:pPr>
          <w:hyperlink w:anchor="_Toc165448411" w:history="1">
            <w:r w:rsidRPr="00B071EB">
              <w:rPr>
                <w:rStyle w:val="Hyperlink"/>
                <w:noProof/>
              </w:rPr>
              <w:t>Discussion</w:t>
            </w:r>
            <w:r>
              <w:rPr>
                <w:noProof/>
                <w:webHidden/>
              </w:rPr>
              <w:tab/>
            </w:r>
            <w:r>
              <w:rPr>
                <w:noProof/>
                <w:webHidden/>
              </w:rPr>
              <w:fldChar w:fldCharType="begin"/>
            </w:r>
            <w:r>
              <w:rPr>
                <w:noProof/>
                <w:webHidden/>
              </w:rPr>
              <w:instrText xml:space="preserve"> PAGEREF _Toc165448411 \h </w:instrText>
            </w:r>
            <w:r>
              <w:rPr>
                <w:noProof/>
                <w:webHidden/>
              </w:rPr>
            </w:r>
            <w:r>
              <w:rPr>
                <w:noProof/>
                <w:webHidden/>
              </w:rPr>
              <w:fldChar w:fldCharType="separate"/>
            </w:r>
            <w:r w:rsidR="00C249E5">
              <w:rPr>
                <w:noProof/>
                <w:webHidden/>
              </w:rPr>
              <w:t>49</w:t>
            </w:r>
            <w:r>
              <w:rPr>
                <w:noProof/>
                <w:webHidden/>
              </w:rPr>
              <w:fldChar w:fldCharType="end"/>
            </w:r>
          </w:hyperlink>
        </w:p>
        <w:p w14:paraId="3C733DF3" w14:textId="66E20966" w:rsidR="00CE5BB7" w:rsidRDefault="00CE5BB7">
          <w:pPr>
            <w:pStyle w:val="TOC2"/>
            <w:rPr>
              <w:rFonts w:eastAsiaTheme="minorEastAsia"/>
              <w:noProof/>
              <w:lang w:eastAsia="en-AU"/>
            </w:rPr>
          </w:pPr>
          <w:hyperlink w:anchor="_Toc165448412" w:history="1">
            <w:r w:rsidRPr="00B071EB">
              <w:rPr>
                <w:rStyle w:val="Hyperlink"/>
                <w:noProof/>
                <w:lang w:val="en-US"/>
              </w:rPr>
              <w:t>References</w:t>
            </w:r>
            <w:r>
              <w:rPr>
                <w:noProof/>
                <w:webHidden/>
              </w:rPr>
              <w:tab/>
            </w:r>
            <w:r>
              <w:rPr>
                <w:noProof/>
                <w:webHidden/>
              </w:rPr>
              <w:fldChar w:fldCharType="begin"/>
            </w:r>
            <w:r>
              <w:rPr>
                <w:noProof/>
                <w:webHidden/>
              </w:rPr>
              <w:instrText xml:space="preserve"> PAGEREF _Toc165448412 \h </w:instrText>
            </w:r>
            <w:r>
              <w:rPr>
                <w:noProof/>
                <w:webHidden/>
              </w:rPr>
            </w:r>
            <w:r>
              <w:rPr>
                <w:noProof/>
                <w:webHidden/>
              </w:rPr>
              <w:fldChar w:fldCharType="separate"/>
            </w:r>
            <w:r w:rsidR="00C249E5">
              <w:rPr>
                <w:noProof/>
                <w:webHidden/>
              </w:rPr>
              <w:t>52</w:t>
            </w:r>
            <w:r>
              <w:rPr>
                <w:noProof/>
                <w:webHidden/>
              </w:rPr>
              <w:fldChar w:fldCharType="end"/>
            </w:r>
          </w:hyperlink>
        </w:p>
        <w:p w14:paraId="2C1C5E5B" w14:textId="06400C6E" w:rsidR="00CE5BB7" w:rsidRDefault="00CE5BB7">
          <w:pPr>
            <w:pStyle w:val="TOC2"/>
            <w:rPr>
              <w:rFonts w:eastAsiaTheme="minorEastAsia"/>
              <w:noProof/>
              <w:lang w:eastAsia="en-AU"/>
            </w:rPr>
          </w:pPr>
          <w:hyperlink w:anchor="_Toc165448413" w:history="1">
            <w:r w:rsidRPr="00B071EB">
              <w:rPr>
                <w:rStyle w:val="Hyperlink"/>
                <w:noProof/>
                <w:lang w:val="en-US"/>
              </w:rPr>
              <w:t>Appendix 1: Rx Risk medicines list and codes</w:t>
            </w:r>
            <w:r>
              <w:rPr>
                <w:noProof/>
                <w:webHidden/>
              </w:rPr>
              <w:tab/>
            </w:r>
            <w:r>
              <w:rPr>
                <w:noProof/>
                <w:webHidden/>
              </w:rPr>
              <w:fldChar w:fldCharType="begin"/>
            </w:r>
            <w:r>
              <w:rPr>
                <w:noProof/>
                <w:webHidden/>
              </w:rPr>
              <w:instrText xml:space="preserve"> PAGEREF _Toc165448413 \h </w:instrText>
            </w:r>
            <w:r>
              <w:rPr>
                <w:noProof/>
                <w:webHidden/>
              </w:rPr>
            </w:r>
            <w:r>
              <w:rPr>
                <w:noProof/>
                <w:webHidden/>
              </w:rPr>
              <w:fldChar w:fldCharType="separate"/>
            </w:r>
            <w:r w:rsidR="00C249E5">
              <w:rPr>
                <w:noProof/>
                <w:webHidden/>
              </w:rPr>
              <w:t>53</w:t>
            </w:r>
            <w:r>
              <w:rPr>
                <w:noProof/>
                <w:webHidden/>
              </w:rPr>
              <w:fldChar w:fldCharType="end"/>
            </w:r>
          </w:hyperlink>
        </w:p>
        <w:p w14:paraId="575CA30C" w14:textId="6CBAB1AC" w:rsidR="00CE5BB7" w:rsidRDefault="00CE5BB7">
          <w:pPr>
            <w:pStyle w:val="TOC2"/>
            <w:rPr>
              <w:rFonts w:eastAsiaTheme="minorEastAsia"/>
              <w:noProof/>
              <w:lang w:eastAsia="en-AU"/>
            </w:rPr>
          </w:pPr>
          <w:hyperlink w:anchor="_Toc165448414" w:history="1">
            <w:r w:rsidRPr="00B071EB">
              <w:rPr>
                <w:rStyle w:val="Hyperlink"/>
                <w:noProof/>
                <w:lang w:val="en-US"/>
              </w:rPr>
              <w:t>Appendix 2: Additional survival analysis</w:t>
            </w:r>
            <w:r>
              <w:rPr>
                <w:noProof/>
                <w:webHidden/>
              </w:rPr>
              <w:tab/>
            </w:r>
            <w:r>
              <w:rPr>
                <w:noProof/>
                <w:webHidden/>
              </w:rPr>
              <w:fldChar w:fldCharType="begin"/>
            </w:r>
            <w:r>
              <w:rPr>
                <w:noProof/>
                <w:webHidden/>
              </w:rPr>
              <w:instrText xml:space="preserve"> PAGEREF _Toc165448414 \h </w:instrText>
            </w:r>
            <w:r>
              <w:rPr>
                <w:noProof/>
                <w:webHidden/>
              </w:rPr>
            </w:r>
            <w:r>
              <w:rPr>
                <w:noProof/>
                <w:webHidden/>
              </w:rPr>
              <w:fldChar w:fldCharType="separate"/>
            </w:r>
            <w:r w:rsidR="00C249E5">
              <w:rPr>
                <w:noProof/>
                <w:webHidden/>
              </w:rPr>
              <w:t>55</w:t>
            </w:r>
            <w:r>
              <w:rPr>
                <w:noProof/>
                <w:webHidden/>
              </w:rPr>
              <w:fldChar w:fldCharType="end"/>
            </w:r>
          </w:hyperlink>
        </w:p>
        <w:p w14:paraId="17E7E2F8" w14:textId="77318EBD" w:rsidR="00CE5BB7" w:rsidRDefault="00CE5BB7">
          <w:pPr>
            <w:pStyle w:val="TOC3"/>
            <w:tabs>
              <w:tab w:val="right" w:leader="dot" w:pos="9016"/>
            </w:tabs>
            <w:rPr>
              <w:rFonts w:eastAsiaTheme="minorEastAsia"/>
              <w:noProof/>
              <w:lang w:eastAsia="en-AU"/>
            </w:rPr>
          </w:pPr>
          <w:hyperlink w:anchor="_Toc165448415" w:history="1">
            <w:r w:rsidRPr="00B071EB">
              <w:rPr>
                <w:rStyle w:val="Hyperlink"/>
                <w:noProof/>
                <w:lang w:val="en-US"/>
              </w:rPr>
              <w:t>Survival analysis of 2018-2021 initiators of HF restricted medicines, when considering HF restricted and unrestricted medicines</w:t>
            </w:r>
            <w:r>
              <w:rPr>
                <w:noProof/>
                <w:webHidden/>
              </w:rPr>
              <w:tab/>
            </w:r>
            <w:r>
              <w:rPr>
                <w:noProof/>
                <w:webHidden/>
              </w:rPr>
              <w:fldChar w:fldCharType="begin"/>
            </w:r>
            <w:r>
              <w:rPr>
                <w:noProof/>
                <w:webHidden/>
              </w:rPr>
              <w:instrText xml:space="preserve"> PAGEREF _Toc165448415 \h </w:instrText>
            </w:r>
            <w:r>
              <w:rPr>
                <w:noProof/>
                <w:webHidden/>
              </w:rPr>
            </w:r>
            <w:r>
              <w:rPr>
                <w:noProof/>
                <w:webHidden/>
              </w:rPr>
              <w:fldChar w:fldCharType="separate"/>
            </w:r>
            <w:r w:rsidR="00C249E5">
              <w:rPr>
                <w:noProof/>
                <w:webHidden/>
              </w:rPr>
              <w:t>55</w:t>
            </w:r>
            <w:r>
              <w:rPr>
                <w:noProof/>
                <w:webHidden/>
              </w:rPr>
              <w:fldChar w:fldCharType="end"/>
            </w:r>
          </w:hyperlink>
        </w:p>
        <w:p w14:paraId="35FB153E" w14:textId="3985932C" w:rsidR="00CE5BB7" w:rsidRDefault="00CE5BB7">
          <w:pPr>
            <w:pStyle w:val="TOC3"/>
            <w:tabs>
              <w:tab w:val="right" w:leader="dot" w:pos="9016"/>
            </w:tabs>
            <w:rPr>
              <w:rFonts w:eastAsiaTheme="minorEastAsia"/>
              <w:noProof/>
              <w:lang w:eastAsia="en-AU"/>
            </w:rPr>
          </w:pPr>
          <w:hyperlink w:anchor="_Toc165448416" w:history="1">
            <w:r w:rsidRPr="00B071EB">
              <w:rPr>
                <w:rStyle w:val="Hyperlink"/>
                <w:noProof/>
              </w:rPr>
              <w:t>Survival analyses of 2018-2021 initiators of HF restricted medicines, when considering HF restricted medicines only, stratified by the individual index medicine</w:t>
            </w:r>
            <w:r>
              <w:rPr>
                <w:noProof/>
                <w:webHidden/>
              </w:rPr>
              <w:tab/>
            </w:r>
            <w:r>
              <w:rPr>
                <w:noProof/>
                <w:webHidden/>
              </w:rPr>
              <w:fldChar w:fldCharType="begin"/>
            </w:r>
            <w:r>
              <w:rPr>
                <w:noProof/>
                <w:webHidden/>
              </w:rPr>
              <w:instrText xml:space="preserve"> PAGEREF _Toc165448416 \h </w:instrText>
            </w:r>
            <w:r>
              <w:rPr>
                <w:noProof/>
                <w:webHidden/>
              </w:rPr>
            </w:r>
            <w:r>
              <w:rPr>
                <w:noProof/>
                <w:webHidden/>
              </w:rPr>
              <w:fldChar w:fldCharType="separate"/>
            </w:r>
            <w:r w:rsidR="00C249E5">
              <w:rPr>
                <w:noProof/>
                <w:webHidden/>
              </w:rPr>
              <w:t>58</w:t>
            </w:r>
            <w:r>
              <w:rPr>
                <w:noProof/>
                <w:webHidden/>
              </w:rPr>
              <w:fldChar w:fldCharType="end"/>
            </w:r>
          </w:hyperlink>
        </w:p>
        <w:p w14:paraId="7C6ABA7F" w14:textId="487E076B" w:rsidR="00CE5BB7" w:rsidRDefault="00CE5BB7">
          <w:pPr>
            <w:pStyle w:val="TOC3"/>
            <w:tabs>
              <w:tab w:val="right" w:leader="dot" w:pos="9016"/>
            </w:tabs>
            <w:rPr>
              <w:rFonts w:eastAsiaTheme="minorEastAsia"/>
              <w:noProof/>
              <w:lang w:eastAsia="en-AU"/>
            </w:rPr>
          </w:pPr>
          <w:hyperlink w:anchor="_Toc165448417" w:history="1">
            <w:r w:rsidRPr="00B071EB">
              <w:rPr>
                <w:rStyle w:val="Hyperlink"/>
                <w:noProof/>
              </w:rPr>
              <w:t>Survival analyses of 2020 and 2021 initiators of HF restricted medicines, when considering HF restricted medicines only, stratified by the individual index medicine</w:t>
            </w:r>
            <w:r>
              <w:rPr>
                <w:noProof/>
                <w:webHidden/>
              </w:rPr>
              <w:tab/>
            </w:r>
            <w:r>
              <w:rPr>
                <w:noProof/>
                <w:webHidden/>
              </w:rPr>
              <w:fldChar w:fldCharType="begin"/>
            </w:r>
            <w:r>
              <w:rPr>
                <w:noProof/>
                <w:webHidden/>
              </w:rPr>
              <w:instrText xml:space="preserve"> PAGEREF _Toc165448417 \h </w:instrText>
            </w:r>
            <w:r>
              <w:rPr>
                <w:noProof/>
                <w:webHidden/>
              </w:rPr>
            </w:r>
            <w:r>
              <w:rPr>
                <w:noProof/>
                <w:webHidden/>
              </w:rPr>
              <w:fldChar w:fldCharType="separate"/>
            </w:r>
            <w:r w:rsidR="00C249E5">
              <w:rPr>
                <w:noProof/>
                <w:webHidden/>
              </w:rPr>
              <w:t>64</w:t>
            </w:r>
            <w:r>
              <w:rPr>
                <w:noProof/>
                <w:webHidden/>
              </w:rPr>
              <w:fldChar w:fldCharType="end"/>
            </w:r>
          </w:hyperlink>
        </w:p>
        <w:p w14:paraId="25818536" w14:textId="6EAC8123" w:rsidR="00CE5BB7" w:rsidRDefault="00CE5BB7">
          <w:pPr>
            <w:pStyle w:val="TOC3"/>
            <w:tabs>
              <w:tab w:val="right" w:leader="dot" w:pos="9016"/>
            </w:tabs>
            <w:rPr>
              <w:rFonts w:eastAsiaTheme="minorEastAsia"/>
              <w:noProof/>
              <w:lang w:eastAsia="en-AU"/>
            </w:rPr>
          </w:pPr>
          <w:hyperlink w:anchor="_Toc165448418" w:history="1">
            <w:r w:rsidRPr="00B071EB">
              <w:rPr>
                <w:rStyle w:val="Hyperlink"/>
                <w:noProof/>
                <w:lang w:val="en-US"/>
              </w:rPr>
              <w:t>Survival analysis of 2020 and 2021 initiators of HF restricted medicines, when considering HF restricted and unrestricted medicines, stratified by the individual index medicine.</w:t>
            </w:r>
            <w:r>
              <w:rPr>
                <w:noProof/>
                <w:webHidden/>
              </w:rPr>
              <w:tab/>
            </w:r>
            <w:r>
              <w:rPr>
                <w:noProof/>
                <w:webHidden/>
              </w:rPr>
              <w:fldChar w:fldCharType="begin"/>
            </w:r>
            <w:r>
              <w:rPr>
                <w:noProof/>
                <w:webHidden/>
              </w:rPr>
              <w:instrText xml:space="preserve"> PAGEREF _Toc165448418 \h </w:instrText>
            </w:r>
            <w:r>
              <w:rPr>
                <w:noProof/>
                <w:webHidden/>
              </w:rPr>
            </w:r>
            <w:r>
              <w:rPr>
                <w:noProof/>
                <w:webHidden/>
              </w:rPr>
              <w:fldChar w:fldCharType="separate"/>
            </w:r>
            <w:r w:rsidR="00C249E5">
              <w:rPr>
                <w:noProof/>
                <w:webHidden/>
              </w:rPr>
              <w:t>70</w:t>
            </w:r>
            <w:r>
              <w:rPr>
                <w:noProof/>
                <w:webHidden/>
              </w:rPr>
              <w:fldChar w:fldCharType="end"/>
            </w:r>
          </w:hyperlink>
        </w:p>
        <w:p w14:paraId="057572DA" w14:textId="74E031D2" w:rsidR="00A21A1B" w:rsidRDefault="00A21A1B">
          <w:r>
            <w:rPr>
              <w:b/>
              <w:bCs/>
              <w:noProof/>
            </w:rPr>
            <w:fldChar w:fldCharType="end"/>
          </w:r>
        </w:p>
      </w:sdtContent>
    </w:sdt>
    <w:p w14:paraId="05C3B5CB" w14:textId="77777777" w:rsidR="00E72741" w:rsidRDefault="00E72741">
      <w:pPr>
        <w:rPr>
          <w:rFonts w:asciiTheme="majorHAnsi" w:eastAsiaTheme="majorEastAsia" w:hAnsiTheme="majorHAnsi" w:cstheme="majorBidi"/>
          <w:color w:val="365F91" w:themeColor="accent1" w:themeShade="BF"/>
          <w:sz w:val="26"/>
          <w:szCs w:val="26"/>
        </w:rPr>
      </w:pPr>
      <w:r>
        <w:br w:type="page"/>
      </w:r>
    </w:p>
    <w:p w14:paraId="4021E0BF" w14:textId="77777777" w:rsidR="00ED3E1D" w:rsidRDefault="00ED3E1D" w:rsidP="00A970AB">
      <w:pPr>
        <w:pStyle w:val="Heading2"/>
      </w:pPr>
      <w:bookmarkStart w:id="2" w:name="_Toc165448381"/>
      <w:r>
        <w:lastRenderedPageBreak/>
        <w:t>Table of abbreviations</w:t>
      </w:r>
      <w:bookmarkEnd w:id="2"/>
    </w:p>
    <w:p w14:paraId="6EB7DB79" w14:textId="77777777" w:rsidR="008062C4" w:rsidRPr="008062C4" w:rsidRDefault="008062C4" w:rsidP="008062C4"/>
    <w:tbl>
      <w:tblPr>
        <w:tblStyle w:val="TableGrid"/>
        <w:tblW w:w="0" w:type="auto"/>
        <w:tblLook w:val="04A0" w:firstRow="1" w:lastRow="0" w:firstColumn="1" w:lastColumn="0" w:noHBand="0" w:noVBand="1"/>
      </w:tblPr>
      <w:tblGrid>
        <w:gridCol w:w="2405"/>
        <w:gridCol w:w="6611"/>
      </w:tblGrid>
      <w:tr w:rsidR="00ED3E1D" w14:paraId="47392FD1" w14:textId="77777777" w:rsidTr="00ED3E1D">
        <w:tc>
          <w:tcPr>
            <w:tcW w:w="2405" w:type="dxa"/>
          </w:tcPr>
          <w:p w14:paraId="1E6B93DD" w14:textId="77777777" w:rsidR="00ED3E1D" w:rsidRDefault="00ED3E1D" w:rsidP="00ED3E1D">
            <w:r>
              <w:t>Abbreviation</w:t>
            </w:r>
          </w:p>
        </w:tc>
        <w:tc>
          <w:tcPr>
            <w:tcW w:w="6611" w:type="dxa"/>
          </w:tcPr>
          <w:p w14:paraId="20145623" w14:textId="77777777" w:rsidR="00ED3E1D" w:rsidRDefault="00ED3E1D" w:rsidP="00ED3E1D">
            <w:r>
              <w:t>Description</w:t>
            </w:r>
          </w:p>
        </w:tc>
      </w:tr>
      <w:tr w:rsidR="00ED3E1D" w14:paraId="5BD6E38B" w14:textId="77777777" w:rsidTr="00ED3E1D">
        <w:tc>
          <w:tcPr>
            <w:tcW w:w="2405" w:type="dxa"/>
          </w:tcPr>
          <w:p w14:paraId="77EC3A1E" w14:textId="77777777" w:rsidR="00ED3E1D" w:rsidRDefault="00ED3E1D" w:rsidP="00ED3E1D">
            <w:r>
              <w:t>CI</w:t>
            </w:r>
          </w:p>
        </w:tc>
        <w:tc>
          <w:tcPr>
            <w:tcW w:w="6611" w:type="dxa"/>
          </w:tcPr>
          <w:p w14:paraId="3C7E7EE5" w14:textId="77777777" w:rsidR="00ED3E1D" w:rsidRDefault="00ED3E1D" w:rsidP="00ED3E1D">
            <w:r>
              <w:t>Confidence Interval</w:t>
            </w:r>
          </w:p>
        </w:tc>
      </w:tr>
      <w:tr w:rsidR="00ED3E1D" w14:paraId="459DCC42" w14:textId="77777777" w:rsidTr="00ED3E1D">
        <w:tc>
          <w:tcPr>
            <w:tcW w:w="2405" w:type="dxa"/>
          </w:tcPr>
          <w:p w14:paraId="5DE428DB" w14:textId="77777777" w:rsidR="00ED3E1D" w:rsidRDefault="00ED3E1D" w:rsidP="00ED3E1D">
            <w:r>
              <w:t>ATC</w:t>
            </w:r>
          </w:p>
        </w:tc>
        <w:tc>
          <w:tcPr>
            <w:tcW w:w="6611" w:type="dxa"/>
          </w:tcPr>
          <w:p w14:paraId="15003FD7" w14:textId="77777777" w:rsidR="00ED3E1D" w:rsidRDefault="00ED3E1D" w:rsidP="00ED3E1D">
            <w:r>
              <w:t>Anatomical Therapeutic Chemical Classification System</w:t>
            </w:r>
          </w:p>
        </w:tc>
      </w:tr>
      <w:tr w:rsidR="00BF7872" w14:paraId="5637F639" w14:textId="77777777" w:rsidTr="00ED3E1D">
        <w:tc>
          <w:tcPr>
            <w:tcW w:w="2405" w:type="dxa"/>
          </w:tcPr>
          <w:p w14:paraId="51B1DFCF" w14:textId="77777777" w:rsidR="00BF7872" w:rsidRDefault="00BF7872" w:rsidP="00ED3E1D">
            <w:r>
              <w:t>PBS</w:t>
            </w:r>
          </w:p>
        </w:tc>
        <w:tc>
          <w:tcPr>
            <w:tcW w:w="6611" w:type="dxa"/>
          </w:tcPr>
          <w:p w14:paraId="2FE3EE41" w14:textId="77777777" w:rsidR="00BF7872" w:rsidRDefault="00BF7872" w:rsidP="00ED3E1D">
            <w:r>
              <w:t>Pharmaceutical Benefits Scheme</w:t>
            </w:r>
          </w:p>
        </w:tc>
      </w:tr>
      <w:tr w:rsidR="00282FE0" w14:paraId="57FB0002" w14:textId="77777777" w:rsidTr="00ED3E1D">
        <w:tc>
          <w:tcPr>
            <w:tcW w:w="2405" w:type="dxa"/>
          </w:tcPr>
          <w:p w14:paraId="3BEDD4E7" w14:textId="77777777" w:rsidR="00282FE0" w:rsidRDefault="00282FE0" w:rsidP="00282FE0">
            <w:r>
              <w:t>PBAC</w:t>
            </w:r>
          </w:p>
        </w:tc>
        <w:tc>
          <w:tcPr>
            <w:tcW w:w="6611" w:type="dxa"/>
          </w:tcPr>
          <w:p w14:paraId="2E0D86D9" w14:textId="77777777" w:rsidR="00282FE0" w:rsidRDefault="00282FE0" w:rsidP="00282FE0">
            <w:pPr>
              <w:rPr>
                <w:rFonts w:cstheme="minorHAnsi"/>
                <w:bCs/>
              </w:rPr>
            </w:pPr>
            <w:r>
              <w:rPr>
                <w:rFonts w:cstheme="minorHAnsi"/>
                <w:bCs/>
              </w:rPr>
              <w:t>Pharmaceutical Benefits Advisory Committee</w:t>
            </w:r>
          </w:p>
        </w:tc>
      </w:tr>
      <w:tr w:rsidR="00282FE0" w14:paraId="045DE8B2" w14:textId="77777777" w:rsidTr="00ED3E1D">
        <w:tc>
          <w:tcPr>
            <w:tcW w:w="2405" w:type="dxa"/>
          </w:tcPr>
          <w:p w14:paraId="533C2A03" w14:textId="77777777" w:rsidR="00282FE0" w:rsidRDefault="00282FE0" w:rsidP="00282FE0">
            <w:r>
              <w:t>LVEF</w:t>
            </w:r>
          </w:p>
        </w:tc>
        <w:tc>
          <w:tcPr>
            <w:tcW w:w="6611" w:type="dxa"/>
          </w:tcPr>
          <w:p w14:paraId="46249466" w14:textId="77777777" w:rsidR="00282FE0" w:rsidRDefault="00282FE0" w:rsidP="00282FE0">
            <w:pPr>
              <w:rPr>
                <w:rFonts w:cstheme="minorHAnsi"/>
                <w:bCs/>
              </w:rPr>
            </w:pPr>
            <w:r>
              <w:rPr>
                <w:rFonts w:cstheme="minorHAnsi"/>
                <w:bCs/>
              </w:rPr>
              <w:t>L</w:t>
            </w:r>
            <w:r w:rsidRPr="00C61EF3">
              <w:rPr>
                <w:rFonts w:cstheme="minorHAnsi"/>
                <w:bCs/>
              </w:rPr>
              <w:t>eft </w:t>
            </w:r>
            <w:r>
              <w:rPr>
                <w:rFonts w:cstheme="minorHAnsi"/>
                <w:bCs/>
              </w:rPr>
              <w:t>V</w:t>
            </w:r>
            <w:r w:rsidRPr="00C61EF3">
              <w:rPr>
                <w:rFonts w:cstheme="minorHAnsi"/>
              </w:rPr>
              <w:t xml:space="preserve">entricular </w:t>
            </w:r>
            <w:r>
              <w:rPr>
                <w:rFonts w:cstheme="minorHAnsi"/>
              </w:rPr>
              <w:t>E</w:t>
            </w:r>
            <w:r w:rsidRPr="00C61EF3">
              <w:rPr>
                <w:rFonts w:cstheme="minorHAnsi"/>
              </w:rPr>
              <w:t xml:space="preserve">jection </w:t>
            </w:r>
            <w:r>
              <w:rPr>
                <w:rFonts w:cstheme="minorHAnsi"/>
              </w:rPr>
              <w:t>F</w:t>
            </w:r>
            <w:r w:rsidRPr="00C61EF3">
              <w:rPr>
                <w:rFonts w:cstheme="minorHAnsi"/>
              </w:rPr>
              <w:t>raction</w:t>
            </w:r>
          </w:p>
        </w:tc>
      </w:tr>
      <w:tr w:rsidR="00F130B8" w14:paraId="224C2AF1" w14:textId="77777777" w:rsidTr="00D15F1F">
        <w:tc>
          <w:tcPr>
            <w:tcW w:w="2405" w:type="dxa"/>
            <w:tcBorders>
              <w:bottom w:val="single" w:sz="4" w:space="0" w:color="auto"/>
            </w:tcBorders>
          </w:tcPr>
          <w:p w14:paraId="21B4ADC3" w14:textId="77777777" w:rsidR="00F130B8" w:rsidRDefault="00F130B8" w:rsidP="00282FE0">
            <w:r>
              <w:t>FDC</w:t>
            </w:r>
          </w:p>
        </w:tc>
        <w:tc>
          <w:tcPr>
            <w:tcW w:w="6611" w:type="dxa"/>
            <w:tcBorders>
              <w:bottom w:val="single" w:sz="4" w:space="0" w:color="auto"/>
            </w:tcBorders>
          </w:tcPr>
          <w:p w14:paraId="2B7AD50D" w14:textId="77777777" w:rsidR="00F130B8" w:rsidRDefault="00F130B8" w:rsidP="00282FE0">
            <w:pPr>
              <w:rPr>
                <w:rFonts w:cstheme="minorHAnsi"/>
                <w:bCs/>
              </w:rPr>
            </w:pPr>
            <w:r>
              <w:rPr>
                <w:rFonts w:cstheme="minorHAnsi"/>
                <w:bCs/>
              </w:rPr>
              <w:t>Fixed dose combination</w:t>
            </w:r>
          </w:p>
        </w:tc>
      </w:tr>
      <w:tr w:rsidR="00D15F1F" w14:paraId="5F83A850" w14:textId="77777777" w:rsidTr="00D15F1F">
        <w:tc>
          <w:tcPr>
            <w:tcW w:w="2405" w:type="dxa"/>
            <w:tcBorders>
              <w:top w:val="single" w:sz="4" w:space="0" w:color="auto"/>
              <w:left w:val="single" w:sz="4" w:space="0" w:color="auto"/>
              <w:bottom w:val="single" w:sz="4" w:space="0" w:color="auto"/>
              <w:right w:val="nil"/>
            </w:tcBorders>
          </w:tcPr>
          <w:p w14:paraId="25106FAC" w14:textId="6CD8D0FF" w:rsidR="00D15F1F" w:rsidRDefault="00D15F1F" w:rsidP="00282FE0">
            <w:pPr>
              <w:rPr>
                <w:i/>
                <w:iCs/>
              </w:rPr>
            </w:pPr>
            <w:r w:rsidRPr="00282FE0">
              <w:rPr>
                <w:i/>
                <w:iCs/>
              </w:rPr>
              <w:t>Classes of medicines</w:t>
            </w:r>
          </w:p>
        </w:tc>
        <w:tc>
          <w:tcPr>
            <w:tcW w:w="6611" w:type="dxa"/>
            <w:tcBorders>
              <w:top w:val="single" w:sz="4" w:space="0" w:color="auto"/>
              <w:left w:val="nil"/>
              <w:bottom w:val="single" w:sz="4" w:space="0" w:color="auto"/>
              <w:right w:val="single" w:sz="4" w:space="0" w:color="auto"/>
            </w:tcBorders>
          </w:tcPr>
          <w:p w14:paraId="3C1728C4" w14:textId="30DE9416" w:rsidR="00D15F1F" w:rsidRPr="00282FE0" w:rsidRDefault="00D15F1F" w:rsidP="00282FE0">
            <w:pPr>
              <w:rPr>
                <w:rFonts w:cstheme="minorHAnsi"/>
                <w:bCs/>
                <w:i/>
                <w:iCs/>
              </w:rPr>
            </w:pPr>
          </w:p>
        </w:tc>
      </w:tr>
      <w:tr w:rsidR="00282FE0" w14:paraId="024235E8" w14:textId="77777777" w:rsidTr="00D15F1F">
        <w:tc>
          <w:tcPr>
            <w:tcW w:w="2405" w:type="dxa"/>
            <w:tcBorders>
              <w:top w:val="single" w:sz="4" w:space="0" w:color="auto"/>
            </w:tcBorders>
          </w:tcPr>
          <w:p w14:paraId="58DCFF58" w14:textId="5BEFB34A" w:rsidR="00282FE0" w:rsidRDefault="00282FE0" w:rsidP="00282FE0">
            <w:r>
              <w:t>ACE</w:t>
            </w:r>
            <w:r w:rsidR="003A0616">
              <w:t>i</w:t>
            </w:r>
          </w:p>
        </w:tc>
        <w:tc>
          <w:tcPr>
            <w:tcW w:w="6611" w:type="dxa"/>
            <w:tcBorders>
              <w:top w:val="single" w:sz="4" w:space="0" w:color="auto"/>
            </w:tcBorders>
          </w:tcPr>
          <w:p w14:paraId="313CBD98" w14:textId="77777777" w:rsidR="00282FE0" w:rsidRDefault="00282FE0" w:rsidP="00282FE0">
            <w:r>
              <w:rPr>
                <w:rFonts w:cstheme="minorHAnsi"/>
                <w:bCs/>
              </w:rPr>
              <w:t>A</w:t>
            </w:r>
            <w:r w:rsidRPr="007E6480">
              <w:rPr>
                <w:rFonts w:cstheme="minorHAnsi"/>
                <w:bCs/>
              </w:rPr>
              <w:t>ngiotensin-</w:t>
            </w:r>
            <w:r>
              <w:rPr>
                <w:rFonts w:cstheme="minorHAnsi"/>
                <w:bCs/>
              </w:rPr>
              <w:t>C</w:t>
            </w:r>
            <w:r w:rsidRPr="007E6480">
              <w:rPr>
                <w:rFonts w:cstheme="minorHAnsi"/>
                <w:bCs/>
              </w:rPr>
              <w:t xml:space="preserve">onverting </w:t>
            </w:r>
            <w:r>
              <w:rPr>
                <w:rFonts w:cstheme="minorHAnsi"/>
                <w:bCs/>
              </w:rPr>
              <w:t>E</w:t>
            </w:r>
            <w:r w:rsidRPr="007E6480">
              <w:rPr>
                <w:rFonts w:cstheme="minorHAnsi"/>
                <w:bCs/>
              </w:rPr>
              <w:t>nzyme inhibitors</w:t>
            </w:r>
          </w:p>
        </w:tc>
      </w:tr>
      <w:tr w:rsidR="00282FE0" w14:paraId="72813659" w14:textId="77777777" w:rsidTr="00ED3E1D">
        <w:tc>
          <w:tcPr>
            <w:tcW w:w="2405" w:type="dxa"/>
          </w:tcPr>
          <w:p w14:paraId="411AB5E9" w14:textId="77777777" w:rsidR="00282FE0" w:rsidRDefault="00282FE0" w:rsidP="00282FE0">
            <w:r>
              <w:t>ARB</w:t>
            </w:r>
          </w:p>
        </w:tc>
        <w:tc>
          <w:tcPr>
            <w:tcW w:w="6611" w:type="dxa"/>
          </w:tcPr>
          <w:p w14:paraId="38C18111" w14:textId="77777777" w:rsidR="00282FE0" w:rsidRDefault="00282FE0" w:rsidP="00282FE0">
            <w:pPr>
              <w:rPr>
                <w:rFonts w:cstheme="minorHAnsi"/>
                <w:bCs/>
              </w:rPr>
            </w:pPr>
            <w:r>
              <w:rPr>
                <w:rFonts w:cstheme="minorHAnsi"/>
                <w:bCs/>
              </w:rPr>
              <w:t>A</w:t>
            </w:r>
            <w:r w:rsidRPr="007E6480">
              <w:rPr>
                <w:rFonts w:cstheme="minorHAnsi"/>
                <w:bCs/>
              </w:rPr>
              <w:t xml:space="preserve">ngiotensin </w:t>
            </w:r>
            <w:r>
              <w:rPr>
                <w:rFonts w:cstheme="minorHAnsi"/>
                <w:bCs/>
              </w:rPr>
              <w:t>R</w:t>
            </w:r>
            <w:r w:rsidRPr="007E6480">
              <w:rPr>
                <w:rFonts w:cstheme="minorHAnsi"/>
                <w:bCs/>
              </w:rPr>
              <w:t xml:space="preserve">eceptor </w:t>
            </w:r>
            <w:r>
              <w:rPr>
                <w:rFonts w:cstheme="minorHAnsi"/>
                <w:bCs/>
              </w:rPr>
              <w:t>B</w:t>
            </w:r>
            <w:r w:rsidRPr="007E6480">
              <w:rPr>
                <w:rFonts w:cstheme="minorHAnsi"/>
                <w:bCs/>
              </w:rPr>
              <w:t>lockers</w:t>
            </w:r>
          </w:p>
        </w:tc>
      </w:tr>
      <w:tr w:rsidR="00282FE0" w14:paraId="4DFC9848" w14:textId="77777777" w:rsidTr="00ED3E1D">
        <w:tc>
          <w:tcPr>
            <w:tcW w:w="2405" w:type="dxa"/>
          </w:tcPr>
          <w:p w14:paraId="620EF7FB" w14:textId="77777777" w:rsidR="00282FE0" w:rsidRDefault="00282FE0" w:rsidP="00282FE0">
            <w:r>
              <w:t>ARNI</w:t>
            </w:r>
          </w:p>
        </w:tc>
        <w:tc>
          <w:tcPr>
            <w:tcW w:w="6611" w:type="dxa"/>
          </w:tcPr>
          <w:p w14:paraId="734C3791" w14:textId="77777777" w:rsidR="00282FE0" w:rsidRDefault="00282FE0" w:rsidP="00282FE0">
            <w:pPr>
              <w:rPr>
                <w:rFonts w:cstheme="minorHAnsi"/>
                <w:bCs/>
              </w:rPr>
            </w:pPr>
            <w:r>
              <w:rPr>
                <w:rFonts w:cstheme="minorHAnsi"/>
                <w:bCs/>
              </w:rPr>
              <w:t>A</w:t>
            </w:r>
            <w:r w:rsidRPr="007E6480">
              <w:rPr>
                <w:rFonts w:cstheme="minorHAnsi"/>
                <w:bCs/>
              </w:rPr>
              <w:t xml:space="preserve">ngiotensin </w:t>
            </w:r>
            <w:r>
              <w:rPr>
                <w:rFonts w:cstheme="minorHAnsi"/>
                <w:bCs/>
              </w:rPr>
              <w:t>R</w:t>
            </w:r>
            <w:r w:rsidRPr="007E6480">
              <w:rPr>
                <w:rFonts w:cstheme="minorHAnsi"/>
                <w:bCs/>
              </w:rPr>
              <w:t xml:space="preserve">eceptor </w:t>
            </w:r>
            <w:r>
              <w:rPr>
                <w:rFonts w:cstheme="minorHAnsi"/>
                <w:bCs/>
              </w:rPr>
              <w:t>N</w:t>
            </w:r>
            <w:r w:rsidRPr="007E6480">
              <w:rPr>
                <w:rFonts w:cstheme="minorHAnsi"/>
                <w:bCs/>
              </w:rPr>
              <w:t xml:space="preserve">eprilysin </w:t>
            </w:r>
            <w:r>
              <w:rPr>
                <w:rFonts w:cstheme="minorHAnsi"/>
                <w:bCs/>
              </w:rPr>
              <w:t>I</w:t>
            </w:r>
            <w:r w:rsidRPr="007E6480">
              <w:rPr>
                <w:rFonts w:cstheme="minorHAnsi"/>
                <w:bCs/>
              </w:rPr>
              <w:t>nhibitor</w:t>
            </w:r>
          </w:p>
        </w:tc>
      </w:tr>
      <w:tr w:rsidR="00282FE0" w14:paraId="27E7D10E" w14:textId="77777777" w:rsidTr="00ED3E1D">
        <w:tc>
          <w:tcPr>
            <w:tcW w:w="2405" w:type="dxa"/>
          </w:tcPr>
          <w:p w14:paraId="6E6ADD7E" w14:textId="77777777" w:rsidR="00282FE0" w:rsidRDefault="00282FE0" w:rsidP="00282FE0">
            <w:r>
              <w:t>BB</w:t>
            </w:r>
          </w:p>
        </w:tc>
        <w:tc>
          <w:tcPr>
            <w:tcW w:w="6611" w:type="dxa"/>
          </w:tcPr>
          <w:p w14:paraId="14C014BA" w14:textId="77777777" w:rsidR="00282FE0" w:rsidRDefault="00282FE0" w:rsidP="00282FE0">
            <w:pPr>
              <w:rPr>
                <w:rFonts w:cstheme="minorHAnsi"/>
                <w:bCs/>
              </w:rPr>
            </w:pPr>
            <w:r>
              <w:rPr>
                <w:rFonts w:cstheme="minorHAnsi"/>
                <w:bCs/>
              </w:rPr>
              <w:t>Beta Blocker</w:t>
            </w:r>
          </w:p>
        </w:tc>
      </w:tr>
      <w:tr w:rsidR="00282FE0" w14:paraId="7398EB44" w14:textId="77777777" w:rsidTr="00ED3E1D">
        <w:tc>
          <w:tcPr>
            <w:tcW w:w="2405" w:type="dxa"/>
          </w:tcPr>
          <w:p w14:paraId="715D7CF7" w14:textId="77777777" w:rsidR="00282FE0" w:rsidRDefault="00282FE0" w:rsidP="00282FE0">
            <w:r>
              <w:t>HCN</w:t>
            </w:r>
          </w:p>
        </w:tc>
        <w:tc>
          <w:tcPr>
            <w:tcW w:w="6611" w:type="dxa"/>
          </w:tcPr>
          <w:p w14:paraId="2A900EEA" w14:textId="77777777" w:rsidR="00282FE0" w:rsidRPr="001D7E23" w:rsidRDefault="00282FE0" w:rsidP="00282FE0">
            <w:pPr>
              <w:rPr>
                <w:rFonts w:cstheme="minorHAnsi"/>
              </w:rPr>
            </w:pPr>
            <w:r w:rsidRPr="001D7E23">
              <w:rPr>
                <w:rFonts w:cstheme="minorHAnsi"/>
                <w:shd w:val="clear" w:color="auto" w:fill="FFFFFF"/>
              </w:rPr>
              <w:t>Hyperpolarization-activated Cyclic Nucleotide-gated</w:t>
            </w:r>
          </w:p>
        </w:tc>
      </w:tr>
      <w:tr w:rsidR="00282FE0" w14:paraId="49DA4D2F" w14:textId="77777777" w:rsidTr="00ED3E1D">
        <w:tc>
          <w:tcPr>
            <w:tcW w:w="2405" w:type="dxa"/>
          </w:tcPr>
          <w:p w14:paraId="4C867BC0" w14:textId="77777777" w:rsidR="00282FE0" w:rsidRDefault="00282FE0" w:rsidP="00282FE0">
            <w:r>
              <w:t>sGC</w:t>
            </w:r>
          </w:p>
        </w:tc>
        <w:tc>
          <w:tcPr>
            <w:tcW w:w="6611" w:type="dxa"/>
          </w:tcPr>
          <w:p w14:paraId="5E464BE4" w14:textId="77777777" w:rsidR="00282FE0" w:rsidRPr="001D7E23" w:rsidRDefault="00282FE0" w:rsidP="00282FE0">
            <w:pPr>
              <w:rPr>
                <w:rFonts w:cstheme="minorHAnsi"/>
              </w:rPr>
            </w:pPr>
            <w:r>
              <w:rPr>
                <w:rFonts w:cstheme="minorHAnsi"/>
              </w:rPr>
              <w:t>S</w:t>
            </w:r>
            <w:r w:rsidRPr="001D7E23">
              <w:rPr>
                <w:rFonts w:cstheme="minorHAnsi"/>
              </w:rPr>
              <w:t>oluble Guanylate Cyclase</w:t>
            </w:r>
          </w:p>
        </w:tc>
      </w:tr>
      <w:tr w:rsidR="00282FE0" w14:paraId="391AEFB1" w14:textId="77777777" w:rsidTr="00ED3E1D">
        <w:tc>
          <w:tcPr>
            <w:tcW w:w="2405" w:type="dxa"/>
          </w:tcPr>
          <w:p w14:paraId="56CFD85E" w14:textId="77777777" w:rsidR="00282FE0" w:rsidRDefault="00282FE0" w:rsidP="00282FE0">
            <w:r>
              <w:t>SGLT2</w:t>
            </w:r>
          </w:p>
        </w:tc>
        <w:tc>
          <w:tcPr>
            <w:tcW w:w="6611" w:type="dxa"/>
          </w:tcPr>
          <w:p w14:paraId="7EAC753F" w14:textId="77777777" w:rsidR="00282FE0" w:rsidRDefault="00282FE0" w:rsidP="00282FE0">
            <w:pPr>
              <w:rPr>
                <w:rFonts w:cstheme="minorHAnsi"/>
                <w:bCs/>
              </w:rPr>
            </w:pPr>
            <w:r w:rsidRPr="001D7E23">
              <w:rPr>
                <w:rFonts w:cstheme="minorHAnsi"/>
              </w:rPr>
              <w:t>Sodium-</w:t>
            </w:r>
            <w:r>
              <w:rPr>
                <w:rFonts w:cstheme="minorHAnsi"/>
              </w:rPr>
              <w:t>G</w:t>
            </w:r>
            <w:r w:rsidRPr="001D7E23">
              <w:rPr>
                <w:rFonts w:cstheme="minorHAnsi"/>
              </w:rPr>
              <w:t>lucose co-</w:t>
            </w:r>
            <w:r>
              <w:rPr>
                <w:rFonts w:cstheme="minorHAnsi"/>
              </w:rPr>
              <w:t>T</w:t>
            </w:r>
            <w:r w:rsidRPr="001D7E23">
              <w:rPr>
                <w:rFonts w:cstheme="minorHAnsi"/>
              </w:rPr>
              <w:t>ra</w:t>
            </w:r>
            <w:r>
              <w:rPr>
                <w:rFonts w:cstheme="minorHAnsi"/>
              </w:rPr>
              <w:t>n</w:t>
            </w:r>
            <w:r w:rsidRPr="001D7E23">
              <w:rPr>
                <w:rFonts w:cstheme="minorHAnsi"/>
              </w:rPr>
              <w:t>sporter 2 inhibitors</w:t>
            </w:r>
          </w:p>
        </w:tc>
      </w:tr>
      <w:tr w:rsidR="00282FE0" w14:paraId="22875174" w14:textId="77777777" w:rsidTr="00D15F1F">
        <w:tc>
          <w:tcPr>
            <w:tcW w:w="2405" w:type="dxa"/>
            <w:tcBorders>
              <w:bottom w:val="single" w:sz="4" w:space="0" w:color="auto"/>
            </w:tcBorders>
          </w:tcPr>
          <w:p w14:paraId="596A323D" w14:textId="77777777" w:rsidR="00282FE0" w:rsidRDefault="00282FE0" w:rsidP="00282FE0">
            <w:r>
              <w:t>MRA</w:t>
            </w:r>
          </w:p>
        </w:tc>
        <w:tc>
          <w:tcPr>
            <w:tcW w:w="6611" w:type="dxa"/>
            <w:tcBorders>
              <w:bottom w:val="single" w:sz="4" w:space="0" w:color="auto"/>
            </w:tcBorders>
          </w:tcPr>
          <w:p w14:paraId="5A163F4D" w14:textId="77777777" w:rsidR="00282FE0" w:rsidRDefault="00282FE0" w:rsidP="00282FE0">
            <w:pPr>
              <w:rPr>
                <w:rFonts w:cstheme="minorHAnsi"/>
                <w:bCs/>
              </w:rPr>
            </w:pPr>
            <w:r w:rsidRPr="008A688C">
              <w:rPr>
                <w:rFonts w:cstheme="minorHAnsi"/>
                <w:szCs w:val="18"/>
              </w:rPr>
              <w:t>Mineralocorticoid Receptor Antagonist</w:t>
            </w:r>
          </w:p>
        </w:tc>
      </w:tr>
      <w:tr w:rsidR="00D15F1F" w14:paraId="23E89A75" w14:textId="77777777" w:rsidTr="00D15F1F">
        <w:tc>
          <w:tcPr>
            <w:tcW w:w="2405" w:type="dxa"/>
            <w:tcBorders>
              <w:right w:val="nil"/>
            </w:tcBorders>
          </w:tcPr>
          <w:p w14:paraId="29946730" w14:textId="29E182E0" w:rsidR="00D15F1F" w:rsidRDefault="00D15F1F" w:rsidP="00282FE0">
            <w:pPr>
              <w:rPr>
                <w:i/>
                <w:iCs/>
              </w:rPr>
            </w:pPr>
            <w:r w:rsidRPr="00282FE0">
              <w:rPr>
                <w:i/>
                <w:iCs/>
              </w:rPr>
              <w:t>Medicines</w:t>
            </w:r>
          </w:p>
        </w:tc>
        <w:tc>
          <w:tcPr>
            <w:tcW w:w="6611" w:type="dxa"/>
            <w:tcBorders>
              <w:left w:val="nil"/>
            </w:tcBorders>
          </w:tcPr>
          <w:p w14:paraId="619172A9" w14:textId="735BF561" w:rsidR="00D15F1F" w:rsidRPr="00282FE0" w:rsidRDefault="00D15F1F" w:rsidP="00282FE0">
            <w:pPr>
              <w:rPr>
                <w:rFonts w:cstheme="minorHAnsi"/>
                <w:bCs/>
                <w:i/>
                <w:iCs/>
              </w:rPr>
            </w:pPr>
          </w:p>
        </w:tc>
      </w:tr>
      <w:tr w:rsidR="00282FE0" w14:paraId="4424887E" w14:textId="77777777" w:rsidTr="00ED3E1D">
        <w:tc>
          <w:tcPr>
            <w:tcW w:w="2405" w:type="dxa"/>
          </w:tcPr>
          <w:p w14:paraId="2D7A44E9" w14:textId="77777777" w:rsidR="00282FE0" w:rsidRDefault="00282FE0" w:rsidP="00282FE0">
            <w:r>
              <w:t>Biso</w:t>
            </w:r>
          </w:p>
        </w:tc>
        <w:tc>
          <w:tcPr>
            <w:tcW w:w="6611" w:type="dxa"/>
          </w:tcPr>
          <w:p w14:paraId="46B26048" w14:textId="77777777" w:rsidR="00282FE0" w:rsidRDefault="00282FE0" w:rsidP="00282FE0">
            <w:pPr>
              <w:rPr>
                <w:rFonts w:cstheme="minorHAnsi"/>
                <w:bCs/>
              </w:rPr>
            </w:pPr>
            <w:r>
              <w:rPr>
                <w:rFonts w:cstheme="minorHAnsi"/>
                <w:bCs/>
              </w:rPr>
              <w:t>Bisoprolol</w:t>
            </w:r>
          </w:p>
        </w:tc>
      </w:tr>
      <w:tr w:rsidR="00282FE0" w14:paraId="3712D3BF" w14:textId="77777777" w:rsidTr="00ED3E1D">
        <w:tc>
          <w:tcPr>
            <w:tcW w:w="2405" w:type="dxa"/>
          </w:tcPr>
          <w:p w14:paraId="4895178C" w14:textId="77777777" w:rsidR="00282FE0" w:rsidRDefault="00282FE0" w:rsidP="00282FE0">
            <w:r>
              <w:t>Carv</w:t>
            </w:r>
          </w:p>
        </w:tc>
        <w:tc>
          <w:tcPr>
            <w:tcW w:w="6611" w:type="dxa"/>
          </w:tcPr>
          <w:p w14:paraId="1AB54488" w14:textId="77777777" w:rsidR="00282FE0" w:rsidRDefault="00282FE0" w:rsidP="00282FE0">
            <w:pPr>
              <w:rPr>
                <w:rFonts w:cstheme="minorHAnsi"/>
                <w:bCs/>
              </w:rPr>
            </w:pPr>
            <w:r>
              <w:rPr>
                <w:rFonts w:cstheme="minorHAnsi"/>
                <w:bCs/>
              </w:rPr>
              <w:t>Carvedilol</w:t>
            </w:r>
          </w:p>
        </w:tc>
      </w:tr>
      <w:tr w:rsidR="00282FE0" w14:paraId="1EFB256B" w14:textId="77777777" w:rsidTr="00ED3E1D">
        <w:tc>
          <w:tcPr>
            <w:tcW w:w="2405" w:type="dxa"/>
          </w:tcPr>
          <w:p w14:paraId="68522505" w14:textId="77777777" w:rsidR="00282FE0" w:rsidRDefault="00282FE0" w:rsidP="00282FE0">
            <w:r>
              <w:t>Dapa</w:t>
            </w:r>
          </w:p>
        </w:tc>
        <w:tc>
          <w:tcPr>
            <w:tcW w:w="6611" w:type="dxa"/>
          </w:tcPr>
          <w:p w14:paraId="32631A77" w14:textId="77777777" w:rsidR="00282FE0" w:rsidRDefault="00282FE0" w:rsidP="00282FE0">
            <w:pPr>
              <w:rPr>
                <w:rFonts w:cstheme="minorHAnsi"/>
                <w:bCs/>
              </w:rPr>
            </w:pPr>
            <w:r>
              <w:rPr>
                <w:rFonts w:cstheme="minorHAnsi"/>
                <w:bCs/>
              </w:rPr>
              <w:t>Dapagliflozin</w:t>
            </w:r>
          </w:p>
        </w:tc>
      </w:tr>
      <w:tr w:rsidR="00282FE0" w14:paraId="7C0B1CB5" w14:textId="77777777" w:rsidTr="00ED3E1D">
        <w:tc>
          <w:tcPr>
            <w:tcW w:w="2405" w:type="dxa"/>
          </w:tcPr>
          <w:p w14:paraId="23D739B6" w14:textId="77777777" w:rsidR="00282FE0" w:rsidRDefault="00282FE0" w:rsidP="00282FE0">
            <w:r>
              <w:t>Empa</w:t>
            </w:r>
          </w:p>
        </w:tc>
        <w:tc>
          <w:tcPr>
            <w:tcW w:w="6611" w:type="dxa"/>
          </w:tcPr>
          <w:p w14:paraId="12CDCBAB" w14:textId="77777777" w:rsidR="00282FE0" w:rsidRDefault="00282FE0" w:rsidP="00282FE0">
            <w:pPr>
              <w:rPr>
                <w:rFonts w:cstheme="minorHAnsi"/>
                <w:bCs/>
              </w:rPr>
            </w:pPr>
            <w:r>
              <w:rPr>
                <w:rFonts w:cstheme="minorHAnsi"/>
                <w:bCs/>
              </w:rPr>
              <w:t>Empagliflozin</w:t>
            </w:r>
          </w:p>
        </w:tc>
      </w:tr>
      <w:tr w:rsidR="00282FE0" w14:paraId="26484BD6" w14:textId="77777777" w:rsidTr="00ED3E1D">
        <w:tc>
          <w:tcPr>
            <w:tcW w:w="2405" w:type="dxa"/>
          </w:tcPr>
          <w:p w14:paraId="515957CB" w14:textId="77777777" w:rsidR="00282FE0" w:rsidRDefault="00282FE0" w:rsidP="00282FE0">
            <w:r>
              <w:t>Eple</w:t>
            </w:r>
          </w:p>
        </w:tc>
        <w:tc>
          <w:tcPr>
            <w:tcW w:w="6611" w:type="dxa"/>
          </w:tcPr>
          <w:p w14:paraId="6B89F351" w14:textId="77777777" w:rsidR="00282FE0" w:rsidRDefault="00282FE0" w:rsidP="00282FE0">
            <w:pPr>
              <w:rPr>
                <w:rFonts w:cstheme="minorHAnsi"/>
                <w:bCs/>
              </w:rPr>
            </w:pPr>
            <w:r>
              <w:rPr>
                <w:rFonts w:cstheme="minorHAnsi"/>
                <w:bCs/>
              </w:rPr>
              <w:t>Eplerenone</w:t>
            </w:r>
          </w:p>
        </w:tc>
      </w:tr>
      <w:tr w:rsidR="00282FE0" w14:paraId="4C135568" w14:textId="77777777" w:rsidTr="00ED3E1D">
        <w:tc>
          <w:tcPr>
            <w:tcW w:w="2405" w:type="dxa"/>
          </w:tcPr>
          <w:p w14:paraId="3E920950" w14:textId="77777777" w:rsidR="00282FE0" w:rsidRDefault="00282FE0" w:rsidP="00282FE0">
            <w:r>
              <w:t>Ivab</w:t>
            </w:r>
          </w:p>
        </w:tc>
        <w:tc>
          <w:tcPr>
            <w:tcW w:w="6611" w:type="dxa"/>
          </w:tcPr>
          <w:p w14:paraId="037C213A" w14:textId="77777777" w:rsidR="00282FE0" w:rsidRDefault="00282FE0" w:rsidP="00282FE0">
            <w:pPr>
              <w:rPr>
                <w:rFonts w:cstheme="minorHAnsi"/>
                <w:bCs/>
              </w:rPr>
            </w:pPr>
            <w:r>
              <w:rPr>
                <w:rFonts w:cstheme="minorHAnsi"/>
                <w:bCs/>
              </w:rPr>
              <w:t>Ivabradine</w:t>
            </w:r>
          </w:p>
        </w:tc>
      </w:tr>
      <w:tr w:rsidR="00282FE0" w14:paraId="56DCC27C" w14:textId="77777777" w:rsidTr="00ED3E1D">
        <w:tc>
          <w:tcPr>
            <w:tcW w:w="2405" w:type="dxa"/>
          </w:tcPr>
          <w:p w14:paraId="1CC05E7C" w14:textId="77777777" w:rsidR="00282FE0" w:rsidRDefault="00282FE0" w:rsidP="00282FE0">
            <w:r>
              <w:t>Meto</w:t>
            </w:r>
          </w:p>
        </w:tc>
        <w:tc>
          <w:tcPr>
            <w:tcW w:w="6611" w:type="dxa"/>
          </w:tcPr>
          <w:p w14:paraId="1AF57D83" w14:textId="77777777" w:rsidR="00282FE0" w:rsidRDefault="00282FE0" w:rsidP="00282FE0">
            <w:pPr>
              <w:rPr>
                <w:rFonts w:cstheme="minorHAnsi"/>
                <w:bCs/>
              </w:rPr>
            </w:pPr>
            <w:r>
              <w:rPr>
                <w:rFonts w:cstheme="minorHAnsi"/>
                <w:bCs/>
              </w:rPr>
              <w:t>Metoprolol</w:t>
            </w:r>
          </w:p>
        </w:tc>
      </w:tr>
      <w:tr w:rsidR="00282FE0" w14:paraId="3393B5E5" w14:textId="77777777" w:rsidTr="00ED3E1D">
        <w:tc>
          <w:tcPr>
            <w:tcW w:w="2405" w:type="dxa"/>
          </w:tcPr>
          <w:p w14:paraId="6E1DFC37" w14:textId="77777777" w:rsidR="00282FE0" w:rsidRDefault="00282FE0" w:rsidP="00282FE0">
            <w:r>
              <w:t>Nebi</w:t>
            </w:r>
          </w:p>
        </w:tc>
        <w:tc>
          <w:tcPr>
            <w:tcW w:w="6611" w:type="dxa"/>
          </w:tcPr>
          <w:p w14:paraId="0F61BCC6" w14:textId="77777777" w:rsidR="00282FE0" w:rsidRDefault="00282FE0" w:rsidP="00282FE0">
            <w:pPr>
              <w:rPr>
                <w:rFonts w:cstheme="minorHAnsi"/>
                <w:bCs/>
              </w:rPr>
            </w:pPr>
            <w:r>
              <w:rPr>
                <w:rFonts w:cstheme="minorHAnsi"/>
                <w:bCs/>
              </w:rPr>
              <w:t>Nebivolol</w:t>
            </w:r>
          </w:p>
        </w:tc>
      </w:tr>
      <w:tr w:rsidR="00282FE0" w14:paraId="2A6CB105" w14:textId="77777777" w:rsidTr="00ED3E1D">
        <w:tc>
          <w:tcPr>
            <w:tcW w:w="2405" w:type="dxa"/>
          </w:tcPr>
          <w:p w14:paraId="44B5F459" w14:textId="77777777" w:rsidR="00282FE0" w:rsidRDefault="00282FE0" w:rsidP="00282FE0">
            <w:r>
              <w:t>S + V</w:t>
            </w:r>
          </w:p>
        </w:tc>
        <w:tc>
          <w:tcPr>
            <w:tcW w:w="6611" w:type="dxa"/>
          </w:tcPr>
          <w:p w14:paraId="136BD23A" w14:textId="77777777" w:rsidR="00282FE0" w:rsidRDefault="00282FE0" w:rsidP="00282FE0">
            <w:pPr>
              <w:rPr>
                <w:rFonts w:cstheme="minorHAnsi"/>
                <w:bCs/>
              </w:rPr>
            </w:pPr>
            <w:r>
              <w:rPr>
                <w:rFonts w:cstheme="minorHAnsi"/>
                <w:bCs/>
              </w:rPr>
              <w:t>S</w:t>
            </w:r>
            <w:r w:rsidRPr="007E6480">
              <w:rPr>
                <w:rFonts w:cstheme="minorHAnsi"/>
                <w:bCs/>
              </w:rPr>
              <w:t xml:space="preserve">acubitril + </w:t>
            </w:r>
            <w:r>
              <w:rPr>
                <w:rFonts w:cstheme="minorHAnsi"/>
                <w:bCs/>
              </w:rPr>
              <w:t>V</w:t>
            </w:r>
            <w:r w:rsidRPr="007E6480">
              <w:rPr>
                <w:rFonts w:cstheme="minorHAnsi"/>
                <w:bCs/>
              </w:rPr>
              <w:t>alsartan</w:t>
            </w:r>
          </w:p>
        </w:tc>
      </w:tr>
      <w:tr w:rsidR="00282FE0" w14:paraId="6CE45B06" w14:textId="77777777" w:rsidTr="00ED3E1D">
        <w:tc>
          <w:tcPr>
            <w:tcW w:w="2405" w:type="dxa"/>
          </w:tcPr>
          <w:p w14:paraId="26CFDE44" w14:textId="77777777" w:rsidR="00282FE0" w:rsidRPr="005030A4" w:rsidRDefault="00282FE0" w:rsidP="00282FE0">
            <w:pPr>
              <w:rPr>
                <w:bCs/>
              </w:rPr>
            </w:pPr>
            <w:r>
              <w:rPr>
                <w:bCs/>
              </w:rPr>
              <w:t>Veri</w:t>
            </w:r>
          </w:p>
        </w:tc>
        <w:tc>
          <w:tcPr>
            <w:tcW w:w="6611" w:type="dxa"/>
          </w:tcPr>
          <w:p w14:paraId="0F8E9B31" w14:textId="77777777" w:rsidR="00282FE0" w:rsidRDefault="00282FE0" w:rsidP="00282FE0">
            <w:pPr>
              <w:rPr>
                <w:rFonts w:cstheme="minorHAnsi"/>
                <w:bCs/>
              </w:rPr>
            </w:pPr>
            <w:r>
              <w:rPr>
                <w:rFonts w:cstheme="minorHAnsi"/>
                <w:bCs/>
              </w:rPr>
              <w:t>Vericiguat</w:t>
            </w:r>
          </w:p>
        </w:tc>
      </w:tr>
    </w:tbl>
    <w:p w14:paraId="0F84E62D" w14:textId="77777777" w:rsidR="00ED3E1D" w:rsidRDefault="00ED3E1D" w:rsidP="00ED3E1D"/>
    <w:p w14:paraId="787EFC86" w14:textId="77777777" w:rsidR="00E72741" w:rsidRDefault="00E72741">
      <w:pPr>
        <w:rPr>
          <w:rFonts w:asciiTheme="majorHAnsi" w:eastAsiaTheme="majorEastAsia" w:hAnsiTheme="majorHAnsi" w:cstheme="majorBidi"/>
          <w:color w:val="365F91" w:themeColor="accent1" w:themeShade="BF"/>
          <w:sz w:val="26"/>
          <w:szCs w:val="26"/>
        </w:rPr>
      </w:pPr>
      <w:r>
        <w:br w:type="page"/>
      </w:r>
    </w:p>
    <w:p w14:paraId="3AAA9904" w14:textId="6ECD8B53" w:rsidR="004B7E9D" w:rsidRDefault="00A45D75" w:rsidP="000B4D5D">
      <w:pPr>
        <w:pStyle w:val="Heading2"/>
        <w:spacing w:after="240"/>
      </w:pPr>
      <w:bookmarkStart w:id="3" w:name="_Toc165448382"/>
      <w:r>
        <w:lastRenderedPageBreak/>
        <w:t>Executive Summary</w:t>
      </w:r>
      <w:bookmarkEnd w:id="3"/>
    </w:p>
    <w:p w14:paraId="3DBCFD81" w14:textId="57524138" w:rsidR="000B4D5D" w:rsidRDefault="000B4D5D" w:rsidP="00345500">
      <w:pPr>
        <w:spacing w:after="120" w:line="240" w:lineRule="auto"/>
        <w:jc w:val="both"/>
      </w:pPr>
      <w:r>
        <w:rPr>
          <w:rFonts w:ascii="Calibri" w:eastAsia="Times New Roman" w:hAnsi="Calibri" w:cs="Calibri"/>
          <w:iCs/>
          <w:color w:val="000000"/>
          <w:lang w:eastAsia="en-AU"/>
        </w:rPr>
        <w:t>This report presents an</w:t>
      </w:r>
      <w:r w:rsidRPr="00F90884">
        <w:rPr>
          <w:rFonts w:ascii="Calibri" w:eastAsia="Times New Roman" w:hAnsi="Calibri" w:cs="Calibri"/>
          <w:iCs/>
          <w:color w:val="000000"/>
          <w:lang w:eastAsia="en-AU"/>
        </w:rPr>
        <w:t xml:space="preserve"> </w:t>
      </w:r>
      <w:r w:rsidRPr="000B4D5D">
        <w:t>analysis of contemporary medicine treatment patterns in patients with heart failure (HF) in Australia.</w:t>
      </w:r>
      <w:r w:rsidR="007C396F">
        <w:t xml:space="preserve"> </w:t>
      </w:r>
    </w:p>
    <w:p w14:paraId="055F11F8" w14:textId="3D4222E6" w:rsidR="00E35B52" w:rsidRDefault="00991BDD" w:rsidP="00072A14">
      <w:pPr>
        <w:jc w:val="both"/>
        <w:rPr>
          <w:rFonts w:cstheme="minorHAnsi"/>
          <w:bCs/>
        </w:rPr>
      </w:pPr>
      <w:r>
        <w:rPr>
          <w:rFonts w:cstheme="minorHAnsi"/>
          <w:bCs/>
        </w:rPr>
        <w:t>R</w:t>
      </w:r>
      <w:r w:rsidR="00E35B52">
        <w:rPr>
          <w:rFonts w:cstheme="minorHAnsi"/>
          <w:bCs/>
        </w:rPr>
        <w:t>ecommend</w:t>
      </w:r>
      <w:r w:rsidR="0016056A">
        <w:rPr>
          <w:rFonts w:cstheme="minorHAnsi"/>
          <w:bCs/>
        </w:rPr>
        <w:t>ed</w:t>
      </w:r>
      <w:r>
        <w:rPr>
          <w:rFonts w:cstheme="minorHAnsi"/>
          <w:bCs/>
        </w:rPr>
        <w:t xml:space="preserve"> treatment for heart failure consists of multiple therapies. The Australian Medicines Handbook</w:t>
      </w:r>
      <w:r w:rsidR="00072A14">
        <w:rPr>
          <w:rFonts w:cstheme="minorHAnsi"/>
          <w:bCs/>
        </w:rPr>
        <w:t xml:space="preserve"> (AMH)</w:t>
      </w:r>
      <w:r>
        <w:rPr>
          <w:rFonts w:cstheme="minorHAnsi"/>
          <w:bCs/>
        </w:rPr>
        <w:t xml:space="preserve"> recommends </w:t>
      </w:r>
      <w:r w:rsidR="00E35B52">
        <w:rPr>
          <w:rFonts w:cstheme="minorHAnsi"/>
          <w:bCs/>
        </w:rPr>
        <w:t xml:space="preserve">quadruple therapy </w:t>
      </w:r>
      <w:r w:rsidR="00072A14">
        <w:rPr>
          <w:rFonts w:cstheme="minorHAnsi"/>
          <w:bCs/>
        </w:rPr>
        <w:t xml:space="preserve">to </w:t>
      </w:r>
      <w:r w:rsidR="00E35B52">
        <w:rPr>
          <w:rFonts w:cstheme="minorHAnsi"/>
          <w:bCs/>
        </w:rPr>
        <w:t xml:space="preserve">be considered in all </w:t>
      </w:r>
      <w:r w:rsidR="00E35B52" w:rsidRPr="00FF197B">
        <w:rPr>
          <w:rFonts w:cstheme="minorHAnsi"/>
          <w:bCs/>
        </w:rPr>
        <w:t xml:space="preserve">patients </w:t>
      </w:r>
      <w:r w:rsidR="00E35B52">
        <w:rPr>
          <w:rFonts w:cstheme="minorHAnsi"/>
          <w:bCs/>
        </w:rPr>
        <w:t>with heart failure with reduced ejection fraction (H</w:t>
      </w:r>
      <w:r w:rsidR="00E35B52" w:rsidRPr="00FF197B">
        <w:rPr>
          <w:rFonts w:cstheme="minorHAnsi"/>
          <w:bCs/>
        </w:rPr>
        <w:t>FrEF</w:t>
      </w:r>
      <w:r w:rsidR="00E35B52">
        <w:rPr>
          <w:rFonts w:cstheme="minorHAnsi"/>
          <w:bCs/>
        </w:rPr>
        <w:t>)</w:t>
      </w:r>
      <w:r w:rsidR="00E35B52" w:rsidRPr="00FF197B">
        <w:rPr>
          <w:rFonts w:cstheme="minorHAnsi"/>
          <w:bCs/>
        </w:rPr>
        <w:t xml:space="preserve"> unless contraindicated or not tolerated.</w:t>
      </w:r>
      <w:r w:rsidR="00E35B52">
        <w:rPr>
          <w:rFonts w:cstheme="minorHAnsi"/>
          <w:bCs/>
        </w:rPr>
        <w:t xml:space="preserve"> The quadruple therapy includes a renin-angiotensin system inhibitor, a </w:t>
      </w:r>
      <w:r w:rsidR="00072A14">
        <w:rPr>
          <w:rFonts w:cstheme="minorHAnsi"/>
          <w:bCs/>
        </w:rPr>
        <w:t>beta blocker (BB)</w:t>
      </w:r>
      <w:r w:rsidR="00E35B52">
        <w:rPr>
          <w:rFonts w:cstheme="minorHAnsi"/>
          <w:bCs/>
        </w:rPr>
        <w:t xml:space="preserve">, a </w:t>
      </w:r>
      <w:r w:rsidR="00072A14" w:rsidRPr="001C745B">
        <w:rPr>
          <w:rFonts w:cstheme="minorHAnsi"/>
        </w:rPr>
        <w:t>mineralocorticoid receptor antagonist</w:t>
      </w:r>
      <w:r w:rsidR="00072A14">
        <w:rPr>
          <w:rFonts w:cstheme="minorHAnsi"/>
        </w:rPr>
        <w:t xml:space="preserve"> (MRA)</w:t>
      </w:r>
      <w:r w:rsidR="00E35B52">
        <w:rPr>
          <w:rFonts w:cstheme="minorHAnsi"/>
          <w:bCs/>
        </w:rPr>
        <w:t xml:space="preserve"> and a</w:t>
      </w:r>
      <w:r w:rsidR="00072A14">
        <w:rPr>
          <w:rFonts w:cstheme="minorHAnsi"/>
          <w:bCs/>
        </w:rPr>
        <w:t xml:space="preserve"> </w:t>
      </w:r>
      <w:r w:rsidR="00072A14" w:rsidRPr="001C745B">
        <w:rPr>
          <w:rFonts w:cstheme="minorHAnsi"/>
        </w:rPr>
        <w:t xml:space="preserve">sodium glucose co-transporter 2 </w:t>
      </w:r>
      <w:r w:rsidR="00072A14">
        <w:rPr>
          <w:rFonts w:cstheme="minorHAnsi"/>
        </w:rPr>
        <w:t xml:space="preserve">(SGLT2) </w:t>
      </w:r>
      <w:r w:rsidR="00E35B52">
        <w:rPr>
          <w:rFonts w:cstheme="minorHAnsi"/>
          <w:bCs/>
        </w:rPr>
        <w:t xml:space="preserve">inhibitor. In comparison to the AMH, the </w:t>
      </w:r>
      <w:r w:rsidR="00E35B52" w:rsidRPr="00FF197B">
        <w:rPr>
          <w:rFonts w:cstheme="minorHAnsi"/>
          <w:bCs/>
        </w:rPr>
        <w:t xml:space="preserve">Heart </w:t>
      </w:r>
      <w:r w:rsidR="00E35B52">
        <w:rPr>
          <w:rFonts w:cstheme="minorHAnsi"/>
          <w:bCs/>
        </w:rPr>
        <w:t>F</w:t>
      </w:r>
      <w:r w:rsidR="00E35B52" w:rsidRPr="00FF197B">
        <w:rPr>
          <w:rFonts w:cstheme="minorHAnsi"/>
          <w:bCs/>
        </w:rPr>
        <w:t xml:space="preserve">oundation </w:t>
      </w:r>
      <w:r w:rsidR="00E35B52">
        <w:rPr>
          <w:rFonts w:cstheme="minorHAnsi"/>
          <w:bCs/>
        </w:rPr>
        <w:t xml:space="preserve">guidelines </w:t>
      </w:r>
      <w:proofErr w:type="gramStart"/>
      <w:r w:rsidR="00E35B52">
        <w:rPr>
          <w:rFonts w:cstheme="minorHAnsi"/>
          <w:bCs/>
        </w:rPr>
        <w:t>recommends</w:t>
      </w:r>
      <w:proofErr w:type="gramEnd"/>
      <w:r w:rsidR="00E35B52">
        <w:rPr>
          <w:rFonts w:cstheme="minorHAnsi"/>
          <w:bCs/>
        </w:rPr>
        <w:t xml:space="preserve"> renin-angiotensin system inhibitors, a mineralocorticoid antagonist and beta-blockers as first-line agents up</w:t>
      </w:r>
      <w:r w:rsidR="00045342">
        <w:rPr>
          <w:rFonts w:cstheme="minorHAnsi"/>
          <w:bCs/>
        </w:rPr>
        <w:t>-</w:t>
      </w:r>
      <w:r w:rsidR="00E35B52">
        <w:rPr>
          <w:rFonts w:cstheme="minorHAnsi"/>
          <w:bCs/>
        </w:rPr>
        <w:t xml:space="preserve">titrated to maximum tolerated doses, with subsequent change to an </w:t>
      </w:r>
      <w:r w:rsidR="00E35B52" w:rsidRPr="007E6480">
        <w:rPr>
          <w:rFonts w:cstheme="minorHAnsi"/>
          <w:bCs/>
        </w:rPr>
        <w:t xml:space="preserve">angiotensin receptor neprilysin inhibitor </w:t>
      </w:r>
      <w:r w:rsidR="00E35B52">
        <w:rPr>
          <w:rFonts w:cstheme="minorHAnsi"/>
          <w:bCs/>
        </w:rPr>
        <w:t>if left ventricular ejection fraction (LVEF) remains at 40% or less</w:t>
      </w:r>
      <w:r w:rsidR="00E35B52" w:rsidRPr="00FF197B">
        <w:rPr>
          <w:rFonts w:cstheme="minorHAnsi"/>
          <w:bCs/>
        </w:rPr>
        <w:t>.</w:t>
      </w:r>
      <w:r w:rsidR="00E35B52">
        <w:rPr>
          <w:rFonts w:cstheme="minorHAnsi"/>
          <w:bCs/>
        </w:rPr>
        <w:t xml:space="preserve"> These guidelines, which were published</w:t>
      </w:r>
      <w:r w:rsidR="00E35B52" w:rsidRPr="00FF197B">
        <w:rPr>
          <w:rFonts w:cstheme="minorHAnsi"/>
          <w:bCs/>
        </w:rPr>
        <w:t xml:space="preserve"> </w:t>
      </w:r>
      <w:r w:rsidR="00E35B52">
        <w:rPr>
          <w:rFonts w:cstheme="minorHAnsi"/>
          <w:bCs/>
        </w:rPr>
        <w:t xml:space="preserve">in 2018, prior to the evidence emerging of the benefits of SGLT2 inhibitors in heart failure independent of diabetes, recommend SGLT2 inhibitors for people with diabetes and heart failure.  </w:t>
      </w:r>
    </w:p>
    <w:p w14:paraId="07BAFFBA" w14:textId="2260DEED" w:rsidR="001C745B" w:rsidRDefault="005653DE" w:rsidP="00072A14">
      <w:pPr>
        <w:spacing w:after="0"/>
        <w:jc w:val="both"/>
        <w:rPr>
          <w:rFonts w:cs="Arial"/>
          <w:color w:val="000000" w:themeColor="text1"/>
        </w:rPr>
      </w:pPr>
      <w:r w:rsidRPr="00CF5A6C">
        <w:rPr>
          <w:rFonts w:cs="Arial"/>
          <w:color w:val="000000" w:themeColor="text1"/>
        </w:rPr>
        <w:t>The P</w:t>
      </w:r>
      <w:r w:rsidR="00B44A1B">
        <w:rPr>
          <w:rFonts w:cs="Arial"/>
          <w:color w:val="000000" w:themeColor="text1"/>
        </w:rPr>
        <w:t xml:space="preserve">harmaceutical </w:t>
      </w:r>
      <w:r w:rsidRPr="00CF5A6C">
        <w:rPr>
          <w:rFonts w:cs="Arial"/>
          <w:color w:val="000000" w:themeColor="text1"/>
        </w:rPr>
        <w:t>B</w:t>
      </w:r>
      <w:r w:rsidR="00B44A1B">
        <w:rPr>
          <w:rFonts w:cs="Arial"/>
          <w:color w:val="000000" w:themeColor="text1"/>
        </w:rPr>
        <w:t xml:space="preserve">enefit </w:t>
      </w:r>
      <w:r w:rsidRPr="00CF5A6C">
        <w:rPr>
          <w:rFonts w:cs="Arial"/>
          <w:color w:val="000000" w:themeColor="text1"/>
        </w:rPr>
        <w:t>S</w:t>
      </w:r>
      <w:r w:rsidR="00B44A1B">
        <w:rPr>
          <w:rFonts w:cs="Arial"/>
          <w:color w:val="000000" w:themeColor="text1"/>
        </w:rPr>
        <w:t>cheme (PBS)</w:t>
      </w:r>
      <w:r w:rsidR="00991BDD">
        <w:rPr>
          <w:rFonts w:cs="Arial"/>
          <w:color w:val="000000" w:themeColor="text1"/>
        </w:rPr>
        <w:t xml:space="preserve"> lists </w:t>
      </w:r>
      <w:proofErr w:type="gramStart"/>
      <w:r w:rsidR="00991BDD">
        <w:rPr>
          <w:rFonts w:cs="Arial"/>
          <w:color w:val="000000" w:themeColor="text1"/>
        </w:rPr>
        <w:t>a number of</w:t>
      </w:r>
      <w:proofErr w:type="gramEnd"/>
      <w:r w:rsidR="00991BDD">
        <w:rPr>
          <w:rFonts w:cs="Arial"/>
          <w:color w:val="000000" w:themeColor="text1"/>
        </w:rPr>
        <w:t xml:space="preserve"> medicines</w:t>
      </w:r>
      <w:r w:rsidRPr="00CF5A6C">
        <w:rPr>
          <w:rFonts w:cs="Arial"/>
          <w:color w:val="000000" w:themeColor="text1"/>
        </w:rPr>
        <w:t xml:space="preserve"> restricted </w:t>
      </w:r>
      <w:r w:rsidR="00991BDD">
        <w:rPr>
          <w:rFonts w:cs="Arial"/>
          <w:color w:val="000000" w:themeColor="text1"/>
        </w:rPr>
        <w:t xml:space="preserve">to heart failure which </w:t>
      </w:r>
      <w:r w:rsidRPr="00CF5A6C">
        <w:rPr>
          <w:rFonts w:cs="Arial"/>
          <w:color w:val="000000" w:themeColor="text1"/>
        </w:rPr>
        <w:t>include</w:t>
      </w:r>
      <w:r w:rsidR="001C745B">
        <w:rPr>
          <w:rFonts w:cs="Arial"/>
          <w:color w:val="000000" w:themeColor="text1"/>
        </w:rPr>
        <w:t>:</w:t>
      </w:r>
    </w:p>
    <w:p w14:paraId="349AF50A" w14:textId="77777777" w:rsidR="001C745B" w:rsidRPr="001C745B" w:rsidRDefault="00C70287" w:rsidP="00072A14">
      <w:pPr>
        <w:pStyle w:val="ListParagraph"/>
        <w:numPr>
          <w:ilvl w:val="0"/>
          <w:numId w:val="40"/>
        </w:numPr>
        <w:jc w:val="both"/>
        <w:rPr>
          <w:rFonts w:asciiTheme="minorHAnsi" w:hAnsiTheme="minorHAnsi" w:cstheme="minorHAnsi"/>
          <w:sz w:val="22"/>
          <w:szCs w:val="22"/>
        </w:rPr>
      </w:pPr>
      <w:r w:rsidRPr="001C745B">
        <w:rPr>
          <w:rFonts w:asciiTheme="minorHAnsi" w:hAnsiTheme="minorHAnsi" w:cstheme="minorHAnsi"/>
          <w:color w:val="000000" w:themeColor="text1"/>
          <w:sz w:val="22"/>
          <w:szCs w:val="22"/>
        </w:rPr>
        <w:t xml:space="preserve">beta blockers </w:t>
      </w:r>
      <w:r w:rsidR="00C44B51" w:rsidRPr="001C745B">
        <w:rPr>
          <w:rFonts w:asciiTheme="minorHAnsi" w:hAnsiTheme="minorHAnsi" w:cstheme="minorHAnsi"/>
          <w:color w:val="000000" w:themeColor="text1"/>
          <w:sz w:val="22"/>
          <w:szCs w:val="22"/>
        </w:rPr>
        <w:t xml:space="preserve">(BB) </w:t>
      </w:r>
      <w:r w:rsidRPr="001C745B">
        <w:rPr>
          <w:rFonts w:asciiTheme="minorHAnsi" w:hAnsiTheme="minorHAnsi" w:cstheme="minorHAnsi"/>
          <w:color w:val="000000" w:themeColor="text1"/>
          <w:sz w:val="22"/>
          <w:szCs w:val="22"/>
        </w:rPr>
        <w:t>specific for HF (</w:t>
      </w:r>
      <w:r w:rsidR="00C44B51" w:rsidRPr="001C745B">
        <w:rPr>
          <w:rFonts w:asciiTheme="minorHAnsi" w:hAnsiTheme="minorHAnsi" w:cstheme="minorHAnsi"/>
          <w:color w:val="000000" w:themeColor="text1"/>
          <w:sz w:val="22"/>
          <w:szCs w:val="22"/>
        </w:rPr>
        <w:t xml:space="preserve">i.e. </w:t>
      </w:r>
      <w:r w:rsidRPr="001C745B">
        <w:rPr>
          <w:rFonts w:asciiTheme="minorHAnsi" w:hAnsiTheme="minorHAnsi" w:cstheme="minorHAnsi"/>
          <w:color w:val="000000" w:themeColor="text1"/>
          <w:sz w:val="22"/>
          <w:szCs w:val="22"/>
        </w:rPr>
        <w:t xml:space="preserve">bisoprolol as fumarate, carvedilol, metoprolol as succinate, nebivolol), </w:t>
      </w:r>
    </w:p>
    <w:p w14:paraId="0E255C01" w14:textId="6907F3AD" w:rsidR="001C745B" w:rsidRPr="001C745B" w:rsidRDefault="00C70287" w:rsidP="00072A14">
      <w:pPr>
        <w:pStyle w:val="ListParagraph"/>
        <w:numPr>
          <w:ilvl w:val="0"/>
          <w:numId w:val="40"/>
        </w:numPr>
        <w:jc w:val="both"/>
        <w:rPr>
          <w:rFonts w:asciiTheme="minorHAnsi" w:hAnsiTheme="minorHAnsi" w:cstheme="minorHAnsi"/>
          <w:sz w:val="22"/>
          <w:szCs w:val="22"/>
        </w:rPr>
      </w:pPr>
      <w:r w:rsidRPr="001C745B">
        <w:rPr>
          <w:rFonts w:asciiTheme="minorHAnsi" w:hAnsiTheme="minorHAnsi" w:cstheme="minorHAnsi"/>
          <w:sz w:val="22"/>
          <w:szCs w:val="22"/>
        </w:rPr>
        <w:t>angiotensin receptor neprilysin inhibitor</w:t>
      </w:r>
      <w:r w:rsidR="009D211F">
        <w:rPr>
          <w:rFonts w:asciiTheme="minorHAnsi" w:hAnsiTheme="minorHAnsi" w:cstheme="minorHAnsi"/>
          <w:sz w:val="22"/>
          <w:szCs w:val="22"/>
        </w:rPr>
        <w:t xml:space="preserve"> combination</w:t>
      </w:r>
      <w:r w:rsidR="00C44B51" w:rsidRPr="001C745B">
        <w:rPr>
          <w:rFonts w:asciiTheme="minorHAnsi" w:hAnsiTheme="minorHAnsi" w:cstheme="minorHAnsi"/>
          <w:sz w:val="22"/>
          <w:szCs w:val="22"/>
        </w:rPr>
        <w:t xml:space="preserve"> (ARNI)</w:t>
      </w:r>
      <w:r w:rsidRPr="001C745B">
        <w:rPr>
          <w:rFonts w:asciiTheme="minorHAnsi" w:hAnsiTheme="minorHAnsi" w:cstheme="minorHAnsi"/>
          <w:sz w:val="22"/>
          <w:szCs w:val="22"/>
        </w:rPr>
        <w:t xml:space="preserve"> (</w:t>
      </w:r>
      <w:r w:rsidR="00C44B51" w:rsidRPr="001C745B">
        <w:rPr>
          <w:rFonts w:asciiTheme="minorHAnsi" w:hAnsiTheme="minorHAnsi" w:cstheme="minorHAnsi"/>
          <w:sz w:val="22"/>
          <w:szCs w:val="22"/>
        </w:rPr>
        <w:t xml:space="preserve">i.e. </w:t>
      </w:r>
      <w:r w:rsidRPr="001C745B">
        <w:rPr>
          <w:rFonts w:asciiTheme="minorHAnsi" w:hAnsiTheme="minorHAnsi" w:cstheme="minorHAnsi"/>
          <w:sz w:val="22"/>
          <w:szCs w:val="22"/>
        </w:rPr>
        <w:t>sacubitril</w:t>
      </w:r>
      <w:r w:rsidR="005653DE" w:rsidRPr="001C745B">
        <w:rPr>
          <w:rFonts w:asciiTheme="minorHAnsi" w:hAnsiTheme="minorHAnsi" w:cstheme="minorHAnsi"/>
          <w:sz w:val="22"/>
          <w:szCs w:val="22"/>
        </w:rPr>
        <w:t xml:space="preserve"> </w:t>
      </w:r>
      <w:r w:rsidR="00C72847" w:rsidRPr="001C745B">
        <w:rPr>
          <w:rFonts w:asciiTheme="minorHAnsi" w:hAnsiTheme="minorHAnsi" w:cstheme="minorHAnsi"/>
          <w:sz w:val="22"/>
          <w:szCs w:val="22"/>
        </w:rPr>
        <w:t>with</w:t>
      </w:r>
      <w:r w:rsidR="005653DE" w:rsidRPr="001C745B">
        <w:rPr>
          <w:rFonts w:asciiTheme="minorHAnsi" w:hAnsiTheme="minorHAnsi" w:cstheme="minorHAnsi"/>
          <w:sz w:val="22"/>
          <w:szCs w:val="22"/>
        </w:rPr>
        <w:t xml:space="preserve"> </w:t>
      </w:r>
      <w:r w:rsidRPr="001C745B">
        <w:rPr>
          <w:rFonts w:asciiTheme="minorHAnsi" w:hAnsiTheme="minorHAnsi" w:cstheme="minorHAnsi"/>
          <w:sz w:val="22"/>
          <w:szCs w:val="22"/>
        </w:rPr>
        <w:t xml:space="preserve">valsartan), </w:t>
      </w:r>
    </w:p>
    <w:p w14:paraId="2E9954E3" w14:textId="77777777" w:rsidR="001C745B" w:rsidRPr="001C745B" w:rsidRDefault="00C70287" w:rsidP="00072A14">
      <w:pPr>
        <w:pStyle w:val="ListParagraph"/>
        <w:numPr>
          <w:ilvl w:val="0"/>
          <w:numId w:val="40"/>
        </w:numPr>
        <w:jc w:val="both"/>
        <w:rPr>
          <w:rFonts w:asciiTheme="minorHAnsi" w:hAnsiTheme="minorHAnsi" w:cstheme="minorHAnsi"/>
          <w:sz w:val="22"/>
          <w:szCs w:val="22"/>
        </w:rPr>
      </w:pPr>
      <w:r w:rsidRPr="001C745B">
        <w:rPr>
          <w:rFonts w:asciiTheme="minorHAnsi" w:hAnsiTheme="minorHAnsi" w:cstheme="minorHAnsi"/>
          <w:sz w:val="22"/>
          <w:szCs w:val="22"/>
        </w:rPr>
        <w:t>mineralocorticoid receptor antagonist</w:t>
      </w:r>
      <w:r w:rsidR="00C44B51" w:rsidRPr="001C745B">
        <w:rPr>
          <w:rFonts w:asciiTheme="minorHAnsi" w:hAnsiTheme="minorHAnsi" w:cstheme="minorHAnsi"/>
          <w:sz w:val="22"/>
          <w:szCs w:val="22"/>
        </w:rPr>
        <w:t xml:space="preserve"> (MRA)</w:t>
      </w:r>
      <w:r w:rsidRPr="001C745B">
        <w:rPr>
          <w:rFonts w:asciiTheme="minorHAnsi" w:hAnsiTheme="minorHAnsi" w:cstheme="minorHAnsi"/>
          <w:sz w:val="22"/>
          <w:szCs w:val="22"/>
        </w:rPr>
        <w:t xml:space="preserve"> (</w:t>
      </w:r>
      <w:r w:rsidR="00C44B51" w:rsidRPr="001C745B">
        <w:rPr>
          <w:rFonts w:asciiTheme="minorHAnsi" w:hAnsiTheme="minorHAnsi" w:cstheme="minorHAnsi"/>
          <w:sz w:val="22"/>
          <w:szCs w:val="22"/>
        </w:rPr>
        <w:t xml:space="preserve">i.e. </w:t>
      </w:r>
      <w:r w:rsidRPr="001C745B">
        <w:rPr>
          <w:rFonts w:asciiTheme="minorHAnsi" w:hAnsiTheme="minorHAnsi" w:cstheme="minorHAnsi"/>
          <w:sz w:val="22"/>
          <w:szCs w:val="22"/>
        </w:rPr>
        <w:t xml:space="preserve">eplerenone), </w:t>
      </w:r>
    </w:p>
    <w:p w14:paraId="62AE5C35" w14:textId="5B632AE4" w:rsidR="001C745B" w:rsidRPr="001C745B" w:rsidRDefault="00C70287" w:rsidP="00072A14">
      <w:pPr>
        <w:pStyle w:val="ListParagraph"/>
        <w:numPr>
          <w:ilvl w:val="0"/>
          <w:numId w:val="40"/>
        </w:numPr>
        <w:jc w:val="both"/>
        <w:rPr>
          <w:rFonts w:asciiTheme="minorHAnsi" w:hAnsiTheme="minorHAnsi" w:cstheme="minorHAnsi"/>
          <w:sz w:val="22"/>
          <w:szCs w:val="22"/>
        </w:rPr>
      </w:pPr>
      <w:r w:rsidRPr="001C745B">
        <w:rPr>
          <w:rFonts w:asciiTheme="minorHAnsi" w:hAnsiTheme="minorHAnsi" w:cstheme="minorHAnsi"/>
          <w:sz w:val="22"/>
          <w:szCs w:val="22"/>
        </w:rPr>
        <w:t xml:space="preserve">sodium glucose co-transporter 2 </w:t>
      </w:r>
      <w:r w:rsidR="00C44B51" w:rsidRPr="001C745B">
        <w:rPr>
          <w:rFonts w:asciiTheme="minorHAnsi" w:hAnsiTheme="minorHAnsi" w:cstheme="minorHAnsi"/>
          <w:sz w:val="22"/>
          <w:szCs w:val="22"/>
        </w:rPr>
        <w:t>(SGLT2)</w:t>
      </w:r>
      <w:r w:rsidRPr="001C745B">
        <w:rPr>
          <w:rFonts w:asciiTheme="minorHAnsi" w:hAnsiTheme="minorHAnsi" w:cstheme="minorHAnsi"/>
          <w:sz w:val="22"/>
          <w:szCs w:val="22"/>
        </w:rPr>
        <w:t xml:space="preserve"> </w:t>
      </w:r>
      <w:r w:rsidR="00A10D30" w:rsidRPr="001C745B">
        <w:rPr>
          <w:rFonts w:asciiTheme="minorHAnsi" w:hAnsiTheme="minorHAnsi" w:cstheme="minorHAnsi"/>
          <w:sz w:val="22"/>
          <w:szCs w:val="22"/>
        </w:rPr>
        <w:t xml:space="preserve">inhibitors </w:t>
      </w:r>
      <w:r w:rsidRPr="001C745B">
        <w:rPr>
          <w:rFonts w:asciiTheme="minorHAnsi" w:hAnsiTheme="minorHAnsi" w:cstheme="minorHAnsi"/>
          <w:sz w:val="22"/>
          <w:szCs w:val="22"/>
        </w:rPr>
        <w:t>indicated for HF (</w:t>
      </w:r>
      <w:r w:rsidR="00C44B51" w:rsidRPr="001C745B">
        <w:rPr>
          <w:rFonts w:asciiTheme="minorHAnsi" w:hAnsiTheme="minorHAnsi" w:cstheme="minorHAnsi"/>
          <w:sz w:val="22"/>
          <w:szCs w:val="22"/>
        </w:rPr>
        <w:t xml:space="preserve">i.e. </w:t>
      </w:r>
      <w:r w:rsidRPr="001C745B">
        <w:rPr>
          <w:rFonts w:asciiTheme="minorHAnsi" w:hAnsiTheme="minorHAnsi" w:cstheme="minorHAnsi"/>
          <w:sz w:val="22"/>
          <w:szCs w:val="22"/>
        </w:rPr>
        <w:t xml:space="preserve">dapagliflozin and empagliflozin), </w:t>
      </w:r>
    </w:p>
    <w:p w14:paraId="64CE14A2" w14:textId="77777777" w:rsidR="001C745B" w:rsidRPr="001C745B" w:rsidRDefault="00C70287" w:rsidP="00072A14">
      <w:pPr>
        <w:pStyle w:val="ListParagraph"/>
        <w:numPr>
          <w:ilvl w:val="0"/>
          <w:numId w:val="40"/>
        </w:numPr>
        <w:jc w:val="both"/>
        <w:rPr>
          <w:rFonts w:asciiTheme="minorHAnsi" w:hAnsiTheme="minorHAnsi" w:cstheme="minorHAnsi"/>
          <w:sz w:val="22"/>
          <w:szCs w:val="22"/>
        </w:rPr>
      </w:pPr>
      <w:r w:rsidRPr="001C745B">
        <w:rPr>
          <w:rFonts w:asciiTheme="minorHAnsi" w:hAnsiTheme="minorHAnsi" w:cstheme="minorHAnsi"/>
          <w:sz w:val="22"/>
          <w:szCs w:val="22"/>
        </w:rPr>
        <w:t>h</w:t>
      </w:r>
      <w:r w:rsidRPr="001C745B">
        <w:rPr>
          <w:rFonts w:asciiTheme="minorHAnsi" w:hAnsiTheme="minorHAnsi" w:cstheme="minorHAnsi"/>
          <w:sz w:val="22"/>
          <w:szCs w:val="22"/>
          <w:shd w:val="clear" w:color="auto" w:fill="FFFFFF"/>
        </w:rPr>
        <w:t xml:space="preserve">yperpolarization-activated cyclic nucleotide-gated channel blocker </w:t>
      </w:r>
      <w:r w:rsidR="00C44B51" w:rsidRPr="001C745B">
        <w:rPr>
          <w:rFonts w:asciiTheme="minorHAnsi" w:hAnsiTheme="minorHAnsi" w:cstheme="minorHAnsi"/>
          <w:sz w:val="22"/>
          <w:szCs w:val="22"/>
          <w:shd w:val="clear" w:color="auto" w:fill="FFFFFF"/>
        </w:rPr>
        <w:t xml:space="preserve">(HCN) </w:t>
      </w:r>
      <w:r w:rsidRPr="001C745B">
        <w:rPr>
          <w:rFonts w:asciiTheme="minorHAnsi" w:hAnsiTheme="minorHAnsi" w:cstheme="minorHAnsi"/>
          <w:sz w:val="22"/>
          <w:szCs w:val="22"/>
          <w:shd w:val="clear" w:color="auto" w:fill="FFFFFF"/>
        </w:rPr>
        <w:t>(</w:t>
      </w:r>
      <w:r w:rsidR="00C44B51" w:rsidRPr="001C745B">
        <w:rPr>
          <w:rFonts w:asciiTheme="minorHAnsi" w:hAnsiTheme="minorHAnsi" w:cstheme="minorHAnsi"/>
          <w:sz w:val="22"/>
          <w:szCs w:val="22"/>
          <w:shd w:val="clear" w:color="auto" w:fill="FFFFFF"/>
        </w:rPr>
        <w:t xml:space="preserve">i.e. </w:t>
      </w:r>
      <w:r w:rsidRPr="001C745B">
        <w:rPr>
          <w:rFonts w:asciiTheme="minorHAnsi" w:hAnsiTheme="minorHAnsi" w:cstheme="minorHAnsi"/>
          <w:sz w:val="22"/>
          <w:szCs w:val="22"/>
          <w:shd w:val="clear" w:color="auto" w:fill="FFFFFF"/>
        </w:rPr>
        <w:t xml:space="preserve">ivabradine) and </w:t>
      </w:r>
    </w:p>
    <w:p w14:paraId="33C72B83" w14:textId="77777777" w:rsidR="001C745B" w:rsidRPr="001C745B" w:rsidRDefault="00C70287" w:rsidP="00072A14">
      <w:pPr>
        <w:pStyle w:val="ListParagraph"/>
        <w:numPr>
          <w:ilvl w:val="0"/>
          <w:numId w:val="40"/>
        </w:numPr>
        <w:spacing w:after="240"/>
        <w:jc w:val="both"/>
        <w:rPr>
          <w:rFonts w:asciiTheme="minorHAnsi" w:hAnsiTheme="minorHAnsi" w:cstheme="minorHAnsi"/>
          <w:sz w:val="22"/>
          <w:szCs w:val="22"/>
        </w:rPr>
      </w:pPr>
      <w:r w:rsidRPr="001C745B">
        <w:rPr>
          <w:rFonts w:asciiTheme="minorHAnsi" w:hAnsiTheme="minorHAnsi" w:cstheme="minorHAnsi"/>
          <w:sz w:val="22"/>
          <w:szCs w:val="22"/>
          <w:shd w:val="clear" w:color="auto" w:fill="FFFFFF"/>
        </w:rPr>
        <w:t>s</w:t>
      </w:r>
      <w:r w:rsidRPr="001C745B">
        <w:rPr>
          <w:rFonts w:asciiTheme="minorHAnsi" w:hAnsiTheme="minorHAnsi" w:cstheme="minorHAnsi"/>
          <w:sz w:val="22"/>
          <w:szCs w:val="22"/>
        </w:rPr>
        <w:t>oluble guanylate cyclase stimulator</w:t>
      </w:r>
      <w:r w:rsidR="00C44B51" w:rsidRPr="001C745B">
        <w:rPr>
          <w:rFonts w:asciiTheme="minorHAnsi" w:hAnsiTheme="minorHAnsi" w:cstheme="minorHAnsi"/>
          <w:sz w:val="22"/>
          <w:szCs w:val="22"/>
        </w:rPr>
        <w:t xml:space="preserve"> (SGC)</w:t>
      </w:r>
      <w:r w:rsidRPr="001C745B">
        <w:rPr>
          <w:rFonts w:asciiTheme="minorHAnsi" w:hAnsiTheme="minorHAnsi" w:cstheme="minorHAnsi"/>
          <w:sz w:val="22"/>
          <w:szCs w:val="22"/>
        </w:rPr>
        <w:t xml:space="preserve"> (</w:t>
      </w:r>
      <w:r w:rsidR="00C44B51" w:rsidRPr="001C745B">
        <w:rPr>
          <w:rFonts w:asciiTheme="minorHAnsi" w:hAnsiTheme="minorHAnsi" w:cstheme="minorHAnsi"/>
          <w:sz w:val="22"/>
          <w:szCs w:val="22"/>
        </w:rPr>
        <w:t xml:space="preserve">i.e. </w:t>
      </w:r>
      <w:r w:rsidRPr="001C745B">
        <w:rPr>
          <w:rFonts w:asciiTheme="minorHAnsi" w:hAnsiTheme="minorHAnsi" w:cstheme="minorHAnsi"/>
          <w:sz w:val="22"/>
          <w:szCs w:val="22"/>
        </w:rPr>
        <w:t>vericiguat)</w:t>
      </w:r>
      <w:r w:rsidR="005653DE" w:rsidRPr="001C745B">
        <w:rPr>
          <w:rFonts w:asciiTheme="minorHAnsi" w:hAnsiTheme="minorHAnsi" w:cstheme="minorHAnsi"/>
          <w:sz w:val="22"/>
          <w:szCs w:val="22"/>
        </w:rPr>
        <w:t>.</w:t>
      </w:r>
      <w:r w:rsidR="00CF5A6C" w:rsidRPr="001C745B">
        <w:rPr>
          <w:rFonts w:asciiTheme="minorHAnsi" w:hAnsiTheme="minorHAnsi" w:cstheme="minorHAnsi"/>
          <w:sz w:val="22"/>
          <w:szCs w:val="22"/>
        </w:rPr>
        <w:t xml:space="preserve"> </w:t>
      </w:r>
    </w:p>
    <w:p w14:paraId="38200436" w14:textId="71979627" w:rsidR="00991BDD" w:rsidRDefault="00B537E2" w:rsidP="00072A14">
      <w:pPr>
        <w:jc w:val="both"/>
        <w:rPr>
          <w:rFonts w:cs="Arial"/>
          <w:color w:val="000000" w:themeColor="text1"/>
        </w:rPr>
      </w:pPr>
      <w:r w:rsidRPr="001C745B">
        <w:rPr>
          <w:rFonts w:cs="Arial"/>
          <w:color w:val="000000" w:themeColor="text1"/>
        </w:rPr>
        <w:t>While the</w:t>
      </w:r>
      <w:r w:rsidR="0022332D" w:rsidRPr="001C745B">
        <w:rPr>
          <w:rFonts w:cs="Arial"/>
          <w:color w:val="000000" w:themeColor="text1"/>
        </w:rPr>
        <w:t xml:space="preserve">re are other medicines used </w:t>
      </w:r>
      <w:r w:rsidR="00111204" w:rsidRPr="001C745B">
        <w:rPr>
          <w:rFonts w:cs="Arial"/>
          <w:color w:val="000000" w:themeColor="text1"/>
        </w:rPr>
        <w:t>to treat</w:t>
      </w:r>
      <w:r w:rsidR="0022332D" w:rsidRPr="001C745B">
        <w:rPr>
          <w:rFonts w:cs="Arial"/>
          <w:color w:val="000000" w:themeColor="text1"/>
        </w:rPr>
        <w:t xml:space="preserve"> HF listed on the PBS</w:t>
      </w:r>
      <w:r w:rsidR="0070769B" w:rsidRPr="001C745B">
        <w:rPr>
          <w:rFonts w:cs="Arial"/>
          <w:color w:val="000000" w:themeColor="text1"/>
        </w:rPr>
        <w:t xml:space="preserve"> </w:t>
      </w:r>
      <w:r w:rsidR="001C745B">
        <w:rPr>
          <w:rFonts w:cs="Arial"/>
          <w:color w:val="000000" w:themeColor="text1"/>
        </w:rPr>
        <w:t>including</w:t>
      </w:r>
      <w:r w:rsidR="0070769B" w:rsidRPr="001C745B">
        <w:rPr>
          <w:rFonts w:cs="Arial"/>
          <w:color w:val="000000" w:themeColor="text1"/>
        </w:rPr>
        <w:t xml:space="preserve"> </w:t>
      </w:r>
      <w:r w:rsidR="0070769B" w:rsidRPr="001C745B">
        <w:rPr>
          <w:rFonts w:cstheme="minorHAnsi"/>
          <w:bCs/>
        </w:rPr>
        <w:t>angiotensin-converting enzyme</w:t>
      </w:r>
      <w:r w:rsidR="003A0616">
        <w:rPr>
          <w:rFonts w:cstheme="minorHAnsi"/>
          <w:bCs/>
        </w:rPr>
        <w:t xml:space="preserve"> </w:t>
      </w:r>
      <w:r w:rsidR="0070769B" w:rsidRPr="001C745B">
        <w:rPr>
          <w:rFonts w:cstheme="minorHAnsi"/>
          <w:bCs/>
        </w:rPr>
        <w:t>inhibitors</w:t>
      </w:r>
      <w:r w:rsidR="003A0616">
        <w:rPr>
          <w:rFonts w:cstheme="minorHAnsi"/>
          <w:bCs/>
        </w:rPr>
        <w:t xml:space="preserve"> (ACEi)</w:t>
      </w:r>
      <w:r w:rsidR="0070769B" w:rsidRPr="001C745B">
        <w:rPr>
          <w:rFonts w:cstheme="minorHAnsi"/>
          <w:bCs/>
        </w:rPr>
        <w:t xml:space="preserve"> and angiotensin receptor blockers (ARBs), digoxin, spironolactone and diuretics</w:t>
      </w:r>
      <w:r w:rsidR="001C1065" w:rsidRPr="001C745B">
        <w:rPr>
          <w:rFonts w:cstheme="minorHAnsi"/>
          <w:bCs/>
        </w:rPr>
        <w:t>, these</w:t>
      </w:r>
      <w:r w:rsidR="000B4D5D" w:rsidRPr="001C745B">
        <w:rPr>
          <w:rFonts w:cs="Arial"/>
          <w:color w:val="000000" w:themeColor="text1"/>
        </w:rPr>
        <w:t xml:space="preserve"> are </w:t>
      </w:r>
      <w:r w:rsidR="00D64B30" w:rsidRPr="001C745B">
        <w:rPr>
          <w:rFonts w:cs="Arial"/>
          <w:color w:val="000000" w:themeColor="text1"/>
        </w:rPr>
        <w:t xml:space="preserve">listed as </w:t>
      </w:r>
      <w:r w:rsidR="00D554B6" w:rsidRPr="001C745B">
        <w:rPr>
          <w:rFonts w:cs="Arial"/>
          <w:color w:val="000000" w:themeColor="text1"/>
        </w:rPr>
        <w:t xml:space="preserve">Unrestricted Benefits on </w:t>
      </w:r>
      <w:r w:rsidR="000B4D5D" w:rsidRPr="001C745B">
        <w:rPr>
          <w:rFonts w:cs="Arial"/>
          <w:color w:val="000000" w:themeColor="text1"/>
        </w:rPr>
        <w:t xml:space="preserve">the </w:t>
      </w:r>
      <w:r w:rsidR="00D554B6" w:rsidRPr="001C745B">
        <w:rPr>
          <w:rFonts w:cs="Arial"/>
          <w:color w:val="000000" w:themeColor="text1"/>
        </w:rPr>
        <w:t>PBS</w:t>
      </w:r>
      <w:r w:rsidR="000B4D5D" w:rsidRPr="001C745B">
        <w:rPr>
          <w:rFonts w:cs="Arial"/>
          <w:color w:val="000000" w:themeColor="text1"/>
        </w:rPr>
        <w:t xml:space="preserve">. </w:t>
      </w:r>
      <w:r w:rsidR="00A653ED" w:rsidRPr="001C745B">
        <w:rPr>
          <w:rFonts w:cs="Arial"/>
          <w:color w:val="000000" w:themeColor="text1"/>
        </w:rPr>
        <w:t>As t</w:t>
      </w:r>
      <w:r w:rsidR="004A78D8" w:rsidRPr="001C745B">
        <w:rPr>
          <w:rFonts w:cs="Arial"/>
          <w:color w:val="000000" w:themeColor="text1"/>
        </w:rPr>
        <w:t xml:space="preserve">hese medicines may be used for </w:t>
      </w:r>
      <w:r w:rsidR="00DB36EA" w:rsidRPr="001C745B">
        <w:rPr>
          <w:rFonts w:cs="Arial"/>
          <w:color w:val="000000" w:themeColor="text1"/>
        </w:rPr>
        <w:t>indications other than HF</w:t>
      </w:r>
      <w:r w:rsidR="004A78D8" w:rsidRPr="001C745B">
        <w:rPr>
          <w:rFonts w:cs="Arial"/>
          <w:color w:val="000000" w:themeColor="text1"/>
        </w:rPr>
        <w:t xml:space="preserve"> (e.g. ACE</w:t>
      </w:r>
      <w:r w:rsidR="003A0616">
        <w:rPr>
          <w:rFonts w:cs="Arial"/>
          <w:color w:val="000000" w:themeColor="text1"/>
        </w:rPr>
        <w:t>i</w:t>
      </w:r>
      <w:r w:rsidR="004A78D8" w:rsidRPr="001C745B">
        <w:rPr>
          <w:rFonts w:cs="Arial"/>
          <w:color w:val="000000" w:themeColor="text1"/>
        </w:rPr>
        <w:t xml:space="preserve"> are frequently used for hypertension), </w:t>
      </w:r>
      <w:r w:rsidR="00DB36EA" w:rsidRPr="001C745B">
        <w:rPr>
          <w:rFonts w:cs="Arial"/>
          <w:color w:val="000000" w:themeColor="text1"/>
        </w:rPr>
        <w:t xml:space="preserve">the </w:t>
      </w:r>
      <w:r w:rsidR="004A78D8" w:rsidRPr="001C745B">
        <w:rPr>
          <w:rFonts w:cs="Arial"/>
          <w:color w:val="000000" w:themeColor="text1"/>
        </w:rPr>
        <w:t>use of these medicines alone could not be used</w:t>
      </w:r>
      <w:r w:rsidR="00A653ED" w:rsidRPr="001C745B">
        <w:rPr>
          <w:rFonts w:cs="Arial"/>
          <w:color w:val="000000" w:themeColor="text1"/>
        </w:rPr>
        <w:t xml:space="preserve"> to </w:t>
      </w:r>
      <w:r w:rsidR="00DB36EA" w:rsidRPr="001C745B">
        <w:rPr>
          <w:rFonts w:cs="Arial"/>
          <w:color w:val="000000" w:themeColor="text1"/>
        </w:rPr>
        <w:t>identify</w:t>
      </w:r>
      <w:r w:rsidR="00A653ED" w:rsidRPr="001C745B">
        <w:rPr>
          <w:rFonts w:cs="Arial"/>
          <w:color w:val="000000" w:themeColor="text1"/>
        </w:rPr>
        <w:t xml:space="preserve"> a patient as having heart failure.</w:t>
      </w:r>
      <w:r w:rsidR="000B4D5D" w:rsidRPr="001C745B">
        <w:rPr>
          <w:rFonts w:cs="Arial"/>
          <w:color w:val="000000" w:themeColor="text1"/>
        </w:rPr>
        <w:t xml:space="preserve"> </w:t>
      </w:r>
    </w:p>
    <w:p w14:paraId="454AF557" w14:textId="06716637" w:rsidR="001C745B" w:rsidRDefault="00991BDD" w:rsidP="00072A14">
      <w:pPr>
        <w:jc w:val="both"/>
        <w:rPr>
          <w:rFonts w:cs="Arial"/>
          <w:color w:val="000000" w:themeColor="text1"/>
        </w:rPr>
      </w:pPr>
      <w:r w:rsidRPr="006204DB">
        <w:rPr>
          <w:rFonts w:cs="Arial"/>
          <w:color w:val="000000" w:themeColor="text1"/>
        </w:rPr>
        <w:t>T</w:t>
      </w:r>
      <w:r>
        <w:rPr>
          <w:rFonts w:cs="Arial"/>
          <w:color w:val="000000" w:themeColor="text1"/>
        </w:rPr>
        <w:t>herefore, in this report t</w:t>
      </w:r>
      <w:r w:rsidRPr="006204DB">
        <w:rPr>
          <w:rFonts w:cs="Arial"/>
          <w:color w:val="000000" w:themeColor="text1"/>
        </w:rPr>
        <w:t>h</w:t>
      </w:r>
      <w:r>
        <w:rPr>
          <w:rFonts w:cs="Arial"/>
          <w:color w:val="000000" w:themeColor="text1"/>
        </w:rPr>
        <w:t>e cohort</w:t>
      </w:r>
      <w:r w:rsidR="0058235A">
        <w:rPr>
          <w:rFonts w:cs="Arial"/>
          <w:color w:val="000000" w:themeColor="text1"/>
        </w:rPr>
        <w:t xml:space="preserve"> included in the</w:t>
      </w:r>
      <w:r>
        <w:rPr>
          <w:rFonts w:cs="Arial"/>
          <w:color w:val="000000" w:themeColor="text1"/>
        </w:rPr>
        <w:t xml:space="preserve"> study includes people who had been dispensed at</w:t>
      </w:r>
      <w:r w:rsidRPr="006204DB">
        <w:rPr>
          <w:rFonts w:cs="Arial"/>
          <w:color w:val="000000" w:themeColor="text1"/>
        </w:rPr>
        <w:t xml:space="preserve"> least one medicine </w:t>
      </w:r>
      <w:r>
        <w:rPr>
          <w:rFonts w:cs="Arial"/>
          <w:color w:val="000000" w:themeColor="text1"/>
        </w:rPr>
        <w:t>restricted for use in</w:t>
      </w:r>
      <w:r w:rsidRPr="006204DB">
        <w:rPr>
          <w:rFonts w:cs="Arial"/>
          <w:color w:val="000000" w:themeColor="text1"/>
        </w:rPr>
        <w:t xml:space="preserve"> heart failure </w:t>
      </w:r>
      <w:r>
        <w:rPr>
          <w:rFonts w:cs="Arial"/>
          <w:color w:val="000000" w:themeColor="text1"/>
        </w:rPr>
        <w:t>on</w:t>
      </w:r>
      <w:r w:rsidRPr="006204DB">
        <w:rPr>
          <w:rFonts w:cs="Arial"/>
          <w:color w:val="000000" w:themeColor="text1"/>
        </w:rPr>
        <w:t xml:space="preserve"> the </w:t>
      </w:r>
      <w:r w:rsidRPr="00CF5A6C">
        <w:rPr>
          <w:rFonts w:cs="Arial"/>
          <w:color w:val="000000" w:themeColor="text1"/>
        </w:rPr>
        <w:t xml:space="preserve">PBS </w:t>
      </w:r>
      <w:r w:rsidR="00B44A1B">
        <w:rPr>
          <w:rFonts w:cs="Arial"/>
          <w:color w:val="000000" w:themeColor="text1"/>
        </w:rPr>
        <w:t xml:space="preserve">(PBS </w:t>
      </w:r>
      <w:r w:rsidRPr="00CF5A6C">
        <w:rPr>
          <w:rFonts w:cs="Arial"/>
          <w:color w:val="000000" w:themeColor="text1"/>
        </w:rPr>
        <w:t>restricted HF medicines</w:t>
      </w:r>
      <w:r>
        <w:rPr>
          <w:rFonts w:cs="Arial"/>
          <w:color w:val="000000" w:themeColor="text1"/>
        </w:rPr>
        <w:t xml:space="preserve">) between January 2017 and June 2023. </w:t>
      </w:r>
      <w:r w:rsidR="00065F95" w:rsidRPr="001C745B">
        <w:rPr>
          <w:rFonts w:cs="Arial"/>
          <w:color w:val="000000" w:themeColor="text1"/>
        </w:rPr>
        <w:t xml:space="preserve">While some medicines are restricted to HF with a specified level of reduced ejection fraction, these restrictions were insufficient to characterise the population by severity. </w:t>
      </w:r>
      <w:r>
        <w:rPr>
          <w:rFonts w:cs="Arial"/>
          <w:color w:val="000000" w:themeColor="text1"/>
        </w:rPr>
        <w:t>The restrictions are also insufficient to characterise the population with heart failure with preserved ejection fraction.</w:t>
      </w:r>
      <w:r w:rsidR="00065F95" w:rsidRPr="001C745B">
        <w:rPr>
          <w:rFonts w:cs="Arial"/>
          <w:color w:val="000000" w:themeColor="text1"/>
        </w:rPr>
        <w:t xml:space="preserve"> </w:t>
      </w:r>
      <w:r w:rsidR="0070769B" w:rsidRPr="001C745B">
        <w:rPr>
          <w:rFonts w:cs="Arial"/>
          <w:color w:val="000000" w:themeColor="text1"/>
        </w:rPr>
        <w:t xml:space="preserve"> </w:t>
      </w:r>
    </w:p>
    <w:p w14:paraId="1656098B" w14:textId="61F9C21C" w:rsidR="000B4D5D" w:rsidRDefault="000B4D5D" w:rsidP="00072A14">
      <w:pPr>
        <w:jc w:val="both"/>
        <w:rPr>
          <w:rFonts w:cs="Arial"/>
          <w:color w:val="000000" w:themeColor="text1"/>
        </w:rPr>
      </w:pPr>
      <w:r w:rsidRPr="001C745B">
        <w:rPr>
          <w:rFonts w:cs="Arial"/>
          <w:color w:val="000000" w:themeColor="text1"/>
        </w:rPr>
        <w:t xml:space="preserve">The results </w:t>
      </w:r>
      <w:r w:rsidR="0070769B" w:rsidRPr="001C745B">
        <w:rPr>
          <w:rFonts w:cs="Arial"/>
          <w:color w:val="000000" w:themeColor="text1"/>
        </w:rPr>
        <w:t xml:space="preserve">presented </w:t>
      </w:r>
      <w:r w:rsidRPr="001C745B">
        <w:rPr>
          <w:rFonts w:cs="Arial"/>
          <w:color w:val="000000" w:themeColor="text1"/>
        </w:rPr>
        <w:t xml:space="preserve">in this report </w:t>
      </w:r>
      <w:r w:rsidR="003F3F1E" w:rsidRPr="001C745B">
        <w:rPr>
          <w:rFonts w:cs="Arial"/>
          <w:color w:val="000000" w:themeColor="text1"/>
        </w:rPr>
        <w:t xml:space="preserve">should </w:t>
      </w:r>
      <w:r w:rsidRPr="001C745B">
        <w:rPr>
          <w:rFonts w:cs="Arial"/>
          <w:color w:val="000000" w:themeColor="text1"/>
        </w:rPr>
        <w:t>be interpreted within th</w:t>
      </w:r>
      <w:r w:rsidR="00991BDD">
        <w:rPr>
          <w:rFonts w:cs="Arial"/>
          <w:color w:val="000000" w:themeColor="text1"/>
        </w:rPr>
        <w:t>is</w:t>
      </w:r>
      <w:r w:rsidRPr="001C745B">
        <w:rPr>
          <w:rFonts w:cs="Arial"/>
          <w:color w:val="000000" w:themeColor="text1"/>
        </w:rPr>
        <w:t xml:space="preserve"> context</w:t>
      </w:r>
      <w:r w:rsidR="001C745B">
        <w:rPr>
          <w:rFonts w:cs="Arial"/>
          <w:color w:val="000000" w:themeColor="text1"/>
        </w:rPr>
        <w:t xml:space="preserve">; </w:t>
      </w:r>
      <w:r w:rsidR="007312CD" w:rsidRPr="001C745B">
        <w:rPr>
          <w:rFonts w:cs="Arial"/>
          <w:color w:val="000000" w:themeColor="text1"/>
        </w:rPr>
        <w:t xml:space="preserve">the cohort </w:t>
      </w:r>
      <w:r w:rsidRPr="001C745B">
        <w:rPr>
          <w:rFonts w:cs="Arial"/>
          <w:color w:val="000000" w:themeColor="text1"/>
        </w:rPr>
        <w:t>do</w:t>
      </w:r>
      <w:r w:rsidR="007312CD" w:rsidRPr="001C745B">
        <w:rPr>
          <w:rFonts w:cs="Arial"/>
          <w:color w:val="000000" w:themeColor="text1"/>
        </w:rPr>
        <w:t>es</w:t>
      </w:r>
      <w:r w:rsidRPr="001C745B">
        <w:rPr>
          <w:rFonts w:cs="Arial"/>
          <w:color w:val="000000" w:themeColor="text1"/>
        </w:rPr>
        <w:t xml:space="preserve"> not necessarily capture the total heart failure population</w:t>
      </w:r>
      <w:r w:rsidR="009D3B59" w:rsidRPr="001C745B">
        <w:rPr>
          <w:rFonts w:cs="Arial"/>
          <w:color w:val="000000" w:themeColor="text1"/>
        </w:rPr>
        <w:t xml:space="preserve"> in Australia</w:t>
      </w:r>
      <w:r w:rsidRPr="001C745B">
        <w:rPr>
          <w:rFonts w:cs="Arial"/>
          <w:color w:val="000000" w:themeColor="text1"/>
        </w:rPr>
        <w:t xml:space="preserve">. The results </w:t>
      </w:r>
      <w:r w:rsidR="001C745B">
        <w:rPr>
          <w:rFonts w:cs="Arial"/>
          <w:color w:val="000000" w:themeColor="text1"/>
        </w:rPr>
        <w:t xml:space="preserve">in this report </w:t>
      </w:r>
      <w:r w:rsidRPr="001C745B">
        <w:rPr>
          <w:rFonts w:cs="Arial"/>
          <w:color w:val="000000" w:themeColor="text1"/>
        </w:rPr>
        <w:t xml:space="preserve">for incident users represent </w:t>
      </w:r>
      <w:r w:rsidR="00CD5E07" w:rsidRPr="001C745B">
        <w:rPr>
          <w:rFonts w:cs="Arial"/>
          <w:color w:val="000000" w:themeColor="text1"/>
        </w:rPr>
        <w:t>patients</w:t>
      </w:r>
      <w:r w:rsidR="00DA4E39" w:rsidRPr="001C745B">
        <w:rPr>
          <w:rFonts w:cs="Arial"/>
          <w:color w:val="000000" w:themeColor="text1"/>
        </w:rPr>
        <w:t>’</w:t>
      </w:r>
      <w:r w:rsidR="00CD5E07" w:rsidRPr="001C745B">
        <w:rPr>
          <w:rFonts w:cs="Arial"/>
          <w:color w:val="000000" w:themeColor="text1"/>
        </w:rPr>
        <w:t xml:space="preserve"> first use of a</w:t>
      </w:r>
      <w:r w:rsidRPr="001C745B">
        <w:rPr>
          <w:rFonts w:cs="Arial"/>
          <w:color w:val="000000" w:themeColor="text1"/>
        </w:rPr>
        <w:t xml:space="preserve"> medicine restricted to </w:t>
      </w:r>
      <w:r w:rsidR="00CD5E07" w:rsidRPr="001C745B">
        <w:rPr>
          <w:rFonts w:cs="Arial"/>
          <w:color w:val="000000" w:themeColor="text1"/>
        </w:rPr>
        <w:t>HF</w:t>
      </w:r>
      <w:r w:rsidRPr="001C745B">
        <w:rPr>
          <w:rFonts w:cs="Arial"/>
          <w:color w:val="000000" w:themeColor="text1"/>
        </w:rPr>
        <w:t xml:space="preserve"> </w:t>
      </w:r>
      <w:r w:rsidR="00FE59E7" w:rsidRPr="001C745B">
        <w:rPr>
          <w:rFonts w:cs="Arial"/>
          <w:color w:val="000000" w:themeColor="text1"/>
        </w:rPr>
        <w:t xml:space="preserve">on </w:t>
      </w:r>
      <w:r w:rsidR="00613A39" w:rsidRPr="001C745B">
        <w:rPr>
          <w:rFonts w:cs="Arial"/>
          <w:color w:val="000000" w:themeColor="text1"/>
        </w:rPr>
        <w:t>the PBS</w:t>
      </w:r>
      <w:r w:rsidRPr="001C745B">
        <w:rPr>
          <w:rFonts w:cs="Arial"/>
          <w:color w:val="000000" w:themeColor="text1"/>
        </w:rPr>
        <w:t xml:space="preserve">, not </w:t>
      </w:r>
      <w:r w:rsidR="00CD632D" w:rsidRPr="001C745B">
        <w:rPr>
          <w:rFonts w:cs="Arial"/>
          <w:color w:val="000000" w:themeColor="text1"/>
        </w:rPr>
        <w:t xml:space="preserve">necessarily </w:t>
      </w:r>
      <w:r w:rsidRPr="001C745B">
        <w:rPr>
          <w:rFonts w:cs="Arial"/>
          <w:color w:val="000000" w:themeColor="text1"/>
        </w:rPr>
        <w:t xml:space="preserve">the </w:t>
      </w:r>
      <w:r w:rsidR="0070769B" w:rsidRPr="001C745B">
        <w:rPr>
          <w:rFonts w:cs="Arial"/>
          <w:color w:val="000000" w:themeColor="text1"/>
        </w:rPr>
        <w:t>newly</w:t>
      </w:r>
      <w:r w:rsidRPr="001C745B">
        <w:rPr>
          <w:rFonts w:cs="Arial"/>
          <w:color w:val="000000" w:themeColor="text1"/>
        </w:rPr>
        <w:t xml:space="preserve"> diagnosed heart failure population.  Similarly</w:t>
      </w:r>
      <w:r w:rsidR="00CF753F" w:rsidRPr="001C745B">
        <w:rPr>
          <w:rFonts w:cs="Arial"/>
          <w:color w:val="000000" w:themeColor="text1"/>
        </w:rPr>
        <w:t>,</w:t>
      </w:r>
      <w:r w:rsidRPr="001C745B">
        <w:rPr>
          <w:rFonts w:cs="Arial"/>
          <w:color w:val="000000" w:themeColor="text1"/>
        </w:rPr>
        <w:t xml:space="preserve"> the results for prevalent use represent individuals taking </w:t>
      </w:r>
      <w:r w:rsidR="00613A39" w:rsidRPr="001C745B">
        <w:rPr>
          <w:rFonts w:cs="Arial"/>
          <w:color w:val="000000" w:themeColor="text1"/>
        </w:rPr>
        <w:t xml:space="preserve">medicines restricted to </w:t>
      </w:r>
      <w:r w:rsidRPr="001C745B">
        <w:rPr>
          <w:rFonts w:cs="Arial"/>
          <w:color w:val="000000" w:themeColor="text1"/>
        </w:rPr>
        <w:t xml:space="preserve">heart failure </w:t>
      </w:r>
      <w:r w:rsidR="000D5175" w:rsidRPr="001C745B">
        <w:rPr>
          <w:rFonts w:cs="Arial"/>
          <w:color w:val="000000" w:themeColor="text1"/>
        </w:rPr>
        <w:t xml:space="preserve">on </w:t>
      </w:r>
      <w:r w:rsidR="00613A39" w:rsidRPr="001C745B">
        <w:rPr>
          <w:rFonts w:cs="Arial"/>
          <w:color w:val="000000" w:themeColor="text1"/>
        </w:rPr>
        <w:t xml:space="preserve">the PBS, not the prevalent diagnosed heart failure population. </w:t>
      </w:r>
      <w:r w:rsidR="0070769B" w:rsidRPr="001C745B">
        <w:rPr>
          <w:rFonts w:cs="Arial"/>
          <w:color w:val="000000" w:themeColor="text1"/>
        </w:rPr>
        <w:t xml:space="preserve"> </w:t>
      </w:r>
    </w:p>
    <w:p w14:paraId="7D17F345" w14:textId="476B0959" w:rsidR="00E35B52" w:rsidRPr="00FF197B" w:rsidRDefault="00E35B52" w:rsidP="00072A14">
      <w:pPr>
        <w:spacing w:after="0"/>
        <w:jc w:val="both"/>
        <w:rPr>
          <w:rFonts w:cstheme="minorHAnsi"/>
          <w:bCs/>
        </w:rPr>
      </w:pPr>
      <w:r>
        <w:lastRenderedPageBreak/>
        <w:t xml:space="preserve">To be consistent with PBS restrictions, in this report we considered standard of care to be dual therapy of a renin-angiotensin system inhibitor and beta-blocker, with or without an MRA, and with or without a </w:t>
      </w:r>
      <w:r w:rsidR="00D64412">
        <w:t xml:space="preserve">SGLT2 </w:t>
      </w:r>
      <w:r>
        <w:t xml:space="preserve">inhibitor. Thus, </w:t>
      </w:r>
      <w:r>
        <w:rPr>
          <w:rFonts w:cstheme="minorHAnsi"/>
          <w:bCs/>
        </w:rPr>
        <w:t>s</w:t>
      </w:r>
      <w:r w:rsidRPr="00FF197B">
        <w:rPr>
          <w:rFonts w:cstheme="minorHAnsi"/>
          <w:bCs/>
        </w:rPr>
        <w:t>tandard treatment of</w:t>
      </w:r>
      <w:r>
        <w:rPr>
          <w:rFonts w:cstheme="minorHAnsi"/>
          <w:bCs/>
        </w:rPr>
        <w:t xml:space="preserve"> heart failure with reduced ejection fraction (</w:t>
      </w:r>
      <w:r w:rsidRPr="00FF197B">
        <w:rPr>
          <w:rFonts w:cstheme="minorHAnsi"/>
          <w:bCs/>
        </w:rPr>
        <w:t>HFrEF</w:t>
      </w:r>
      <w:r>
        <w:rPr>
          <w:rFonts w:cstheme="minorHAnsi"/>
          <w:bCs/>
        </w:rPr>
        <w:t>)</w:t>
      </w:r>
      <w:r w:rsidRPr="00FF197B">
        <w:rPr>
          <w:rFonts w:cstheme="minorHAnsi"/>
          <w:bCs/>
        </w:rPr>
        <w:t xml:space="preserve"> </w:t>
      </w:r>
      <w:proofErr w:type="gramStart"/>
      <w:r>
        <w:rPr>
          <w:rFonts w:cstheme="minorHAnsi"/>
          <w:bCs/>
        </w:rPr>
        <w:t>was considered to be</w:t>
      </w:r>
      <w:proofErr w:type="gramEnd"/>
      <w:r w:rsidRPr="00FF197B">
        <w:rPr>
          <w:rFonts w:cstheme="minorHAnsi"/>
          <w:bCs/>
        </w:rPr>
        <w:t xml:space="preserve"> therapy with:</w:t>
      </w:r>
    </w:p>
    <w:p w14:paraId="1ADC9D72" w14:textId="1DB19DF5" w:rsidR="00E35B52" w:rsidRPr="008A688C" w:rsidRDefault="00E35B52" w:rsidP="00072A14">
      <w:pPr>
        <w:pStyle w:val="ListParagraph"/>
        <w:numPr>
          <w:ilvl w:val="0"/>
          <w:numId w:val="23"/>
        </w:numPr>
        <w:spacing w:line="276" w:lineRule="auto"/>
        <w:jc w:val="both"/>
        <w:rPr>
          <w:rFonts w:asciiTheme="minorHAnsi" w:hAnsiTheme="minorHAnsi" w:cstheme="minorHAnsi"/>
          <w:sz w:val="22"/>
          <w:szCs w:val="18"/>
        </w:rPr>
      </w:pPr>
      <w:r w:rsidRPr="008A688C">
        <w:rPr>
          <w:rFonts w:asciiTheme="minorHAnsi" w:hAnsiTheme="minorHAnsi" w:cstheme="minorHAnsi"/>
          <w:sz w:val="22"/>
          <w:szCs w:val="18"/>
        </w:rPr>
        <w:t>renin-angiotensin system inhibitor (ACEi, ARB or sacubitril with valsartan (ARNI)</w:t>
      </w:r>
      <w:proofErr w:type="gramStart"/>
      <w:r w:rsidRPr="008A688C">
        <w:rPr>
          <w:rFonts w:asciiTheme="minorHAnsi" w:hAnsiTheme="minorHAnsi" w:cstheme="minorHAnsi"/>
          <w:sz w:val="22"/>
          <w:szCs w:val="18"/>
        </w:rPr>
        <w:t>)</w:t>
      </w:r>
      <w:r w:rsidR="00FC09A7">
        <w:rPr>
          <w:rFonts w:asciiTheme="minorHAnsi" w:hAnsiTheme="minorHAnsi" w:cstheme="minorHAnsi"/>
          <w:sz w:val="22"/>
          <w:szCs w:val="18"/>
        </w:rPr>
        <w:t>;</w:t>
      </w:r>
      <w:proofErr w:type="gramEnd"/>
    </w:p>
    <w:p w14:paraId="1C90F02A" w14:textId="76843BA9" w:rsidR="00E35B52" w:rsidRPr="008A688C" w:rsidRDefault="00E35B52" w:rsidP="00072A14">
      <w:pPr>
        <w:pStyle w:val="ListParagraph"/>
        <w:numPr>
          <w:ilvl w:val="0"/>
          <w:numId w:val="23"/>
        </w:numPr>
        <w:spacing w:line="276" w:lineRule="auto"/>
        <w:jc w:val="both"/>
        <w:rPr>
          <w:rFonts w:asciiTheme="minorHAnsi" w:hAnsiTheme="minorHAnsi" w:cstheme="minorHAnsi"/>
          <w:sz w:val="22"/>
          <w:szCs w:val="18"/>
        </w:rPr>
      </w:pPr>
      <w:r w:rsidRPr="008A688C">
        <w:rPr>
          <w:rFonts w:asciiTheme="minorHAnsi" w:hAnsiTheme="minorHAnsi" w:cstheme="minorHAnsi"/>
          <w:sz w:val="22"/>
          <w:szCs w:val="18"/>
        </w:rPr>
        <w:t xml:space="preserve">and heart specific </w:t>
      </w:r>
      <w:proofErr w:type="gramStart"/>
      <w:r w:rsidRPr="008A688C">
        <w:rPr>
          <w:rFonts w:asciiTheme="minorHAnsi" w:hAnsiTheme="minorHAnsi" w:cstheme="minorHAnsi"/>
          <w:sz w:val="22"/>
          <w:szCs w:val="18"/>
        </w:rPr>
        <w:t>beta-blocker</w:t>
      </w:r>
      <w:r w:rsidR="00FC09A7">
        <w:rPr>
          <w:rFonts w:asciiTheme="minorHAnsi" w:hAnsiTheme="minorHAnsi" w:cstheme="minorHAnsi"/>
          <w:sz w:val="22"/>
          <w:szCs w:val="18"/>
        </w:rPr>
        <w:t>;</w:t>
      </w:r>
      <w:proofErr w:type="gramEnd"/>
    </w:p>
    <w:p w14:paraId="7F5A3540" w14:textId="49F1C153" w:rsidR="00E35B52" w:rsidRDefault="00E35B52" w:rsidP="00072A14">
      <w:pPr>
        <w:pStyle w:val="ListParagraph"/>
        <w:numPr>
          <w:ilvl w:val="0"/>
          <w:numId w:val="23"/>
        </w:numPr>
        <w:spacing w:line="276" w:lineRule="auto"/>
        <w:jc w:val="both"/>
        <w:rPr>
          <w:rFonts w:asciiTheme="minorHAnsi" w:hAnsiTheme="minorHAnsi" w:cstheme="minorHAnsi"/>
          <w:sz w:val="22"/>
          <w:szCs w:val="18"/>
        </w:rPr>
      </w:pPr>
      <w:r w:rsidRPr="008A688C">
        <w:rPr>
          <w:rFonts w:asciiTheme="minorHAnsi" w:hAnsiTheme="minorHAnsi" w:cstheme="minorHAnsi"/>
          <w:sz w:val="22"/>
          <w:szCs w:val="18"/>
        </w:rPr>
        <w:t>+/- Mineralocorticoid Receptor Antagonist (MRA</w:t>
      </w:r>
      <w:proofErr w:type="gramStart"/>
      <w:r w:rsidRPr="008A688C">
        <w:rPr>
          <w:rFonts w:asciiTheme="minorHAnsi" w:hAnsiTheme="minorHAnsi" w:cstheme="minorHAnsi"/>
          <w:sz w:val="22"/>
          <w:szCs w:val="18"/>
        </w:rPr>
        <w:t>)</w:t>
      </w:r>
      <w:r w:rsidR="00FC09A7">
        <w:rPr>
          <w:rFonts w:asciiTheme="minorHAnsi" w:hAnsiTheme="minorHAnsi" w:cstheme="minorHAnsi"/>
          <w:sz w:val="22"/>
          <w:szCs w:val="18"/>
        </w:rPr>
        <w:t>;</w:t>
      </w:r>
      <w:proofErr w:type="gramEnd"/>
    </w:p>
    <w:p w14:paraId="42B9C8B8" w14:textId="3737D0D5" w:rsidR="00E35B52" w:rsidRPr="008A688C" w:rsidRDefault="00E35B52" w:rsidP="00072A14">
      <w:pPr>
        <w:pStyle w:val="ListParagraph"/>
        <w:numPr>
          <w:ilvl w:val="0"/>
          <w:numId w:val="23"/>
        </w:numPr>
        <w:spacing w:after="240" w:line="276" w:lineRule="auto"/>
        <w:jc w:val="both"/>
        <w:rPr>
          <w:rFonts w:asciiTheme="minorHAnsi" w:hAnsiTheme="minorHAnsi" w:cstheme="minorHAnsi"/>
          <w:sz w:val="22"/>
          <w:szCs w:val="18"/>
        </w:rPr>
      </w:pPr>
      <w:r>
        <w:rPr>
          <w:rFonts w:asciiTheme="minorHAnsi" w:hAnsiTheme="minorHAnsi" w:cstheme="minorHAnsi"/>
          <w:sz w:val="22"/>
          <w:szCs w:val="18"/>
        </w:rPr>
        <w:t xml:space="preserve">+/- </w:t>
      </w:r>
      <w:r w:rsidRPr="002357FF">
        <w:rPr>
          <w:rFonts w:asciiTheme="minorHAnsi" w:hAnsiTheme="minorHAnsi" w:cstheme="minorHAnsi"/>
          <w:sz w:val="22"/>
          <w:szCs w:val="22"/>
        </w:rPr>
        <w:t xml:space="preserve">Sodium Glucose Co-Transporter 2 </w:t>
      </w:r>
      <w:r w:rsidR="00A10D30">
        <w:rPr>
          <w:rFonts w:asciiTheme="minorHAnsi" w:hAnsiTheme="minorHAnsi" w:cstheme="minorHAnsi"/>
          <w:sz w:val="22"/>
          <w:szCs w:val="22"/>
        </w:rPr>
        <w:t xml:space="preserve">(SGLT2) </w:t>
      </w:r>
      <w:r w:rsidRPr="002357FF">
        <w:rPr>
          <w:rFonts w:asciiTheme="minorHAnsi" w:hAnsiTheme="minorHAnsi" w:cstheme="minorHAnsi"/>
          <w:sz w:val="22"/>
          <w:szCs w:val="22"/>
        </w:rPr>
        <w:t>Inhibitors</w:t>
      </w:r>
      <w:r w:rsidR="00FC09A7">
        <w:rPr>
          <w:rFonts w:asciiTheme="minorHAnsi" w:hAnsiTheme="minorHAnsi" w:cstheme="minorHAnsi"/>
          <w:sz w:val="22"/>
          <w:szCs w:val="22"/>
        </w:rPr>
        <w:t>.</w:t>
      </w:r>
    </w:p>
    <w:p w14:paraId="5BE91BF9" w14:textId="0579ACDD" w:rsidR="001C745B" w:rsidRDefault="004B5E8C" w:rsidP="00072A14">
      <w:pPr>
        <w:jc w:val="both"/>
      </w:pPr>
      <w:r>
        <w:t xml:space="preserve">In 2022, </w:t>
      </w:r>
      <w:r w:rsidR="00881E07">
        <w:t xml:space="preserve">PBS restricted </w:t>
      </w:r>
      <w:r>
        <w:t xml:space="preserve">HF medicines were supplied to 12 per </w:t>
      </w:r>
      <w:r w:rsidR="006F63CA">
        <w:t>1</w:t>
      </w:r>
      <w:r w:rsidR="00C93AAA">
        <w:t>,</w:t>
      </w:r>
      <w:r w:rsidR="006F63CA">
        <w:t xml:space="preserve">000 </w:t>
      </w:r>
      <w:r>
        <w:t>people in Australia</w:t>
      </w:r>
      <w:r w:rsidR="00B93FB5">
        <w:t xml:space="preserve"> (N=318,028)</w:t>
      </w:r>
      <w:r>
        <w:t>, an increase from 8 per 1</w:t>
      </w:r>
      <w:r w:rsidR="00C93AAA">
        <w:t>,</w:t>
      </w:r>
      <w:r>
        <w:t>000 in 2017.</w:t>
      </w:r>
      <w:r w:rsidR="00B93FB5">
        <w:t xml:space="preserve"> </w:t>
      </w:r>
      <w:r w:rsidR="0070769B">
        <w:t>BB</w:t>
      </w:r>
      <w:r w:rsidR="000E5B48">
        <w:t xml:space="preserve"> </w:t>
      </w:r>
      <w:proofErr w:type="gramStart"/>
      <w:r w:rsidR="000E5B48">
        <w:t>were</w:t>
      </w:r>
      <w:proofErr w:type="gramEnd"/>
      <w:r w:rsidR="000E5B48">
        <w:t xml:space="preserve"> the most frequently supplied class of </w:t>
      </w:r>
      <w:r w:rsidR="00991BDD">
        <w:t xml:space="preserve">PBS </w:t>
      </w:r>
      <w:r w:rsidR="00213F5F" w:rsidRPr="00814116">
        <w:t>restricted</w:t>
      </w:r>
      <w:r w:rsidR="00213F5F">
        <w:t xml:space="preserve"> </w:t>
      </w:r>
      <w:r w:rsidR="00991BDD">
        <w:t xml:space="preserve">HF </w:t>
      </w:r>
      <w:r w:rsidR="000E5B48">
        <w:t>medicines.</w:t>
      </w:r>
      <w:r w:rsidR="001C745B">
        <w:t xml:space="preserve"> The monthly number of people who received </w:t>
      </w:r>
      <w:r w:rsidR="001C745B" w:rsidRPr="00CF5A6C">
        <w:rPr>
          <w:rFonts w:cs="Arial"/>
          <w:color w:val="000000" w:themeColor="text1"/>
        </w:rPr>
        <w:t>PBS restricted HF medicines</w:t>
      </w:r>
      <w:r w:rsidR="001C745B">
        <w:t xml:space="preserve"> in J</w:t>
      </w:r>
      <w:r w:rsidR="008021DE">
        <w:t>une</w:t>
      </w:r>
      <w:r w:rsidR="001C745B">
        <w:t xml:space="preserve"> 2017 was 1</w:t>
      </w:r>
      <w:r w:rsidR="008021DE">
        <w:t>22</w:t>
      </w:r>
      <w:r w:rsidR="001C745B">
        <w:t>,</w:t>
      </w:r>
      <w:r w:rsidR="008021DE">
        <w:t>727</w:t>
      </w:r>
      <w:r w:rsidR="001C745B">
        <w:t xml:space="preserve"> increasing to 228,190 in June 2023. The </w:t>
      </w:r>
      <w:r w:rsidR="008021DE">
        <w:t>mid-</w:t>
      </w:r>
      <w:r w:rsidR="001C745B">
        <w:t xml:space="preserve">2017 monthly prevalence </w:t>
      </w:r>
      <w:r w:rsidR="00D86481">
        <w:t>of 199,100</w:t>
      </w:r>
      <w:r w:rsidR="001C745B">
        <w:t xml:space="preserve"> is </w:t>
      </w:r>
      <w:r w:rsidR="008021DE">
        <w:t>slightly higher than</w:t>
      </w:r>
      <w:r w:rsidR="001C745B">
        <w:t xml:space="preserve"> the self-reported heart failure numbers of 1</w:t>
      </w:r>
      <w:r w:rsidR="008021DE">
        <w:t>43</w:t>
      </w:r>
      <w:r w:rsidR="001C745B">
        <w:t>,</w:t>
      </w:r>
      <w:r w:rsidR="008021DE">
        <w:t>7</w:t>
      </w:r>
      <w:r w:rsidR="001C745B">
        <w:t xml:space="preserve">00 from the </w:t>
      </w:r>
      <w:r w:rsidR="008021DE">
        <w:t>2022</w:t>
      </w:r>
      <w:r w:rsidR="001C745B">
        <w:t xml:space="preserve"> </w:t>
      </w:r>
      <w:r w:rsidR="00991BDD">
        <w:t xml:space="preserve">Australian </w:t>
      </w:r>
      <w:r w:rsidR="001C745B">
        <w:t xml:space="preserve">National Health Survey. </w:t>
      </w:r>
    </w:p>
    <w:p w14:paraId="383CDFDE" w14:textId="57376327" w:rsidR="004B5E8C" w:rsidRDefault="00C45E7A" w:rsidP="00072A14">
      <w:pPr>
        <w:spacing w:before="240"/>
        <w:jc w:val="both"/>
      </w:pPr>
      <w:r>
        <w:t>In 2022, t</w:t>
      </w:r>
      <w:r w:rsidR="004B5E8C">
        <w:t>he incident HF population</w:t>
      </w:r>
      <w:r w:rsidR="00213F5F">
        <w:t xml:space="preserve">, </w:t>
      </w:r>
      <w:r w:rsidR="00213F5F" w:rsidRPr="00814116">
        <w:t xml:space="preserve">defined </w:t>
      </w:r>
      <w:r w:rsidR="00F555FF">
        <w:t>as</w:t>
      </w:r>
      <w:r w:rsidR="00F555FF" w:rsidRPr="00814116">
        <w:t xml:space="preserve"> </w:t>
      </w:r>
      <w:r w:rsidR="00213F5F" w:rsidRPr="00814116">
        <w:t xml:space="preserve">initiation </w:t>
      </w:r>
      <w:r w:rsidR="00C465D3">
        <w:t xml:space="preserve">of </w:t>
      </w:r>
      <w:r w:rsidR="001C745B">
        <w:t>PBS restricted HF</w:t>
      </w:r>
      <w:r w:rsidR="00DC786F">
        <w:t xml:space="preserve"> </w:t>
      </w:r>
      <w:r w:rsidR="00213F5F" w:rsidRPr="00814116">
        <w:t>medicine</w:t>
      </w:r>
      <w:r w:rsidR="001C745B">
        <w:t>,</w:t>
      </w:r>
      <w:r w:rsidR="004B5E8C">
        <w:t xml:space="preserve"> was 3 per 1</w:t>
      </w:r>
      <w:r w:rsidR="00C93AAA">
        <w:t>,</w:t>
      </w:r>
      <w:r w:rsidR="004B5E8C">
        <w:t>000 people</w:t>
      </w:r>
      <w:r w:rsidR="00B93FB5">
        <w:t xml:space="preserve"> (N=81,343)</w:t>
      </w:r>
      <w:r>
        <w:t xml:space="preserve">. The mean age at initiation was 70 years and 42% </w:t>
      </w:r>
      <w:r w:rsidR="004C20A8">
        <w:t xml:space="preserve">of initiators </w:t>
      </w:r>
      <w:r>
        <w:t>were females.</w:t>
      </w:r>
    </w:p>
    <w:p w14:paraId="6631B52C" w14:textId="3CEE48CF" w:rsidR="00E35B52" w:rsidRDefault="00E35B52" w:rsidP="00072A14">
      <w:pPr>
        <w:jc w:val="both"/>
        <w:rPr>
          <w:lang w:val="en-US"/>
        </w:rPr>
      </w:pPr>
      <w:r>
        <w:rPr>
          <w:lang w:val="en-US"/>
        </w:rPr>
        <w:t xml:space="preserve">Standard treatment of HF involves the concurrent use of multiple medicines. Among </w:t>
      </w:r>
      <w:r>
        <w:t>PBS restricted HF medicines</w:t>
      </w:r>
      <w:r>
        <w:rPr>
          <w:lang w:val="en-US"/>
        </w:rPr>
        <w:t xml:space="preserve">, </w:t>
      </w:r>
      <w:r>
        <w:rPr>
          <w:rFonts w:cstheme="minorHAnsi"/>
        </w:rPr>
        <w:t xml:space="preserve">the medicine classes including ARNI, SGLT2, HCN, and SGC, all have restrictions that require they are add on therapy to optimal chronic heart failure treatment which includes a beta-blocker. HCNs were first listed on the PBS in 2013, ARNIs in 2017, and SGLT2 inhibitors </w:t>
      </w:r>
      <w:r w:rsidR="00521801">
        <w:rPr>
          <w:rFonts w:cstheme="minorHAnsi"/>
        </w:rPr>
        <w:t xml:space="preserve">(indicated for HF) </w:t>
      </w:r>
      <w:r>
        <w:rPr>
          <w:rFonts w:cstheme="minorHAnsi"/>
        </w:rPr>
        <w:t xml:space="preserve">and SGCs in 2022. Thus, the opportunity for dual therapy for </w:t>
      </w:r>
      <w:r>
        <w:t xml:space="preserve">PBS restricted HF medicines has increased over time. </w:t>
      </w:r>
      <w:r>
        <w:rPr>
          <w:lang w:val="en-US"/>
        </w:rPr>
        <w:t xml:space="preserve"> </w:t>
      </w:r>
    </w:p>
    <w:p w14:paraId="051A53A2" w14:textId="143818CD" w:rsidR="00E35B52" w:rsidRPr="00360F2D" w:rsidRDefault="00E35B52" w:rsidP="00072A14">
      <w:pPr>
        <w:jc w:val="both"/>
        <w:rPr>
          <w:lang w:val="en-US"/>
        </w:rPr>
      </w:pPr>
      <w:r>
        <w:rPr>
          <w:lang w:val="en-US"/>
        </w:rPr>
        <w:t>When considering only PBS restricted HF medicines</w:t>
      </w:r>
      <w:r w:rsidR="00775311">
        <w:rPr>
          <w:lang w:val="en-US"/>
        </w:rPr>
        <w:t xml:space="preserve"> in the prevalent population</w:t>
      </w:r>
      <w:r w:rsidR="00991BDD">
        <w:rPr>
          <w:lang w:val="en-US"/>
        </w:rPr>
        <w:t>,</w:t>
      </w:r>
      <w:r>
        <w:rPr>
          <w:lang w:val="en-US"/>
        </w:rPr>
        <w:t xml:space="preserve"> over 80% of people were treated with a single class of PBS restricted medicine in June 2023. Consistent with </w:t>
      </w:r>
      <w:r w:rsidR="00991BDD">
        <w:rPr>
          <w:lang w:val="en-US"/>
        </w:rPr>
        <w:t>increased</w:t>
      </w:r>
      <w:r>
        <w:rPr>
          <w:lang w:val="en-US"/>
        </w:rPr>
        <w:t xml:space="preserve"> listings of </w:t>
      </w:r>
      <w:r>
        <w:t>PBS restricted HF medicines over time</w:t>
      </w:r>
      <w:r w:rsidR="00991BDD">
        <w:t xml:space="preserve"> and requirements within the restrictions for concomitant use</w:t>
      </w:r>
      <w:r>
        <w:t>, t</w:t>
      </w:r>
      <w:r>
        <w:rPr>
          <w:lang w:val="en-US"/>
        </w:rPr>
        <w:t xml:space="preserve">he proportion of patients receiving dual combination therapy has risen from 6% in 2017 to 15% in June 2023. The most frequently supplied combination </w:t>
      </w:r>
      <w:r w:rsidR="00991BDD">
        <w:rPr>
          <w:lang w:val="en-US"/>
        </w:rPr>
        <w:t xml:space="preserve">of PBS restricted HF medicines </w:t>
      </w:r>
      <w:r>
        <w:rPr>
          <w:lang w:val="en-US"/>
        </w:rPr>
        <w:t>was BB restricted for HF and ARNI</w:t>
      </w:r>
      <w:r>
        <w:rPr>
          <w:rFonts w:cstheme="minorHAnsi"/>
        </w:rPr>
        <w:t>.</w:t>
      </w:r>
    </w:p>
    <w:p w14:paraId="5E073302" w14:textId="4139C811" w:rsidR="00E35B52" w:rsidRPr="00F07B40" w:rsidRDefault="00991BDD" w:rsidP="00072A14">
      <w:pPr>
        <w:spacing w:after="0"/>
        <w:jc w:val="both"/>
        <w:rPr>
          <w:rFonts w:cstheme="minorHAnsi"/>
          <w:lang w:val="en-US"/>
        </w:rPr>
      </w:pPr>
      <w:r>
        <w:rPr>
          <w:lang w:val="en-US"/>
        </w:rPr>
        <w:t>A</w:t>
      </w:r>
      <w:r w:rsidR="00E35B52">
        <w:rPr>
          <w:lang w:val="en-US"/>
        </w:rPr>
        <w:t xml:space="preserve">nalysis </w:t>
      </w:r>
      <w:r>
        <w:rPr>
          <w:lang w:val="en-US"/>
        </w:rPr>
        <w:t xml:space="preserve">of concurrent therapy with the inclusion of </w:t>
      </w:r>
      <w:r w:rsidR="00E35B52">
        <w:rPr>
          <w:lang w:val="en-US"/>
        </w:rPr>
        <w:t xml:space="preserve">unrestricted PBS medicines likely to </w:t>
      </w:r>
      <w:r w:rsidR="00E35B52" w:rsidRPr="00F07B40">
        <w:rPr>
          <w:rFonts w:cstheme="minorHAnsi"/>
          <w:lang w:val="en-US"/>
        </w:rPr>
        <w:t>be used for heart failure</w:t>
      </w:r>
      <w:r w:rsidR="00E35B52">
        <w:rPr>
          <w:rFonts w:cstheme="minorHAnsi"/>
          <w:lang w:val="en-US"/>
        </w:rPr>
        <w:t xml:space="preserve">, </w:t>
      </w:r>
      <w:r>
        <w:rPr>
          <w:rFonts w:cstheme="minorHAnsi"/>
          <w:lang w:val="en-US"/>
        </w:rPr>
        <w:t xml:space="preserve">found that </w:t>
      </w:r>
      <w:r w:rsidR="00E35B52" w:rsidRPr="00F07B40">
        <w:rPr>
          <w:rFonts w:cstheme="minorHAnsi"/>
          <w:lang w:val="en-US"/>
        </w:rPr>
        <w:t>in</w:t>
      </w:r>
      <w:r w:rsidR="00775311">
        <w:rPr>
          <w:rFonts w:cstheme="minorHAnsi"/>
          <w:lang w:val="en-US"/>
        </w:rPr>
        <w:t xml:space="preserve"> the prevalent population in</w:t>
      </w:r>
      <w:r w:rsidR="00E35B52" w:rsidRPr="00F07B40">
        <w:rPr>
          <w:rFonts w:cstheme="minorHAnsi"/>
          <w:lang w:val="en-US"/>
        </w:rPr>
        <w:t xml:space="preserve"> June 2023:</w:t>
      </w:r>
    </w:p>
    <w:p w14:paraId="553CC6AA" w14:textId="3171EA68" w:rsidR="00E35B52" w:rsidRDefault="00E35B52" w:rsidP="00072A14">
      <w:pPr>
        <w:pStyle w:val="ListParagraph"/>
        <w:numPr>
          <w:ilvl w:val="0"/>
          <w:numId w:val="36"/>
        </w:numPr>
        <w:jc w:val="both"/>
        <w:rPr>
          <w:rFonts w:asciiTheme="minorHAnsi" w:hAnsiTheme="minorHAnsi" w:cstheme="minorHAnsi"/>
          <w:sz w:val="22"/>
          <w:szCs w:val="22"/>
          <w:lang w:val="en-US"/>
        </w:rPr>
      </w:pPr>
      <w:r w:rsidRPr="00360F2D">
        <w:rPr>
          <w:rFonts w:asciiTheme="minorHAnsi" w:hAnsiTheme="minorHAnsi"/>
          <w:sz w:val="22"/>
          <w:lang w:val="en-US"/>
        </w:rPr>
        <w:t xml:space="preserve">22% </w:t>
      </w:r>
      <w:r w:rsidRPr="00360F2D">
        <w:rPr>
          <w:rFonts w:asciiTheme="minorHAnsi" w:hAnsiTheme="minorHAnsi" w:cstheme="minorHAnsi"/>
          <w:sz w:val="22"/>
          <w:szCs w:val="22"/>
          <w:lang w:val="en-US"/>
        </w:rPr>
        <w:t xml:space="preserve">of patients </w:t>
      </w:r>
      <w:r w:rsidRPr="00360F2D">
        <w:rPr>
          <w:rFonts w:asciiTheme="minorHAnsi" w:hAnsiTheme="minorHAnsi"/>
          <w:sz w:val="22"/>
          <w:lang w:val="en-US"/>
        </w:rPr>
        <w:t xml:space="preserve">were </w:t>
      </w:r>
      <w:r w:rsidRPr="00360F2D">
        <w:rPr>
          <w:rFonts w:asciiTheme="minorHAnsi" w:hAnsiTheme="minorHAnsi" w:cstheme="minorHAnsi"/>
          <w:sz w:val="22"/>
          <w:szCs w:val="22"/>
          <w:lang w:val="en-US"/>
        </w:rPr>
        <w:t xml:space="preserve">receiving </w:t>
      </w:r>
      <w:r w:rsidRPr="00360F2D">
        <w:rPr>
          <w:rFonts w:asciiTheme="minorHAnsi" w:hAnsiTheme="minorHAnsi"/>
          <w:sz w:val="22"/>
          <w:lang w:val="en-US"/>
        </w:rPr>
        <w:t>monotherapy</w:t>
      </w:r>
      <w:r>
        <w:rPr>
          <w:rFonts w:asciiTheme="minorHAnsi" w:hAnsiTheme="minorHAnsi" w:cstheme="minorHAnsi"/>
          <w:sz w:val="22"/>
          <w:szCs w:val="22"/>
          <w:lang w:val="en-US"/>
        </w:rPr>
        <w:t xml:space="preserve"> </w:t>
      </w:r>
      <w:r w:rsidR="00AA70C1">
        <w:rPr>
          <w:rStyle w:val="FootnoteReference"/>
          <w:rFonts w:asciiTheme="minorHAnsi" w:hAnsiTheme="minorHAnsi" w:cstheme="minorHAnsi"/>
          <w:sz w:val="22"/>
          <w:szCs w:val="22"/>
          <w:lang w:val="en-US"/>
        </w:rPr>
        <w:footnoteReference w:id="2"/>
      </w:r>
      <w:r w:rsidR="00AA70C1">
        <w:rPr>
          <w:rFonts w:asciiTheme="minorHAnsi" w:hAnsiTheme="minorHAnsi" w:cstheme="minorHAnsi"/>
          <w:sz w:val="22"/>
          <w:szCs w:val="22"/>
          <w:lang w:val="en-US"/>
        </w:rPr>
        <w:t xml:space="preserve"> </w:t>
      </w:r>
      <w:r>
        <w:rPr>
          <w:rFonts w:asciiTheme="minorHAnsi" w:hAnsiTheme="minorHAnsi" w:cstheme="minorHAnsi"/>
          <w:sz w:val="22"/>
          <w:szCs w:val="22"/>
          <w:lang w:val="en-US"/>
        </w:rPr>
        <w:t>(most commonly BB, followed by ARNI)</w:t>
      </w:r>
      <w:r w:rsidRPr="00360F2D">
        <w:rPr>
          <w:rFonts w:asciiTheme="minorHAnsi" w:hAnsiTheme="minorHAnsi" w:cstheme="minorHAnsi"/>
          <w:sz w:val="22"/>
          <w:szCs w:val="22"/>
          <w:lang w:val="en-US"/>
        </w:rPr>
        <w:t xml:space="preserve">, </w:t>
      </w:r>
    </w:p>
    <w:p w14:paraId="179E5A07" w14:textId="5D9244CE" w:rsidR="00E35B52" w:rsidRDefault="00E35B52" w:rsidP="00072A14">
      <w:pPr>
        <w:pStyle w:val="ListParagraph"/>
        <w:numPr>
          <w:ilvl w:val="0"/>
          <w:numId w:val="36"/>
        </w:numPr>
        <w:jc w:val="both"/>
        <w:rPr>
          <w:rFonts w:asciiTheme="minorHAnsi" w:hAnsiTheme="minorHAnsi" w:cstheme="minorHAnsi"/>
          <w:sz w:val="22"/>
          <w:szCs w:val="22"/>
          <w:lang w:val="en-US"/>
        </w:rPr>
      </w:pPr>
      <w:r w:rsidRPr="00360F2D">
        <w:rPr>
          <w:rFonts w:asciiTheme="minorHAnsi" w:hAnsiTheme="minorHAnsi"/>
          <w:sz w:val="22"/>
          <w:lang w:val="en-US"/>
        </w:rPr>
        <w:t xml:space="preserve">34% </w:t>
      </w:r>
      <w:r w:rsidRPr="00360F2D">
        <w:rPr>
          <w:rFonts w:asciiTheme="minorHAnsi" w:hAnsiTheme="minorHAnsi" w:cstheme="minorHAnsi"/>
          <w:sz w:val="22"/>
          <w:szCs w:val="22"/>
          <w:lang w:val="en-US"/>
        </w:rPr>
        <w:t xml:space="preserve">of patients </w:t>
      </w:r>
      <w:r w:rsidRPr="00360F2D">
        <w:rPr>
          <w:rFonts w:asciiTheme="minorHAnsi" w:hAnsiTheme="minorHAnsi"/>
          <w:sz w:val="22"/>
          <w:lang w:val="en-US"/>
        </w:rPr>
        <w:t xml:space="preserve">were </w:t>
      </w:r>
      <w:r w:rsidRPr="00360F2D">
        <w:rPr>
          <w:rFonts w:asciiTheme="minorHAnsi" w:hAnsiTheme="minorHAnsi" w:cstheme="minorHAnsi"/>
          <w:sz w:val="22"/>
          <w:szCs w:val="22"/>
          <w:lang w:val="en-US"/>
        </w:rPr>
        <w:t xml:space="preserve">receiving </w:t>
      </w:r>
      <w:r w:rsidRPr="00360F2D">
        <w:rPr>
          <w:rFonts w:asciiTheme="minorHAnsi" w:hAnsiTheme="minorHAnsi"/>
          <w:sz w:val="22"/>
          <w:lang w:val="en-US"/>
        </w:rPr>
        <w:t>dual therapy</w:t>
      </w:r>
      <w:r>
        <w:rPr>
          <w:rFonts w:asciiTheme="minorHAnsi" w:hAnsiTheme="minorHAnsi" w:cstheme="minorHAnsi"/>
          <w:sz w:val="22"/>
          <w:szCs w:val="22"/>
          <w:lang w:val="en-US"/>
        </w:rPr>
        <w:t xml:space="preserve"> (most commonly BB + ACE</w:t>
      </w:r>
      <w:r w:rsidR="003A0616">
        <w:rPr>
          <w:rFonts w:asciiTheme="minorHAnsi" w:hAnsiTheme="minorHAnsi" w:cstheme="minorHAnsi"/>
          <w:sz w:val="22"/>
          <w:szCs w:val="22"/>
          <w:lang w:val="en-US"/>
        </w:rPr>
        <w:t>i</w:t>
      </w:r>
      <w:r>
        <w:rPr>
          <w:rFonts w:asciiTheme="minorHAnsi" w:hAnsiTheme="minorHAnsi" w:cstheme="minorHAnsi"/>
          <w:sz w:val="22"/>
          <w:szCs w:val="22"/>
          <w:lang w:val="en-US"/>
        </w:rPr>
        <w:t xml:space="preserve"> </w:t>
      </w:r>
      <w:r w:rsidR="00775311">
        <w:rPr>
          <w:rFonts w:asciiTheme="minorHAnsi" w:hAnsiTheme="minorHAnsi" w:cstheme="minorHAnsi"/>
          <w:sz w:val="22"/>
          <w:szCs w:val="22"/>
          <w:lang w:val="en-US"/>
        </w:rPr>
        <w:t>or</w:t>
      </w:r>
      <w:r>
        <w:rPr>
          <w:rFonts w:asciiTheme="minorHAnsi" w:hAnsiTheme="minorHAnsi" w:cstheme="minorHAnsi"/>
          <w:sz w:val="22"/>
          <w:szCs w:val="22"/>
          <w:lang w:val="en-US"/>
        </w:rPr>
        <w:t xml:space="preserve"> BB + ARB)</w:t>
      </w:r>
      <w:r w:rsidRPr="00F07B40">
        <w:rPr>
          <w:rFonts w:asciiTheme="minorHAnsi" w:hAnsiTheme="minorHAnsi" w:cstheme="minorHAnsi"/>
          <w:sz w:val="22"/>
          <w:szCs w:val="22"/>
          <w:lang w:val="en-US"/>
        </w:rPr>
        <w:t xml:space="preserve">, </w:t>
      </w:r>
    </w:p>
    <w:p w14:paraId="30F07218" w14:textId="1CC73C86" w:rsidR="00E35B52" w:rsidRDefault="00E35B52" w:rsidP="00072A14">
      <w:pPr>
        <w:pStyle w:val="ListParagraph"/>
        <w:numPr>
          <w:ilvl w:val="0"/>
          <w:numId w:val="36"/>
        </w:numPr>
        <w:jc w:val="both"/>
        <w:rPr>
          <w:rFonts w:asciiTheme="minorHAnsi" w:hAnsiTheme="minorHAnsi" w:cstheme="minorHAnsi"/>
          <w:sz w:val="22"/>
          <w:szCs w:val="22"/>
          <w:lang w:val="en-US"/>
        </w:rPr>
      </w:pPr>
      <w:r w:rsidRPr="00360F2D">
        <w:rPr>
          <w:rFonts w:asciiTheme="minorHAnsi" w:hAnsiTheme="minorHAnsi"/>
          <w:sz w:val="22"/>
          <w:lang w:val="en-US"/>
        </w:rPr>
        <w:t xml:space="preserve">28% </w:t>
      </w:r>
      <w:r w:rsidRPr="00360F2D">
        <w:rPr>
          <w:rFonts w:asciiTheme="minorHAnsi" w:hAnsiTheme="minorHAnsi" w:cstheme="minorHAnsi"/>
          <w:sz w:val="22"/>
          <w:szCs w:val="22"/>
          <w:lang w:val="en-US"/>
        </w:rPr>
        <w:t xml:space="preserve">of patients </w:t>
      </w:r>
      <w:r w:rsidRPr="00360F2D">
        <w:rPr>
          <w:rFonts w:asciiTheme="minorHAnsi" w:hAnsiTheme="minorHAnsi"/>
          <w:sz w:val="22"/>
          <w:lang w:val="en-US"/>
        </w:rPr>
        <w:t xml:space="preserve">were </w:t>
      </w:r>
      <w:r w:rsidRPr="00360F2D">
        <w:rPr>
          <w:rFonts w:asciiTheme="minorHAnsi" w:hAnsiTheme="minorHAnsi" w:cstheme="minorHAnsi"/>
          <w:sz w:val="22"/>
          <w:szCs w:val="22"/>
          <w:lang w:val="en-US"/>
        </w:rPr>
        <w:t>receiving</w:t>
      </w:r>
      <w:r w:rsidRPr="00360F2D">
        <w:rPr>
          <w:rFonts w:asciiTheme="minorHAnsi" w:hAnsiTheme="minorHAnsi"/>
          <w:sz w:val="22"/>
          <w:lang w:val="en-US"/>
        </w:rPr>
        <w:t xml:space="preserve"> triple therapy </w:t>
      </w:r>
      <w:r>
        <w:rPr>
          <w:rFonts w:asciiTheme="minorHAnsi" w:hAnsiTheme="minorHAnsi" w:cstheme="minorHAnsi"/>
          <w:sz w:val="22"/>
          <w:szCs w:val="22"/>
          <w:lang w:val="en-US"/>
        </w:rPr>
        <w:t>(most commonly BB + ACE</w:t>
      </w:r>
      <w:r w:rsidR="00A510FE">
        <w:rPr>
          <w:rFonts w:asciiTheme="minorHAnsi" w:hAnsiTheme="minorHAnsi" w:cstheme="minorHAnsi"/>
          <w:sz w:val="22"/>
          <w:szCs w:val="22"/>
          <w:lang w:val="en-US"/>
        </w:rPr>
        <w:t>i</w:t>
      </w:r>
      <w:r>
        <w:rPr>
          <w:rFonts w:asciiTheme="minorHAnsi" w:hAnsiTheme="minorHAnsi" w:cstheme="minorHAnsi"/>
          <w:sz w:val="22"/>
          <w:szCs w:val="22"/>
          <w:lang w:val="en-US"/>
        </w:rPr>
        <w:t xml:space="preserve"> + loop diuretic </w:t>
      </w:r>
      <w:r w:rsidR="00775311">
        <w:rPr>
          <w:rFonts w:asciiTheme="minorHAnsi" w:hAnsiTheme="minorHAnsi"/>
          <w:sz w:val="22"/>
          <w:lang w:val="en-US"/>
        </w:rPr>
        <w:t>or</w:t>
      </w:r>
      <w:r w:rsidRPr="00360F2D">
        <w:rPr>
          <w:rFonts w:asciiTheme="minorHAnsi" w:hAnsiTheme="minorHAnsi"/>
          <w:sz w:val="22"/>
          <w:lang w:val="en-US"/>
        </w:rPr>
        <w:t xml:space="preserve"> </w:t>
      </w:r>
      <w:r>
        <w:rPr>
          <w:rFonts w:asciiTheme="minorHAnsi" w:hAnsiTheme="minorHAnsi" w:cstheme="minorHAnsi"/>
          <w:sz w:val="22"/>
          <w:szCs w:val="22"/>
          <w:lang w:val="en-US"/>
        </w:rPr>
        <w:t xml:space="preserve">BB + ARB + loop diuretic); </w:t>
      </w:r>
      <w:r w:rsidRPr="00F07B40">
        <w:rPr>
          <w:rFonts w:asciiTheme="minorHAnsi" w:hAnsiTheme="minorHAnsi" w:cstheme="minorHAnsi"/>
          <w:sz w:val="22"/>
          <w:szCs w:val="22"/>
          <w:lang w:val="en-US"/>
        </w:rPr>
        <w:t>and</w:t>
      </w:r>
      <w:r>
        <w:rPr>
          <w:rFonts w:asciiTheme="minorHAnsi" w:hAnsiTheme="minorHAnsi" w:cstheme="minorHAnsi"/>
          <w:sz w:val="22"/>
          <w:szCs w:val="22"/>
          <w:lang w:val="en-US"/>
        </w:rPr>
        <w:t>,</w:t>
      </w:r>
      <w:r w:rsidRPr="00F07B40">
        <w:rPr>
          <w:rFonts w:asciiTheme="minorHAnsi" w:hAnsiTheme="minorHAnsi" w:cstheme="minorHAnsi"/>
          <w:sz w:val="22"/>
          <w:szCs w:val="22"/>
          <w:lang w:val="en-US"/>
        </w:rPr>
        <w:t xml:space="preserve"> </w:t>
      </w:r>
    </w:p>
    <w:p w14:paraId="1355DB5D" w14:textId="4FE9B79B" w:rsidR="00E35B52" w:rsidRDefault="00E35B52" w:rsidP="00072A14">
      <w:pPr>
        <w:pStyle w:val="ListParagraph"/>
        <w:numPr>
          <w:ilvl w:val="0"/>
          <w:numId w:val="36"/>
        </w:numPr>
        <w:spacing w:after="240"/>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17% </w:t>
      </w:r>
      <w:r w:rsidRPr="00360F2D">
        <w:rPr>
          <w:rFonts w:asciiTheme="minorHAnsi" w:hAnsiTheme="minorHAnsi" w:cstheme="minorHAnsi"/>
          <w:sz w:val="22"/>
          <w:szCs w:val="22"/>
          <w:lang w:val="en-US"/>
        </w:rPr>
        <w:t xml:space="preserve">of patients </w:t>
      </w:r>
      <w:r w:rsidRPr="00360F2D">
        <w:rPr>
          <w:rFonts w:asciiTheme="minorHAnsi" w:hAnsiTheme="minorHAnsi"/>
          <w:sz w:val="22"/>
          <w:lang w:val="en-US"/>
        </w:rPr>
        <w:t xml:space="preserve">were </w:t>
      </w:r>
      <w:r w:rsidRPr="00360F2D">
        <w:rPr>
          <w:rFonts w:asciiTheme="minorHAnsi" w:hAnsiTheme="minorHAnsi" w:cstheme="minorHAnsi"/>
          <w:sz w:val="22"/>
          <w:szCs w:val="22"/>
          <w:lang w:val="en-US"/>
        </w:rPr>
        <w:t>receiving</w:t>
      </w:r>
      <w:r>
        <w:rPr>
          <w:rFonts w:asciiTheme="minorHAnsi" w:hAnsiTheme="minorHAnsi" w:cstheme="minorHAnsi"/>
          <w:sz w:val="22"/>
          <w:szCs w:val="22"/>
          <w:lang w:val="en-US"/>
        </w:rPr>
        <w:t xml:space="preserve"> four or more therapies.</w:t>
      </w:r>
    </w:p>
    <w:p w14:paraId="2150B155" w14:textId="4EF0A5CE" w:rsidR="007913FD" w:rsidRDefault="00FC09A7" w:rsidP="00072A14">
      <w:pPr>
        <w:jc w:val="both"/>
        <w:rPr>
          <w:lang w:val="en-US"/>
        </w:rPr>
      </w:pPr>
      <w:r>
        <w:rPr>
          <w:lang w:val="en-US"/>
        </w:rPr>
        <w:t xml:space="preserve">For 33% of the </w:t>
      </w:r>
      <w:r w:rsidR="00896B3A">
        <w:rPr>
          <w:lang w:val="en-US"/>
        </w:rPr>
        <w:t xml:space="preserve">prevalent </w:t>
      </w:r>
      <w:r>
        <w:rPr>
          <w:lang w:val="en-US"/>
        </w:rPr>
        <w:t xml:space="preserve">HF </w:t>
      </w:r>
      <w:r w:rsidR="00896B3A">
        <w:rPr>
          <w:lang w:val="en-US"/>
        </w:rPr>
        <w:t xml:space="preserve">population, </w:t>
      </w:r>
      <w:r>
        <w:rPr>
          <w:lang w:val="en-US"/>
        </w:rPr>
        <w:t>the combination therapies supplied met the definition of</w:t>
      </w:r>
      <w:r w:rsidR="00896B3A">
        <w:rPr>
          <w:lang w:val="en-US"/>
        </w:rPr>
        <w:t xml:space="preserve"> s</w:t>
      </w:r>
      <w:r w:rsidR="007913FD" w:rsidRPr="00613A39">
        <w:rPr>
          <w:lang w:val="en-US"/>
        </w:rPr>
        <w:t>tandard of care</w:t>
      </w:r>
      <w:r w:rsidR="0070769B">
        <w:rPr>
          <w:lang w:val="en-US"/>
        </w:rPr>
        <w:t xml:space="preserve"> for </w:t>
      </w:r>
      <w:r w:rsidR="00AC2A37">
        <w:rPr>
          <w:rFonts w:cstheme="minorHAnsi"/>
          <w:bCs/>
        </w:rPr>
        <w:t>HF</w:t>
      </w:r>
      <w:r w:rsidR="0070769B">
        <w:rPr>
          <w:rFonts w:cstheme="minorHAnsi"/>
          <w:bCs/>
        </w:rPr>
        <w:t xml:space="preserve"> with reduced ejection fraction</w:t>
      </w:r>
      <w:r>
        <w:rPr>
          <w:rFonts w:cstheme="minorHAnsi"/>
          <w:bCs/>
        </w:rPr>
        <w:t xml:space="preserve"> in June 2023</w:t>
      </w:r>
      <w:r w:rsidR="007913FD">
        <w:rPr>
          <w:lang w:val="en-US"/>
        </w:rPr>
        <w:t>.</w:t>
      </w:r>
      <w:r w:rsidR="00896B3A">
        <w:rPr>
          <w:lang w:val="en-US"/>
        </w:rPr>
        <w:t xml:space="preserve">  </w:t>
      </w:r>
      <w:r w:rsidR="00896B3A" w:rsidRPr="00A669FE">
        <w:rPr>
          <w:lang w:val="en-US"/>
        </w:rPr>
        <w:t xml:space="preserve">The proportion </w:t>
      </w:r>
      <w:r>
        <w:rPr>
          <w:lang w:val="en-US"/>
        </w:rPr>
        <w:t xml:space="preserve">of the population </w:t>
      </w:r>
      <w:r w:rsidR="00896B3A" w:rsidRPr="00A669FE">
        <w:rPr>
          <w:lang w:val="en-US"/>
        </w:rPr>
        <w:t xml:space="preserve">on standard of care was highest amongst people aged 65 to 84 years </w:t>
      </w:r>
      <w:r w:rsidR="00896B3A">
        <w:rPr>
          <w:lang w:val="en-US"/>
        </w:rPr>
        <w:t xml:space="preserve">(37% in June 2023) </w:t>
      </w:r>
      <w:r w:rsidR="00896B3A" w:rsidRPr="00A669FE">
        <w:rPr>
          <w:lang w:val="en-US"/>
        </w:rPr>
        <w:t xml:space="preserve">and lowest </w:t>
      </w:r>
      <w:r w:rsidR="00896B3A" w:rsidRPr="00A669FE">
        <w:rPr>
          <w:lang w:val="en-US"/>
        </w:rPr>
        <w:lastRenderedPageBreak/>
        <w:t>amongst people aged 85 years and above</w:t>
      </w:r>
      <w:r w:rsidR="00896B3A">
        <w:rPr>
          <w:lang w:val="en-US"/>
        </w:rPr>
        <w:t xml:space="preserve"> (25% in June 2023)</w:t>
      </w:r>
      <w:r w:rsidR="00896B3A" w:rsidRPr="00A669FE">
        <w:rPr>
          <w:lang w:val="en-US"/>
        </w:rPr>
        <w:t xml:space="preserve"> The lower rates of standard of care amongst the elderly may reflect challenges of managing competing health risks in a frail elderly population. </w:t>
      </w:r>
    </w:p>
    <w:p w14:paraId="3B4765A6" w14:textId="51247608" w:rsidR="00576E9E" w:rsidRDefault="00FC09A7" w:rsidP="00072A14">
      <w:pPr>
        <w:jc w:val="both"/>
      </w:pPr>
      <w:r>
        <w:rPr>
          <w:rFonts w:cstheme="minorHAnsi"/>
          <w:szCs w:val="18"/>
        </w:rPr>
        <w:t>Among the incident HF population in 2022</w:t>
      </w:r>
      <w:r w:rsidR="00775311">
        <w:rPr>
          <w:rFonts w:cstheme="minorHAnsi"/>
          <w:szCs w:val="18"/>
        </w:rPr>
        <w:t xml:space="preserve"> (n=</w:t>
      </w:r>
      <w:r w:rsidR="00775311">
        <w:rPr>
          <w:rFonts w:cstheme="minorHAnsi"/>
          <w:bCs/>
        </w:rPr>
        <w:t>81,343)</w:t>
      </w:r>
      <w:r>
        <w:rPr>
          <w:rFonts w:cstheme="minorHAnsi"/>
          <w:szCs w:val="18"/>
        </w:rPr>
        <w:t>, 40%</w:t>
      </w:r>
      <w:r w:rsidR="00863CB0" w:rsidRPr="00896B3A">
        <w:t xml:space="preserve"> </w:t>
      </w:r>
      <w:r w:rsidR="001C2D22" w:rsidRPr="00896B3A">
        <w:t xml:space="preserve">of people who initiated </w:t>
      </w:r>
      <w:r>
        <w:t xml:space="preserve">PBS </w:t>
      </w:r>
      <w:r w:rsidR="001C2D22" w:rsidRPr="00896B3A">
        <w:t xml:space="preserve">restricted </w:t>
      </w:r>
      <w:r>
        <w:t xml:space="preserve">HF </w:t>
      </w:r>
      <w:r w:rsidR="001C2D22" w:rsidRPr="00896B3A">
        <w:t>medicines were initiated on standard of care</w:t>
      </w:r>
      <w:r>
        <w:t xml:space="preserve">. The combinations </w:t>
      </w:r>
      <w:r w:rsidR="00775311">
        <w:t xml:space="preserve">most frequently </w:t>
      </w:r>
      <w:r>
        <w:t>representing standard of care were</w:t>
      </w:r>
      <w:r w:rsidR="001C2D22" w:rsidRPr="00896B3A">
        <w:rPr>
          <w:color w:val="000000" w:themeColor="text1"/>
        </w:rPr>
        <w:t xml:space="preserve"> </w:t>
      </w:r>
      <w:r w:rsidR="00E93769" w:rsidRPr="00896B3A">
        <w:rPr>
          <w:color w:val="000000" w:themeColor="text1"/>
        </w:rPr>
        <w:t xml:space="preserve">a </w:t>
      </w:r>
      <w:r w:rsidR="00C37926">
        <w:rPr>
          <w:color w:val="000000" w:themeColor="text1"/>
        </w:rPr>
        <w:t>BB</w:t>
      </w:r>
      <w:r w:rsidR="001C2D22" w:rsidRPr="00896B3A">
        <w:rPr>
          <w:color w:val="000000" w:themeColor="text1"/>
        </w:rPr>
        <w:t xml:space="preserve"> </w:t>
      </w:r>
      <w:r>
        <w:rPr>
          <w:color w:val="000000" w:themeColor="text1"/>
        </w:rPr>
        <w:t xml:space="preserve">for HF </w:t>
      </w:r>
      <w:r w:rsidR="001C2D22" w:rsidRPr="00896B3A">
        <w:rPr>
          <w:color w:val="000000" w:themeColor="text1"/>
        </w:rPr>
        <w:t>and an ACE</w:t>
      </w:r>
      <w:r w:rsidR="003A0616">
        <w:rPr>
          <w:color w:val="000000" w:themeColor="text1"/>
        </w:rPr>
        <w:t>i</w:t>
      </w:r>
      <w:r w:rsidR="001C2D22" w:rsidRPr="00896B3A">
        <w:rPr>
          <w:color w:val="000000" w:themeColor="text1"/>
        </w:rPr>
        <w:t xml:space="preserve"> </w:t>
      </w:r>
      <w:r w:rsidR="00775311">
        <w:rPr>
          <w:color w:val="000000" w:themeColor="text1"/>
        </w:rPr>
        <w:t>(</w:t>
      </w:r>
      <w:r>
        <w:rPr>
          <w:color w:val="000000" w:themeColor="text1"/>
        </w:rPr>
        <w:t>39%</w:t>
      </w:r>
      <w:r w:rsidR="00775311">
        <w:rPr>
          <w:color w:val="000000" w:themeColor="text1"/>
        </w:rPr>
        <w:t>), and</w:t>
      </w:r>
      <w:r>
        <w:rPr>
          <w:color w:val="000000" w:themeColor="text1"/>
        </w:rPr>
        <w:t xml:space="preserve"> </w:t>
      </w:r>
      <w:r w:rsidR="001C2D22" w:rsidRPr="00896B3A">
        <w:rPr>
          <w:color w:val="000000" w:themeColor="text1"/>
        </w:rPr>
        <w:t xml:space="preserve">a </w:t>
      </w:r>
      <w:r w:rsidR="00C37926">
        <w:rPr>
          <w:color w:val="000000" w:themeColor="text1"/>
        </w:rPr>
        <w:t>BB</w:t>
      </w:r>
      <w:r>
        <w:rPr>
          <w:color w:val="000000" w:themeColor="text1"/>
        </w:rPr>
        <w:t xml:space="preserve"> for HF</w:t>
      </w:r>
      <w:r w:rsidR="001C2D22" w:rsidRPr="00896B3A">
        <w:rPr>
          <w:color w:val="000000" w:themeColor="text1"/>
        </w:rPr>
        <w:t xml:space="preserve"> and an ARB</w:t>
      </w:r>
      <w:r w:rsidR="00775311">
        <w:rPr>
          <w:color w:val="000000" w:themeColor="text1"/>
        </w:rPr>
        <w:t xml:space="preserve"> (</w:t>
      </w:r>
      <w:r>
        <w:rPr>
          <w:color w:val="000000" w:themeColor="text1"/>
        </w:rPr>
        <w:t>36%</w:t>
      </w:r>
      <w:r w:rsidR="00775311">
        <w:rPr>
          <w:color w:val="000000" w:themeColor="text1"/>
        </w:rPr>
        <w:t>)</w:t>
      </w:r>
      <w:r w:rsidR="001C2D22" w:rsidRPr="00896B3A">
        <w:rPr>
          <w:color w:val="000000" w:themeColor="text1"/>
        </w:rPr>
        <w:t xml:space="preserve">. </w:t>
      </w:r>
    </w:p>
    <w:p w14:paraId="2C9684BE" w14:textId="2E2EB37E" w:rsidR="00E35B52" w:rsidRDefault="00FC09A7" w:rsidP="00072A14">
      <w:pPr>
        <w:jc w:val="both"/>
        <w:rPr>
          <w:lang w:val="en-US"/>
        </w:rPr>
      </w:pPr>
      <w:r>
        <w:rPr>
          <w:lang w:val="en-US"/>
        </w:rPr>
        <w:t xml:space="preserve">Treatment sequences with PBS restricted HF medicines </w:t>
      </w:r>
      <w:r w:rsidR="00775311">
        <w:rPr>
          <w:lang w:val="en-US"/>
        </w:rPr>
        <w:t>were examined over time</w:t>
      </w:r>
      <w:r>
        <w:rPr>
          <w:lang w:val="en-US"/>
        </w:rPr>
        <w:t xml:space="preserve"> for people</w:t>
      </w:r>
      <w:r w:rsidR="000668CA">
        <w:rPr>
          <w:lang w:val="en-US"/>
        </w:rPr>
        <w:t xml:space="preserve"> who initiated PBS restricted HF therapies between 2018-2021 (n=215,873)</w:t>
      </w:r>
      <w:r>
        <w:rPr>
          <w:lang w:val="en-US"/>
        </w:rPr>
        <w:t xml:space="preserve">. </w:t>
      </w:r>
      <w:r w:rsidR="00E35B52">
        <w:rPr>
          <w:lang w:val="en-US"/>
        </w:rPr>
        <w:t>Over the follow-up</w:t>
      </w:r>
      <w:r>
        <w:rPr>
          <w:lang w:val="en-US"/>
        </w:rPr>
        <w:t xml:space="preserve"> period</w:t>
      </w:r>
      <w:r w:rsidR="00775311">
        <w:rPr>
          <w:lang w:val="en-US"/>
        </w:rPr>
        <w:t xml:space="preserve"> (up to June 2023)</w:t>
      </w:r>
      <w:r w:rsidR="00E35B52">
        <w:rPr>
          <w:lang w:val="en-US"/>
        </w:rPr>
        <w:t>, the majority of people (79%) received monotherapy only with the PBS restricted HF index medicine (i.e., did not add or switch to other PBS restricted HF medicines)</w:t>
      </w:r>
      <w:r w:rsidR="000668CA">
        <w:rPr>
          <w:lang w:val="en-US"/>
        </w:rPr>
        <w:t xml:space="preserve">; </w:t>
      </w:r>
      <w:r w:rsidR="000668CA" w:rsidRPr="00F46BB1">
        <w:rPr>
          <w:lang w:val="en-US"/>
        </w:rPr>
        <w:t>20%</w:t>
      </w:r>
      <w:r w:rsidR="00E35B52" w:rsidRPr="00F46BB1">
        <w:rPr>
          <w:lang w:val="en-US"/>
        </w:rPr>
        <w:t xml:space="preserve"> had a change in </w:t>
      </w:r>
      <w:r w:rsidR="000668CA" w:rsidRPr="00F46BB1">
        <w:rPr>
          <w:lang w:val="en-US"/>
        </w:rPr>
        <w:t>PBS</w:t>
      </w:r>
      <w:r w:rsidR="00E35B52" w:rsidRPr="00F46BB1">
        <w:rPr>
          <w:lang w:val="en-US"/>
        </w:rPr>
        <w:t xml:space="preserve"> restricted </w:t>
      </w:r>
      <w:r w:rsidR="000668CA" w:rsidRPr="00F46BB1">
        <w:rPr>
          <w:lang w:val="en-US"/>
        </w:rPr>
        <w:t xml:space="preserve">HF </w:t>
      </w:r>
      <w:r w:rsidR="00E35B52" w:rsidRPr="00F46BB1">
        <w:rPr>
          <w:lang w:val="en-US"/>
        </w:rPr>
        <w:t>therapy</w:t>
      </w:r>
      <w:r w:rsidR="00F46BB1" w:rsidRPr="00F46BB1">
        <w:rPr>
          <w:lang w:val="en-US"/>
        </w:rPr>
        <w:t xml:space="preserve"> –</w:t>
      </w:r>
      <w:r w:rsidR="00E35B52" w:rsidRPr="00F46BB1">
        <w:rPr>
          <w:lang w:val="en-US"/>
        </w:rPr>
        <w:t xml:space="preserve"> </w:t>
      </w:r>
      <w:r w:rsidR="00F46BB1" w:rsidRPr="00F46BB1">
        <w:rPr>
          <w:lang w:val="en-US"/>
        </w:rPr>
        <w:t xml:space="preserve">6% switched to HF restricted medicine different to the index one, </w:t>
      </w:r>
      <w:r w:rsidR="00E35B52" w:rsidRPr="00F46BB1">
        <w:rPr>
          <w:lang w:val="en-US"/>
        </w:rPr>
        <w:t xml:space="preserve">10% had addition of second </w:t>
      </w:r>
      <w:r w:rsidR="000668CA" w:rsidRPr="00F46BB1">
        <w:rPr>
          <w:lang w:val="en-US"/>
        </w:rPr>
        <w:t xml:space="preserve">PBS restricted HF </w:t>
      </w:r>
      <w:r w:rsidR="00E35B52" w:rsidRPr="00F46BB1">
        <w:rPr>
          <w:lang w:val="en-US"/>
        </w:rPr>
        <w:t>therapy and 4% stepped down from index HF restricted therapy.</w:t>
      </w:r>
      <w:r w:rsidR="000668CA" w:rsidRPr="00F46BB1">
        <w:rPr>
          <w:lang w:val="en-US"/>
        </w:rPr>
        <w:t xml:space="preserve"> </w:t>
      </w:r>
      <w:r w:rsidR="00E35B52" w:rsidRPr="00F46BB1">
        <w:rPr>
          <w:lang w:val="en-US"/>
        </w:rPr>
        <w:t>One percent of people were initiated on a combination therapy and stayed on it for the duration of the follow-up</w:t>
      </w:r>
      <w:r w:rsidR="000668CA" w:rsidRPr="00F46BB1">
        <w:rPr>
          <w:lang w:val="en-US"/>
        </w:rPr>
        <w:t>.</w:t>
      </w:r>
      <w:r w:rsidR="000668CA">
        <w:rPr>
          <w:lang w:val="en-US"/>
        </w:rPr>
        <w:t xml:space="preserve">  </w:t>
      </w:r>
    </w:p>
    <w:p w14:paraId="1AB0D1B7" w14:textId="77777777" w:rsidR="00FD7E4C" w:rsidRDefault="00555F0A" w:rsidP="00072A14">
      <w:pPr>
        <w:spacing w:after="0"/>
        <w:jc w:val="both"/>
        <w:rPr>
          <w:rFonts w:cstheme="minorHAnsi"/>
          <w:bCs/>
        </w:rPr>
      </w:pPr>
      <w:r>
        <w:rPr>
          <w:rFonts w:cstheme="minorHAnsi"/>
          <w:bCs/>
        </w:rPr>
        <w:t>Amongst</w:t>
      </w:r>
      <w:r w:rsidR="00FD7E4C">
        <w:rPr>
          <w:rFonts w:cstheme="minorHAnsi"/>
          <w:bCs/>
        </w:rPr>
        <w:t xml:space="preserve"> people who initiated monotherapy with HF restricted medicine</w:t>
      </w:r>
      <w:r>
        <w:rPr>
          <w:rFonts w:cstheme="minorHAnsi"/>
          <w:bCs/>
        </w:rPr>
        <w:t>s</w:t>
      </w:r>
      <w:r w:rsidR="00FD7E4C">
        <w:rPr>
          <w:rFonts w:cstheme="minorHAnsi"/>
          <w:bCs/>
        </w:rPr>
        <w:t xml:space="preserve"> between 2018 and 2021:</w:t>
      </w:r>
    </w:p>
    <w:p w14:paraId="0C6A2982" w14:textId="46382B6A" w:rsidR="00FD7E4C" w:rsidRPr="00555F0A" w:rsidRDefault="00555F0A" w:rsidP="00072A14">
      <w:pPr>
        <w:pStyle w:val="ListParagraph"/>
        <w:numPr>
          <w:ilvl w:val="0"/>
          <w:numId w:val="27"/>
        </w:numPr>
        <w:jc w:val="both"/>
        <w:rPr>
          <w:rFonts w:asciiTheme="minorHAnsi" w:hAnsiTheme="minorHAnsi" w:cstheme="minorHAnsi"/>
          <w:bCs/>
          <w:sz w:val="22"/>
          <w:szCs w:val="22"/>
        </w:rPr>
      </w:pPr>
      <w:r w:rsidRPr="00555F0A">
        <w:rPr>
          <w:rFonts w:asciiTheme="minorHAnsi" w:hAnsiTheme="minorHAnsi" w:cstheme="minorHAnsi"/>
          <w:bCs/>
          <w:sz w:val="22"/>
          <w:szCs w:val="22"/>
        </w:rPr>
        <w:t xml:space="preserve">The median </w:t>
      </w:r>
      <w:r w:rsidR="00803F4F">
        <w:rPr>
          <w:rFonts w:asciiTheme="minorHAnsi" w:hAnsiTheme="minorHAnsi" w:cstheme="minorHAnsi"/>
          <w:bCs/>
          <w:sz w:val="22"/>
          <w:szCs w:val="22"/>
        </w:rPr>
        <w:t>time</w:t>
      </w:r>
      <w:r w:rsidRPr="00555F0A">
        <w:rPr>
          <w:rFonts w:asciiTheme="minorHAnsi" w:hAnsiTheme="minorHAnsi" w:cstheme="minorHAnsi"/>
          <w:bCs/>
          <w:sz w:val="22"/>
          <w:szCs w:val="22"/>
        </w:rPr>
        <w:t xml:space="preserve"> to a switch to </w:t>
      </w:r>
      <w:r w:rsidR="00803F4F">
        <w:rPr>
          <w:rFonts w:asciiTheme="minorHAnsi" w:hAnsiTheme="minorHAnsi" w:cstheme="minorHAnsi"/>
          <w:bCs/>
          <w:sz w:val="22"/>
          <w:szCs w:val="22"/>
        </w:rPr>
        <w:t xml:space="preserve">a </w:t>
      </w:r>
      <w:r w:rsidR="000668CA">
        <w:rPr>
          <w:rFonts w:asciiTheme="minorHAnsi" w:hAnsiTheme="minorHAnsi" w:cstheme="minorHAnsi"/>
          <w:bCs/>
          <w:sz w:val="22"/>
          <w:szCs w:val="22"/>
        </w:rPr>
        <w:t>PBS restricted HF medicine</w:t>
      </w:r>
      <w:r w:rsidRPr="00555F0A">
        <w:rPr>
          <w:rFonts w:asciiTheme="minorHAnsi" w:hAnsiTheme="minorHAnsi" w:cstheme="minorHAnsi"/>
          <w:bCs/>
          <w:sz w:val="22"/>
          <w:szCs w:val="22"/>
        </w:rPr>
        <w:t xml:space="preserve"> different to the index one or break in therapy was </w:t>
      </w:r>
      <w:r w:rsidR="00814116">
        <w:rPr>
          <w:rFonts w:asciiTheme="minorHAnsi" w:hAnsiTheme="minorHAnsi" w:cstheme="minorHAnsi"/>
          <w:bCs/>
          <w:sz w:val="22"/>
          <w:szCs w:val="22"/>
        </w:rPr>
        <w:t>17</w:t>
      </w:r>
      <w:r w:rsidR="00FD7E4C" w:rsidRPr="00555F0A">
        <w:rPr>
          <w:rFonts w:asciiTheme="minorHAnsi" w:hAnsiTheme="minorHAnsi" w:cstheme="minorHAnsi"/>
          <w:bCs/>
          <w:sz w:val="22"/>
          <w:szCs w:val="22"/>
        </w:rPr>
        <w:t xml:space="preserve"> months. </w:t>
      </w:r>
    </w:p>
    <w:p w14:paraId="5FC71367" w14:textId="65798BF4" w:rsidR="00555F0A" w:rsidRPr="00555F0A" w:rsidRDefault="00555F0A" w:rsidP="00072A14">
      <w:pPr>
        <w:pStyle w:val="ListParagraph"/>
        <w:numPr>
          <w:ilvl w:val="0"/>
          <w:numId w:val="27"/>
        </w:numPr>
        <w:jc w:val="both"/>
        <w:rPr>
          <w:rFonts w:asciiTheme="minorHAnsi" w:hAnsiTheme="minorHAnsi" w:cstheme="minorHAnsi"/>
          <w:bCs/>
          <w:sz w:val="22"/>
          <w:szCs w:val="22"/>
        </w:rPr>
      </w:pPr>
      <w:r w:rsidRPr="00555F0A">
        <w:rPr>
          <w:rFonts w:asciiTheme="minorHAnsi" w:hAnsiTheme="minorHAnsi" w:cstheme="minorHAnsi"/>
          <w:bCs/>
          <w:sz w:val="22"/>
          <w:szCs w:val="22"/>
        </w:rPr>
        <w:t xml:space="preserve">The median </w:t>
      </w:r>
      <w:r w:rsidR="000668CA">
        <w:rPr>
          <w:rFonts w:asciiTheme="minorHAnsi" w:hAnsiTheme="minorHAnsi" w:cstheme="minorHAnsi"/>
          <w:bCs/>
          <w:sz w:val="22"/>
          <w:szCs w:val="22"/>
        </w:rPr>
        <w:t>time to</w:t>
      </w:r>
      <w:r w:rsidRPr="00555F0A">
        <w:rPr>
          <w:rFonts w:asciiTheme="minorHAnsi" w:hAnsiTheme="minorHAnsi" w:cstheme="minorHAnsi"/>
          <w:bCs/>
          <w:sz w:val="22"/>
          <w:szCs w:val="22"/>
        </w:rPr>
        <w:t xml:space="preserve"> addition of </w:t>
      </w:r>
      <w:r w:rsidR="000668CA">
        <w:rPr>
          <w:rFonts w:asciiTheme="minorHAnsi" w:hAnsiTheme="minorHAnsi" w:cstheme="minorHAnsi"/>
          <w:bCs/>
          <w:sz w:val="22"/>
          <w:szCs w:val="22"/>
        </w:rPr>
        <w:t>a PBS restricted HF medicine</w:t>
      </w:r>
      <w:r w:rsidRPr="00555F0A">
        <w:rPr>
          <w:rFonts w:asciiTheme="minorHAnsi" w:hAnsiTheme="minorHAnsi" w:cstheme="minorHAnsi"/>
          <w:bCs/>
          <w:sz w:val="22"/>
          <w:szCs w:val="22"/>
        </w:rPr>
        <w:t xml:space="preserve"> or break in therapy was 1</w:t>
      </w:r>
      <w:r w:rsidR="001D5585">
        <w:rPr>
          <w:rFonts w:asciiTheme="minorHAnsi" w:hAnsiTheme="minorHAnsi" w:cstheme="minorHAnsi"/>
          <w:bCs/>
          <w:sz w:val="22"/>
          <w:szCs w:val="22"/>
        </w:rPr>
        <w:t>5</w:t>
      </w:r>
      <w:r w:rsidRPr="00555F0A">
        <w:rPr>
          <w:rFonts w:asciiTheme="minorHAnsi" w:hAnsiTheme="minorHAnsi" w:cstheme="minorHAnsi"/>
          <w:bCs/>
          <w:sz w:val="22"/>
          <w:szCs w:val="22"/>
        </w:rPr>
        <w:t xml:space="preserve"> months. </w:t>
      </w:r>
    </w:p>
    <w:p w14:paraId="73403294" w14:textId="703D56B7" w:rsidR="00555F0A" w:rsidRPr="00555F0A" w:rsidRDefault="00555F0A" w:rsidP="00072A14">
      <w:pPr>
        <w:pStyle w:val="ListParagraph"/>
        <w:numPr>
          <w:ilvl w:val="0"/>
          <w:numId w:val="27"/>
        </w:numPr>
        <w:spacing w:after="240"/>
        <w:jc w:val="both"/>
        <w:rPr>
          <w:rFonts w:asciiTheme="minorHAnsi" w:hAnsiTheme="minorHAnsi" w:cstheme="minorHAnsi"/>
          <w:bCs/>
          <w:sz w:val="22"/>
          <w:szCs w:val="22"/>
        </w:rPr>
      </w:pPr>
      <w:r w:rsidRPr="00555F0A">
        <w:rPr>
          <w:rFonts w:asciiTheme="minorHAnsi" w:hAnsiTheme="minorHAnsi" w:cstheme="minorHAnsi"/>
          <w:bCs/>
          <w:sz w:val="22"/>
          <w:szCs w:val="22"/>
        </w:rPr>
        <w:t xml:space="preserve">The </w:t>
      </w:r>
      <w:r w:rsidR="0033048F" w:rsidRPr="00C75101">
        <w:rPr>
          <w:rFonts w:asciiTheme="minorHAnsi" w:hAnsiTheme="minorHAnsi" w:cstheme="minorHAnsi"/>
          <w:bCs/>
          <w:sz w:val="22"/>
          <w:szCs w:val="22"/>
        </w:rPr>
        <w:t>median</w:t>
      </w:r>
      <w:r w:rsidR="0033048F">
        <w:rPr>
          <w:rFonts w:asciiTheme="minorHAnsi" w:hAnsiTheme="minorHAnsi" w:cstheme="minorHAnsi"/>
          <w:bCs/>
          <w:sz w:val="22"/>
          <w:szCs w:val="22"/>
        </w:rPr>
        <w:t xml:space="preserve"> </w:t>
      </w:r>
      <w:r w:rsidRPr="00555F0A">
        <w:rPr>
          <w:rFonts w:asciiTheme="minorHAnsi" w:hAnsiTheme="minorHAnsi" w:cstheme="minorHAnsi"/>
          <w:bCs/>
          <w:sz w:val="22"/>
          <w:szCs w:val="22"/>
        </w:rPr>
        <w:t xml:space="preserve">cumulative duration of </w:t>
      </w:r>
      <w:r>
        <w:rPr>
          <w:rFonts w:asciiTheme="minorHAnsi" w:hAnsiTheme="minorHAnsi" w:cstheme="minorHAnsi"/>
          <w:bCs/>
          <w:sz w:val="22"/>
          <w:szCs w:val="22"/>
        </w:rPr>
        <w:t xml:space="preserve">all treatment episodes </w:t>
      </w:r>
      <w:r w:rsidRPr="00555F0A">
        <w:rPr>
          <w:rFonts w:asciiTheme="minorHAnsi" w:hAnsiTheme="minorHAnsi" w:cstheme="minorHAnsi"/>
          <w:bCs/>
          <w:sz w:val="22"/>
          <w:szCs w:val="22"/>
        </w:rPr>
        <w:t xml:space="preserve">was </w:t>
      </w:r>
      <w:r w:rsidR="001D5585">
        <w:rPr>
          <w:rFonts w:asciiTheme="minorHAnsi" w:hAnsiTheme="minorHAnsi" w:cstheme="minorHAnsi"/>
          <w:bCs/>
          <w:sz w:val="22"/>
          <w:szCs w:val="22"/>
        </w:rPr>
        <w:t>3</w:t>
      </w:r>
      <w:r>
        <w:rPr>
          <w:rFonts w:asciiTheme="minorHAnsi" w:hAnsiTheme="minorHAnsi" w:cstheme="minorHAnsi"/>
          <w:bCs/>
          <w:sz w:val="22"/>
          <w:szCs w:val="22"/>
        </w:rPr>
        <w:t>.</w:t>
      </w:r>
      <w:r w:rsidR="001D5585">
        <w:rPr>
          <w:rFonts w:asciiTheme="minorHAnsi" w:hAnsiTheme="minorHAnsi" w:cstheme="minorHAnsi"/>
          <w:bCs/>
          <w:sz w:val="22"/>
          <w:szCs w:val="22"/>
        </w:rPr>
        <w:t>4</w:t>
      </w:r>
      <w:r w:rsidRPr="00555F0A">
        <w:rPr>
          <w:rFonts w:asciiTheme="minorHAnsi" w:hAnsiTheme="minorHAnsi" w:cstheme="minorHAnsi"/>
          <w:bCs/>
          <w:sz w:val="22"/>
          <w:szCs w:val="22"/>
        </w:rPr>
        <w:t xml:space="preserve"> </w:t>
      </w:r>
      <w:r>
        <w:rPr>
          <w:rFonts w:asciiTheme="minorHAnsi" w:hAnsiTheme="minorHAnsi" w:cstheme="minorHAnsi"/>
          <w:bCs/>
          <w:sz w:val="22"/>
          <w:szCs w:val="22"/>
        </w:rPr>
        <w:t>years</w:t>
      </w:r>
      <w:r w:rsidRPr="00555F0A">
        <w:rPr>
          <w:rFonts w:asciiTheme="minorHAnsi" w:hAnsiTheme="minorHAnsi" w:cstheme="minorHAnsi"/>
          <w:bCs/>
          <w:sz w:val="22"/>
          <w:szCs w:val="22"/>
        </w:rPr>
        <w:t xml:space="preserve">. </w:t>
      </w:r>
    </w:p>
    <w:p w14:paraId="00E141A5" w14:textId="46EC4BDC" w:rsidR="00A11301" w:rsidRDefault="000668CA" w:rsidP="00072A14">
      <w:pPr>
        <w:jc w:val="both"/>
      </w:pPr>
      <w:r>
        <w:t xml:space="preserve">Consistent with the need for ongoing therapy, when the analyses include all medicines for heart failure, people stayed on at least one medicine that could be used for heart failure (restricted or unrestricted) for the duration of the study. </w:t>
      </w:r>
    </w:p>
    <w:p w14:paraId="7426847D" w14:textId="77777777" w:rsidR="00F64BD3" w:rsidRDefault="000668CA" w:rsidP="0079747D">
      <w:pPr>
        <w:spacing w:after="0"/>
        <w:jc w:val="both"/>
        <w:rPr>
          <w:rFonts w:cstheme="minorHAnsi"/>
          <w:szCs w:val="18"/>
        </w:rPr>
      </w:pPr>
      <w:r>
        <w:rPr>
          <w:rFonts w:cstheme="minorHAnsi"/>
          <w:szCs w:val="18"/>
        </w:rPr>
        <w:t>A</w:t>
      </w:r>
      <w:r w:rsidR="00C43518">
        <w:rPr>
          <w:rFonts w:cstheme="minorHAnsi"/>
          <w:szCs w:val="18"/>
        </w:rPr>
        <w:t>nalys</w:t>
      </w:r>
      <w:r>
        <w:rPr>
          <w:rFonts w:cstheme="minorHAnsi"/>
          <w:szCs w:val="18"/>
        </w:rPr>
        <w:t xml:space="preserve">es were undertaken to determine if </w:t>
      </w:r>
      <w:r w:rsidR="00C43518">
        <w:rPr>
          <w:rFonts w:cstheme="minorHAnsi"/>
          <w:szCs w:val="18"/>
        </w:rPr>
        <w:t xml:space="preserve">initiation of </w:t>
      </w:r>
      <w:r>
        <w:rPr>
          <w:rFonts w:cstheme="minorHAnsi"/>
          <w:szCs w:val="18"/>
        </w:rPr>
        <w:t>PBS restricted HF medicines was</w:t>
      </w:r>
      <w:r w:rsidR="00C43518">
        <w:rPr>
          <w:rFonts w:cstheme="minorHAnsi"/>
          <w:szCs w:val="18"/>
        </w:rPr>
        <w:t xml:space="preserve"> in accord with PBS restrictions</w:t>
      </w:r>
      <w:r>
        <w:rPr>
          <w:rFonts w:cstheme="minorHAnsi"/>
          <w:szCs w:val="18"/>
        </w:rPr>
        <w:t xml:space="preserve"> using an incident population in 2022 (n= </w:t>
      </w:r>
      <w:r w:rsidR="00C43518" w:rsidRPr="00C119A1">
        <w:rPr>
          <w:rFonts w:cstheme="minorHAnsi"/>
          <w:szCs w:val="18"/>
        </w:rPr>
        <w:t>81,34</w:t>
      </w:r>
      <w:r w:rsidR="00C43518">
        <w:rPr>
          <w:rFonts w:cstheme="minorHAnsi"/>
          <w:szCs w:val="18"/>
        </w:rPr>
        <w:t>3</w:t>
      </w:r>
      <w:r>
        <w:rPr>
          <w:rFonts w:cstheme="minorHAnsi"/>
          <w:szCs w:val="18"/>
        </w:rPr>
        <w:t>)</w:t>
      </w:r>
      <w:r w:rsidR="00F64BD3">
        <w:rPr>
          <w:rFonts w:cstheme="minorHAnsi"/>
          <w:szCs w:val="18"/>
        </w:rPr>
        <w:t>:</w:t>
      </w:r>
    </w:p>
    <w:p w14:paraId="358A7125" w14:textId="7ED10411" w:rsidR="00F64BD3" w:rsidRDefault="00775311" w:rsidP="00F64BD3">
      <w:pPr>
        <w:pStyle w:val="ListParagraph"/>
        <w:numPr>
          <w:ilvl w:val="0"/>
          <w:numId w:val="41"/>
        </w:numPr>
        <w:spacing w:line="276" w:lineRule="auto"/>
        <w:ind w:left="408" w:hanging="357"/>
        <w:jc w:val="both"/>
        <w:rPr>
          <w:rFonts w:asciiTheme="minorHAnsi" w:hAnsiTheme="minorHAnsi" w:cstheme="minorHAnsi"/>
          <w:sz w:val="22"/>
          <w:szCs w:val="22"/>
        </w:rPr>
      </w:pPr>
      <w:r w:rsidRPr="00F64BD3">
        <w:rPr>
          <w:rFonts w:asciiTheme="minorHAnsi" w:hAnsiTheme="minorHAnsi" w:cstheme="minorHAnsi"/>
          <w:sz w:val="22"/>
          <w:szCs w:val="22"/>
        </w:rPr>
        <w:t>Overall, 67% of use of BB specific for heart failure was in persons who had previously been on an ACE</w:t>
      </w:r>
      <w:r w:rsidR="003A0616">
        <w:rPr>
          <w:rFonts w:asciiTheme="minorHAnsi" w:hAnsiTheme="minorHAnsi" w:cstheme="minorHAnsi"/>
          <w:sz w:val="22"/>
          <w:szCs w:val="22"/>
        </w:rPr>
        <w:t>i</w:t>
      </w:r>
      <w:r w:rsidRPr="00F64BD3">
        <w:rPr>
          <w:rFonts w:asciiTheme="minorHAnsi" w:hAnsiTheme="minorHAnsi" w:cstheme="minorHAnsi"/>
          <w:sz w:val="22"/>
          <w:szCs w:val="22"/>
        </w:rPr>
        <w:t xml:space="preserve">/ARB, although one third had not had a dispensing in the year prior. </w:t>
      </w:r>
    </w:p>
    <w:p w14:paraId="3FF68F7C" w14:textId="33960759" w:rsidR="00775311" w:rsidRPr="00F64BD3" w:rsidRDefault="00775311" w:rsidP="00F64BD3">
      <w:pPr>
        <w:pStyle w:val="ListParagraph"/>
        <w:numPr>
          <w:ilvl w:val="0"/>
          <w:numId w:val="41"/>
        </w:numPr>
        <w:spacing w:line="276" w:lineRule="auto"/>
        <w:ind w:left="408" w:hanging="357"/>
        <w:jc w:val="both"/>
        <w:rPr>
          <w:rFonts w:asciiTheme="minorHAnsi" w:hAnsiTheme="minorHAnsi" w:cstheme="minorHAnsi"/>
          <w:sz w:val="22"/>
          <w:szCs w:val="22"/>
        </w:rPr>
      </w:pPr>
      <w:r w:rsidRPr="00F64BD3">
        <w:rPr>
          <w:rFonts w:asciiTheme="minorHAnsi" w:hAnsiTheme="minorHAnsi" w:cstheme="minorHAnsi"/>
          <w:sz w:val="22"/>
          <w:szCs w:val="22"/>
        </w:rPr>
        <w:t xml:space="preserve">The initiation of </w:t>
      </w:r>
      <w:r w:rsidR="00045342" w:rsidRPr="00F64BD3">
        <w:rPr>
          <w:rFonts w:asciiTheme="minorHAnsi" w:hAnsiTheme="minorHAnsi" w:cstheme="minorHAnsi"/>
          <w:sz w:val="22"/>
          <w:szCs w:val="22"/>
        </w:rPr>
        <w:t xml:space="preserve">an </w:t>
      </w:r>
      <w:r w:rsidRPr="00F64BD3">
        <w:rPr>
          <w:rFonts w:asciiTheme="minorHAnsi" w:hAnsiTheme="minorHAnsi" w:cstheme="minorHAnsi"/>
          <w:sz w:val="22"/>
          <w:szCs w:val="22"/>
        </w:rPr>
        <w:t xml:space="preserve">ARNI was frequently not in accord with the PBS restrictions, with </w:t>
      </w:r>
      <w:r w:rsidR="00045342" w:rsidRPr="00F64BD3">
        <w:rPr>
          <w:rFonts w:asciiTheme="minorHAnsi" w:hAnsiTheme="minorHAnsi" w:cstheme="minorHAnsi"/>
          <w:sz w:val="22"/>
          <w:szCs w:val="22"/>
        </w:rPr>
        <w:t xml:space="preserve">only </w:t>
      </w:r>
      <w:r w:rsidRPr="00F64BD3">
        <w:rPr>
          <w:rFonts w:asciiTheme="minorHAnsi" w:hAnsiTheme="minorHAnsi" w:cstheme="minorHAnsi"/>
          <w:sz w:val="22"/>
          <w:szCs w:val="22"/>
        </w:rPr>
        <w:t>39% having concomitant use of a</w:t>
      </w:r>
      <w:r w:rsidR="004A099D" w:rsidRPr="00F64BD3">
        <w:rPr>
          <w:rFonts w:asciiTheme="minorHAnsi" w:hAnsiTheme="minorHAnsi" w:cstheme="minorHAnsi"/>
          <w:sz w:val="22"/>
          <w:szCs w:val="22"/>
        </w:rPr>
        <w:t>ny</w:t>
      </w:r>
      <w:r w:rsidRPr="00F64BD3">
        <w:rPr>
          <w:rFonts w:asciiTheme="minorHAnsi" w:hAnsiTheme="minorHAnsi" w:cstheme="minorHAnsi"/>
          <w:sz w:val="22"/>
          <w:szCs w:val="22"/>
        </w:rPr>
        <w:t xml:space="preserve"> BB and </w:t>
      </w:r>
      <w:r w:rsidR="00045342" w:rsidRPr="00F64BD3">
        <w:rPr>
          <w:rFonts w:asciiTheme="minorHAnsi" w:hAnsiTheme="minorHAnsi" w:cstheme="minorHAnsi"/>
          <w:sz w:val="22"/>
          <w:szCs w:val="22"/>
        </w:rPr>
        <w:t xml:space="preserve">only </w:t>
      </w:r>
      <w:r w:rsidRPr="00F64BD3">
        <w:rPr>
          <w:rFonts w:asciiTheme="minorHAnsi" w:hAnsiTheme="minorHAnsi" w:cstheme="minorHAnsi"/>
          <w:sz w:val="22"/>
          <w:szCs w:val="22"/>
        </w:rPr>
        <w:t>36% having had a</w:t>
      </w:r>
      <w:r w:rsidR="00045342" w:rsidRPr="00F64BD3">
        <w:rPr>
          <w:rFonts w:asciiTheme="minorHAnsi" w:hAnsiTheme="minorHAnsi" w:cstheme="minorHAnsi"/>
          <w:sz w:val="22"/>
          <w:szCs w:val="22"/>
        </w:rPr>
        <w:t>n</w:t>
      </w:r>
      <w:r w:rsidRPr="00F64BD3">
        <w:rPr>
          <w:rFonts w:asciiTheme="minorHAnsi" w:hAnsiTheme="minorHAnsi" w:cstheme="minorHAnsi"/>
          <w:sz w:val="22"/>
          <w:szCs w:val="22"/>
        </w:rPr>
        <w:t xml:space="preserve"> ACE</w:t>
      </w:r>
      <w:r w:rsidR="003A0616">
        <w:rPr>
          <w:rFonts w:asciiTheme="minorHAnsi" w:hAnsiTheme="minorHAnsi" w:cstheme="minorHAnsi"/>
          <w:sz w:val="22"/>
          <w:szCs w:val="22"/>
        </w:rPr>
        <w:t>i</w:t>
      </w:r>
      <w:r w:rsidRPr="00F64BD3">
        <w:rPr>
          <w:rFonts w:asciiTheme="minorHAnsi" w:hAnsiTheme="minorHAnsi" w:cstheme="minorHAnsi"/>
          <w:sz w:val="22"/>
          <w:szCs w:val="22"/>
        </w:rPr>
        <w:t xml:space="preserve">/ARB in the year prior. </w:t>
      </w:r>
      <w:r w:rsidR="00F64BD3" w:rsidRPr="00F64BD3">
        <w:rPr>
          <w:rFonts w:asciiTheme="minorHAnsi" w:hAnsiTheme="minorHAnsi" w:cstheme="minorHAnsi"/>
          <w:sz w:val="22"/>
          <w:szCs w:val="22"/>
        </w:rPr>
        <w:t xml:space="preserve"> </w:t>
      </w:r>
    </w:p>
    <w:p w14:paraId="70EB6268" w14:textId="36DA8410" w:rsidR="00775311" w:rsidRDefault="00775311" w:rsidP="00F64BD3">
      <w:pPr>
        <w:pStyle w:val="ListParagraph"/>
        <w:numPr>
          <w:ilvl w:val="0"/>
          <w:numId w:val="41"/>
        </w:numPr>
        <w:spacing w:line="276" w:lineRule="auto"/>
        <w:ind w:left="408" w:hanging="357"/>
        <w:jc w:val="both"/>
        <w:rPr>
          <w:rFonts w:asciiTheme="minorHAnsi" w:hAnsiTheme="minorHAnsi" w:cstheme="minorHAnsi"/>
          <w:sz w:val="22"/>
          <w:szCs w:val="22"/>
        </w:rPr>
      </w:pPr>
      <w:r w:rsidRPr="00F64BD3">
        <w:rPr>
          <w:rFonts w:asciiTheme="minorHAnsi" w:hAnsiTheme="minorHAnsi" w:cstheme="minorHAnsi"/>
          <w:sz w:val="22"/>
          <w:szCs w:val="22"/>
        </w:rPr>
        <w:t>Overall</w:t>
      </w:r>
      <w:r w:rsidR="004A099D" w:rsidRPr="00F64BD3">
        <w:rPr>
          <w:rFonts w:asciiTheme="minorHAnsi" w:hAnsiTheme="minorHAnsi" w:cstheme="minorHAnsi"/>
          <w:sz w:val="22"/>
          <w:szCs w:val="22"/>
        </w:rPr>
        <w:t>,</w:t>
      </w:r>
      <w:r w:rsidRPr="00F64BD3">
        <w:rPr>
          <w:rFonts w:asciiTheme="minorHAnsi" w:hAnsiTheme="minorHAnsi" w:cstheme="minorHAnsi"/>
          <w:sz w:val="22"/>
          <w:szCs w:val="22"/>
        </w:rPr>
        <w:t xml:space="preserve"> 57% of SGLT2</w:t>
      </w:r>
      <w:r w:rsidR="00546F0F">
        <w:rPr>
          <w:rFonts w:asciiTheme="minorHAnsi" w:hAnsiTheme="minorHAnsi" w:cstheme="minorHAnsi"/>
          <w:sz w:val="22"/>
          <w:szCs w:val="22"/>
        </w:rPr>
        <w:t xml:space="preserve"> inhibitor</w:t>
      </w:r>
      <w:r w:rsidRPr="00F64BD3">
        <w:rPr>
          <w:rFonts w:asciiTheme="minorHAnsi" w:hAnsiTheme="minorHAnsi" w:cstheme="minorHAnsi"/>
          <w:sz w:val="22"/>
          <w:szCs w:val="22"/>
        </w:rPr>
        <w:t xml:space="preserve"> initiation was in persons already on at least one therapy that may be for heart failure. SGLT2 inhibitors are indicated for HF with preserved ejection fraction, </w:t>
      </w:r>
      <w:r w:rsidR="001E0424">
        <w:rPr>
          <w:rFonts w:asciiTheme="minorHAnsi" w:hAnsiTheme="minorHAnsi" w:cstheme="minorHAnsi"/>
          <w:sz w:val="22"/>
          <w:szCs w:val="22"/>
        </w:rPr>
        <w:t xml:space="preserve">which was not a PBS listed indication during the study period. This </w:t>
      </w:r>
      <w:r w:rsidRPr="00F64BD3">
        <w:rPr>
          <w:rFonts w:asciiTheme="minorHAnsi" w:hAnsiTheme="minorHAnsi" w:cstheme="minorHAnsi"/>
          <w:sz w:val="22"/>
          <w:szCs w:val="22"/>
        </w:rPr>
        <w:t xml:space="preserve">may account for a proportion of the 43% of the population that appear to have had the medicine outside of PBS restrictions as they </w:t>
      </w:r>
      <w:r w:rsidR="00F64BD3" w:rsidRPr="00F64BD3">
        <w:rPr>
          <w:rFonts w:asciiTheme="minorHAnsi" w:hAnsiTheme="minorHAnsi" w:cstheme="minorHAnsi"/>
          <w:sz w:val="22"/>
          <w:szCs w:val="22"/>
        </w:rPr>
        <w:t xml:space="preserve">had no-add therapy with </w:t>
      </w:r>
      <w:r w:rsidRPr="00F64BD3">
        <w:rPr>
          <w:rFonts w:asciiTheme="minorHAnsi" w:hAnsiTheme="minorHAnsi" w:cstheme="minorHAnsi"/>
          <w:sz w:val="22"/>
          <w:szCs w:val="22"/>
        </w:rPr>
        <w:t>ACE</w:t>
      </w:r>
      <w:r w:rsidR="003A0616">
        <w:rPr>
          <w:rFonts w:asciiTheme="minorHAnsi" w:hAnsiTheme="minorHAnsi" w:cstheme="minorHAnsi"/>
          <w:sz w:val="22"/>
          <w:szCs w:val="22"/>
        </w:rPr>
        <w:t>i</w:t>
      </w:r>
      <w:r w:rsidRPr="00F64BD3">
        <w:rPr>
          <w:rFonts w:asciiTheme="minorHAnsi" w:hAnsiTheme="minorHAnsi" w:cstheme="minorHAnsi"/>
          <w:sz w:val="22"/>
          <w:szCs w:val="22"/>
        </w:rPr>
        <w:t>/ARB/ARN</w:t>
      </w:r>
      <w:r w:rsidR="000A3E5C" w:rsidRPr="00F64BD3">
        <w:rPr>
          <w:rFonts w:asciiTheme="minorHAnsi" w:hAnsiTheme="minorHAnsi" w:cstheme="minorHAnsi"/>
          <w:sz w:val="22"/>
          <w:szCs w:val="22"/>
        </w:rPr>
        <w:t>I</w:t>
      </w:r>
      <w:r w:rsidRPr="00F64BD3">
        <w:rPr>
          <w:rFonts w:asciiTheme="minorHAnsi" w:hAnsiTheme="minorHAnsi" w:cstheme="minorHAnsi"/>
          <w:sz w:val="22"/>
          <w:szCs w:val="22"/>
        </w:rPr>
        <w:t xml:space="preserve"> or a beta-blocker</w:t>
      </w:r>
      <w:r w:rsidR="00F64BD3" w:rsidRPr="00F64BD3">
        <w:rPr>
          <w:rFonts w:asciiTheme="minorHAnsi" w:hAnsiTheme="minorHAnsi" w:cstheme="minorHAnsi"/>
          <w:sz w:val="22"/>
          <w:szCs w:val="22"/>
        </w:rPr>
        <w:t>.</w:t>
      </w:r>
      <w:r w:rsidRPr="00F64BD3">
        <w:rPr>
          <w:rFonts w:asciiTheme="minorHAnsi" w:hAnsiTheme="minorHAnsi" w:cstheme="minorHAnsi"/>
          <w:sz w:val="22"/>
          <w:szCs w:val="22"/>
        </w:rPr>
        <w:t xml:space="preserve"> The majority (88%) of people initiated on SGLT2 were not on a second SGLT2 inhibitor. It is possible that incorrect selection of PBS item codes </w:t>
      </w:r>
      <w:r w:rsidR="001E0424">
        <w:rPr>
          <w:rFonts w:asciiTheme="minorHAnsi" w:hAnsiTheme="minorHAnsi" w:cstheme="minorHAnsi"/>
          <w:sz w:val="22"/>
          <w:szCs w:val="22"/>
        </w:rPr>
        <w:t xml:space="preserve">may </w:t>
      </w:r>
      <w:r w:rsidRPr="00F64BD3">
        <w:rPr>
          <w:rFonts w:asciiTheme="minorHAnsi" w:hAnsiTheme="minorHAnsi" w:cstheme="minorHAnsi"/>
          <w:sz w:val="22"/>
          <w:szCs w:val="22"/>
        </w:rPr>
        <w:t>account for some</w:t>
      </w:r>
      <w:r w:rsidR="001E0424">
        <w:rPr>
          <w:rFonts w:asciiTheme="minorHAnsi" w:hAnsiTheme="minorHAnsi" w:cstheme="minorHAnsi"/>
          <w:sz w:val="22"/>
          <w:szCs w:val="22"/>
        </w:rPr>
        <w:t xml:space="preserve"> of the 12% of </w:t>
      </w:r>
      <w:r w:rsidRPr="00F64BD3">
        <w:rPr>
          <w:rFonts w:asciiTheme="minorHAnsi" w:hAnsiTheme="minorHAnsi" w:cstheme="minorHAnsi"/>
          <w:sz w:val="22"/>
          <w:szCs w:val="22"/>
        </w:rPr>
        <w:t>dispensings</w:t>
      </w:r>
      <w:r w:rsidR="001E0424">
        <w:rPr>
          <w:rFonts w:asciiTheme="minorHAnsi" w:hAnsiTheme="minorHAnsi" w:cstheme="minorHAnsi"/>
          <w:sz w:val="22"/>
          <w:szCs w:val="22"/>
        </w:rPr>
        <w:t xml:space="preserve"> that were dispensed </w:t>
      </w:r>
      <w:r w:rsidRPr="00F64BD3">
        <w:rPr>
          <w:rFonts w:asciiTheme="minorHAnsi" w:hAnsiTheme="minorHAnsi" w:cstheme="minorHAnsi"/>
          <w:sz w:val="22"/>
          <w:szCs w:val="22"/>
        </w:rPr>
        <w:t xml:space="preserve">for indications other than heart failure. </w:t>
      </w:r>
    </w:p>
    <w:p w14:paraId="112B323C" w14:textId="25096504" w:rsidR="00775311" w:rsidRPr="00F64BD3" w:rsidRDefault="00775311" w:rsidP="00F64BD3">
      <w:pPr>
        <w:pStyle w:val="ListParagraph"/>
        <w:numPr>
          <w:ilvl w:val="0"/>
          <w:numId w:val="41"/>
        </w:numPr>
        <w:spacing w:line="276" w:lineRule="auto"/>
        <w:ind w:left="408" w:hanging="357"/>
        <w:jc w:val="both"/>
        <w:rPr>
          <w:rFonts w:asciiTheme="minorHAnsi" w:hAnsiTheme="minorHAnsi" w:cstheme="minorHAnsi"/>
          <w:sz w:val="22"/>
          <w:szCs w:val="22"/>
        </w:rPr>
      </w:pPr>
      <w:r w:rsidRPr="00F64BD3">
        <w:rPr>
          <w:rFonts w:asciiTheme="minorHAnsi" w:hAnsiTheme="minorHAnsi" w:cstheme="minorHAnsi"/>
          <w:sz w:val="22"/>
          <w:szCs w:val="22"/>
        </w:rPr>
        <w:t>The majority of HCN use, which is not a large proportion of the population, appears to be outside of PBS restrictions as 8</w:t>
      </w:r>
      <w:r w:rsidR="00F64BD3">
        <w:rPr>
          <w:rFonts w:asciiTheme="minorHAnsi" w:hAnsiTheme="minorHAnsi" w:cstheme="minorHAnsi"/>
          <w:sz w:val="22"/>
          <w:szCs w:val="22"/>
        </w:rPr>
        <w:t>3</w:t>
      </w:r>
      <w:r w:rsidRPr="00F64BD3">
        <w:rPr>
          <w:rFonts w:asciiTheme="minorHAnsi" w:hAnsiTheme="minorHAnsi" w:cstheme="minorHAnsi"/>
          <w:sz w:val="22"/>
          <w:szCs w:val="22"/>
        </w:rPr>
        <w:t>% did not have concomitant use of a BB.</w:t>
      </w:r>
    </w:p>
    <w:p w14:paraId="4132E46A" w14:textId="0E0278CE" w:rsidR="00775311" w:rsidRPr="00F64BD3" w:rsidRDefault="00775311" w:rsidP="00F64BD3">
      <w:pPr>
        <w:pStyle w:val="ListParagraph"/>
        <w:numPr>
          <w:ilvl w:val="0"/>
          <w:numId w:val="41"/>
        </w:numPr>
        <w:spacing w:line="276" w:lineRule="auto"/>
        <w:ind w:left="408" w:hanging="357"/>
        <w:jc w:val="both"/>
        <w:rPr>
          <w:rFonts w:asciiTheme="minorHAnsi" w:hAnsiTheme="minorHAnsi" w:cstheme="minorHAnsi"/>
          <w:sz w:val="22"/>
          <w:szCs w:val="22"/>
        </w:rPr>
      </w:pPr>
      <w:r w:rsidRPr="00F64BD3">
        <w:rPr>
          <w:rFonts w:asciiTheme="minorHAnsi" w:hAnsiTheme="minorHAnsi" w:cstheme="minorHAnsi"/>
          <w:sz w:val="22"/>
          <w:szCs w:val="22"/>
        </w:rPr>
        <w:t>The sGC market is too new and data were not available to assess the PBS restrictions.</w:t>
      </w:r>
    </w:p>
    <w:p w14:paraId="00C8530D" w14:textId="35A01681" w:rsidR="00A26120" w:rsidRDefault="0037002A" w:rsidP="00072A14">
      <w:pPr>
        <w:jc w:val="both"/>
        <w:rPr>
          <w:rFonts w:cstheme="minorHAnsi"/>
          <w:szCs w:val="18"/>
        </w:rPr>
      </w:pPr>
      <w:r>
        <w:rPr>
          <w:rFonts w:cstheme="minorHAnsi"/>
          <w:szCs w:val="18"/>
        </w:rPr>
        <w:t>SGLT2 inhibitors</w:t>
      </w:r>
      <w:r w:rsidR="00755A61">
        <w:rPr>
          <w:rFonts w:cstheme="minorHAnsi"/>
          <w:szCs w:val="18"/>
        </w:rPr>
        <w:t>,</w:t>
      </w:r>
      <w:r w:rsidR="00C3625E">
        <w:rPr>
          <w:rFonts w:cstheme="minorHAnsi"/>
          <w:szCs w:val="18"/>
        </w:rPr>
        <w:t xml:space="preserve"> dapagliflozin and </w:t>
      </w:r>
      <w:r w:rsidR="00755A61">
        <w:rPr>
          <w:rFonts w:cstheme="minorHAnsi"/>
          <w:szCs w:val="18"/>
        </w:rPr>
        <w:t>empagliflozin,</w:t>
      </w:r>
      <w:r w:rsidR="00FD3155">
        <w:rPr>
          <w:rFonts w:cstheme="minorHAnsi"/>
          <w:szCs w:val="18"/>
        </w:rPr>
        <w:t xml:space="preserve"> were listed on the PBS for heart failure </w:t>
      </w:r>
      <w:r w:rsidR="00C3625E">
        <w:rPr>
          <w:rFonts w:cstheme="minorHAnsi"/>
          <w:szCs w:val="18"/>
        </w:rPr>
        <w:t xml:space="preserve">in </w:t>
      </w:r>
      <w:r w:rsidR="009D6CCD" w:rsidRPr="009D6CCD">
        <w:rPr>
          <w:rFonts w:cstheme="minorHAnsi"/>
          <w:szCs w:val="18"/>
        </w:rPr>
        <w:t>January and April 2022</w:t>
      </w:r>
      <w:r w:rsidR="00755A61">
        <w:rPr>
          <w:rFonts w:cstheme="minorHAnsi"/>
          <w:szCs w:val="18"/>
        </w:rPr>
        <w:t>,</w:t>
      </w:r>
      <w:r w:rsidR="009D6CCD" w:rsidRPr="009D6CCD">
        <w:rPr>
          <w:rFonts w:cstheme="minorHAnsi"/>
          <w:szCs w:val="18"/>
        </w:rPr>
        <w:t xml:space="preserve"> respectively</w:t>
      </w:r>
      <w:r w:rsidR="009D6CCD">
        <w:rPr>
          <w:rFonts w:cstheme="minorHAnsi"/>
          <w:szCs w:val="18"/>
        </w:rPr>
        <w:t xml:space="preserve">. </w:t>
      </w:r>
      <w:r w:rsidR="00F90A4E">
        <w:rPr>
          <w:rFonts w:cstheme="minorHAnsi"/>
          <w:szCs w:val="18"/>
        </w:rPr>
        <w:t>It was hypothesised there may be a proportion of p</w:t>
      </w:r>
      <w:r w:rsidR="002A482A">
        <w:rPr>
          <w:rFonts w:cstheme="minorHAnsi"/>
          <w:szCs w:val="18"/>
        </w:rPr>
        <w:t>eople</w:t>
      </w:r>
      <w:r w:rsidR="0016327F">
        <w:rPr>
          <w:rFonts w:cstheme="minorHAnsi"/>
          <w:szCs w:val="18"/>
        </w:rPr>
        <w:t xml:space="preserve"> </w:t>
      </w:r>
      <w:r w:rsidR="006D6AA8">
        <w:rPr>
          <w:rFonts w:cstheme="minorHAnsi"/>
          <w:szCs w:val="18"/>
        </w:rPr>
        <w:t xml:space="preserve">with heart failure </w:t>
      </w:r>
      <w:r w:rsidR="0016327F">
        <w:rPr>
          <w:rFonts w:cstheme="minorHAnsi"/>
          <w:szCs w:val="18"/>
        </w:rPr>
        <w:t xml:space="preserve">receiving </w:t>
      </w:r>
      <w:r w:rsidR="000F4AFB">
        <w:rPr>
          <w:rFonts w:cstheme="minorHAnsi"/>
          <w:szCs w:val="18"/>
        </w:rPr>
        <w:t xml:space="preserve">PBS subsidised </w:t>
      </w:r>
      <w:r w:rsidR="0016327F">
        <w:rPr>
          <w:rFonts w:cstheme="minorHAnsi"/>
          <w:szCs w:val="18"/>
        </w:rPr>
        <w:t>treatment with a</w:t>
      </w:r>
      <w:r w:rsidR="002A482A">
        <w:rPr>
          <w:rFonts w:cstheme="minorHAnsi"/>
          <w:szCs w:val="18"/>
        </w:rPr>
        <w:t>n</w:t>
      </w:r>
      <w:r w:rsidR="0016327F">
        <w:rPr>
          <w:rFonts w:cstheme="minorHAnsi"/>
          <w:szCs w:val="18"/>
        </w:rPr>
        <w:t xml:space="preserve"> SGLT2 inhibitor </w:t>
      </w:r>
      <w:r w:rsidR="002A482A">
        <w:rPr>
          <w:rFonts w:cstheme="minorHAnsi"/>
          <w:szCs w:val="18"/>
        </w:rPr>
        <w:t>under a non-HF indication (e.g. type 2 diabetes, chronic kidney disease)</w:t>
      </w:r>
      <w:r w:rsidR="00A1117F">
        <w:rPr>
          <w:rFonts w:cstheme="minorHAnsi"/>
          <w:szCs w:val="18"/>
        </w:rPr>
        <w:t>.</w:t>
      </w:r>
      <w:r w:rsidR="000F4AFB">
        <w:rPr>
          <w:rFonts w:cstheme="minorHAnsi"/>
          <w:szCs w:val="18"/>
        </w:rPr>
        <w:t xml:space="preserve"> </w:t>
      </w:r>
      <w:r w:rsidR="00F412B5">
        <w:rPr>
          <w:rFonts w:cstheme="minorHAnsi"/>
          <w:szCs w:val="18"/>
        </w:rPr>
        <w:t>The</w:t>
      </w:r>
      <w:r w:rsidR="009968BE">
        <w:rPr>
          <w:rFonts w:cstheme="minorHAnsi"/>
          <w:szCs w:val="18"/>
        </w:rPr>
        <w:t xml:space="preserve"> analysis </w:t>
      </w:r>
      <w:r w:rsidR="00825B9E">
        <w:rPr>
          <w:rFonts w:cstheme="minorHAnsi"/>
          <w:szCs w:val="18"/>
        </w:rPr>
        <w:t>found that i</w:t>
      </w:r>
      <w:r w:rsidR="00825B9E" w:rsidRPr="000E29D8">
        <w:rPr>
          <w:rFonts w:cstheme="minorHAnsi"/>
          <w:szCs w:val="18"/>
        </w:rPr>
        <w:t xml:space="preserve">n </w:t>
      </w:r>
      <w:r w:rsidR="00614F40" w:rsidRPr="000E29D8">
        <w:rPr>
          <w:rFonts w:cstheme="minorHAnsi"/>
          <w:szCs w:val="18"/>
        </w:rPr>
        <w:t xml:space="preserve">December 2022, </w:t>
      </w:r>
      <w:r w:rsidR="00C75101">
        <w:rPr>
          <w:rFonts w:cstheme="minorHAnsi"/>
          <w:szCs w:val="18"/>
        </w:rPr>
        <w:t>3</w:t>
      </w:r>
      <w:r w:rsidR="00614F40" w:rsidRPr="000E29D8">
        <w:rPr>
          <w:rFonts w:cstheme="minorHAnsi"/>
          <w:szCs w:val="18"/>
        </w:rPr>
        <w:t xml:space="preserve">% of prevalent users of </w:t>
      </w:r>
      <w:r w:rsidR="00825B9E">
        <w:rPr>
          <w:rFonts w:cstheme="minorHAnsi"/>
          <w:szCs w:val="18"/>
        </w:rPr>
        <w:t xml:space="preserve">PBS restricted </w:t>
      </w:r>
      <w:r w:rsidR="00614F40" w:rsidRPr="000E29D8">
        <w:rPr>
          <w:rFonts w:cstheme="minorHAnsi"/>
          <w:szCs w:val="18"/>
        </w:rPr>
        <w:t xml:space="preserve">HF medicines </w:t>
      </w:r>
      <w:r w:rsidR="00F0586E">
        <w:rPr>
          <w:rFonts w:cstheme="minorHAnsi"/>
          <w:szCs w:val="18"/>
        </w:rPr>
        <w:t>received a</w:t>
      </w:r>
      <w:r w:rsidR="00967D5B">
        <w:rPr>
          <w:rFonts w:cstheme="minorHAnsi"/>
          <w:szCs w:val="18"/>
        </w:rPr>
        <w:t xml:space="preserve"> PBS subsidised</w:t>
      </w:r>
      <w:r w:rsidR="00F0586E">
        <w:rPr>
          <w:rFonts w:cstheme="minorHAnsi"/>
          <w:szCs w:val="18"/>
        </w:rPr>
        <w:t xml:space="preserve"> </w:t>
      </w:r>
      <w:r w:rsidR="00614F40" w:rsidRPr="000E29D8">
        <w:rPr>
          <w:rFonts w:cstheme="minorHAnsi"/>
          <w:szCs w:val="18"/>
        </w:rPr>
        <w:t xml:space="preserve">SGLT2 inhibitor </w:t>
      </w:r>
      <w:r w:rsidR="00F0586E">
        <w:rPr>
          <w:rFonts w:cstheme="minorHAnsi"/>
          <w:szCs w:val="18"/>
        </w:rPr>
        <w:t>under a non-HF indication</w:t>
      </w:r>
      <w:r w:rsidR="00614F40" w:rsidRPr="000E29D8">
        <w:rPr>
          <w:rFonts w:cstheme="minorHAnsi"/>
          <w:szCs w:val="18"/>
        </w:rPr>
        <w:t xml:space="preserve"> and were not dispensed any other </w:t>
      </w:r>
      <w:r w:rsidR="00F412B5">
        <w:rPr>
          <w:rFonts w:cstheme="minorHAnsi"/>
          <w:szCs w:val="18"/>
        </w:rPr>
        <w:t>medicines for diabetes</w:t>
      </w:r>
      <w:r w:rsidR="00181850">
        <w:rPr>
          <w:rFonts w:cstheme="minorHAnsi"/>
          <w:szCs w:val="18"/>
        </w:rPr>
        <w:t>.</w:t>
      </w:r>
      <w:r w:rsidR="00181850" w:rsidRPr="000E29D8">
        <w:rPr>
          <w:rFonts w:cstheme="minorHAnsi"/>
          <w:szCs w:val="18"/>
        </w:rPr>
        <w:t xml:space="preserve"> </w:t>
      </w:r>
      <w:r w:rsidR="00EB13D9">
        <w:rPr>
          <w:rFonts w:cstheme="minorHAnsi"/>
          <w:szCs w:val="18"/>
        </w:rPr>
        <w:t xml:space="preserve">It is possible </w:t>
      </w:r>
      <w:r w:rsidR="00614F40" w:rsidRPr="000E29D8">
        <w:rPr>
          <w:rFonts w:cstheme="minorHAnsi"/>
          <w:szCs w:val="18"/>
        </w:rPr>
        <w:t xml:space="preserve">this use may represent </w:t>
      </w:r>
      <w:r w:rsidR="00EB13D9">
        <w:rPr>
          <w:rFonts w:cstheme="minorHAnsi"/>
          <w:szCs w:val="18"/>
        </w:rPr>
        <w:t xml:space="preserve">SGLT2 inhibitor </w:t>
      </w:r>
      <w:r w:rsidR="00614F40" w:rsidRPr="000E29D8">
        <w:rPr>
          <w:rFonts w:cstheme="minorHAnsi"/>
          <w:szCs w:val="18"/>
        </w:rPr>
        <w:t xml:space="preserve">use for </w:t>
      </w:r>
      <w:r w:rsidR="00EB13D9">
        <w:rPr>
          <w:rFonts w:cstheme="minorHAnsi"/>
          <w:szCs w:val="18"/>
        </w:rPr>
        <w:t>HF</w:t>
      </w:r>
      <w:r w:rsidR="00614F40" w:rsidRPr="000E29D8">
        <w:rPr>
          <w:rFonts w:cstheme="minorHAnsi"/>
          <w:szCs w:val="18"/>
        </w:rPr>
        <w:t xml:space="preserve"> or use outside of </w:t>
      </w:r>
      <w:r w:rsidR="00905DDE">
        <w:rPr>
          <w:rFonts w:cstheme="minorHAnsi"/>
          <w:szCs w:val="18"/>
        </w:rPr>
        <w:t xml:space="preserve">PBS </w:t>
      </w:r>
      <w:r w:rsidR="00614F40" w:rsidRPr="000E29D8">
        <w:rPr>
          <w:rFonts w:cstheme="minorHAnsi"/>
          <w:szCs w:val="18"/>
        </w:rPr>
        <w:t>restrictions for diabetes</w:t>
      </w:r>
      <w:r w:rsidR="00905DDE">
        <w:rPr>
          <w:rFonts w:cstheme="minorHAnsi"/>
          <w:szCs w:val="18"/>
        </w:rPr>
        <w:t xml:space="preserve"> </w:t>
      </w:r>
      <w:r w:rsidR="001E2901">
        <w:rPr>
          <w:rFonts w:cstheme="minorHAnsi"/>
          <w:szCs w:val="18"/>
        </w:rPr>
        <w:t>(</w:t>
      </w:r>
      <w:r w:rsidR="00047EF6">
        <w:rPr>
          <w:rFonts w:cstheme="minorHAnsi"/>
          <w:szCs w:val="18"/>
        </w:rPr>
        <w:t>PBS restrictions d</w:t>
      </w:r>
      <w:r w:rsidR="001E2901">
        <w:rPr>
          <w:rFonts w:cstheme="minorHAnsi"/>
          <w:szCs w:val="18"/>
        </w:rPr>
        <w:t>o not currently allow monotherapy with an SGLT2 inhibitor</w:t>
      </w:r>
      <w:r w:rsidR="00047EF6">
        <w:rPr>
          <w:rFonts w:cstheme="minorHAnsi"/>
          <w:szCs w:val="18"/>
        </w:rPr>
        <w:t xml:space="preserve"> for type 2 diabetes</w:t>
      </w:r>
      <w:r w:rsidR="001E2901">
        <w:rPr>
          <w:rFonts w:cstheme="minorHAnsi"/>
          <w:szCs w:val="18"/>
        </w:rPr>
        <w:t>)</w:t>
      </w:r>
      <w:r w:rsidR="00614F40" w:rsidRPr="000E29D8">
        <w:rPr>
          <w:rFonts w:cstheme="minorHAnsi"/>
          <w:szCs w:val="18"/>
        </w:rPr>
        <w:t>.</w:t>
      </w:r>
    </w:p>
    <w:p w14:paraId="663729AE" w14:textId="1713285B" w:rsidR="001C745B" w:rsidRDefault="001C745B" w:rsidP="00072A14">
      <w:pPr>
        <w:jc w:val="both"/>
      </w:pPr>
      <w:r>
        <w:t>Am</w:t>
      </w:r>
      <w:r w:rsidRPr="00FA1177">
        <w:t xml:space="preserve">ong all people who had </w:t>
      </w:r>
      <w:r w:rsidR="00546F0F">
        <w:t xml:space="preserve">an </w:t>
      </w:r>
      <w:r w:rsidRPr="00FA1177">
        <w:t>SGLT2</w:t>
      </w:r>
      <w:r w:rsidR="00546F0F">
        <w:t xml:space="preserve"> inhibitor</w:t>
      </w:r>
      <w:r w:rsidRPr="00FA1177">
        <w:t xml:space="preserve"> for HF, approximately 40% were supplied an ARNI, with </w:t>
      </w:r>
      <w:r w:rsidR="00C444E9">
        <w:t>around</w:t>
      </w:r>
      <w:r w:rsidRPr="00FA1177">
        <w:t xml:space="preserve"> </w:t>
      </w:r>
      <w:r w:rsidR="00C444E9">
        <w:t xml:space="preserve">25% - </w:t>
      </w:r>
      <w:r w:rsidRPr="00FA1177">
        <w:t>30% supplied an ACE</w:t>
      </w:r>
      <w:r w:rsidR="003A0616">
        <w:t>i</w:t>
      </w:r>
      <w:r w:rsidRPr="00FA1177">
        <w:t>/ARB concurrently</w:t>
      </w:r>
      <w:r>
        <w:t xml:space="preserve">. This compares with the estimates that </w:t>
      </w:r>
      <w:r>
        <w:rPr>
          <w:rFonts w:cstheme="minorHAnsi"/>
          <w:lang w:val="en-US"/>
        </w:rPr>
        <w:t>between 11% and 20% of the standard of care population would likely be supplied an ARNI and the remainder would be on ACE</w:t>
      </w:r>
      <w:r w:rsidR="003A0616">
        <w:rPr>
          <w:rFonts w:cstheme="minorHAnsi"/>
          <w:lang w:val="en-US"/>
        </w:rPr>
        <w:t>i</w:t>
      </w:r>
      <w:r>
        <w:rPr>
          <w:rFonts w:cstheme="minorHAnsi"/>
          <w:lang w:val="en-US"/>
        </w:rPr>
        <w:t>/ARB concurrently when dapagliflozin was assessed by the PBAC for PBS listing for heart failure.</w:t>
      </w:r>
    </w:p>
    <w:p w14:paraId="17FB21EF" w14:textId="3CA8B352" w:rsidR="00A45D75" w:rsidRDefault="00A45D75" w:rsidP="00072A14">
      <w:pPr>
        <w:jc w:val="both"/>
        <w:rPr>
          <w:rFonts w:cstheme="minorHAnsi"/>
          <w:szCs w:val="18"/>
        </w:rPr>
      </w:pPr>
      <w:r>
        <w:rPr>
          <w:rFonts w:cstheme="minorHAnsi"/>
          <w:szCs w:val="18"/>
        </w:rPr>
        <w:t xml:space="preserve">This analysis shows less than half the PBS restricted HF population appear to be on standard of care and there appears to be significant use of PBS restricted HF medicines outside of the restrictions. </w:t>
      </w:r>
      <w:r w:rsidR="008A64AF">
        <w:rPr>
          <w:rFonts w:cstheme="minorHAnsi"/>
          <w:szCs w:val="18"/>
        </w:rPr>
        <w:t>I</w:t>
      </w:r>
      <w:r>
        <w:rPr>
          <w:rFonts w:cstheme="minorHAnsi"/>
          <w:szCs w:val="18"/>
        </w:rPr>
        <w:t xml:space="preserve">n the absence of diagnostic data on disease severity and frailty, it is difficult to conclude the extent to which these analyses represent inappropriate or suboptimal use. It is possible that challenges in implementing quadruple therapy due to frailty or comorbidity are contributing to some of the observed results. The full extent of the influence of age, frailty, and comorbidity, as well as medicine intolerance and contraindications cannot be determined from the PBS data alone. </w:t>
      </w:r>
      <w:r w:rsidR="008A64AF">
        <w:rPr>
          <w:rFonts w:cstheme="minorHAnsi"/>
          <w:szCs w:val="18"/>
        </w:rPr>
        <w:t xml:space="preserve">The analysis does suggest that PBS restricted HF medicines are being used interchangeably more frequently than as add-on therapy, which may have implications for the realisation of the cost-effectiveness benefits of the listings. </w:t>
      </w:r>
    </w:p>
    <w:p w14:paraId="6EFFD6F8" w14:textId="77777777" w:rsidR="00C43518" w:rsidRPr="00755A61" w:rsidRDefault="00C43518" w:rsidP="00072A14">
      <w:pPr>
        <w:jc w:val="both"/>
        <w:rPr>
          <w:rFonts w:cstheme="minorHAnsi"/>
          <w:szCs w:val="18"/>
        </w:rPr>
      </w:pPr>
    </w:p>
    <w:p w14:paraId="2026CC60" w14:textId="77777777" w:rsidR="00E72741" w:rsidRDefault="00E72741" w:rsidP="00072A14">
      <w:pPr>
        <w:jc w:val="both"/>
        <w:rPr>
          <w:rFonts w:asciiTheme="majorHAnsi" w:eastAsiaTheme="majorEastAsia" w:hAnsiTheme="majorHAnsi" w:cstheme="majorBidi"/>
          <w:color w:val="365F91" w:themeColor="accent1" w:themeShade="BF"/>
          <w:sz w:val="26"/>
          <w:szCs w:val="26"/>
        </w:rPr>
      </w:pPr>
      <w:r>
        <w:br w:type="page"/>
      </w:r>
    </w:p>
    <w:p w14:paraId="0B7B50A0" w14:textId="77777777" w:rsidR="0064057F" w:rsidRPr="00A970AB" w:rsidRDefault="0064057F" w:rsidP="00A970AB">
      <w:pPr>
        <w:pStyle w:val="Heading2"/>
      </w:pPr>
      <w:bookmarkStart w:id="4" w:name="_Toc165448383"/>
      <w:r>
        <w:t>Background</w:t>
      </w:r>
      <w:bookmarkEnd w:id="4"/>
    </w:p>
    <w:p w14:paraId="14D0CFA0" w14:textId="77777777" w:rsidR="00E72741" w:rsidRDefault="00E72741" w:rsidP="00E72741">
      <w:pPr>
        <w:spacing w:after="120" w:line="240" w:lineRule="auto"/>
        <w:ind w:left="720"/>
        <w:rPr>
          <w:rFonts w:ascii="Calibri" w:eastAsia="Times New Roman" w:hAnsi="Calibri" w:cs="Calibri"/>
          <w:iCs/>
          <w:color w:val="000000"/>
          <w:lang w:eastAsia="en-AU"/>
        </w:rPr>
      </w:pPr>
    </w:p>
    <w:p w14:paraId="29B9DF84" w14:textId="1522853A" w:rsidR="00E72741" w:rsidRDefault="00E72741" w:rsidP="00E72741">
      <w:pPr>
        <w:spacing w:after="120" w:line="240" w:lineRule="auto"/>
        <w:rPr>
          <w:rFonts w:ascii="Calibri" w:eastAsia="Times New Roman" w:hAnsi="Calibri" w:cs="Calibri"/>
          <w:iCs/>
          <w:color w:val="000000"/>
          <w:lang w:eastAsia="en-AU"/>
        </w:rPr>
      </w:pPr>
      <w:r>
        <w:rPr>
          <w:rFonts w:ascii="Calibri" w:eastAsia="Times New Roman" w:hAnsi="Calibri" w:cs="Calibri"/>
          <w:iCs/>
          <w:color w:val="000000"/>
          <w:lang w:eastAsia="en-AU"/>
        </w:rPr>
        <w:t>This report presents an</w:t>
      </w:r>
      <w:r w:rsidRPr="00F90884">
        <w:rPr>
          <w:rFonts w:ascii="Calibri" w:eastAsia="Times New Roman" w:hAnsi="Calibri" w:cs="Calibri"/>
          <w:iCs/>
          <w:color w:val="000000"/>
          <w:lang w:eastAsia="en-AU"/>
        </w:rPr>
        <w:t xml:space="preserve"> </w:t>
      </w:r>
      <w:r>
        <w:rPr>
          <w:rFonts w:ascii="Calibri" w:eastAsia="Times New Roman" w:hAnsi="Calibri" w:cs="Calibri"/>
          <w:iCs/>
          <w:color w:val="000000"/>
          <w:lang w:eastAsia="en-AU"/>
        </w:rPr>
        <w:t>analysis of</w:t>
      </w:r>
      <w:r w:rsidRPr="00F90884">
        <w:rPr>
          <w:rFonts w:ascii="Calibri" w:eastAsia="Times New Roman" w:hAnsi="Calibri" w:cs="Calibri"/>
          <w:iCs/>
          <w:color w:val="000000"/>
          <w:lang w:eastAsia="en-AU"/>
        </w:rPr>
        <w:t xml:space="preserve"> contemporary medicine treatment patterns in patients with </w:t>
      </w:r>
      <w:r>
        <w:rPr>
          <w:rFonts w:ascii="Calibri" w:eastAsia="Times New Roman" w:hAnsi="Calibri" w:cs="Calibri"/>
          <w:iCs/>
          <w:color w:val="000000"/>
          <w:lang w:eastAsia="en-AU"/>
        </w:rPr>
        <w:t>heart failure (</w:t>
      </w:r>
      <w:r w:rsidRPr="00F90884">
        <w:rPr>
          <w:rFonts w:ascii="Calibri" w:eastAsia="Times New Roman" w:hAnsi="Calibri" w:cs="Calibri"/>
          <w:iCs/>
          <w:color w:val="000000"/>
          <w:lang w:eastAsia="en-AU"/>
        </w:rPr>
        <w:t>HF</w:t>
      </w:r>
      <w:r>
        <w:rPr>
          <w:rFonts w:ascii="Calibri" w:eastAsia="Times New Roman" w:hAnsi="Calibri" w:cs="Calibri"/>
          <w:iCs/>
          <w:color w:val="000000"/>
          <w:lang w:eastAsia="en-AU"/>
        </w:rPr>
        <w:t>)</w:t>
      </w:r>
      <w:r w:rsidRPr="00F90884">
        <w:rPr>
          <w:rFonts w:ascii="Calibri" w:eastAsia="Times New Roman" w:hAnsi="Calibri" w:cs="Calibri"/>
          <w:iCs/>
          <w:color w:val="000000"/>
          <w:lang w:eastAsia="en-AU"/>
        </w:rPr>
        <w:t xml:space="preserve"> in Australia.</w:t>
      </w:r>
      <w:r w:rsidR="000D249A">
        <w:rPr>
          <w:rFonts w:ascii="Calibri" w:eastAsia="Times New Roman" w:hAnsi="Calibri" w:cs="Calibri"/>
          <w:iCs/>
          <w:color w:val="000000"/>
          <w:lang w:eastAsia="en-AU"/>
        </w:rPr>
        <w:t xml:space="preserve">  Patients with heart failure may have reduced ejection fraction or preserved ejection fraction and treatment guidelines vary according to ejection fraction. </w:t>
      </w:r>
    </w:p>
    <w:p w14:paraId="150A053E" w14:textId="0788DCCD" w:rsidR="000D249A" w:rsidRDefault="000D249A" w:rsidP="0091562E">
      <w:pPr>
        <w:jc w:val="both"/>
        <w:rPr>
          <w:rFonts w:cstheme="minorHAnsi"/>
          <w:bCs/>
        </w:rPr>
      </w:pPr>
      <w:r>
        <w:rPr>
          <w:rFonts w:cstheme="minorHAnsi"/>
          <w:bCs/>
        </w:rPr>
        <w:t>The Australian Medicines Handbook (AMH) [</w:t>
      </w:r>
      <w:r w:rsidR="0029121A">
        <w:rPr>
          <w:rFonts w:cstheme="minorHAnsi"/>
          <w:bCs/>
        </w:rPr>
        <w:t>1</w:t>
      </w:r>
      <w:r>
        <w:rPr>
          <w:rFonts w:cstheme="minorHAnsi"/>
          <w:bCs/>
        </w:rPr>
        <w:t xml:space="preserve">] recommends quadruple therapy for to be considered in all </w:t>
      </w:r>
      <w:r w:rsidRPr="00FF197B">
        <w:rPr>
          <w:rFonts w:cstheme="minorHAnsi"/>
          <w:bCs/>
        </w:rPr>
        <w:t xml:space="preserve">patients </w:t>
      </w:r>
      <w:r>
        <w:rPr>
          <w:rFonts w:cstheme="minorHAnsi"/>
          <w:bCs/>
        </w:rPr>
        <w:t>with heart failure with reduced ejection fraction (H</w:t>
      </w:r>
      <w:r w:rsidRPr="00FF197B">
        <w:rPr>
          <w:rFonts w:cstheme="minorHAnsi"/>
          <w:bCs/>
        </w:rPr>
        <w:t>FrEF</w:t>
      </w:r>
      <w:r>
        <w:rPr>
          <w:rFonts w:cstheme="minorHAnsi"/>
          <w:bCs/>
        </w:rPr>
        <w:t>)</w:t>
      </w:r>
      <w:r w:rsidRPr="00FF197B">
        <w:rPr>
          <w:rFonts w:cstheme="minorHAnsi"/>
          <w:bCs/>
        </w:rPr>
        <w:t xml:space="preserve"> (unless contraindicated or not tolerated) to prolong survival and reduce </w:t>
      </w:r>
      <w:r>
        <w:rPr>
          <w:rFonts w:cstheme="minorHAnsi"/>
          <w:bCs/>
        </w:rPr>
        <w:t xml:space="preserve">HF </w:t>
      </w:r>
      <w:r w:rsidRPr="00FF197B">
        <w:rPr>
          <w:rFonts w:cstheme="minorHAnsi"/>
          <w:bCs/>
        </w:rPr>
        <w:t xml:space="preserve">hospitalisations. </w:t>
      </w:r>
      <w:r>
        <w:rPr>
          <w:rFonts w:cstheme="minorHAnsi"/>
          <w:bCs/>
        </w:rPr>
        <w:t>The AMH recommends starting</w:t>
      </w:r>
      <w:r w:rsidRPr="00FF197B">
        <w:rPr>
          <w:rFonts w:cstheme="minorHAnsi"/>
          <w:bCs/>
        </w:rPr>
        <w:t xml:space="preserve"> all </w:t>
      </w:r>
      <w:r>
        <w:rPr>
          <w:rFonts w:cstheme="minorHAnsi"/>
          <w:bCs/>
        </w:rPr>
        <w:t>medicines</w:t>
      </w:r>
      <w:r w:rsidRPr="00FF197B">
        <w:rPr>
          <w:rFonts w:cstheme="minorHAnsi"/>
          <w:bCs/>
        </w:rPr>
        <w:t xml:space="preserve"> as soon as clinically possible, rather than using a </w:t>
      </w:r>
      <w:proofErr w:type="gramStart"/>
      <w:r w:rsidRPr="00FF197B">
        <w:rPr>
          <w:rFonts w:cstheme="minorHAnsi"/>
          <w:bCs/>
        </w:rPr>
        <w:t>step-wise</w:t>
      </w:r>
      <w:proofErr w:type="gramEnd"/>
      <w:r w:rsidRPr="00FF197B">
        <w:rPr>
          <w:rFonts w:cstheme="minorHAnsi"/>
          <w:bCs/>
        </w:rPr>
        <w:t xml:space="preserve"> approach, as early morbidity and mortality benefits have been shown</w:t>
      </w:r>
      <w:r>
        <w:rPr>
          <w:rFonts w:cstheme="minorHAnsi"/>
          <w:bCs/>
        </w:rPr>
        <w:t>. The quadruple therapy includes a renin-angiotensin system inhibitor, a beta blocker (BB), a mineralocorticoid antagonist (MRA) and a</w:t>
      </w:r>
      <w:r w:rsidRPr="000D249A">
        <w:rPr>
          <w:rFonts w:cstheme="minorHAnsi"/>
        </w:rPr>
        <w:t xml:space="preserve"> </w:t>
      </w:r>
      <w:r w:rsidRPr="002357FF">
        <w:rPr>
          <w:rFonts w:cstheme="minorHAnsi"/>
        </w:rPr>
        <w:t xml:space="preserve">Sodium Glucose Co-Transporter 2 </w:t>
      </w:r>
      <w:r>
        <w:rPr>
          <w:rFonts w:cstheme="minorHAnsi"/>
          <w:bCs/>
        </w:rPr>
        <w:t>(SGLT2) inhibitor. According to the AMH, l</w:t>
      </w:r>
      <w:r w:rsidRPr="00FF197B">
        <w:rPr>
          <w:rFonts w:cstheme="minorHAnsi"/>
          <w:bCs/>
        </w:rPr>
        <w:t xml:space="preserve">oop diuretics can be used to manage congestion and relieve symptoms of </w:t>
      </w:r>
      <w:r>
        <w:rPr>
          <w:rFonts w:cstheme="minorHAnsi"/>
          <w:bCs/>
        </w:rPr>
        <w:t>HF. A</w:t>
      </w:r>
      <w:r w:rsidRPr="00FF197B">
        <w:rPr>
          <w:rFonts w:cstheme="minorHAnsi"/>
          <w:bCs/>
        </w:rPr>
        <w:t xml:space="preserve"> thiazide diuretic may be added </w:t>
      </w:r>
      <w:r>
        <w:rPr>
          <w:rFonts w:cstheme="minorHAnsi"/>
          <w:bCs/>
        </w:rPr>
        <w:t xml:space="preserve">under specialist advice </w:t>
      </w:r>
      <w:r w:rsidRPr="00FF197B">
        <w:rPr>
          <w:rFonts w:cstheme="minorHAnsi"/>
          <w:bCs/>
        </w:rPr>
        <w:t>if fluid retention persists</w:t>
      </w:r>
      <w:r>
        <w:rPr>
          <w:rFonts w:cstheme="minorHAnsi"/>
          <w:bCs/>
        </w:rPr>
        <w:t>.</w:t>
      </w:r>
    </w:p>
    <w:p w14:paraId="65819186" w14:textId="77A03821" w:rsidR="000D249A" w:rsidRDefault="000D249A" w:rsidP="00E9460E">
      <w:pPr>
        <w:jc w:val="both"/>
        <w:rPr>
          <w:rFonts w:cstheme="minorHAnsi"/>
          <w:bCs/>
        </w:rPr>
      </w:pPr>
      <w:r>
        <w:rPr>
          <w:rFonts w:cstheme="minorHAnsi"/>
          <w:bCs/>
        </w:rPr>
        <w:t xml:space="preserve">In comparison to the AMH, the </w:t>
      </w:r>
      <w:r w:rsidRPr="00FF197B">
        <w:rPr>
          <w:rFonts w:cstheme="minorHAnsi"/>
          <w:bCs/>
        </w:rPr>
        <w:t xml:space="preserve">Heart </w:t>
      </w:r>
      <w:r>
        <w:rPr>
          <w:rFonts w:cstheme="minorHAnsi"/>
          <w:bCs/>
        </w:rPr>
        <w:t>F</w:t>
      </w:r>
      <w:r w:rsidRPr="00FF197B">
        <w:rPr>
          <w:rFonts w:cstheme="minorHAnsi"/>
          <w:bCs/>
        </w:rPr>
        <w:t xml:space="preserve">oundation </w:t>
      </w:r>
      <w:r>
        <w:rPr>
          <w:rFonts w:cstheme="minorHAnsi"/>
          <w:bCs/>
        </w:rPr>
        <w:t xml:space="preserve">algorithm for the </w:t>
      </w:r>
      <w:hyperlink r:id="rId8" w:anchor="secsect0245" w:history="1">
        <w:r w:rsidRPr="00B349F7">
          <w:rPr>
            <w:rStyle w:val="Hyperlink"/>
            <w:rFonts w:cstheme="minorHAnsi"/>
            <w:bCs/>
          </w:rPr>
          <w:t>Pharmacological Management of patients with HFrEF</w:t>
        </w:r>
      </w:hyperlink>
      <w:r w:rsidR="00153268" w:rsidRPr="00153268">
        <w:rPr>
          <w:rFonts w:cstheme="minorHAnsi"/>
          <w:bCs/>
        </w:rPr>
        <w:t xml:space="preserve"> </w:t>
      </w:r>
      <w:r w:rsidR="00226638">
        <w:rPr>
          <w:rFonts w:cstheme="minorHAnsi"/>
          <w:bCs/>
        </w:rPr>
        <w:t>recommends</w:t>
      </w:r>
      <w:r w:rsidR="00153268">
        <w:rPr>
          <w:rFonts w:cstheme="minorHAnsi"/>
          <w:bCs/>
        </w:rPr>
        <w:t xml:space="preserve"> </w:t>
      </w:r>
      <w:r w:rsidR="00226638">
        <w:rPr>
          <w:rFonts w:cstheme="minorHAnsi"/>
          <w:bCs/>
        </w:rPr>
        <w:t>renin-angiotensin system inhibitors</w:t>
      </w:r>
      <w:r w:rsidR="00153268">
        <w:rPr>
          <w:rFonts w:cstheme="minorHAnsi"/>
          <w:bCs/>
        </w:rPr>
        <w:t xml:space="preserve">, </w:t>
      </w:r>
      <w:r w:rsidR="00226638">
        <w:rPr>
          <w:rFonts w:cstheme="minorHAnsi"/>
          <w:bCs/>
        </w:rPr>
        <w:t>a mineralocorticoid antagonist</w:t>
      </w:r>
      <w:r w:rsidR="00153268">
        <w:rPr>
          <w:rFonts w:cstheme="minorHAnsi"/>
          <w:bCs/>
        </w:rPr>
        <w:t xml:space="preserve"> and beta-blockers as first-line agents</w:t>
      </w:r>
      <w:r w:rsidR="00564D4A">
        <w:rPr>
          <w:rFonts w:cstheme="minorHAnsi"/>
          <w:bCs/>
        </w:rPr>
        <w:t xml:space="preserve"> up</w:t>
      </w:r>
      <w:r w:rsidR="000A3E5C">
        <w:rPr>
          <w:rFonts w:cstheme="minorHAnsi"/>
          <w:bCs/>
        </w:rPr>
        <w:t>-</w:t>
      </w:r>
      <w:r w:rsidR="00564D4A">
        <w:rPr>
          <w:rFonts w:cstheme="minorHAnsi"/>
          <w:bCs/>
        </w:rPr>
        <w:t xml:space="preserve">titrated to maximum tolerated doses, with subsequent change to an </w:t>
      </w:r>
      <w:r w:rsidR="00564D4A" w:rsidRPr="007E6480">
        <w:rPr>
          <w:rFonts w:cstheme="minorHAnsi"/>
          <w:bCs/>
        </w:rPr>
        <w:t>angiotensin receptor neprilysin inhibitor (ARNI)</w:t>
      </w:r>
      <w:r w:rsidR="00564D4A">
        <w:rPr>
          <w:rFonts w:cstheme="minorHAnsi"/>
          <w:bCs/>
        </w:rPr>
        <w:t xml:space="preserve"> if left ventricular ejection fraction (LVEF) remains at 40% or less</w:t>
      </w:r>
      <w:r w:rsidR="00E9460E">
        <w:rPr>
          <w:rFonts w:cstheme="minorHAnsi"/>
          <w:bCs/>
        </w:rPr>
        <w:t xml:space="preserve"> </w:t>
      </w:r>
      <w:r w:rsidR="00153268">
        <w:rPr>
          <w:rFonts w:cstheme="minorHAnsi"/>
          <w:bCs/>
        </w:rPr>
        <w:t>[</w:t>
      </w:r>
      <w:r w:rsidR="00E9460E">
        <w:rPr>
          <w:rFonts w:cstheme="minorHAnsi"/>
          <w:bCs/>
        </w:rPr>
        <w:t>2</w:t>
      </w:r>
      <w:r w:rsidR="00153268">
        <w:rPr>
          <w:rFonts w:cstheme="minorHAnsi"/>
          <w:bCs/>
        </w:rPr>
        <w:t>]</w:t>
      </w:r>
      <w:r w:rsidR="00E9460E">
        <w:rPr>
          <w:rFonts w:cstheme="minorHAnsi"/>
          <w:bCs/>
        </w:rPr>
        <w:t>.</w:t>
      </w:r>
      <w:r>
        <w:rPr>
          <w:rFonts w:cstheme="minorHAnsi"/>
          <w:bCs/>
        </w:rPr>
        <w:t xml:space="preserve"> These guidelines were </w:t>
      </w:r>
      <w:r w:rsidR="00564D4A">
        <w:rPr>
          <w:rFonts w:cstheme="minorHAnsi"/>
          <w:bCs/>
        </w:rPr>
        <w:t>published</w:t>
      </w:r>
      <w:r w:rsidRPr="00FF197B">
        <w:rPr>
          <w:rFonts w:cstheme="minorHAnsi"/>
          <w:bCs/>
        </w:rPr>
        <w:t xml:space="preserve"> </w:t>
      </w:r>
      <w:r w:rsidR="00564D4A">
        <w:rPr>
          <w:rFonts w:cstheme="minorHAnsi"/>
          <w:bCs/>
        </w:rPr>
        <w:t>in 2018</w:t>
      </w:r>
      <w:r w:rsidR="00EA7C1E">
        <w:rPr>
          <w:rFonts w:cstheme="minorHAnsi"/>
          <w:bCs/>
        </w:rPr>
        <w:t xml:space="preserve"> a</w:t>
      </w:r>
      <w:r w:rsidR="00564D4A">
        <w:rPr>
          <w:rFonts w:cstheme="minorHAnsi"/>
          <w:bCs/>
        </w:rPr>
        <w:t xml:space="preserve">nd recommend SGLT2 inhibitors for people with diabetes and heart failure. This </w:t>
      </w:r>
      <w:proofErr w:type="gramStart"/>
      <w:r w:rsidR="00564D4A">
        <w:rPr>
          <w:rFonts w:cstheme="minorHAnsi"/>
          <w:bCs/>
        </w:rPr>
        <w:t>time period</w:t>
      </w:r>
      <w:proofErr w:type="gramEnd"/>
      <w:r w:rsidR="00564D4A">
        <w:rPr>
          <w:rFonts w:cstheme="minorHAnsi"/>
          <w:bCs/>
        </w:rPr>
        <w:t xml:space="preserve"> was prior to the evidence emerging of the benefits of SGLT2 inhibitors in heart failure independent of diabetes comorbidity</w:t>
      </w:r>
      <w:r>
        <w:rPr>
          <w:rFonts w:cstheme="minorHAnsi"/>
          <w:bCs/>
        </w:rPr>
        <w:t>.</w:t>
      </w:r>
    </w:p>
    <w:p w14:paraId="31467654" w14:textId="45AC4E36" w:rsidR="000D249A" w:rsidRDefault="00564D4A" w:rsidP="00E9460E">
      <w:pPr>
        <w:jc w:val="both"/>
        <w:rPr>
          <w:rFonts w:cstheme="minorHAnsi"/>
          <w:bCs/>
        </w:rPr>
      </w:pPr>
      <w:r>
        <w:rPr>
          <w:rFonts w:cstheme="minorHAnsi"/>
          <w:bCs/>
        </w:rPr>
        <w:t>While the AMH recommends quadruple therapy, m</w:t>
      </w:r>
      <w:r w:rsidR="000D249A">
        <w:rPr>
          <w:rFonts w:cstheme="minorHAnsi"/>
          <w:bCs/>
        </w:rPr>
        <w:t xml:space="preserve">any patients with HF are older and have </w:t>
      </w:r>
      <w:proofErr w:type="gramStart"/>
      <w:r w:rsidR="000D249A">
        <w:rPr>
          <w:rFonts w:cstheme="minorHAnsi"/>
          <w:bCs/>
        </w:rPr>
        <w:t>a number of</w:t>
      </w:r>
      <w:proofErr w:type="gramEnd"/>
      <w:r w:rsidR="000D249A">
        <w:rPr>
          <w:rFonts w:cstheme="minorHAnsi"/>
          <w:bCs/>
        </w:rPr>
        <w:t xml:space="preserve"> chronic conditions</w:t>
      </w:r>
      <w:r>
        <w:rPr>
          <w:rFonts w:cstheme="minorHAnsi"/>
          <w:bCs/>
        </w:rPr>
        <w:t xml:space="preserve">. Some may be frail, some may have poor or worsening renal impairment, some may have hypotension, all of which may result in </w:t>
      </w:r>
      <w:r w:rsidR="00226638">
        <w:rPr>
          <w:rFonts w:cstheme="minorHAnsi"/>
          <w:bCs/>
        </w:rPr>
        <w:t>doctors choosing a</w:t>
      </w:r>
      <w:r>
        <w:rPr>
          <w:rFonts w:cstheme="minorHAnsi"/>
          <w:bCs/>
        </w:rPr>
        <w:t xml:space="preserve"> </w:t>
      </w:r>
      <w:proofErr w:type="gramStart"/>
      <w:r>
        <w:rPr>
          <w:rFonts w:cstheme="minorHAnsi"/>
          <w:bCs/>
        </w:rPr>
        <w:t>step-wise</w:t>
      </w:r>
      <w:proofErr w:type="gramEnd"/>
      <w:r>
        <w:rPr>
          <w:rFonts w:cstheme="minorHAnsi"/>
          <w:bCs/>
        </w:rPr>
        <w:t xml:space="preserve"> approach to management rather than initiation of quadruple therapy to maximise benefit while minimising competing risk of exacerbating other conditions. </w:t>
      </w:r>
      <w:r w:rsidR="000D249A">
        <w:rPr>
          <w:rFonts w:cstheme="minorHAnsi"/>
          <w:bCs/>
        </w:rPr>
        <w:t xml:space="preserve"> </w:t>
      </w:r>
    </w:p>
    <w:p w14:paraId="1648E39B" w14:textId="08B34D10" w:rsidR="00226638" w:rsidRPr="00FF197B" w:rsidRDefault="00226638" w:rsidP="00E9460E">
      <w:pPr>
        <w:spacing w:after="0"/>
        <w:jc w:val="both"/>
        <w:rPr>
          <w:rFonts w:cstheme="minorHAnsi"/>
          <w:bCs/>
        </w:rPr>
      </w:pPr>
      <w:r>
        <w:t>For these reasons, and to be consistent with PBS restrictions, in this report we considered standard of care to be dual therapy of a renin-angiotensin system inhibitor and beta-blocker, with or without an MRA, and with or without a</w:t>
      </w:r>
      <w:r w:rsidR="00F04420">
        <w:t>n</w:t>
      </w:r>
      <w:r>
        <w:t xml:space="preserve"> </w:t>
      </w:r>
      <w:r w:rsidR="00292916">
        <w:t xml:space="preserve">SGLT2 </w:t>
      </w:r>
      <w:r>
        <w:t>inhibitor. Thus</w:t>
      </w:r>
      <w:r w:rsidR="00E9460E">
        <w:t>,</w:t>
      </w:r>
      <w:r>
        <w:t xml:space="preserve"> </w:t>
      </w:r>
      <w:r>
        <w:rPr>
          <w:rFonts w:cstheme="minorHAnsi"/>
          <w:bCs/>
        </w:rPr>
        <w:t>s</w:t>
      </w:r>
      <w:r w:rsidRPr="00FF197B">
        <w:rPr>
          <w:rFonts w:cstheme="minorHAnsi"/>
          <w:bCs/>
        </w:rPr>
        <w:t>tandard treatment of</w:t>
      </w:r>
      <w:r>
        <w:rPr>
          <w:rFonts w:cstheme="minorHAnsi"/>
          <w:bCs/>
        </w:rPr>
        <w:t xml:space="preserve"> heart failure with reduced ejection fraction (</w:t>
      </w:r>
      <w:r w:rsidRPr="00FF197B">
        <w:rPr>
          <w:rFonts w:cstheme="minorHAnsi"/>
          <w:bCs/>
        </w:rPr>
        <w:t>HFrEF</w:t>
      </w:r>
      <w:r>
        <w:rPr>
          <w:rFonts w:cstheme="minorHAnsi"/>
          <w:bCs/>
        </w:rPr>
        <w:t>)</w:t>
      </w:r>
      <w:r w:rsidRPr="00FF197B">
        <w:rPr>
          <w:rFonts w:cstheme="minorHAnsi"/>
          <w:bCs/>
        </w:rPr>
        <w:t xml:space="preserve"> </w:t>
      </w:r>
      <w:proofErr w:type="gramStart"/>
      <w:r>
        <w:rPr>
          <w:rFonts w:cstheme="minorHAnsi"/>
          <w:bCs/>
        </w:rPr>
        <w:t>was considered to be</w:t>
      </w:r>
      <w:proofErr w:type="gramEnd"/>
      <w:r w:rsidRPr="00FF197B">
        <w:rPr>
          <w:rFonts w:cstheme="minorHAnsi"/>
          <w:bCs/>
        </w:rPr>
        <w:t xml:space="preserve"> therapy with:</w:t>
      </w:r>
    </w:p>
    <w:p w14:paraId="05506FBA" w14:textId="411CFF40" w:rsidR="00226638" w:rsidRPr="008A688C" w:rsidRDefault="00226638" w:rsidP="00226638">
      <w:pPr>
        <w:pStyle w:val="ListParagraph"/>
        <w:numPr>
          <w:ilvl w:val="0"/>
          <w:numId w:val="23"/>
        </w:numPr>
        <w:spacing w:line="276" w:lineRule="auto"/>
        <w:rPr>
          <w:rFonts w:asciiTheme="minorHAnsi" w:hAnsiTheme="minorHAnsi" w:cstheme="minorHAnsi"/>
          <w:sz w:val="22"/>
          <w:szCs w:val="18"/>
        </w:rPr>
      </w:pPr>
      <w:r w:rsidRPr="008A688C">
        <w:rPr>
          <w:rFonts w:asciiTheme="minorHAnsi" w:hAnsiTheme="minorHAnsi" w:cstheme="minorHAnsi"/>
          <w:sz w:val="22"/>
          <w:szCs w:val="18"/>
        </w:rPr>
        <w:t>renin-angiotensin system inhibitor (ACE</w:t>
      </w:r>
      <w:r w:rsidR="003A0616">
        <w:rPr>
          <w:rFonts w:asciiTheme="minorHAnsi" w:hAnsiTheme="minorHAnsi" w:cstheme="minorHAnsi"/>
          <w:sz w:val="22"/>
          <w:szCs w:val="18"/>
        </w:rPr>
        <w:t>i</w:t>
      </w:r>
      <w:r w:rsidRPr="008A688C">
        <w:rPr>
          <w:rFonts w:asciiTheme="minorHAnsi" w:hAnsiTheme="minorHAnsi" w:cstheme="minorHAnsi"/>
          <w:sz w:val="22"/>
          <w:szCs w:val="18"/>
        </w:rPr>
        <w:t>, ARB or sacubitril with valsartan (ARNI))</w:t>
      </w:r>
    </w:p>
    <w:p w14:paraId="79DAF1CE" w14:textId="77777777" w:rsidR="00226638" w:rsidRPr="008A688C" w:rsidRDefault="00226638" w:rsidP="00226638">
      <w:pPr>
        <w:pStyle w:val="ListParagraph"/>
        <w:numPr>
          <w:ilvl w:val="0"/>
          <w:numId w:val="23"/>
        </w:numPr>
        <w:spacing w:line="276" w:lineRule="auto"/>
        <w:rPr>
          <w:rFonts w:asciiTheme="minorHAnsi" w:hAnsiTheme="minorHAnsi" w:cstheme="minorHAnsi"/>
          <w:sz w:val="22"/>
          <w:szCs w:val="18"/>
        </w:rPr>
      </w:pPr>
      <w:r w:rsidRPr="008A688C">
        <w:rPr>
          <w:rFonts w:asciiTheme="minorHAnsi" w:hAnsiTheme="minorHAnsi" w:cstheme="minorHAnsi"/>
          <w:sz w:val="22"/>
          <w:szCs w:val="18"/>
        </w:rPr>
        <w:t>and heart specific beta-blocker</w:t>
      </w:r>
    </w:p>
    <w:p w14:paraId="5F7B77BA" w14:textId="77777777" w:rsidR="00226638" w:rsidRDefault="00226638" w:rsidP="00226638">
      <w:pPr>
        <w:pStyle w:val="ListParagraph"/>
        <w:numPr>
          <w:ilvl w:val="0"/>
          <w:numId w:val="23"/>
        </w:numPr>
        <w:spacing w:line="276" w:lineRule="auto"/>
        <w:rPr>
          <w:rFonts w:asciiTheme="minorHAnsi" w:hAnsiTheme="minorHAnsi" w:cstheme="minorHAnsi"/>
          <w:sz w:val="22"/>
          <w:szCs w:val="18"/>
        </w:rPr>
      </w:pPr>
      <w:r w:rsidRPr="008A688C">
        <w:rPr>
          <w:rFonts w:asciiTheme="minorHAnsi" w:hAnsiTheme="minorHAnsi" w:cstheme="minorHAnsi"/>
          <w:sz w:val="22"/>
          <w:szCs w:val="18"/>
        </w:rPr>
        <w:t>+/- Mineralocorticoid Receptor Antagonist (MRA)</w:t>
      </w:r>
    </w:p>
    <w:p w14:paraId="1EACF935" w14:textId="77777777" w:rsidR="00226638" w:rsidRPr="008A688C" w:rsidRDefault="00226638" w:rsidP="00226638">
      <w:pPr>
        <w:pStyle w:val="ListParagraph"/>
        <w:numPr>
          <w:ilvl w:val="0"/>
          <w:numId w:val="23"/>
        </w:numPr>
        <w:spacing w:line="276" w:lineRule="auto"/>
        <w:rPr>
          <w:rFonts w:asciiTheme="minorHAnsi" w:hAnsiTheme="minorHAnsi" w:cstheme="minorHAnsi"/>
          <w:sz w:val="22"/>
          <w:szCs w:val="18"/>
        </w:rPr>
      </w:pPr>
      <w:r>
        <w:rPr>
          <w:rFonts w:asciiTheme="minorHAnsi" w:hAnsiTheme="minorHAnsi" w:cstheme="minorHAnsi"/>
          <w:sz w:val="22"/>
          <w:szCs w:val="18"/>
        </w:rPr>
        <w:t xml:space="preserve">+/- </w:t>
      </w:r>
      <w:r w:rsidRPr="002357FF">
        <w:rPr>
          <w:rFonts w:asciiTheme="minorHAnsi" w:hAnsiTheme="minorHAnsi" w:cstheme="minorHAnsi"/>
          <w:sz w:val="22"/>
          <w:szCs w:val="22"/>
        </w:rPr>
        <w:t>Sodium Glucose Co-Transporter 2 Inhibitors</w:t>
      </w:r>
    </w:p>
    <w:p w14:paraId="75F447BB" w14:textId="4F3111C8" w:rsidR="00AD0455" w:rsidRDefault="00AD0455" w:rsidP="00E9460E">
      <w:pPr>
        <w:spacing w:before="240"/>
        <w:jc w:val="both"/>
        <w:rPr>
          <w:rFonts w:cstheme="minorHAnsi"/>
          <w:bCs/>
        </w:rPr>
      </w:pPr>
      <w:r>
        <w:rPr>
          <w:rFonts w:cstheme="minorHAnsi"/>
          <w:bCs/>
        </w:rPr>
        <w:t xml:space="preserve">The therapeutic options for treatment of heart failure with preserved ejection fraction are more limited with most conventional therapies not demonstrating an effect on overall survival. The exception is </w:t>
      </w:r>
      <w:bookmarkStart w:id="5" w:name="_Hlk163039246"/>
      <w:r>
        <w:rPr>
          <w:rFonts w:cstheme="minorHAnsi"/>
          <w:bCs/>
        </w:rPr>
        <w:t>SGLT2 inhibitors</w:t>
      </w:r>
      <w:bookmarkEnd w:id="5"/>
      <w:r>
        <w:rPr>
          <w:rFonts w:cstheme="minorHAnsi"/>
          <w:bCs/>
        </w:rPr>
        <w:t xml:space="preserve">, which have been shown to be effective </w:t>
      </w:r>
      <w:r w:rsidR="00226638">
        <w:rPr>
          <w:rFonts w:cstheme="minorHAnsi"/>
          <w:bCs/>
        </w:rPr>
        <w:t>in reducing the</w:t>
      </w:r>
      <w:r>
        <w:rPr>
          <w:rFonts w:cstheme="minorHAnsi"/>
          <w:bCs/>
        </w:rPr>
        <w:t xml:space="preserve"> combined endpoint of cardiovascular death or hospitalisation for heart failure</w:t>
      </w:r>
      <w:r w:rsidR="00E9460E">
        <w:rPr>
          <w:rFonts w:cstheme="minorHAnsi"/>
          <w:bCs/>
        </w:rPr>
        <w:t xml:space="preserve"> </w:t>
      </w:r>
      <w:r w:rsidR="00226638">
        <w:rPr>
          <w:rFonts w:cstheme="minorHAnsi"/>
          <w:bCs/>
        </w:rPr>
        <w:t>[2]</w:t>
      </w:r>
      <w:r w:rsidR="00E9460E">
        <w:rPr>
          <w:rFonts w:cstheme="minorHAnsi"/>
          <w:bCs/>
        </w:rPr>
        <w:t>.</w:t>
      </w:r>
      <w:r w:rsidR="00226638">
        <w:rPr>
          <w:rFonts w:cstheme="minorHAnsi"/>
          <w:bCs/>
        </w:rPr>
        <w:t xml:space="preserve"> </w:t>
      </w:r>
      <w:r>
        <w:rPr>
          <w:rFonts w:cstheme="minorHAnsi"/>
          <w:bCs/>
        </w:rPr>
        <w:t xml:space="preserve"> </w:t>
      </w:r>
      <w:r w:rsidR="00226638">
        <w:rPr>
          <w:rFonts w:cstheme="minorHAnsi"/>
          <w:bCs/>
        </w:rPr>
        <w:t xml:space="preserve">SGLT2 inhibitors </w:t>
      </w:r>
      <w:r w:rsidR="001E0424">
        <w:rPr>
          <w:rFonts w:cstheme="minorHAnsi"/>
          <w:bCs/>
        </w:rPr>
        <w:t>were</w:t>
      </w:r>
      <w:r w:rsidR="00226638">
        <w:rPr>
          <w:rFonts w:cstheme="minorHAnsi"/>
          <w:bCs/>
        </w:rPr>
        <w:t xml:space="preserve"> not listed on the PBS for preserved ejection fraction heart failure</w:t>
      </w:r>
      <w:r w:rsidR="001E0424">
        <w:rPr>
          <w:rFonts w:cstheme="minorHAnsi"/>
          <w:bCs/>
        </w:rPr>
        <w:t xml:space="preserve"> during the study period, becoming available on the PBS for this indication in March 2024</w:t>
      </w:r>
      <w:r w:rsidR="00226638">
        <w:rPr>
          <w:rFonts w:cstheme="minorHAnsi"/>
          <w:bCs/>
        </w:rPr>
        <w:t xml:space="preserve">. </w:t>
      </w:r>
    </w:p>
    <w:p w14:paraId="5AC0977E" w14:textId="4943E544" w:rsidR="00671235" w:rsidRDefault="00671235" w:rsidP="0070769B">
      <w:pPr>
        <w:spacing w:before="240"/>
        <w:jc w:val="both"/>
        <w:rPr>
          <w:rFonts w:cstheme="minorHAnsi"/>
          <w:bCs/>
        </w:rPr>
      </w:pPr>
      <w:bookmarkStart w:id="6" w:name="_Hlk138158852"/>
      <w:r w:rsidRPr="0024010C">
        <w:rPr>
          <w:rFonts w:cstheme="minorHAnsi"/>
          <w:bCs/>
        </w:rPr>
        <w:t xml:space="preserve">PBS expenditure on medicines indicated for </w:t>
      </w:r>
      <w:r>
        <w:rPr>
          <w:rFonts w:cstheme="minorHAnsi"/>
          <w:bCs/>
        </w:rPr>
        <w:t>heart failure (HF)</w:t>
      </w:r>
      <w:r w:rsidRPr="0024010C">
        <w:rPr>
          <w:rFonts w:cstheme="minorHAnsi"/>
          <w:bCs/>
        </w:rPr>
        <w:t xml:space="preserve"> exceeded </w:t>
      </w:r>
      <w:r>
        <w:rPr>
          <w:rFonts w:cstheme="minorHAnsi"/>
          <w:bCs/>
        </w:rPr>
        <w:t xml:space="preserve">$183 million in 2022 </w:t>
      </w:r>
      <w:r w:rsidRPr="004E68DA">
        <w:rPr>
          <w:rFonts w:cstheme="minorHAnsi"/>
          <w:bCs/>
        </w:rPr>
        <w:t xml:space="preserve">according to Services Australia </w:t>
      </w:r>
      <w:r w:rsidR="00E72741">
        <w:rPr>
          <w:rFonts w:cstheme="minorHAnsi"/>
          <w:bCs/>
        </w:rPr>
        <w:t>Pharmaceutical Benefits Scheme (</w:t>
      </w:r>
      <w:r w:rsidRPr="004E68DA">
        <w:rPr>
          <w:rFonts w:cstheme="minorHAnsi"/>
          <w:bCs/>
        </w:rPr>
        <w:t>PBS</w:t>
      </w:r>
      <w:r w:rsidR="00E72741">
        <w:rPr>
          <w:rFonts w:cstheme="minorHAnsi"/>
          <w:bCs/>
        </w:rPr>
        <w:t>)</w:t>
      </w:r>
      <w:r w:rsidRPr="004E68DA">
        <w:rPr>
          <w:rFonts w:cstheme="minorHAnsi"/>
          <w:bCs/>
        </w:rPr>
        <w:t xml:space="preserve"> </w:t>
      </w:r>
      <w:r w:rsidRPr="007E6480">
        <w:rPr>
          <w:rFonts w:cstheme="minorHAnsi"/>
          <w:bCs/>
        </w:rPr>
        <w:t>statistics for prescription</w:t>
      </w:r>
      <w:r w:rsidR="00E72741">
        <w:rPr>
          <w:rFonts w:cstheme="minorHAnsi"/>
          <w:bCs/>
        </w:rPr>
        <w:t>s</w:t>
      </w:r>
      <w:r w:rsidRPr="007E6480">
        <w:rPr>
          <w:rFonts w:cstheme="minorHAnsi"/>
          <w:bCs/>
        </w:rPr>
        <w:t xml:space="preserve"> processed in this period. This figure is a conservative estimate of the total market as it does not include unrestricted PBS items used for HF such as angiotensin-converting enzyme</w:t>
      </w:r>
      <w:r w:rsidR="003A0616">
        <w:rPr>
          <w:rFonts w:cstheme="minorHAnsi"/>
          <w:bCs/>
        </w:rPr>
        <w:t xml:space="preserve"> </w:t>
      </w:r>
      <w:r w:rsidRPr="007E6480">
        <w:rPr>
          <w:rFonts w:cstheme="minorHAnsi"/>
          <w:bCs/>
        </w:rPr>
        <w:t>inhibitors</w:t>
      </w:r>
      <w:r w:rsidR="003A0616">
        <w:rPr>
          <w:rFonts w:cstheme="minorHAnsi"/>
          <w:bCs/>
        </w:rPr>
        <w:t xml:space="preserve"> (ACEi)</w:t>
      </w:r>
      <w:r w:rsidRPr="007E6480">
        <w:rPr>
          <w:rFonts w:cstheme="minorHAnsi"/>
          <w:bCs/>
        </w:rPr>
        <w:t>, angiotensin receptor blockers (ARBs), digoxin, spironolactone and diuretics</w:t>
      </w:r>
      <w:r w:rsidR="00C55C2C">
        <w:rPr>
          <w:rFonts w:cstheme="minorHAnsi"/>
          <w:bCs/>
        </w:rPr>
        <w:t xml:space="preserve"> which</w:t>
      </w:r>
      <w:r w:rsidR="00253D13">
        <w:rPr>
          <w:rFonts w:cstheme="minorHAnsi"/>
          <w:bCs/>
        </w:rPr>
        <w:t xml:space="preserve"> can be used for non-HF indications</w:t>
      </w:r>
      <w:r w:rsidRPr="007E6480">
        <w:rPr>
          <w:rFonts w:cstheme="minorHAnsi"/>
          <w:bCs/>
        </w:rPr>
        <w:t>. Of the total market in 2022, sacubitril + valsartan (S + V), an angiotensin receptor neprilysin inhibitor (ARNI), accounted</w:t>
      </w:r>
      <w:r>
        <w:rPr>
          <w:rFonts w:cstheme="minorHAnsi"/>
          <w:bCs/>
        </w:rPr>
        <w:t xml:space="preserve"> for </w:t>
      </w:r>
      <w:r w:rsidRPr="0024010C">
        <w:rPr>
          <w:rFonts w:cstheme="minorHAnsi"/>
          <w:bCs/>
        </w:rPr>
        <w:t>$</w:t>
      </w:r>
      <w:r>
        <w:rPr>
          <w:rFonts w:cstheme="minorHAnsi"/>
          <w:bCs/>
        </w:rPr>
        <w:t xml:space="preserve">113 </w:t>
      </w:r>
      <w:r w:rsidRPr="0024010C">
        <w:rPr>
          <w:rFonts w:cstheme="minorHAnsi"/>
          <w:bCs/>
        </w:rPr>
        <w:t xml:space="preserve">million (at published prices) </w:t>
      </w:r>
      <w:r>
        <w:rPr>
          <w:rFonts w:cstheme="minorHAnsi"/>
          <w:bCs/>
        </w:rPr>
        <w:t>of expenditure</w:t>
      </w:r>
      <w:r w:rsidRPr="0024010C">
        <w:rPr>
          <w:rFonts w:cstheme="minorHAnsi"/>
          <w:bCs/>
        </w:rPr>
        <w:t xml:space="preserve"> with a corresponding increase in prescriptions from 170,620 (2018) to </w:t>
      </w:r>
      <w:r>
        <w:rPr>
          <w:rFonts w:cstheme="minorHAnsi"/>
          <w:bCs/>
        </w:rPr>
        <w:t xml:space="preserve">599,115 </w:t>
      </w:r>
      <w:r w:rsidRPr="0024010C">
        <w:rPr>
          <w:rFonts w:cstheme="minorHAnsi"/>
          <w:bCs/>
        </w:rPr>
        <w:t>(202</w:t>
      </w:r>
      <w:r>
        <w:rPr>
          <w:rFonts w:cstheme="minorHAnsi"/>
          <w:bCs/>
        </w:rPr>
        <w:t>2</w:t>
      </w:r>
      <w:r w:rsidRPr="0024010C">
        <w:rPr>
          <w:rFonts w:cstheme="minorHAnsi"/>
          <w:bCs/>
        </w:rPr>
        <w:t>).</w:t>
      </w:r>
      <w:r>
        <w:rPr>
          <w:rFonts w:cstheme="minorHAnsi"/>
          <w:bCs/>
        </w:rPr>
        <w:t xml:space="preserve"> </w:t>
      </w:r>
      <w:bookmarkEnd w:id="6"/>
    </w:p>
    <w:p w14:paraId="5F506269" w14:textId="77777777" w:rsidR="0030642F" w:rsidRDefault="00671235" w:rsidP="00671235">
      <w:pPr>
        <w:jc w:val="both"/>
        <w:rPr>
          <w:rFonts w:cstheme="minorHAnsi"/>
          <w:bCs/>
        </w:rPr>
      </w:pPr>
      <w:r w:rsidRPr="00F7597A">
        <w:rPr>
          <w:rFonts w:cstheme="minorHAnsi"/>
          <w:bCs/>
        </w:rPr>
        <w:t xml:space="preserve">There have been no substantive changes to the PBS restrictions for </w:t>
      </w:r>
      <w:r>
        <w:rPr>
          <w:rFonts w:cstheme="minorHAnsi"/>
          <w:bCs/>
        </w:rPr>
        <w:t>HF</w:t>
      </w:r>
      <w:r w:rsidRPr="00F7597A">
        <w:rPr>
          <w:rFonts w:cstheme="minorHAnsi"/>
          <w:bCs/>
        </w:rPr>
        <w:t xml:space="preserve"> medicines </w:t>
      </w:r>
      <w:r>
        <w:rPr>
          <w:rFonts w:cstheme="minorHAnsi"/>
          <w:bCs/>
        </w:rPr>
        <w:t xml:space="preserve">in </w:t>
      </w:r>
      <w:r w:rsidRPr="00F7597A">
        <w:rPr>
          <w:rFonts w:cstheme="minorHAnsi"/>
          <w:bCs/>
        </w:rPr>
        <w:t>the last five years.</w:t>
      </w:r>
      <w:r>
        <w:rPr>
          <w:rFonts w:cstheme="minorHAnsi"/>
          <w:bCs/>
        </w:rPr>
        <w:t xml:space="preserve"> However, </w:t>
      </w:r>
      <w:r w:rsidRPr="00F7597A">
        <w:rPr>
          <w:rFonts w:cstheme="minorHAnsi"/>
          <w:bCs/>
        </w:rPr>
        <w:t xml:space="preserve">three new medicines were PBS-listed </w:t>
      </w:r>
      <w:r>
        <w:rPr>
          <w:rFonts w:cstheme="minorHAnsi"/>
          <w:bCs/>
        </w:rPr>
        <w:t xml:space="preserve">in 2022 </w:t>
      </w:r>
      <w:r w:rsidRPr="00F7597A">
        <w:rPr>
          <w:rFonts w:cstheme="minorHAnsi"/>
          <w:bCs/>
        </w:rPr>
        <w:t>for the treatment of chronic HF with the PBS restrictions for each requiring varying degrees of reduced</w:t>
      </w:r>
      <w:r w:rsidR="00C61EF3">
        <w:rPr>
          <w:rStyle w:val="muxgbd"/>
          <w:rFonts w:ascii="Arial" w:hAnsi="Arial" w:cs="Arial"/>
          <w:color w:val="70757A"/>
          <w:sz w:val="21"/>
          <w:szCs w:val="21"/>
          <w:shd w:val="clear" w:color="auto" w:fill="FFFFFF"/>
        </w:rPr>
        <w:t> l</w:t>
      </w:r>
      <w:r w:rsidR="00C61EF3" w:rsidRPr="00C61EF3">
        <w:rPr>
          <w:rFonts w:cstheme="minorHAnsi"/>
          <w:bCs/>
        </w:rPr>
        <w:t>eft </w:t>
      </w:r>
      <w:r w:rsidR="00C61EF3" w:rsidRPr="00C61EF3">
        <w:rPr>
          <w:rFonts w:cstheme="minorHAnsi"/>
        </w:rPr>
        <w:t>ventricular ejection fraction</w:t>
      </w:r>
      <w:r w:rsidR="00C61EF3" w:rsidRPr="00F7597A">
        <w:rPr>
          <w:rFonts w:cstheme="minorHAnsi"/>
          <w:bCs/>
        </w:rPr>
        <w:t xml:space="preserve"> </w:t>
      </w:r>
      <w:r w:rsidR="00C61EF3">
        <w:rPr>
          <w:rFonts w:cstheme="minorHAnsi"/>
          <w:bCs/>
        </w:rPr>
        <w:t>(</w:t>
      </w:r>
      <w:r w:rsidRPr="00F7597A">
        <w:rPr>
          <w:rFonts w:cstheme="minorHAnsi"/>
          <w:bCs/>
        </w:rPr>
        <w:t>LVEF</w:t>
      </w:r>
      <w:r w:rsidR="00C61EF3">
        <w:rPr>
          <w:rFonts w:cstheme="minorHAnsi"/>
          <w:bCs/>
        </w:rPr>
        <w:t>)</w:t>
      </w:r>
      <w:r w:rsidRPr="00F7597A">
        <w:rPr>
          <w:rFonts w:cstheme="minorHAnsi"/>
          <w:bCs/>
        </w:rPr>
        <w:t>: dapagliflozin, LVEF ≤40%</w:t>
      </w:r>
      <w:r>
        <w:rPr>
          <w:rFonts w:cstheme="minorHAnsi"/>
          <w:bCs/>
        </w:rPr>
        <w:t>;</w:t>
      </w:r>
      <w:r w:rsidRPr="00F7597A">
        <w:rPr>
          <w:rFonts w:cstheme="minorHAnsi"/>
          <w:bCs/>
        </w:rPr>
        <w:t xml:space="preserve"> empagliflozin, LVEF ≤40%</w:t>
      </w:r>
      <w:r>
        <w:rPr>
          <w:rFonts w:cstheme="minorHAnsi"/>
          <w:bCs/>
        </w:rPr>
        <w:t xml:space="preserve">; </w:t>
      </w:r>
      <w:r w:rsidRPr="00F7597A">
        <w:rPr>
          <w:rFonts w:cstheme="minorHAnsi"/>
          <w:bCs/>
        </w:rPr>
        <w:t xml:space="preserve">and vericiguat, LVEF ≤45%. </w:t>
      </w:r>
      <w:r w:rsidR="00D40DC7">
        <w:rPr>
          <w:rFonts w:cstheme="minorHAnsi"/>
          <w:bCs/>
        </w:rPr>
        <w:t xml:space="preserve"> </w:t>
      </w:r>
    </w:p>
    <w:p w14:paraId="29809860" w14:textId="5AE005EE" w:rsidR="00671235" w:rsidRDefault="00D40DC7" w:rsidP="00671235">
      <w:pPr>
        <w:jc w:val="both"/>
        <w:rPr>
          <w:rFonts w:cstheme="minorHAnsi"/>
          <w:bCs/>
        </w:rPr>
      </w:pPr>
      <w:r>
        <w:rPr>
          <w:rFonts w:cstheme="minorHAnsi"/>
          <w:bCs/>
        </w:rPr>
        <w:t xml:space="preserve">The medicines and the associated PBS restrictions for subsidy are </w:t>
      </w:r>
      <w:r w:rsidR="002851AE">
        <w:rPr>
          <w:rFonts w:cstheme="minorHAnsi"/>
          <w:bCs/>
        </w:rPr>
        <w:t>described below</w:t>
      </w:r>
      <w:r>
        <w:rPr>
          <w:rFonts w:cstheme="minorHAnsi"/>
          <w:bCs/>
        </w:rPr>
        <w:t>.</w:t>
      </w:r>
    </w:p>
    <w:p w14:paraId="5662C54A" w14:textId="77777777" w:rsidR="002851AE" w:rsidRPr="002C08E8" w:rsidRDefault="002851AE" w:rsidP="002851AE">
      <w:pPr>
        <w:jc w:val="both"/>
        <w:rPr>
          <w:rFonts w:cstheme="minorHAnsi"/>
          <w:b/>
        </w:rPr>
      </w:pPr>
      <w:r w:rsidRPr="002C08E8">
        <w:rPr>
          <w:rFonts w:cstheme="minorHAnsi"/>
          <w:b/>
        </w:rPr>
        <w:t>BB specific for HF</w:t>
      </w:r>
    </w:p>
    <w:p w14:paraId="26377FC7" w14:textId="423B2C14" w:rsidR="002851AE" w:rsidRPr="002851AE" w:rsidRDefault="002851AE" w:rsidP="002851AE">
      <w:pPr>
        <w:ind w:left="720"/>
        <w:jc w:val="both"/>
        <w:rPr>
          <w:rFonts w:cstheme="minorHAnsi"/>
          <w:bCs/>
        </w:rPr>
      </w:pPr>
      <w:r w:rsidRPr="002851AE">
        <w:rPr>
          <w:rFonts w:cstheme="minorHAnsi"/>
          <w:bCs/>
        </w:rPr>
        <w:t>Moderate to severe HF indication: Patient must have stabilised on conventional therapy, which must include an ACE</w:t>
      </w:r>
      <w:r w:rsidR="00E27482">
        <w:rPr>
          <w:rFonts w:cstheme="minorHAnsi"/>
          <w:bCs/>
        </w:rPr>
        <w:t>i</w:t>
      </w:r>
      <w:r w:rsidRPr="002851AE">
        <w:rPr>
          <w:rFonts w:cstheme="minorHAnsi"/>
          <w:bCs/>
        </w:rPr>
        <w:t xml:space="preserve">/ARB, if tolerated. </w:t>
      </w:r>
    </w:p>
    <w:p w14:paraId="050F3AF9" w14:textId="77777777" w:rsidR="002851AE" w:rsidRPr="002C08E8" w:rsidRDefault="002851AE" w:rsidP="002851AE">
      <w:pPr>
        <w:jc w:val="both"/>
        <w:rPr>
          <w:rFonts w:cstheme="minorHAnsi"/>
          <w:b/>
        </w:rPr>
      </w:pPr>
      <w:r w:rsidRPr="002C08E8">
        <w:rPr>
          <w:rFonts w:cstheme="minorHAnsi"/>
          <w:b/>
        </w:rPr>
        <w:t>ARNI</w:t>
      </w:r>
    </w:p>
    <w:p w14:paraId="358B2A6F" w14:textId="3F592A16" w:rsidR="0030642F" w:rsidRDefault="0030642F" w:rsidP="0054000A">
      <w:pPr>
        <w:spacing w:after="0"/>
        <w:ind w:left="720"/>
        <w:jc w:val="both"/>
        <w:rPr>
          <w:rFonts w:cstheme="minorHAnsi"/>
          <w:bCs/>
        </w:rPr>
      </w:pPr>
      <w:r w:rsidRPr="0030642F">
        <w:rPr>
          <w:rFonts w:cstheme="minorHAnsi"/>
          <w:bCs/>
        </w:rPr>
        <w:t xml:space="preserve">Symptomatic with NYHA classes II, III or </w:t>
      </w:r>
      <w:proofErr w:type="gramStart"/>
      <w:r w:rsidRPr="0030642F">
        <w:rPr>
          <w:rFonts w:cstheme="minorHAnsi"/>
          <w:bCs/>
        </w:rPr>
        <w:t>IV</w:t>
      </w:r>
      <w:r w:rsidR="0054000A">
        <w:rPr>
          <w:rFonts w:cstheme="minorHAnsi"/>
          <w:bCs/>
        </w:rPr>
        <w:t>;</w:t>
      </w:r>
      <w:proofErr w:type="gramEnd"/>
    </w:p>
    <w:p w14:paraId="1E03A30A" w14:textId="5AB06B5A" w:rsidR="0030642F" w:rsidRPr="0030642F" w:rsidRDefault="0030642F" w:rsidP="0054000A">
      <w:pPr>
        <w:spacing w:after="0"/>
        <w:ind w:left="720"/>
        <w:jc w:val="both"/>
        <w:rPr>
          <w:rFonts w:cstheme="minorHAnsi"/>
          <w:bCs/>
        </w:rPr>
      </w:pPr>
      <w:r>
        <w:rPr>
          <w:rFonts w:cstheme="minorHAnsi"/>
          <w:bCs/>
        </w:rPr>
        <w:t xml:space="preserve">LVEF of 40% or </w:t>
      </w:r>
      <w:proofErr w:type="gramStart"/>
      <w:r>
        <w:rPr>
          <w:rFonts w:cstheme="minorHAnsi"/>
          <w:bCs/>
        </w:rPr>
        <w:t>less</w:t>
      </w:r>
      <w:r w:rsidR="0054000A">
        <w:rPr>
          <w:rFonts w:cstheme="minorHAnsi"/>
          <w:bCs/>
        </w:rPr>
        <w:t>;</w:t>
      </w:r>
      <w:proofErr w:type="gramEnd"/>
    </w:p>
    <w:p w14:paraId="345626F1" w14:textId="3D13505C" w:rsidR="002851AE" w:rsidRPr="002851AE" w:rsidRDefault="002851AE" w:rsidP="0054000A">
      <w:pPr>
        <w:spacing w:after="0"/>
        <w:ind w:left="720"/>
        <w:jc w:val="both"/>
        <w:rPr>
          <w:rFonts w:cstheme="minorHAnsi"/>
          <w:bCs/>
        </w:rPr>
      </w:pPr>
      <w:r w:rsidRPr="002851AE">
        <w:rPr>
          <w:rFonts w:cstheme="minorHAnsi"/>
          <w:bCs/>
        </w:rPr>
        <w:t xml:space="preserve">Patient must receive concomitant optimal standard chronic HF treatment, which must include a BB, unless at least one of the following is present in relation to the beta-blocker: (i) a contraindication listed in the Product Information, (ii) an existing/expected intolerance, (iii) local treatment guidelines recommend initiation of this drug product prior to a </w:t>
      </w:r>
      <w:proofErr w:type="gramStart"/>
      <w:r w:rsidRPr="002851AE">
        <w:rPr>
          <w:rFonts w:cstheme="minorHAnsi"/>
          <w:bCs/>
        </w:rPr>
        <w:t>BB</w:t>
      </w:r>
      <w:r w:rsidR="0054000A">
        <w:rPr>
          <w:rFonts w:cstheme="minorHAnsi"/>
          <w:bCs/>
        </w:rPr>
        <w:t>;</w:t>
      </w:r>
      <w:proofErr w:type="gramEnd"/>
    </w:p>
    <w:p w14:paraId="4C5E1DB5" w14:textId="469EB52B" w:rsidR="002851AE" w:rsidRPr="002851AE" w:rsidRDefault="002851AE" w:rsidP="0054000A">
      <w:pPr>
        <w:spacing w:after="0"/>
        <w:ind w:left="720"/>
        <w:jc w:val="both"/>
        <w:rPr>
          <w:rFonts w:cstheme="minorHAnsi"/>
          <w:bCs/>
        </w:rPr>
      </w:pPr>
      <w:r w:rsidRPr="002851AE">
        <w:rPr>
          <w:rFonts w:cstheme="minorHAnsi"/>
          <w:bCs/>
        </w:rPr>
        <w:t xml:space="preserve">Patient must have been stabilised on an ACEi/ARB at the time of initiation with this drug, unless such treatment is </w:t>
      </w:r>
      <w:proofErr w:type="gramStart"/>
      <w:r w:rsidRPr="002851AE">
        <w:rPr>
          <w:rFonts w:cstheme="minorHAnsi"/>
          <w:bCs/>
        </w:rPr>
        <w:t>contraindicated</w:t>
      </w:r>
      <w:r w:rsidR="0054000A">
        <w:rPr>
          <w:rFonts w:cstheme="minorHAnsi"/>
          <w:bCs/>
        </w:rPr>
        <w:t>;</w:t>
      </w:r>
      <w:proofErr w:type="gramEnd"/>
    </w:p>
    <w:p w14:paraId="7B6E5894" w14:textId="3F234CFE" w:rsidR="002851AE" w:rsidRPr="002851AE" w:rsidRDefault="002851AE" w:rsidP="002851AE">
      <w:pPr>
        <w:ind w:left="720"/>
        <w:jc w:val="both"/>
        <w:rPr>
          <w:rFonts w:cstheme="minorHAnsi"/>
          <w:bCs/>
        </w:rPr>
      </w:pPr>
      <w:r w:rsidRPr="002851AE">
        <w:rPr>
          <w:rFonts w:cstheme="minorHAnsi"/>
          <w:bCs/>
        </w:rPr>
        <w:t>Concomitant ACE</w:t>
      </w:r>
      <w:r w:rsidR="000A3E5C">
        <w:rPr>
          <w:rFonts w:cstheme="minorHAnsi"/>
          <w:bCs/>
        </w:rPr>
        <w:t>i</w:t>
      </w:r>
      <w:r w:rsidRPr="002851AE">
        <w:rPr>
          <w:rFonts w:cstheme="minorHAnsi"/>
          <w:bCs/>
        </w:rPr>
        <w:t>/ARB not permitted.</w:t>
      </w:r>
    </w:p>
    <w:p w14:paraId="381D63E9" w14:textId="77777777" w:rsidR="002851AE" w:rsidRPr="002C08E8" w:rsidRDefault="002851AE" w:rsidP="002851AE">
      <w:pPr>
        <w:jc w:val="both"/>
        <w:rPr>
          <w:rFonts w:cstheme="minorHAnsi"/>
          <w:b/>
        </w:rPr>
      </w:pPr>
      <w:r w:rsidRPr="002C08E8">
        <w:rPr>
          <w:rFonts w:cstheme="minorHAnsi"/>
          <w:b/>
        </w:rPr>
        <w:t>SGLT2 for HF</w:t>
      </w:r>
    </w:p>
    <w:p w14:paraId="2BCA0C3A" w14:textId="043770D4" w:rsidR="0030642F" w:rsidRDefault="0030642F" w:rsidP="0054000A">
      <w:pPr>
        <w:spacing w:after="0"/>
        <w:ind w:left="720"/>
        <w:jc w:val="both"/>
        <w:rPr>
          <w:rFonts w:cstheme="minorHAnsi"/>
          <w:bCs/>
        </w:rPr>
      </w:pPr>
      <w:r w:rsidRPr="0030642F">
        <w:rPr>
          <w:rFonts w:cstheme="minorHAnsi"/>
          <w:bCs/>
        </w:rPr>
        <w:t xml:space="preserve">Symptomatic with NYHA classes II, III or </w:t>
      </w:r>
      <w:proofErr w:type="gramStart"/>
      <w:r w:rsidRPr="0030642F">
        <w:rPr>
          <w:rFonts w:cstheme="minorHAnsi"/>
          <w:bCs/>
        </w:rPr>
        <w:t>IV</w:t>
      </w:r>
      <w:r w:rsidR="0054000A">
        <w:rPr>
          <w:rFonts w:cstheme="minorHAnsi"/>
          <w:bCs/>
        </w:rPr>
        <w:t>;</w:t>
      </w:r>
      <w:proofErr w:type="gramEnd"/>
    </w:p>
    <w:p w14:paraId="0143E3D7" w14:textId="5DF0233F" w:rsidR="0030642F" w:rsidRPr="0030642F" w:rsidRDefault="0030642F" w:rsidP="0054000A">
      <w:pPr>
        <w:spacing w:after="0"/>
        <w:ind w:left="720"/>
        <w:jc w:val="both"/>
        <w:rPr>
          <w:rFonts w:cstheme="minorHAnsi"/>
          <w:bCs/>
        </w:rPr>
      </w:pPr>
      <w:r>
        <w:rPr>
          <w:rFonts w:cstheme="minorHAnsi"/>
          <w:bCs/>
        </w:rPr>
        <w:t xml:space="preserve">LVEF of 40% or </w:t>
      </w:r>
      <w:proofErr w:type="gramStart"/>
      <w:r>
        <w:rPr>
          <w:rFonts w:cstheme="minorHAnsi"/>
          <w:bCs/>
        </w:rPr>
        <w:t>less</w:t>
      </w:r>
      <w:r w:rsidR="0054000A">
        <w:rPr>
          <w:rFonts w:cstheme="minorHAnsi"/>
          <w:bCs/>
        </w:rPr>
        <w:t>;</w:t>
      </w:r>
      <w:proofErr w:type="gramEnd"/>
    </w:p>
    <w:p w14:paraId="369EBFB9" w14:textId="6D954652" w:rsidR="002851AE" w:rsidRPr="002851AE" w:rsidRDefault="002851AE" w:rsidP="0054000A">
      <w:pPr>
        <w:spacing w:after="0"/>
        <w:ind w:left="720"/>
        <w:jc w:val="both"/>
        <w:rPr>
          <w:rFonts w:cstheme="minorHAnsi"/>
          <w:bCs/>
        </w:rPr>
      </w:pPr>
      <w:r w:rsidRPr="002851AE">
        <w:rPr>
          <w:rFonts w:cstheme="minorHAnsi"/>
          <w:bCs/>
        </w:rPr>
        <w:t>Must be an add-on therapy to optimal standard chronic HF treatment, which must include a BB, unless contraindicated according to the TGA-approved PI or cannot be tolerated, AND</w:t>
      </w:r>
    </w:p>
    <w:p w14:paraId="032DF06E" w14:textId="247A4B2D" w:rsidR="002851AE" w:rsidRPr="002851AE" w:rsidRDefault="002851AE" w:rsidP="0054000A">
      <w:pPr>
        <w:spacing w:after="0"/>
        <w:ind w:left="720"/>
        <w:jc w:val="both"/>
        <w:rPr>
          <w:rFonts w:cstheme="minorHAnsi"/>
          <w:bCs/>
        </w:rPr>
      </w:pPr>
      <w:r w:rsidRPr="002851AE">
        <w:rPr>
          <w:rFonts w:cstheme="minorHAnsi"/>
          <w:bCs/>
        </w:rPr>
        <w:t>Must be an add-on therapy to optimal standard chronic HF treatment, which must include an ACEi/ARB/ARNI, unless contraindicated according to the TGA-approved PI or cannot be tolerated, AND</w:t>
      </w:r>
    </w:p>
    <w:p w14:paraId="43E49280" w14:textId="0BDC7CEA" w:rsidR="002851AE" w:rsidRPr="002851AE" w:rsidRDefault="002851AE" w:rsidP="002851AE">
      <w:pPr>
        <w:ind w:left="720"/>
        <w:jc w:val="both"/>
        <w:rPr>
          <w:rFonts w:cstheme="minorHAnsi"/>
          <w:bCs/>
        </w:rPr>
      </w:pPr>
      <w:r w:rsidRPr="002851AE">
        <w:rPr>
          <w:rFonts w:cstheme="minorHAnsi"/>
          <w:bCs/>
        </w:rPr>
        <w:t>Patient must not be receiving treatment with another sodium-glucose co-transporter 2 (SGLT2) inhibitor.</w:t>
      </w:r>
    </w:p>
    <w:p w14:paraId="32D501A2" w14:textId="77777777" w:rsidR="002851AE" w:rsidRPr="002C08E8" w:rsidRDefault="002851AE" w:rsidP="002851AE">
      <w:pPr>
        <w:jc w:val="both"/>
        <w:rPr>
          <w:rFonts w:cstheme="minorHAnsi"/>
          <w:b/>
        </w:rPr>
      </w:pPr>
      <w:r w:rsidRPr="002C08E8">
        <w:rPr>
          <w:rFonts w:cstheme="minorHAnsi"/>
          <w:b/>
        </w:rPr>
        <w:t>MRA for HF</w:t>
      </w:r>
    </w:p>
    <w:p w14:paraId="603CF090" w14:textId="70E7EF74" w:rsidR="002851AE" w:rsidRDefault="002851AE" w:rsidP="0054000A">
      <w:pPr>
        <w:spacing w:after="0" w:line="240" w:lineRule="auto"/>
        <w:ind w:left="720"/>
        <w:jc w:val="both"/>
        <w:rPr>
          <w:rFonts w:cstheme="minorHAnsi"/>
          <w:bCs/>
        </w:rPr>
      </w:pPr>
      <w:r w:rsidRPr="002851AE">
        <w:rPr>
          <w:rFonts w:cstheme="minorHAnsi"/>
          <w:bCs/>
        </w:rPr>
        <w:t xml:space="preserve">No PBS requirement for prior/concomitant use of other </w:t>
      </w:r>
      <w:proofErr w:type="gramStart"/>
      <w:r w:rsidRPr="002851AE">
        <w:rPr>
          <w:rFonts w:cstheme="minorHAnsi"/>
          <w:bCs/>
        </w:rPr>
        <w:t>medicines</w:t>
      </w:r>
      <w:r w:rsidR="0054000A">
        <w:rPr>
          <w:rFonts w:cstheme="minorHAnsi"/>
          <w:bCs/>
        </w:rPr>
        <w:t>;</w:t>
      </w:r>
      <w:proofErr w:type="gramEnd"/>
    </w:p>
    <w:p w14:paraId="7DA00F8B" w14:textId="0CDA37F8" w:rsidR="0030642F" w:rsidRPr="0030642F" w:rsidRDefault="0030642F" w:rsidP="0054000A">
      <w:pPr>
        <w:spacing w:after="0"/>
        <w:ind w:left="720"/>
        <w:jc w:val="both"/>
        <w:rPr>
          <w:rFonts w:cstheme="minorHAnsi"/>
          <w:bCs/>
        </w:rPr>
      </w:pPr>
      <w:r>
        <w:rPr>
          <w:rFonts w:cstheme="minorHAnsi"/>
          <w:bCs/>
        </w:rPr>
        <w:t xml:space="preserve">LVEF of 40% or </w:t>
      </w:r>
      <w:proofErr w:type="gramStart"/>
      <w:r>
        <w:rPr>
          <w:rFonts w:cstheme="minorHAnsi"/>
          <w:bCs/>
        </w:rPr>
        <w:t>less</w:t>
      </w:r>
      <w:r w:rsidR="0054000A">
        <w:rPr>
          <w:rFonts w:cstheme="minorHAnsi"/>
          <w:bCs/>
        </w:rPr>
        <w:t>;</w:t>
      </w:r>
      <w:proofErr w:type="gramEnd"/>
    </w:p>
    <w:p w14:paraId="1CE5B216" w14:textId="2AA1DE44" w:rsidR="002851AE" w:rsidRPr="002851AE" w:rsidRDefault="0030642F" w:rsidP="0054000A">
      <w:pPr>
        <w:spacing w:after="0" w:line="240" w:lineRule="auto"/>
        <w:ind w:left="720"/>
        <w:jc w:val="both"/>
        <w:rPr>
          <w:rFonts w:cstheme="minorHAnsi"/>
          <w:bCs/>
        </w:rPr>
      </w:pPr>
      <w:r>
        <w:rPr>
          <w:rFonts w:cstheme="minorHAnsi"/>
          <w:bCs/>
        </w:rPr>
        <w:t>Eplerenone: t</w:t>
      </w:r>
      <w:r w:rsidR="002851AE" w:rsidRPr="002851AE">
        <w:rPr>
          <w:rFonts w:cstheme="minorHAnsi"/>
          <w:bCs/>
        </w:rPr>
        <w:t>he condition must occur within 3 to 14 days following an acute myocardial infarction, AND</w:t>
      </w:r>
    </w:p>
    <w:p w14:paraId="32EDAD71" w14:textId="56864F81" w:rsidR="002851AE" w:rsidRPr="002851AE" w:rsidRDefault="002851AE" w:rsidP="00D06319">
      <w:pPr>
        <w:spacing w:line="240" w:lineRule="auto"/>
        <w:ind w:left="720"/>
        <w:jc w:val="both"/>
        <w:rPr>
          <w:rFonts w:cstheme="minorHAnsi"/>
          <w:bCs/>
        </w:rPr>
      </w:pPr>
      <w:r w:rsidRPr="002851AE">
        <w:rPr>
          <w:rFonts w:cstheme="minorHAnsi"/>
          <w:bCs/>
        </w:rPr>
        <w:t>The treatment must be commenced within 14 days of an acute myocardial infarction.</w:t>
      </w:r>
    </w:p>
    <w:p w14:paraId="63238B69" w14:textId="77777777" w:rsidR="002851AE" w:rsidRPr="002C08E8" w:rsidRDefault="002851AE" w:rsidP="002851AE">
      <w:pPr>
        <w:jc w:val="both"/>
        <w:rPr>
          <w:rFonts w:cstheme="minorHAnsi"/>
          <w:b/>
        </w:rPr>
      </w:pPr>
      <w:r w:rsidRPr="002C08E8">
        <w:rPr>
          <w:rFonts w:cstheme="minorHAnsi"/>
          <w:b/>
        </w:rPr>
        <w:t xml:space="preserve">HCN </w:t>
      </w:r>
    </w:p>
    <w:p w14:paraId="7181E441" w14:textId="400B1197" w:rsidR="0030642F" w:rsidRDefault="0030642F" w:rsidP="0054000A">
      <w:pPr>
        <w:spacing w:after="0"/>
        <w:ind w:left="720"/>
        <w:jc w:val="both"/>
        <w:rPr>
          <w:rFonts w:cstheme="minorHAnsi"/>
          <w:bCs/>
        </w:rPr>
      </w:pPr>
      <w:r w:rsidRPr="0030642F">
        <w:rPr>
          <w:rFonts w:cstheme="minorHAnsi"/>
          <w:bCs/>
        </w:rPr>
        <w:t xml:space="preserve">Symptomatic with NYHA classes II, </w:t>
      </w:r>
      <w:proofErr w:type="gramStart"/>
      <w:r w:rsidRPr="0030642F">
        <w:rPr>
          <w:rFonts w:cstheme="minorHAnsi"/>
          <w:bCs/>
        </w:rPr>
        <w:t>III</w:t>
      </w:r>
      <w:r w:rsidR="0054000A">
        <w:rPr>
          <w:rFonts w:cstheme="minorHAnsi"/>
          <w:bCs/>
        </w:rPr>
        <w:t>;</w:t>
      </w:r>
      <w:proofErr w:type="gramEnd"/>
    </w:p>
    <w:p w14:paraId="03B0282F" w14:textId="03AE9F62" w:rsidR="0030642F" w:rsidRPr="0030642F" w:rsidRDefault="0030642F" w:rsidP="0054000A">
      <w:pPr>
        <w:spacing w:after="0"/>
        <w:ind w:left="720"/>
        <w:jc w:val="both"/>
        <w:rPr>
          <w:rFonts w:cstheme="minorHAnsi"/>
          <w:bCs/>
        </w:rPr>
      </w:pPr>
      <w:r>
        <w:rPr>
          <w:rFonts w:cstheme="minorHAnsi"/>
          <w:bCs/>
        </w:rPr>
        <w:t xml:space="preserve">LVEF of 35% or </w:t>
      </w:r>
      <w:proofErr w:type="gramStart"/>
      <w:r>
        <w:rPr>
          <w:rFonts w:cstheme="minorHAnsi"/>
          <w:bCs/>
        </w:rPr>
        <w:t>less</w:t>
      </w:r>
      <w:r w:rsidR="0054000A">
        <w:rPr>
          <w:rFonts w:cstheme="minorHAnsi"/>
          <w:bCs/>
        </w:rPr>
        <w:t>;</w:t>
      </w:r>
      <w:proofErr w:type="gramEnd"/>
    </w:p>
    <w:p w14:paraId="79246128" w14:textId="5D2517B1" w:rsidR="0030642F" w:rsidRDefault="0030642F" w:rsidP="0054000A">
      <w:pPr>
        <w:spacing w:after="0"/>
        <w:ind w:left="720"/>
        <w:jc w:val="both"/>
        <w:rPr>
          <w:rFonts w:cstheme="minorHAnsi"/>
          <w:bCs/>
        </w:rPr>
      </w:pPr>
      <w:r>
        <w:rPr>
          <w:rFonts w:cstheme="minorHAnsi"/>
          <w:bCs/>
        </w:rPr>
        <w:t xml:space="preserve">Sinus </w:t>
      </w:r>
      <w:proofErr w:type="gramStart"/>
      <w:r>
        <w:rPr>
          <w:rFonts w:cstheme="minorHAnsi"/>
          <w:bCs/>
        </w:rPr>
        <w:t>rhythm</w:t>
      </w:r>
      <w:r w:rsidR="0054000A">
        <w:rPr>
          <w:rFonts w:cstheme="minorHAnsi"/>
          <w:bCs/>
        </w:rPr>
        <w:t>;</w:t>
      </w:r>
      <w:proofErr w:type="gramEnd"/>
    </w:p>
    <w:p w14:paraId="09566DEC" w14:textId="730AB7C4" w:rsidR="0030642F" w:rsidRDefault="0030642F" w:rsidP="0054000A">
      <w:pPr>
        <w:spacing w:after="0"/>
        <w:ind w:left="720"/>
        <w:jc w:val="both"/>
        <w:rPr>
          <w:rFonts w:cstheme="minorHAnsi"/>
          <w:bCs/>
        </w:rPr>
      </w:pPr>
      <w:r>
        <w:rPr>
          <w:rFonts w:cstheme="minorHAnsi"/>
          <w:bCs/>
        </w:rPr>
        <w:t>Resting heart rate of 77 beats per minute or above at initiation (documented by ECG or echocardiogram</w:t>
      </w:r>
      <w:proofErr w:type="gramStart"/>
      <w:r>
        <w:rPr>
          <w:rFonts w:cstheme="minorHAnsi"/>
          <w:bCs/>
        </w:rPr>
        <w:t>)</w:t>
      </w:r>
      <w:r w:rsidR="0054000A">
        <w:rPr>
          <w:rFonts w:cstheme="minorHAnsi"/>
          <w:bCs/>
        </w:rPr>
        <w:t>;</w:t>
      </w:r>
      <w:proofErr w:type="gramEnd"/>
    </w:p>
    <w:p w14:paraId="65A8204C" w14:textId="06E67323" w:rsidR="002851AE" w:rsidRPr="002851AE" w:rsidRDefault="002851AE" w:rsidP="0054000A">
      <w:pPr>
        <w:spacing w:after="0"/>
        <w:ind w:left="720"/>
        <w:jc w:val="both"/>
        <w:rPr>
          <w:rFonts w:cstheme="minorHAnsi"/>
          <w:bCs/>
        </w:rPr>
      </w:pPr>
      <w:r w:rsidRPr="002851AE">
        <w:rPr>
          <w:rFonts w:cstheme="minorHAnsi"/>
          <w:bCs/>
        </w:rPr>
        <w:t xml:space="preserve">Patient must receive concomitant optimal standard chronic HF treatment, which must include the maximum tolerated dose of a BB, unless contraindicated or not </w:t>
      </w:r>
      <w:proofErr w:type="gramStart"/>
      <w:r w:rsidRPr="002851AE">
        <w:rPr>
          <w:rFonts w:cstheme="minorHAnsi"/>
          <w:bCs/>
        </w:rPr>
        <w:t>tolerated</w:t>
      </w:r>
      <w:r w:rsidR="0054000A">
        <w:rPr>
          <w:rFonts w:cstheme="minorHAnsi"/>
          <w:bCs/>
        </w:rPr>
        <w:t>;</w:t>
      </w:r>
      <w:proofErr w:type="gramEnd"/>
    </w:p>
    <w:p w14:paraId="5DD78839" w14:textId="0BEA9CB5" w:rsidR="002851AE" w:rsidRPr="002851AE" w:rsidRDefault="002851AE" w:rsidP="0054000A">
      <w:pPr>
        <w:spacing w:after="0"/>
        <w:ind w:left="720"/>
        <w:jc w:val="both"/>
        <w:rPr>
          <w:rFonts w:cstheme="minorHAnsi"/>
          <w:bCs/>
        </w:rPr>
      </w:pPr>
      <w:r w:rsidRPr="002851AE">
        <w:rPr>
          <w:rFonts w:cstheme="minorHAnsi"/>
          <w:bCs/>
        </w:rPr>
        <w:t>The treatment must be an add-on therapy to optimal standard chronic HF treatment, which must include a BB, unless contraindicated according to the TGA-approved PI or cannot be tolerated, AND</w:t>
      </w:r>
    </w:p>
    <w:p w14:paraId="4F78EB65" w14:textId="422AD53E" w:rsidR="00D40DC7" w:rsidRDefault="002851AE" w:rsidP="0054000A">
      <w:pPr>
        <w:spacing w:after="0"/>
        <w:ind w:left="720"/>
        <w:jc w:val="both"/>
        <w:rPr>
          <w:rFonts w:cstheme="minorHAnsi"/>
          <w:bCs/>
        </w:rPr>
      </w:pPr>
      <w:r w:rsidRPr="002851AE">
        <w:rPr>
          <w:rFonts w:cstheme="minorHAnsi"/>
          <w:bCs/>
        </w:rPr>
        <w:t>Must be an add-on therapy to optimal standard chronic HF treatment, which must include an ACEi/ARB/ARNI, unless contraindicated according to the TGA-approved PI or cannot be tolerated</w:t>
      </w:r>
      <w:r w:rsidR="0054000A">
        <w:rPr>
          <w:rFonts w:cstheme="minorHAnsi"/>
          <w:bCs/>
        </w:rPr>
        <w:t>.</w:t>
      </w:r>
    </w:p>
    <w:p w14:paraId="24E04CF7" w14:textId="23D73836" w:rsidR="002C08E8" w:rsidRPr="002C08E8" w:rsidRDefault="002C08E8" w:rsidP="002C08E8">
      <w:pPr>
        <w:jc w:val="both"/>
        <w:rPr>
          <w:rFonts w:cstheme="minorHAnsi"/>
          <w:b/>
        </w:rPr>
      </w:pPr>
      <w:r w:rsidRPr="002C08E8">
        <w:rPr>
          <w:rFonts w:cstheme="minorHAnsi"/>
          <w:b/>
        </w:rPr>
        <w:t>sGC</w:t>
      </w:r>
    </w:p>
    <w:p w14:paraId="337BD903" w14:textId="77777777" w:rsidR="002C08E8" w:rsidRPr="002C08E8" w:rsidRDefault="002C08E8" w:rsidP="0054000A">
      <w:pPr>
        <w:spacing w:after="0" w:line="259" w:lineRule="auto"/>
        <w:ind w:left="720"/>
      </w:pPr>
      <w:r w:rsidRPr="002C08E8">
        <w:t xml:space="preserve">The treatment must be an </w:t>
      </w:r>
      <w:r w:rsidRPr="002357FF">
        <w:t>add-on therapy</w:t>
      </w:r>
      <w:r w:rsidRPr="002C08E8">
        <w:t xml:space="preserve"> to optimal standard chronic HF treatment, which must include a BB, unless contraindicated according to the TGA-approved PI or cannot be tolerated, AND</w:t>
      </w:r>
    </w:p>
    <w:p w14:paraId="18669C03" w14:textId="32949401" w:rsidR="002C08E8" w:rsidRPr="00F7597A" w:rsidRDefault="002C08E8" w:rsidP="0054000A">
      <w:pPr>
        <w:ind w:left="720"/>
        <w:jc w:val="both"/>
        <w:rPr>
          <w:rFonts w:cstheme="minorHAnsi"/>
          <w:bCs/>
        </w:rPr>
      </w:pPr>
      <w:r w:rsidRPr="002C08E8">
        <w:t xml:space="preserve">Must be an </w:t>
      </w:r>
      <w:r w:rsidRPr="002357FF">
        <w:t>add-on therapy</w:t>
      </w:r>
      <w:r w:rsidRPr="002C08E8">
        <w:t xml:space="preserve"> to optimal standard chronic HF treatment, which must include an ACEi/ARB/ARNI, unless contraindicated according to the TGA-approved PI or cannot be tolerated</w:t>
      </w:r>
      <w:r w:rsidR="0054000A">
        <w:t>.</w:t>
      </w:r>
    </w:p>
    <w:p w14:paraId="61417DE5" w14:textId="447EB1A4" w:rsidR="00D209F2" w:rsidRDefault="008F6176" w:rsidP="00780B97">
      <w:pPr>
        <w:pStyle w:val="Heading2"/>
        <w:spacing w:after="240"/>
      </w:pPr>
      <w:bookmarkStart w:id="7" w:name="_Toc165448384"/>
      <w:r>
        <w:t>Data</w:t>
      </w:r>
      <w:bookmarkEnd w:id="7"/>
    </w:p>
    <w:p w14:paraId="0AB2ADD8" w14:textId="5FF97228" w:rsidR="00226638" w:rsidRDefault="00226638" w:rsidP="00226638">
      <w:pPr>
        <w:jc w:val="both"/>
        <w:rPr>
          <w:rFonts w:cstheme="minorHAnsi"/>
          <w:bCs/>
        </w:rPr>
      </w:pPr>
      <w:r w:rsidRPr="00C61EF3">
        <w:rPr>
          <w:rFonts w:cstheme="minorHAnsi"/>
          <w:bCs/>
        </w:rPr>
        <w:t xml:space="preserve">The Department of Health and Aged Care engaged the services of UniSA to undertake </w:t>
      </w:r>
      <w:r>
        <w:rPr>
          <w:rFonts w:cstheme="minorHAnsi"/>
          <w:bCs/>
        </w:rPr>
        <w:t xml:space="preserve">a </w:t>
      </w:r>
      <w:r w:rsidRPr="00C61EF3">
        <w:rPr>
          <w:rFonts w:cstheme="minorHAnsi"/>
          <w:bCs/>
        </w:rPr>
        <w:t xml:space="preserve">utilisation analysis of PBS-listed medicines for heart failure to explore </w:t>
      </w:r>
      <w:r>
        <w:rPr>
          <w:rFonts w:cstheme="minorHAnsi"/>
          <w:bCs/>
        </w:rPr>
        <w:t>the contemporary medicine treatment patterns in patients with HF in Australia, including switching between medicines, combination treatment and add-on therapy.</w:t>
      </w:r>
    </w:p>
    <w:p w14:paraId="741BAA84" w14:textId="7E75B19E" w:rsidR="00D209F2" w:rsidRPr="006204DB" w:rsidRDefault="00D209F2" w:rsidP="00F14A33">
      <w:pPr>
        <w:jc w:val="both"/>
        <w:rPr>
          <w:rFonts w:cs="Arial"/>
          <w:color w:val="000000" w:themeColor="text1"/>
        </w:rPr>
      </w:pPr>
      <w:r w:rsidRPr="006204DB">
        <w:rPr>
          <w:rFonts w:cs="Arial"/>
          <w:color w:val="000000" w:themeColor="text1"/>
        </w:rPr>
        <w:t>Th</w:t>
      </w:r>
      <w:r w:rsidR="00780B97">
        <w:rPr>
          <w:rFonts w:cs="Arial"/>
          <w:color w:val="000000" w:themeColor="text1"/>
        </w:rPr>
        <w:t>e</w:t>
      </w:r>
      <w:r w:rsidRPr="006204DB">
        <w:rPr>
          <w:rFonts w:cs="Arial"/>
          <w:color w:val="000000" w:themeColor="text1"/>
        </w:rPr>
        <w:t xml:space="preserve"> analysis </w:t>
      </w:r>
      <w:r w:rsidR="00A970AB">
        <w:rPr>
          <w:rFonts w:cs="Arial"/>
          <w:color w:val="000000" w:themeColor="text1"/>
        </w:rPr>
        <w:t>included</w:t>
      </w:r>
      <w:r w:rsidRPr="006204DB">
        <w:rPr>
          <w:rFonts w:cs="Arial"/>
          <w:color w:val="000000" w:themeColor="text1"/>
        </w:rPr>
        <w:t xml:space="preserve"> a data extract for all persons with at least one dispensing for any medicine </w:t>
      </w:r>
      <w:r w:rsidR="00C5141B">
        <w:rPr>
          <w:rFonts w:cs="Arial"/>
          <w:color w:val="000000" w:themeColor="text1"/>
        </w:rPr>
        <w:t xml:space="preserve">specifically </w:t>
      </w:r>
      <w:r w:rsidRPr="006204DB">
        <w:rPr>
          <w:rFonts w:cs="Arial"/>
          <w:color w:val="000000" w:themeColor="text1"/>
        </w:rPr>
        <w:t xml:space="preserve">listed for heart failure </w:t>
      </w:r>
      <w:r w:rsidR="00C5141B">
        <w:rPr>
          <w:rFonts w:cs="Arial"/>
          <w:color w:val="000000" w:themeColor="text1"/>
        </w:rPr>
        <w:t>on</w:t>
      </w:r>
      <w:r w:rsidR="00C5141B" w:rsidRPr="006204DB">
        <w:rPr>
          <w:rFonts w:cs="Arial"/>
          <w:color w:val="000000" w:themeColor="text1"/>
        </w:rPr>
        <w:t xml:space="preserve"> </w:t>
      </w:r>
      <w:r w:rsidRPr="006204DB">
        <w:rPr>
          <w:rFonts w:cs="Arial"/>
          <w:color w:val="000000" w:themeColor="text1"/>
        </w:rPr>
        <w:t>the PBS (</w:t>
      </w:r>
      <w:r>
        <w:rPr>
          <w:rFonts w:cs="Arial"/>
          <w:color w:val="000000" w:themeColor="text1"/>
        </w:rPr>
        <w:t>T</w:t>
      </w:r>
      <w:r w:rsidRPr="006204DB">
        <w:rPr>
          <w:rFonts w:cs="Arial"/>
          <w:color w:val="000000" w:themeColor="text1"/>
        </w:rPr>
        <w:t>able 1</w:t>
      </w:r>
      <w:r>
        <w:rPr>
          <w:rFonts w:cs="Arial"/>
          <w:color w:val="000000" w:themeColor="text1"/>
        </w:rPr>
        <w:t xml:space="preserve"> below</w:t>
      </w:r>
      <w:r w:rsidRPr="006204DB">
        <w:rPr>
          <w:rFonts w:cs="Arial"/>
          <w:color w:val="000000" w:themeColor="text1"/>
        </w:rPr>
        <w:t xml:space="preserve">) from </w:t>
      </w:r>
      <w:r w:rsidR="00A970AB">
        <w:rPr>
          <w:rFonts w:cs="Arial"/>
          <w:color w:val="000000" w:themeColor="text1"/>
        </w:rPr>
        <w:t>Jan</w:t>
      </w:r>
      <w:r w:rsidR="003023C1">
        <w:rPr>
          <w:rFonts w:cs="Arial"/>
          <w:color w:val="000000" w:themeColor="text1"/>
        </w:rPr>
        <w:t>uary</w:t>
      </w:r>
      <w:r w:rsidR="00A970AB">
        <w:rPr>
          <w:rFonts w:cs="Arial"/>
          <w:color w:val="000000" w:themeColor="text1"/>
        </w:rPr>
        <w:t xml:space="preserve"> </w:t>
      </w:r>
      <w:r w:rsidRPr="006204DB">
        <w:rPr>
          <w:rFonts w:cs="Arial"/>
          <w:color w:val="000000" w:themeColor="text1"/>
        </w:rPr>
        <w:t xml:space="preserve">2017 to </w:t>
      </w:r>
      <w:r w:rsidR="00F50194">
        <w:rPr>
          <w:rFonts w:cs="Arial"/>
          <w:color w:val="000000" w:themeColor="text1"/>
        </w:rPr>
        <w:t>Jun</w:t>
      </w:r>
      <w:r w:rsidR="003023C1">
        <w:rPr>
          <w:rFonts w:cs="Arial"/>
          <w:color w:val="000000" w:themeColor="text1"/>
        </w:rPr>
        <w:t>e</w:t>
      </w:r>
      <w:r w:rsidR="00F50194">
        <w:rPr>
          <w:rFonts w:cs="Arial"/>
          <w:color w:val="000000" w:themeColor="text1"/>
        </w:rPr>
        <w:t xml:space="preserve"> 2023</w:t>
      </w:r>
      <w:r w:rsidRPr="006204DB">
        <w:rPr>
          <w:rFonts w:cs="Arial"/>
          <w:color w:val="000000" w:themeColor="text1"/>
        </w:rPr>
        <w:t xml:space="preserve">. </w:t>
      </w:r>
      <w:r w:rsidR="000C597F">
        <w:rPr>
          <w:rFonts w:cs="Arial"/>
          <w:color w:val="000000" w:themeColor="text1"/>
        </w:rPr>
        <w:t xml:space="preserve">PBS subsidised treatment with </w:t>
      </w:r>
      <w:r w:rsidR="006A0152">
        <w:rPr>
          <w:rFonts w:cs="Arial"/>
          <w:color w:val="000000" w:themeColor="text1"/>
        </w:rPr>
        <w:t xml:space="preserve">medicines listed in Table 1 are restricted for use in heart failure, so this cohort </w:t>
      </w:r>
      <w:r w:rsidR="00DB3992">
        <w:rPr>
          <w:rFonts w:cs="Arial"/>
          <w:color w:val="000000" w:themeColor="text1"/>
        </w:rPr>
        <w:t xml:space="preserve">was considered to </w:t>
      </w:r>
      <w:r w:rsidR="004A03A3">
        <w:rPr>
          <w:rFonts w:cs="Arial"/>
          <w:color w:val="000000" w:themeColor="text1"/>
        </w:rPr>
        <w:t>have a confirmed heart failure diagnosis.</w:t>
      </w:r>
      <w:r w:rsidR="00780B97">
        <w:rPr>
          <w:rFonts w:cs="Arial"/>
          <w:color w:val="000000" w:themeColor="text1"/>
        </w:rPr>
        <w:t xml:space="preserve">  The results presented in this report should be interpreted within this context, as the cohort population does not necessarily capture the total heart failure population in Australia.</w:t>
      </w:r>
    </w:p>
    <w:p w14:paraId="64697ACB" w14:textId="6C2AB8D5" w:rsidR="00D209F2" w:rsidRPr="00C61EF3" w:rsidRDefault="00D209F2" w:rsidP="00C61EF3">
      <w:pPr>
        <w:jc w:val="both"/>
        <w:rPr>
          <w:rFonts w:cstheme="minorHAnsi"/>
          <w:bCs/>
        </w:rPr>
      </w:pPr>
      <w:r w:rsidRPr="00C61EF3">
        <w:rPr>
          <w:rFonts w:cstheme="minorHAnsi"/>
          <w:bCs/>
        </w:rPr>
        <w:t xml:space="preserve">For each person within this </w:t>
      </w:r>
      <w:r w:rsidR="001D7E23" w:rsidRPr="00C61EF3">
        <w:rPr>
          <w:rFonts w:cstheme="minorHAnsi"/>
          <w:bCs/>
        </w:rPr>
        <w:t>cohort,</w:t>
      </w:r>
      <w:r w:rsidRPr="00C61EF3">
        <w:rPr>
          <w:rFonts w:cstheme="minorHAnsi"/>
          <w:bCs/>
        </w:rPr>
        <w:t xml:space="preserve"> all dispensings of medicines that have the potential to be used to treat heart failure (any medicine listed in Table 1 or 2 below) and </w:t>
      </w:r>
      <w:r w:rsidR="00292916">
        <w:rPr>
          <w:rFonts w:cstheme="minorHAnsi"/>
          <w:bCs/>
        </w:rPr>
        <w:t>SGLT2</w:t>
      </w:r>
      <w:r w:rsidR="00176394">
        <w:rPr>
          <w:rFonts w:cstheme="minorHAnsi"/>
          <w:bCs/>
        </w:rPr>
        <w:t xml:space="preserve"> inhibitors</w:t>
      </w:r>
      <w:r w:rsidR="00A970AB">
        <w:rPr>
          <w:rFonts w:cstheme="minorHAnsi"/>
          <w:bCs/>
        </w:rPr>
        <w:t xml:space="preserve"> </w:t>
      </w:r>
      <w:r w:rsidR="00A53A5C">
        <w:rPr>
          <w:rFonts w:cstheme="minorHAnsi"/>
          <w:bCs/>
        </w:rPr>
        <w:t xml:space="preserve">for all PBS listed indications </w:t>
      </w:r>
      <w:r w:rsidR="00A970AB">
        <w:rPr>
          <w:rFonts w:cstheme="minorHAnsi"/>
          <w:bCs/>
        </w:rPr>
        <w:t>were provided</w:t>
      </w:r>
      <w:r w:rsidRPr="00C61EF3">
        <w:rPr>
          <w:rFonts w:cstheme="minorHAnsi"/>
          <w:bCs/>
        </w:rPr>
        <w:t>. While some SGLT2</w:t>
      </w:r>
      <w:r w:rsidR="00A301DE">
        <w:rPr>
          <w:rFonts w:cstheme="minorHAnsi"/>
          <w:bCs/>
        </w:rPr>
        <w:t xml:space="preserve"> inhibitors</w:t>
      </w:r>
      <w:r w:rsidR="007839F2">
        <w:rPr>
          <w:rFonts w:cstheme="minorHAnsi"/>
          <w:bCs/>
        </w:rPr>
        <w:t xml:space="preserve"> </w:t>
      </w:r>
      <w:r w:rsidRPr="00C61EF3">
        <w:rPr>
          <w:rFonts w:cstheme="minorHAnsi"/>
          <w:bCs/>
        </w:rPr>
        <w:t xml:space="preserve">are subsidised </w:t>
      </w:r>
      <w:r w:rsidR="00A972E0">
        <w:rPr>
          <w:rFonts w:cstheme="minorHAnsi"/>
          <w:bCs/>
        </w:rPr>
        <w:t xml:space="preserve">on the PBS </w:t>
      </w:r>
      <w:r w:rsidRPr="00C61EF3">
        <w:rPr>
          <w:rFonts w:cstheme="minorHAnsi"/>
          <w:bCs/>
        </w:rPr>
        <w:t xml:space="preserve">for </w:t>
      </w:r>
      <w:r w:rsidR="00A972E0">
        <w:rPr>
          <w:rFonts w:cstheme="minorHAnsi"/>
          <w:bCs/>
        </w:rPr>
        <w:t xml:space="preserve">use in </w:t>
      </w:r>
      <w:r w:rsidRPr="00C61EF3">
        <w:rPr>
          <w:rFonts w:cstheme="minorHAnsi"/>
          <w:bCs/>
        </w:rPr>
        <w:t xml:space="preserve">heart failure (see Table 1 below), </w:t>
      </w:r>
      <w:r w:rsidR="004704E9">
        <w:rPr>
          <w:rFonts w:cstheme="minorHAnsi"/>
          <w:bCs/>
        </w:rPr>
        <w:t>prior to 2022 this class was only PBS subsidised</w:t>
      </w:r>
      <w:r w:rsidRPr="00C61EF3">
        <w:rPr>
          <w:rFonts w:cstheme="minorHAnsi"/>
          <w:bCs/>
        </w:rPr>
        <w:t xml:space="preserve"> for </w:t>
      </w:r>
      <w:r w:rsidR="004704E9">
        <w:rPr>
          <w:rFonts w:cstheme="minorHAnsi"/>
          <w:bCs/>
        </w:rPr>
        <w:t xml:space="preserve">use in type 2 </w:t>
      </w:r>
      <w:r w:rsidRPr="00C61EF3">
        <w:rPr>
          <w:rFonts w:cstheme="minorHAnsi"/>
          <w:bCs/>
        </w:rPr>
        <w:t xml:space="preserve">diabetes, thus use of SGLT2i with the subsidised diabetes indication in the heart failure population </w:t>
      </w:r>
      <w:r w:rsidR="00A970AB">
        <w:rPr>
          <w:rFonts w:cstheme="minorHAnsi"/>
          <w:bCs/>
        </w:rPr>
        <w:t>was</w:t>
      </w:r>
      <w:r w:rsidRPr="00C61EF3">
        <w:rPr>
          <w:rFonts w:cstheme="minorHAnsi"/>
          <w:bCs/>
        </w:rPr>
        <w:t xml:space="preserve"> examined.</w:t>
      </w:r>
    </w:p>
    <w:p w14:paraId="3D98ACDD" w14:textId="07ED3D75" w:rsidR="00D209F2" w:rsidRDefault="00D209F2" w:rsidP="00D209F2">
      <w:pPr>
        <w:jc w:val="both"/>
        <w:rPr>
          <w:rFonts w:cstheme="minorHAnsi"/>
          <w:bCs/>
        </w:rPr>
      </w:pPr>
      <w:r w:rsidRPr="00C61EF3">
        <w:rPr>
          <w:rFonts w:cstheme="minorHAnsi"/>
          <w:bCs/>
        </w:rPr>
        <w:t xml:space="preserve">To determine </w:t>
      </w:r>
      <w:r w:rsidR="0009080D">
        <w:rPr>
          <w:rFonts w:cstheme="minorHAnsi"/>
          <w:bCs/>
        </w:rPr>
        <w:t xml:space="preserve">each person’s level of </w:t>
      </w:r>
      <w:r w:rsidRPr="00C61EF3">
        <w:rPr>
          <w:rFonts w:cstheme="minorHAnsi"/>
          <w:bCs/>
        </w:rPr>
        <w:t>comorbidity, all medicines dispensed in the prescription</w:t>
      </w:r>
      <w:r w:rsidR="00F50194" w:rsidRPr="00C61EF3">
        <w:rPr>
          <w:rFonts w:cstheme="minorHAnsi"/>
          <w:bCs/>
        </w:rPr>
        <w:t>-</w:t>
      </w:r>
      <w:r w:rsidRPr="00C61EF3">
        <w:rPr>
          <w:rFonts w:cstheme="minorHAnsi"/>
          <w:bCs/>
        </w:rPr>
        <w:t>based comorbidity index</w:t>
      </w:r>
      <w:r w:rsidR="00C9763C">
        <w:rPr>
          <w:rFonts w:cstheme="minorHAnsi"/>
          <w:bCs/>
        </w:rPr>
        <w:t xml:space="preserve"> were analysed using the Rx-Risk</w:t>
      </w:r>
      <w:r w:rsidR="002851AE">
        <w:rPr>
          <w:rFonts w:cstheme="minorHAnsi"/>
          <w:bCs/>
        </w:rPr>
        <w:t xml:space="preserve"> comorbidity scale</w:t>
      </w:r>
      <w:r w:rsidR="001E0424" w:rsidRPr="001E0424">
        <w:rPr>
          <w:rFonts w:cs="Helvetica"/>
          <w:color w:val="000000" w:themeColor="text1"/>
          <w:shd w:val="clear" w:color="auto" w:fill="FFFFFF"/>
        </w:rPr>
        <w:t xml:space="preserve"> </w:t>
      </w:r>
      <w:r w:rsidR="001E0424" w:rsidRPr="00CF5A6C">
        <w:rPr>
          <w:rFonts w:cs="Helvetica"/>
          <w:color w:val="000000" w:themeColor="text1"/>
          <w:shd w:val="clear" w:color="auto" w:fill="FFFFFF"/>
        </w:rPr>
        <w:t>[</w:t>
      </w:r>
      <w:r w:rsidR="001E0424">
        <w:rPr>
          <w:rFonts w:cs="Helvetica"/>
          <w:color w:val="000000" w:themeColor="text1"/>
          <w:shd w:val="clear" w:color="auto" w:fill="FFFFFF"/>
        </w:rPr>
        <w:t>3</w:t>
      </w:r>
      <w:r w:rsidR="001E0424" w:rsidRPr="00CF5A6C">
        <w:rPr>
          <w:rFonts w:cs="Helvetica"/>
          <w:color w:val="000000" w:themeColor="text1"/>
          <w:shd w:val="clear" w:color="auto" w:fill="FFFFFF"/>
        </w:rPr>
        <w:t>].</w:t>
      </w:r>
      <w:r w:rsidR="001E0424" w:rsidRPr="00C61EF3">
        <w:rPr>
          <w:rFonts w:cstheme="minorHAnsi"/>
          <w:bCs/>
        </w:rPr>
        <w:t xml:space="preserve"> </w:t>
      </w:r>
      <w:r w:rsidR="001C4E66" w:rsidRPr="00CF5A6C">
        <w:rPr>
          <w:rFonts w:cs="Helvetica"/>
          <w:color w:val="000000" w:themeColor="text1"/>
          <w:shd w:val="clear" w:color="auto" w:fill="FFFFFF"/>
        </w:rPr>
        <w:t xml:space="preserve">The Rx Risk </w:t>
      </w:r>
      <w:r w:rsidR="00C9763C" w:rsidRPr="00CF5A6C">
        <w:rPr>
          <w:rFonts w:cs="Helvetica"/>
          <w:color w:val="000000" w:themeColor="text1"/>
          <w:shd w:val="clear" w:color="auto" w:fill="FFFFFF"/>
        </w:rPr>
        <w:t xml:space="preserve">identifies up to 45 </w:t>
      </w:r>
      <w:r w:rsidR="002851AE" w:rsidRPr="00CF5A6C">
        <w:rPr>
          <w:rFonts w:cs="Helvetica"/>
          <w:color w:val="000000" w:themeColor="text1"/>
          <w:shd w:val="clear" w:color="auto" w:fill="FFFFFF"/>
        </w:rPr>
        <w:t>individual conditions based on medicine use. It assumes use of the medicine is for the specified condition</w:t>
      </w:r>
      <w:r w:rsidR="001C4E66" w:rsidRPr="00CF5A6C">
        <w:rPr>
          <w:rFonts w:cs="Helvetica"/>
          <w:color w:val="000000" w:themeColor="text1"/>
          <w:shd w:val="clear" w:color="auto" w:fill="FFFFFF"/>
        </w:rPr>
        <w:t xml:space="preserve"> [</w:t>
      </w:r>
      <w:r w:rsidR="003023C1">
        <w:rPr>
          <w:rFonts w:cs="Helvetica"/>
          <w:color w:val="000000" w:themeColor="text1"/>
          <w:shd w:val="clear" w:color="auto" w:fill="FFFFFF"/>
        </w:rPr>
        <w:t>3</w:t>
      </w:r>
      <w:r w:rsidR="001C4E66" w:rsidRPr="00CF5A6C">
        <w:rPr>
          <w:rFonts w:cs="Helvetica"/>
          <w:color w:val="000000" w:themeColor="text1"/>
          <w:shd w:val="clear" w:color="auto" w:fill="FFFFFF"/>
        </w:rPr>
        <w:t>].</w:t>
      </w:r>
      <w:r w:rsidR="001E0424">
        <w:rPr>
          <w:rFonts w:cs="Helvetica"/>
          <w:color w:val="000000" w:themeColor="text1"/>
          <w:shd w:val="clear" w:color="auto" w:fill="FFFFFF"/>
        </w:rPr>
        <w:t xml:space="preserve"> </w:t>
      </w:r>
      <w:r w:rsidR="007F6330">
        <w:rPr>
          <w:rFonts w:cs="Helvetica"/>
          <w:color w:val="000000" w:themeColor="text1"/>
          <w:shd w:val="clear" w:color="auto" w:fill="FFFFFF"/>
        </w:rPr>
        <w:t>Its major limitation is that it is based on treatments (medicine use) and not diagnostic data.</w:t>
      </w:r>
      <w:r w:rsidR="002038C4">
        <w:rPr>
          <w:rFonts w:cs="Helvetica"/>
          <w:color w:val="000000" w:themeColor="text1"/>
          <w:shd w:val="clear" w:color="auto" w:fill="FFFFFF"/>
        </w:rPr>
        <w:t xml:space="preserve"> </w:t>
      </w:r>
      <w:r w:rsidR="007F6330">
        <w:rPr>
          <w:rFonts w:cs="Helvetica"/>
          <w:color w:val="000000" w:themeColor="text1"/>
          <w:shd w:val="clear" w:color="auto" w:fill="FFFFFF"/>
        </w:rPr>
        <w:t>I</w:t>
      </w:r>
      <w:r w:rsidR="001E0424">
        <w:rPr>
          <w:rFonts w:cs="Helvetica"/>
          <w:color w:val="000000" w:themeColor="text1"/>
          <w:shd w:val="clear" w:color="auto" w:fill="FFFFFF"/>
        </w:rPr>
        <w:t>t has previously been shown to have good specificity</w:t>
      </w:r>
      <w:r w:rsidR="0061675C">
        <w:rPr>
          <w:rFonts w:cs="Helvetica"/>
          <w:color w:val="000000" w:themeColor="text1"/>
          <w:shd w:val="clear" w:color="auto" w:fill="FFFFFF"/>
        </w:rPr>
        <w:t xml:space="preserve"> for selected conditions</w:t>
      </w:r>
      <w:r w:rsidR="001E0424">
        <w:rPr>
          <w:rFonts w:cs="Helvetica"/>
          <w:color w:val="000000" w:themeColor="text1"/>
          <w:shd w:val="clear" w:color="auto" w:fill="FFFFFF"/>
        </w:rPr>
        <w:t xml:space="preserve">, </w:t>
      </w:r>
      <w:r w:rsidR="007F6330">
        <w:rPr>
          <w:rFonts w:cs="Helvetica"/>
          <w:color w:val="000000" w:themeColor="text1"/>
          <w:shd w:val="clear" w:color="auto" w:fill="FFFFFF"/>
        </w:rPr>
        <w:t>but</w:t>
      </w:r>
      <w:r w:rsidR="001E0424">
        <w:rPr>
          <w:rFonts w:cs="Helvetica"/>
          <w:color w:val="000000" w:themeColor="text1"/>
          <w:shd w:val="clear" w:color="auto" w:fill="FFFFFF"/>
        </w:rPr>
        <w:t xml:space="preserve"> poorer sensitivity (i.e it may not identify everyone who has the condition</w:t>
      </w:r>
      <w:r w:rsidR="002038C4">
        <w:rPr>
          <w:rFonts w:cs="Helvetica"/>
          <w:color w:val="000000" w:themeColor="text1"/>
          <w:shd w:val="clear" w:color="auto" w:fill="FFFFFF"/>
        </w:rPr>
        <w:t>)</w:t>
      </w:r>
      <w:r w:rsidR="007F6330">
        <w:rPr>
          <w:rFonts w:cs="Helvetica"/>
          <w:color w:val="000000" w:themeColor="text1"/>
          <w:shd w:val="clear" w:color="auto" w:fill="FFFFFF"/>
        </w:rPr>
        <w:t xml:space="preserve"> [4]. Sensitivity and specificity </w:t>
      </w:r>
      <w:proofErr w:type="gramStart"/>
      <w:r w:rsidR="007F6330">
        <w:rPr>
          <w:rFonts w:cs="Helvetica"/>
          <w:color w:val="000000" w:themeColor="text1"/>
          <w:shd w:val="clear" w:color="auto" w:fill="FFFFFF"/>
        </w:rPr>
        <w:t>does</w:t>
      </w:r>
      <w:proofErr w:type="gramEnd"/>
      <w:r w:rsidR="007F6330">
        <w:rPr>
          <w:rFonts w:cs="Helvetica"/>
          <w:color w:val="000000" w:themeColor="text1"/>
          <w:shd w:val="clear" w:color="auto" w:fill="FFFFFF"/>
        </w:rPr>
        <w:t xml:space="preserve"> vary for each condition</w:t>
      </w:r>
      <w:r w:rsidR="001E0424">
        <w:rPr>
          <w:rFonts w:cs="Helvetica"/>
          <w:color w:val="000000" w:themeColor="text1"/>
          <w:shd w:val="clear" w:color="auto" w:fill="FFFFFF"/>
        </w:rPr>
        <w:t xml:space="preserve"> </w:t>
      </w:r>
      <w:r w:rsidR="0061675C">
        <w:rPr>
          <w:rFonts w:cs="Helvetica"/>
          <w:color w:val="000000" w:themeColor="text1"/>
          <w:shd w:val="clear" w:color="auto" w:fill="FFFFFF"/>
        </w:rPr>
        <w:t xml:space="preserve">[4]. </w:t>
      </w:r>
      <w:r w:rsidR="001C4E66" w:rsidRPr="00C61EF3">
        <w:rPr>
          <w:rFonts w:cstheme="minorHAnsi"/>
          <w:bCs/>
        </w:rPr>
        <w:t xml:space="preserve"> </w:t>
      </w:r>
      <w:r w:rsidR="007F6330">
        <w:rPr>
          <w:rFonts w:cstheme="minorHAnsi"/>
          <w:bCs/>
        </w:rPr>
        <w:t xml:space="preserve">Its advantage is that it can be used for everyone who takes </w:t>
      </w:r>
      <w:proofErr w:type="gramStart"/>
      <w:r w:rsidR="007F6330">
        <w:rPr>
          <w:rFonts w:cstheme="minorHAnsi"/>
          <w:bCs/>
        </w:rPr>
        <w:t>medicines</w:t>
      </w:r>
      <w:proofErr w:type="gramEnd"/>
      <w:r w:rsidR="007F6330">
        <w:rPr>
          <w:rFonts w:cstheme="minorHAnsi"/>
          <w:bCs/>
        </w:rPr>
        <w:t xml:space="preserve"> and it is predictive of mortality and poorer self-reported health [3,</w:t>
      </w:r>
      <w:r w:rsidR="002038C4">
        <w:rPr>
          <w:rFonts w:cstheme="minorHAnsi"/>
          <w:bCs/>
        </w:rPr>
        <w:t xml:space="preserve"> </w:t>
      </w:r>
      <w:r w:rsidR="007F6330">
        <w:rPr>
          <w:rFonts w:cstheme="minorHAnsi"/>
          <w:bCs/>
        </w:rPr>
        <w:t>4]</w:t>
      </w:r>
      <w:r w:rsidR="0061675C">
        <w:rPr>
          <w:rFonts w:cstheme="minorHAnsi"/>
          <w:bCs/>
        </w:rPr>
        <w:t>, thus does serve as a measure of overall health</w:t>
      </w:r>
      <w:r w:rsidR="007F6330">
        <w:rPr>
          <w:rFonts w:cstheme="minorHAnsi"/>
          <w:bCs/>
        </w:rPr>
        <w:t xml:space="preserve">. </w:t>
      </w:r>
      <w:r w:rsidRPr="00C61EF3">
        <w:rPr>
          <w:rFonts w:cstheme="minorHAnsi"/>
          <w:bCs/>
        </w:rPr>
        <w:t xml:space="preserve"> Rx Risk</w:t>
      </w:r>
      <w:r w:rsidR="00A970AB">
        <w:rPr>
          <w:rFonts w:cstheme="minorHAnsi"/>
          <w:bCs/>
        </w:rPr>
        <w:t xml:space="preserve"> (t</w:t>
      </w:r>
      <w:r w:rsidRPr="00C61EF3">
        <w:rPr>
          <w:rFonts w:cstheme="minorHAnsi"/>
          <w:bCs/>
        </w:rPr>
        <w:t>he list of medicines and codes</w:t>
      </w:r>
      <w:r w:rsidR="00A970AB">
        <w:rPr>
          <w:rFonts w:cstheme="minorHAnsi"/>
          <w:bCs/>
        </w:rPr>
        <w:t xml:space="preserve">) </w:t>
      </w:r>
      <w:r w:rsidR="001C4E66">
        <w:rPr>
          <w:rFonts w:cstheme="minorHAnsi"/>
          <w:bCs/>
        </w:rPr>
        <w:t xml:space="preserve">used in the analysis are </w:t>
      </w:r>
      <w:r w:rsidR="00A970AB">
        <w:rPr>
          <w:rFonts w:cstheme="minorHAnsi"/>
          <w:bCs/>
        </w:rPr>
        <w:t>provided</w:t>
      </w:r>
      <w:r w:rsidR="001C4E66">
        <w:rPr>
          <w:rFonts w:cstheme="minorHAnsi"/>
          <w:bCs/>
        </w:rPr>
        <w:t xml:space="preserve"> in Appendix 1</w:t>
      </w:r>
      <w:r w:rsidRPr="00C61EF3">
        <w:rPr>
          <w:rFonts w:cstheme="minorHAnsi"/>
          <w:bCs/>
        </w:rPr>
        <w:t>.</w:t>
      </w:r>
    </w:p>
    <w:p w14:paraId="252C8270" w14:textId="69C47537" w:rsidR="00D209F2" w:rsidRPr="00C61EF3" w:rsidRDefault="00A970AB" w:rsidP="00D209F2">
      <w:pPr>
        <w:jc w:val="both"/>
        <w:rPr>
          <w:rFonts w:cstheme="minorHAnsi"/>
          <w:bCs/>
        </w:rPr>
      </w:pPr>
      <w:r>
        <w:rPr>
          <w:rFonts w:cstheme="minorHAnsi"/>
          <w:bCs/>
        </w:rPr>
        <w:t>Time</w:t>
      </w:r>
      <w:r w:rsidR="00D209F2" w:rsidRPr="00C61EF3">
        <w:rPr>
          <w:rFonts w:cstheme="minorHAnsi"/>
          <w:bCs/>
        </w:rPr>
        <w:t xml:space="preserve"> of death for censoring individuals in the analyses examining duration</w:t>
      </w:r>
      <w:r>
        <w:rPr>
          <w:rFonts w:cstheme="minorHAnsi"/>
          <w:bCs/>
        </w:rPr>
        <w:t xml:space="preserve"> was not available. A proxy measure was used instead, namely lack of dispensing for any medicine in Table 1 or Table 2 for 12 months</w:t>
      </w:r>
      <w:r w:rsidR="00D209F2" w:rsidRPr="00C61EF3">
        <w:rPr>
          <w:rFonts w:cstheme="minorHAnsi"/>
          <w:bCs/>
        </w:rPr>
        <w:t xml:space="preserve">. </w:t>
      </w:r>
      <w:r w:rsidR="00532A55">
        <w:rPr>
          <w:rFonts w:cstheme="minorHAnsi"/>
          <w:bCs/>
        </w:rPr>
        <w:t>The date of the very latest dispensing + 365</w:t>
      </w:r>
      <w:r w:rsidR="007623FA">
        <w:rPr>
          <w:rFonts w:cstheme="minorHAnsi"/>
          <w:bCs/>
        </w:rPr>
        <w:t xml:space="preserve"> days</w:t>
      </w:r>
      <w:r w:rsidR="00532A55">
        <w:rPr>
          <w:rFonts w:cstheme="minorHAnsi"/>
          <w:bCs/>
        </w:rPr>
        <w:t xml:space="preserve"> was used as a </w:t>
      </w:r>
      <w:r w:rsidR="00487B6F">
        <w:rPr>
          <w:rFonts w:cstheme="minorHAnsi"/>
          <w:bCs/>
        </w:rPr>
        <w:t>proxy date of death if it was before the end of study</w:t>
      </w:r>
      <w:r w:rsidR="00BE3126">
        <w:rPr>
          <w:rFonts w:cstheme="minorHAnsi"/>
          <w:bCs/>
        </w:rPr>
        <w:t xml:space="preserve"> (if it was past </w:t>
      </w:r>
      <w:r w:rsidR="00680DA3">
        <w:rPr>
          <w:rFonts w:cstheme="minorHAnsi"/>
          <w:bCs/>
        </w:rPr>
        <w:t xml:space="preserve">the </w:t>
      </w:r>
      <w:r w:rsidR="00BE3126">
        <w:rPr>
          <w:rFonts w:cstheme="minorHAnsi"/>
          <w:bCs/>
        </w:rPr>
        <w:t xml:space="preserve">end of study, the person </w:t>
      </w:r>
      <w:proofErr w:type="gramStart"/>
      <w:r w:rsidR="00BE3126">
        <w:rPr>
          <w:rFonts w:cstheme="minorHAnsi"/>
          <w:bCs/>
        </w:rPr>
        <w:t>was considered to be</w:t>
      </w:r>
      <w:proofErr w:type="gramEnd"/>
      <w:r w:rsidR="00BE3126">
        <w:rPr>
          <w:rFonts w:cstheme="minorHAnsi"/>
          <w:bCs/>
        </w:rPr>
        <w:t xml:space="preserve"> alive)</w:t>
      </w:r>
      <w:r w:rsidR="00487B6F">
        <w:rPr>
          <w:rFonts w:cstheme="minorHAnsi"/>
          <w:bCs/>
        </w:rPr>
        <w:t>.</w:t>
      </w:r>
      <w:r w:rsidR="0070769B">
        <w:rPr>
          <w:rFonts w:cstheme="minorHAnsi"/>
          <w:bCs/>
        </w:rPr>
        <w:t xml:space="preserve">  A sensitivity analysis was conducted using 180 days past </w:t>
      </w:r>
      <w:r w:rsidR="00BF07A4">
        <w:rPr>
          <w:rFonts w:cstheme="minorHAnsi"/>
          <w:bCs/>
        </w:rPr>
        <w:t xml:space="preserve">the last dispensing which </w:t>
      </w:r>
      <w:r w:rsidR="0070769B">
        <w:rPr>
          <w:rFonts w:cstheme="minorHAnsi"/>
          <w:bCs/>
        </w:rPr>
        <w:t>showed similar results for all survival analyses reported</w:t>
      </w:r>
      <w:r w:rsidR="00BF07A4">
        <w:rPr>
          <w:rFonts w:cstheme="minorHAnsi"/>
          <w:bCs/>
        </w:rPr>
        <w:t xml:space="preserve"> (results not shown)</w:t>
      </w:r>
      <w:r w:rsidR="0070769B">
        <w:rPr>
          <w:rFonts w:cstheme="minorHAnsi"/>
          <w:bCs/>
        </w:rPr>
        <w:t xml:space="preserve">. </w:t>
      </w:r>
    </w:p>
    <w:p w14:paraId="78FBD9F2" w14:textId="7B41C2DB" w:rsidR="00D90242" w:rsidRPr="002226CF" w:rsidRDefault="00F53F84" w:rsidP="00701E17">
      <w:pPr>
        <w:spacing w:after="0"/>
        <w:jc w:val="both"/>
        <w:rPr>
          <w:rFonts w:cstheme="minorHAnsi"/>
          <w:bCs/>
        </w:rPr>
      </w:pPr>
      <w:r>
        <w:rPr>
          <w:rFonts w:cstheme="minorHAnsi"/>
          <w:bCs/>
        </w:rPr>
        <w:t>Table 1 presents the medicines restricted to HF under the PBS</w:t>
      </w:r>
      <w:r w:rsidR="002851AE">
        <w:rPr>
          <w:rFonts w:cstheme="minorHAnsi"/>
          <w:bCs/>
        </w:rPr>
        <w:t xml:space="preserve"> and their PBS listing dates</w:t>
      </w:r>
      <w:r>
        <w:rPr>
          <w:rFonts w:cstheme="minorHAnsi"/>
          <w:bCs/>
        </w:rPr>
        <w:t xml:space="preserve">. </w:t>
      </w:r>
      <w:r w:rsidRPr="00CF5A6C">
        <w:rPr>
          <w:rFonts w:cstheme="minorHAnsi"/>
          <w:bCs/>
        </w:rPr>
        <w:t>It should be noted that a condition of subsidy for all these medicines (excluding eplerenone) includes prior</w:t>
      </w:r>
      <w:r w:rsidR="0009080D" w:rsidRPr="00CF5A6C">
        <w:rPr>
          <w:rFonts w:cstheme="minorHAnsi"/>
          <w:bCs/>
        </w:rPr>
        <w:t xml:space="preserve"> or </w:t>
      </w:r>
      <w:r w:rsidRPr="00CF5A6C">
        <w:rPr>
          <w:rFonts w:cstheme="minorHAnsi"/>
          <w:bCs/>
        </w:rPr>
        <w:t xml:space="preserve">concomitant use with </w:t>
      </w:r>
      <w:r w:rsidR="00553C51" w:rsidRPr="00CF5A6C">
        <w:rPr>
          <w:rFonts w:cstheme="minorHAnsi"/>
          <w:bCs/>
        </w:rPr>
        <w:t>optimal standard chronic heart failure treatment</w:t>
      </w:r>
      <w:r w:rsidR="002226CF" w:rsidRPr="00CF5A6C">
        <w:rPr>
          <w:rFonts w:cstheme="minorHAnsi"/>
          <w:bCs/>
        </w:rPr>
        <w:t xml:space="preserve"> unless contraindicated or not tolerated</w:t>
      </w:r>
      <w:r w:rsidR="00725851" w:rsidRPr="00CF5A6C">
        <w:rPr>
          <w:rFonts w:cstheme="minorHAnsi"/>
          <w:bCs/>
        </w:rPr>
        <w:t>,</w:t>
      </w:r>
      <w:r w:rsidR="002E451A" w:rsidRPr="00CF5A6C">
        <w:rPr>
          <w:rFonts w:cstheme="minorHAnsi"/>
          <w:bCs/>
        </w:rPr>
        <w:t xml:space="preserve"> </w:t>
      </w:r>
      <w:r w:rsidR="00725851" w:rsidRPr="00CF5A6C">
        <w:rPr>
          <w:rFonts w:cstheme="minorHAnsi"/>
          <w:bCs/>
        </w:rPr>
        <w:t>u</w:t>
      </w:r>
      <w:r w:rsidR="002E451A" w:rsidRPr="00CF5A6C">
        <w:rPr>
          <w:rFonts w:cstheme="minorHAnsi"/>
          <w:bCs/>
        </w:rPr>
        <w:t>sually one or both of</w:t>
      </w:r>
      <w:r w:rsidR="00D90242" w:rsidRPr="00CF5A6C">
        <w:rPr>
          <w:rFonts w:cstheme="minorHAnsi"/>
          <w:bCs/>
        </w:rPr>
        <w:t xml:space="preserve"> the following:</w:t>
      </w:r>
    </w:p>
    <w:p w14:paraId="6FDA0C3B" w14:textId="7F720DFE" w:rsidR="00D90242" w:rsidRPr="00F14A33" w:rsidRDefault="00725851" w:rsidP="00D90242">
      <w:pPr>
        <w:pStyle w:val="ListParagraph"/>
        <w:numPr>
          <w:ilvl w:val="0"/>
          <w:numId w:val="27"/>
        </w:numPr>
        <w:jc w:val="both"/>
        <w:rPr>
          <w:rFonts w:asciiTheme="minorHAnsi" w:hAnsiTheme="minorHAnsi" w:cstheme="minorHAnsi"/>
          <w:bCs/>
          <w:sz w:val="22"/>
          <w:szCs w:val="22"/>
        </w:rPr>
      </w:pPr>
      <w:r w:rsidRPr="00F14A33">
        <w:rPr>
          <w:rFonts w:asciiTheme="minorHAnsi" w:hAnsiTheme="minorHAnsi" w:cstheme="minorHAnsi"/>
          <w:bCs/>
          <w:sz w:val="22"/>
          <w:szCs w:val="22"/>
        </w:rPr>
        <w:t xml:space="preserve">a </w:t>
      </w:r>
      <w:r w:rsidR="00F53F84" w:rsidRPr="00F14A33">
        <w:rPr>
          <w:rFonts w:asciiTheme="minorHAnsi" w:hAnsiTheme="minorHAnsi"/>
          <w:sz w:val="22"/>
        </w:rPr>
        <w:t xml:space="preserve">renin-angiotensin system inhibitor (angiotensin-converting enzyme inhibitor (ACEi) or angiotensin receptor blockers (ARB)) </w:t>
      </w:r>
    </w:p>
    <w:p w14:paraId="3794C899" w14:textId="558FC6B4" w:rsidR="00F53F84" w:rsidRPr="00405EC4" w:rsidRDefault="00D90242" w:rsidP="0054000A">
      <w:pPr>
        <w:pStyle w:val="ListParagraph"/>
        <w:numPr>
          <w:ilvl w:val="0"/>
          <w:numId w:val="27"/>
        </w:numPr>
        <w:spacing w:after="240"/>
        <w:jc w:val="both"/>
      </w:pPr>
      <w:r w:rsidRPr="00F14A33">
        <w:rPr>
          <w:rFonts w:asciiTheme="minorHAnsi" w:hAnsiTheme="minorHAnsi" w:cstheme="minorHAnsi"/>
          <w:bCs/>
          <w:sz w:val="22"/>
          <w:szCs w:val="22"/>
        </w:rPr>
        <w:t xml:space="preserve">a </w:t>
      </w:r>
      <w:r w:rsidR="00F53F84" w:rsidRPr="00F14A33">
        <w:rPr>
          <w:rFonts w:asciiTheme="minorHAnsi" w:hAnsiTheme="minorHAnsi"/>
          <w:sz w:val="22"/>
        </w:rPr>
        <w:t>beta-blocker.</w:t>
      </w:r>
    </w:p>
    <w:p w14:paraId="61E05B1D" w14:textId="10C5955C" w:rsidR="00F53F84" w:rsidRDefault="00B62E95" w:rsidP="00F53F84">
      <w:pPr>
        <w:jc w:val="both"/>
        <w:rPr>
          <w:rFonts w:cstheme="minorHAnsi"/>
          <w:bCs/>
        </w:rPr>
      </w:pPr>
      <w:r w:rsidRPr="002226CF">
        <w:rPr>
          <w:rFonts w:cstheme="minorHAnsi"/>
          <w:bCs/>
        </w:rPr>
        <w:t xml:space="preserve">Table 2 presents </w:t>
      </w:r>
      <w:r w:rsidR="00F53F84" w:rsidRPr="002226CF">
        <w:rPr>
          <w:rFonts w:cstheme="minorHAnsi"/>
          <w:bCs/>
        </w:rPr>
        <w:t>unrestricted PBS items which could</w:t>
      </w:r>
      <w:r w:rsidR="00F53F84">
        <w:rPr>
          <w:rFonts w:cstheme="minorHAnsi"/>
          <w:bCs/>
        </w:rPr>
        <w:t xml:space="preserve"> be </w:t>
      </w:r>
      <w:r w:rsidR="00F53F84" w:rsidRPr="007E6480">
        <w:rPr>
          <w:rFonts w:cstheme="minorHAnsi"/>
          <w:bCs/>
        </w:rPr>
        <w:t>used for HF such as ACE</w:t>
      </w:r>
      <w:r w:rsidR="003A0616">
        <w:rPr>
          <w:rFonts w:cstheme="minorHAnsi"/>
          <w:bCs/>
        </w:rPr>
        <w:t>i</w:t>
      </w:r>
      <w:r w:rsidR="00F53F84" w:rsidRPr="007E6480">
        <w:rPr>
          <w:rFonts w:cstheme="minorHAnsi"/>
          <w:bCs/>
        </w:rPr>
        <w:t>, ARB, digoxin, spironolactone and diuretics.</w:t>
      </w:r>
      <w:r w:rsidR="00F53F84">
        <w:rPr>
          <w:rFonts w:cstheme="minorHAnsi"/>
          <w:bCs/>
        </w:rPr>
        <w:t xml:space="preserve"> </w:t>
      </w:r>
    </w:p>
    <w:p w14:paraId="771456F3" w14:textId="77777777" w:rsidR="00AD0302" w:rsidRPr="001D7E23" w:rsidRDefault="00AD0302" w:rsidP="00575377">
      <w:pPr>
        <w:spacing w:before="120" w:after="0"/>
        <w:jc w:val="both"/>
        <w:rPr>
          <w:rFonts w:cstheme="minorHAnsi"/>
          <w:b/>
        </w:rPr>
      </w:pPr>
      <w:r w:rsidRPr="001D7E23">
        <w:rPr>
          <w:rFonts w:cstheme="minorHAnsi"/>
          <w:b/>
        </w:rPr>
        <w:t xml:space="preserve">Table 1: </w:t>
      </w:r>
      <w:r w:rsidR="00F53F84" w:rsidRPr="001D7E23">
        <w:rPr>
          <w:rFonts w:cstheme="minorHAnsi"/>
          <w:b/>
        </w:rPr>
        <w:t>PBS-listed medicines for heart failure (restricted benefit/authority required)</w:t>
      </w:r>
    </w:p>
    <w:tbl>
      <w:tblPr>
        <w:tblStyle w:val="TableGrid"/>
        <w:tblW w:w="0" w:type="auto"/>
        <w:tblLook w:val="04A0" w:firstRow="1" w:lastRow="0" w:firstColumn="1" w:lastColumn="0" w:noHBand="0" w:noVBand="1"/>
      </w:tblPr>
      <w:tblGrid>
        <w:gridCol w:w="1552"/>
        <w:gridCol w:w="2002"/>
        <w:gridCol w:w="1119"/>
        <w:gridCol w:w="2977"/>
        <w:gridCol w:w="1366"/>
      </w:tblGrid>
      <w:tr w:rsidR="00C57C81" w:rsidRPr="001D7E23" w14:paraId="19F219A0" w14:textId="77777777" w:rsidTr="00483771">
        <w:tc>
          <w:tcPr>
            <w:tcW w:w="1552" w:type="dxa"/>
            <w:tcBorders>
              <w:bottom w:val="single" w:sz="4" w:space="0" w:color="auto"/>
            </w:tcBorders>
          </w:tcPr>
          <w:p w14:paraId="6258AC4D" w14:textId="77777777" w:rsidR="00C57C81" w:rsidRPr="001D7E23" w:rsidRDefault="00C57C81" w:rsidP="00D10244">
            <w:pPr>
              <w:rPr>
                <w:rFonts w:cstheme="minorHAnsi"/>
              </w:rPr>
            </w:pPr>
            <w:r w:rsidRPr="001D7E23">
              <w:rPr>
                <w:rFonts w:cstheme="minorHAnsi"/>
              </w:rPr>
              <w:t>Class</w:t>
            </w:r>
          </w:p>
        </w:tc>
        <w:tc>
          <w:tcPr>
            <w:tcW w:w="2002" w:type="dxa"/>
          </w:tcPr>
          <w:p w14:paraId="7ED6E1E8" w14:textId="77777777" w:rsidR="00C57C81" w:rsidRPr="001D7E23" w:rsidRDefault="00773A60" w:rsidP="00D10244">
            <w:pPr>
              <w:rPr>
                <w:rFonts w:cstheme="minorHAnsi"/>
              </w:rPr>
            </w:pPr>
            <w:r w:rsidRPr="001D7E23">
              <w:rPr>
                <w:rFonts w:cstheme="minorHAnsi"/>
              </w:rPr>
              <w:t>Medicine</w:t>
            </w:r>
          </w:p>
        </w:tc>
        <w:tc>
          <w:tcPr>
            <w:tcW w:w="1119" w:type="dxa"/>
          </w:tcPr>
          <w:p w14:paraId="14A57C9E" w14:textId="77777777" w:rsidR="00C57C81" w:rsidRPr="001D7E23" w:rsidRDefault="00C57C81" w:rsidP="00D10244">
            <w:pPr>
              <w:rPr>
                <w:rFonts w:cstheme="minorHAnsi"/>
              </w:rPr>
            </w:pPr>
            <w:r w:rsidRPr="001D7E23">
              <w:rPr>
                <w:rFonts w:cstheme="minorHAnsi"/>
              </w:rPr>
              <w:t>ATC code</w:t>
            </w:r>
          </w:p>
        </w:tc>
        <w:tc>
          <w:tcPr>
            <w:tcW w:w="2977" w:type="dxa"/>
          </w:tcPr>
          <w:p w14:paraId="2BAA6C47" w14:textId="77777777" w:rsidR="00C57C81" w:rsidRPr="001D7E23" w:rsidRDefault="00C57C81" w:rsidP="00D10244">
            <w:pPr>
              <w:rPr>
                <w:rFonts w:cstheme="minorHAnsi"/>
              </w:rPr>
            </w:pPr>
            <w:r w:rsidRPr="001D7E23">
              <w:rPr>
                <w:rFonts w:cstheme="minorHAnsi"/>
              </w:rPr>
              <w:t>PBS item code</w:t>
            </w:r>
          </w:p>
        </w:tc>
        <w:tc>
          <w:tcPr>
            <w:tcW w:w="1366" w:type="dxa"/>
          </w:tcPr>
          <w:p w14:paraId="4408A015" w14:textId="0318DBB5" w:rsidR="00C57C81" w:rsidRPr="001D7E23" w:rsidRDefault="003E6F17" w:rsidP="00D10244">
            <w:pPr>
              <w:rPr>
                <w:rFonts w:cstheme="minorHAnsi"/>
              </w:rPr>
            </w:pPr>
            <w:r>
              <w:rPr>
                <w:rFonts w:cstheme="minorHAnsi"/>
              </w:rPr>
              <w:t xml:space="preserve">PBS </w:t>
            </w:r>
            <w:r w:rsidR="00C57C81" w:rsidRPr="001D7E23">
              <w:rPr>
                <w:rFonts w:cstheme="minorHAnsi"/>
              </w:rPr>
              <w:t>List date</w:t>
            </w:r>
          </w:p>
        </w:tc>
      </w:tr>
      <w:tr w:rsidR="00483771" w:rsidRPr="001D7E23" w14:paraId="6A5B5F1E" w14:textId="77777777" w:rsidTr="00483771">
        <w:tc>
          <w:tcPr>
            <w:tcW w:w="1552" w:type="dxa"/>
            <w:tcBorders>
              <w:bottom w:val="nil"/>
            </w:tcBorders>
          </w:tcPr>
          <w:p w14:paraId="77CDDA5A" w14:textId="77777777" w:rsidR="00483771" w:rsidRPr="001D7E23" w:rsidRDefault="00483771" w:rsidP="00D10244">
            <w:pPr>
              <w:rPr>
                <w:rFonts w:cstheme="minorHAnsi"/>
              </w:rPr>
            </w:pPr>
            <w:r w:rsidRPr="001D7E23">
              <w:rPr>
                <w:rFonts w:cstheme="minorHAnsi"/>
              </w:rPr>
              <w:t>Beta blockers</w:t>
            </w:r>
          </w:p>
        </w:tc>
        <w:tc>
          <w:tcPr>
            <w:tcW w:w="2002" w:type="dxa"/>
          </w:tcPr>
          <w:p w14:paraId="2F3E969F" w14:textId="77777777" w:rsidR="00483771" w:rsidRPr="001D7E23" w:rsidRDefault="00483771" w:rsidP="00D10244">
            <w:pPr>
              <w:rPr>
                <w:rFonts w:cstheme="minorHAnsi"/>
              </w:rPr>
            </w:pPr>
            <w:r w:rsidRPr="001D7E23">
              <w:rPr>
                <w:rFonts w:cstheme="minorHAnsi"/>
              </w:rPr>
              <w:t>Bisoprolol (as fumarate)</w:t>
            </w:r>
          </w:p>
        </w:tc>
        <w:tc>
          <w:tcPr>
            <w:tcW w:w="1119" w:type="dxa"/>
          </w:tcPr>
          <w:p w14:paraId="0F252935" w14:textId="77777777" w:rsidR="00483771" w:rsidRPr="001D7E23" w:rsidRDefault="00483771" w:rsidP="00D10244">
            <w:pPr>
              <w:rPr>
                <w:rFonts w:cstheme="minorHAnsi"/>
              </w:rPr>
            </w:pPr>
            <w:r w:rsidRPr="001D7E23">
              <w:rPr>
                <w:rFonts w:cstheme="minorHAnsi"/>
              </w:rPr>
              <w:t>C07AB07</w:t>
            </w:r>
          </w:p>
        </w:tc>
        <w:tc>
          <w:tcPr>
            <w:tcW w:w="2977" w:type="dxa"/>
          </w:tcPr>
          <w:p w14:paraId="1FAA88C2" w14:textId="77777777" w:rsidR="00483771" w:rsidRPr="001D7E23" w:rsidRDefault="00483771" w:rsidP="00D10244">
            <w:pPr>
              <w:rPr>
                <w:rFonts w:cstheme="minorHAnsi"/>
              </w:rPr>
            </w:pPr>
            <w:r w:rsidRPr="001D7E23">
              <w:rPr>
                <w:rFonts w:cstheme="minorHAnsi"/>
              </w:rPr>
              <w:t>8604W; 8605X; 8696Y</w:t>
            </w:r>
          </w:p>
        </w:tc>
        <w:tc>
          <w:tcPr>
            <w:tcW w:w="1366" w:type="dxa"/>
          </w:tcPr>
          <w:p w14:paraId="6C4D3E49" w14:textId="77777777" w:rsidR="00483771" w:rsidRPr="001D7E23" w:rsidRDefault="00483771" w:rsidP="00D10244">
            <w:pPr>
              <w:rPr>
                <w:rFonts w:cstheme="minorHAnsi"/>
              </w:rPr>
            </w:pPr>
            <w:r w:rsidRPr="001D7E23">
              <w:rPr>
                <w:rFonts w:cstheme="minorHAnsi"/>
              </w:rPr>
              <w:t>Aug 2002</w:t>
            </w:r>
          </w:p>
        </w:tc>
      </w:tr>
      <w:tr w:rsidR="00483771" w:rsidRPr="001D7E23" w14:paraId="06CC7FA9" w14:textId="77777777" w:rsidTr="00483771">
        <w:tc>
          <w:tcPr>
            <w:tcW w:w="1552" w:type="dxa"/>
            <w:tcBorders>
              <w:top w:val="nil"/>
              <w:bottom w:val="nil"/>
            </w:tcBorders>
          </w:tcPr>
          <w:p w14:paraId="4E5CF19E" w14:textId="77777777" w:rsidR="00483771" w:rsidRPr="001D7E23" w:rsidRDefault="00483771" w:rsidP="00D10244">
            <w:pPr>
              <w:rPr>
                <w:rFonts w:cstheme="minorHAnsi"/>
              </w:rPr>
            </w:pPr>
          </w:p>
        </w:tc>
        <w:tc>
          <w:tcPr>
            <w:tcW w:w="2002" w:type="dxa"/>
          </w:tcPr>
          <w:p w14:paraId="5EAE0D91" w14:textId="77777777" w:rsidR="00483771" w:rsidRPr="001D7E23" w:rsidRDefault="00483771" w:rsidP="00D10244">
            <w:pPr>
              <w:rPr>
                <w:rFonts w:cstheme="minorHAnsi"/>
              </w:rPr>
            </w:pPr>
            <w:r w:rsidRPr="001D7E23">
              <w:rPr>
                <w:rFonts w:cstheme="minorHAnsi"/>
              </w:rPr>
              <w:t>Carvedilol</w:t>
            </w:r>
          </w:p>
        </w:tc>
        <w:tc>
          <w:tcPr>
            <w:tcW w:w="1119" w:type="dxa"/>
          </w:tcPr>
          <w:p w14:paraId="564B6557" w14:textId="77777777" w:rsidR="00483771" w:rsidRPr="001D7E23" w:rsidRDefault="00483771" w:rsidP="00D10244">
            <w:pPr>
              <w:rPr>
                <w:rFonts w:cstheme="minorHAnsi"/>
              </w:rPr>
            </w:pPr>
            <w:r w:rsidRPr="001D7E23">
              <w:rPr>
                <w:rFonts w:cstheme="minorHAnsi"/>
              </w:rPr>
              <w:t>C07AG02</w:t>
            </w:r>
          </w:p>
        </w:tc>
        <w:tc>
          <w:tcPr>
            <w:tcW w:w="2977" w:type="dxa"/>
          </w:tcPr>
          <w:p w14:paraId="257BA980" w14:textId="77777777" w:rsidR="00483771" w:rsidRPr="001D7E23" w:rsidRDefault="00483771" w:rsidP="00D10244">
            <w:pPr>
              <w:rPr>
                <w:rFonts w:cstheme="minorHAnsi"/>
              </w:rPr>
            </w:pPr>
            <w:r w:rsidRPr="001D7E23">
              <w:rPr>
                <w:rFonts w:cstheme="minorHAnsi"/>
              </w:rPr>
              <w:t>8255L; 8256M; 8257N; 8258P</w:t>
            </w:r>
          </w:p>
        </w:tc>
        <w:tc>
          <w:tcPr>
            <w:tcW w:w="1366" w:type="dxa"/>
          </w:tcPr>
          <w:p w14:paraId="142266C0" w14:textId="77777777" w:rsidR="00483771" w:rsidRPr="001D7E23" w:rsidRDefault="00483771" w:rsidP="00D10244">
            <w:pPr>
              <w:rPr>
                <w:rFonts w:cstheme="minorHAnsi"/>
              </w:rPr>
            </w:pPr>
            <w:r w:rsidRPr="001D7E23">
              <w:rPr>
                <w:rFonts w:cstheme="minorHAnsi"/>
              </w:rPr>
              <w:t>May 1998</w:t>
            </w:r>
          </w:p>
        </w:tc>
      </w:tr>
      <w:tr w:rsidR="00483771" w:rsidRPr="001D7E23" w14:paraId="6D9D8D4F" w14:textId="77777777" w:rsidTr="00483771">
        <w:tc>
          <w:tcPr>
            <w:tcW w:w="1552" w:type="dxa"/>
            <w:tcBorders>
              <w:top w:val="nil"/>
              <w:bottom w:val="nil"/>
            </w:tcBorders>
          </w:tcPr>
          <w:p w14:paraId="6E4A3ACD" w14:textId="77777777" w:rsidR="00483771" w:rsidRPr="001D7E23" w:rsidRDefault="00483771" w:rsidP="00D10244">
            <w:pPr>
              <w:rPr>
                <w:rFonts w:cstheme="minorHAnsi"/>
              </w:rPr>
            </w:pPr>
          </w:p>
        </w:tc>
        <w:tc>
          <w:tcPr>
            <w:tcW w:w="2002" w:type="dxa"/>
          </w:tcPr>
          <w:p w14:paraId="30BEC475" w14:textId="77777777" w:rsidR="00483771" w:rsidRPr="001D7E23" w:rsidRDefault="00483771" w:rsidP="00D10244">
            <w:pPr>
              <w:rPr>
                <w:rFonts w:cstheme="minorHAnsi"/>
              </w:rPr>
            </w:pPr>
            <w:r w:rsidRPr="001D7E23">
              <w:rPr>
                <w:rFonts w:cstheme="minorHAnsi"/>
              </w:rPr>
              <w:t>Metoprolol (as succinate)</w:t>
            </w:r>
          </w:p>
        </w:tc>
        <w:tc>
          <w:tcPr>
            <w:tcW w:w="1119" w:type="dxa"/>
          </w:tcPr>
          <w:p w14:paraId="21838B41" w14:textId="77777777" w:rsidR="00483771" w:rsidRPr="001D7E23" w:rsidRDefault="00483771" w:rsidP="00D10244">
            <w:pPr>
              <w:rPr>
                <w:rFonts w:cstheme="minorHAnsi"/>
              </w:rPr>
            </w:pPr>
            <w:r w:rsidRPr="001D7E23">
              <w:rPr>
                <w:rFonts w:cstheme="minorHAnsi"/>
              </w:rPr>
              <w:t>C07AB02</w:t>
            </w:r>
          </w:p>
        </w:tc>
        <w:tc>
          <w:tcPr>
            <w:tcW w:w="2977" w:type="dxa"/>
          </w:tcPr>
          <w:p w14:paraId="4E8212C8" w14:textId="77777777" w:rsidR="00483771" w:rsidRPr="001D7E23" w:rsidRDefault="00483771" w:rsidP="00D10244">
            <w:pPr>
              <w:rPr>
                <w:rFonts w:cstheme="minorHAnsi"/>
              </w:rPr>
            </w:pPr>
            <w:r w:rsidRPr="001D7E23">
              <w:rPr>
                <w:rFonts w:cstheme="minorHAnsi"/>
              </w:rPr>
              <w:t>8732N; 8733P; 8734Q; 8735R</w:t>
            </w:r>
          </w:p>
        </w:tc>
        <w:tc>
          <w:tcPr>
            <w:tcW w:w="1366" w:type="dxa"/>
          </w:tcPr>
          <w:p w14:paraId="6F175826" w14:textId="77777777" w:rsidR="00483771" w:rsidRPr="001D7E23" w:rsidRDefault="00483771" w:rsidP="00D10244">
            <w:pPr>
              <w:rPr>
                <w:rFonts w:cstheme="minorHAnsi"/>
              </w:rPr>
            </w:pPr>
            <w:r w:rsidRPr="001D7E23">
              <w:rPr>
                <w:rFonts w:cstheme="minorHAnsi"/>
              </w:rPr>
              <w:t>May 2004</w:t>
            </w:r>
          </w:p>
        </w:tc>
      </w:tr>
      <w:tr w:rsidR="00483771" w:rsidRPr="001D7E23" w14:paraId="47FC7E87" w14:textId="77777777" w:rsidTr="00483771">
        <w:tc>
          <w:tcPr>
            <w:tcW w:w="1552" w:type="dxa"/>
            <w:tcBorders>
              <w:top w:val="nil"/>
            </w:tcBorders>
          </w:tcPr>
          <w:p w14:paraId="5042F1EE" w14:textId="77777777" w:rsidR="00483771" w:rsidRPr="001D7E23" w:rsidRDefault="00483771" w:rsidP="00D10244">
            <w:pPr>
              <w:rPr>
                <w:rFonts w:cstheme="minorHAnsi"/>
              </w:rPr>
            </w:pPr>
          </w:p>
        </w:tc>
        <w:tc>
          <w:tcPr>
            <w:tcW w:w="2002" w:type="dxa"/>
          </w:tcPr>
          <w:p w14:paraId="33481665" w14:textId="77777777" w:rsidR="00483771" w:rsidRPr="001D7E23" w:rsidRDefault="00483771" w:rsidP="00D10244">
            <w:pPr>
              <w:rPr>
                <w:rFonts w:cstheme="minorHAnsi"/>
              </w:rPr>
            </w:pPr>
            <w:r w:rsidRPr="001D7E23">
              <w:rPr>
                <w:rFonts w:cstheme="minorHAnsi"/>
              </w:rPr>
              <w:t>Nebivolol</w:t>
            </w:r>
          </w:p>
        </w:tc>
        <w:tc>
          <w:tcPr>
            <w:tcW w:w="1119" w:type="dxa"/>
          </w:tcPr>
          <w:p w14:paraId="6F8FFFD9" w14:textId="77777777" w:rsidR="00483771" w:rsidRPr="001D7E23" w:rsidRDefault="00483771" w:rsidP="00D10244">
            <w:pPr>
              <w:rPr>
                <w:rFonts w:cstheme="minorHAnsi"/>
              </w:rPr>
            </w:pPr>
            <w:r w:rsidRPr="001D7E23">
              <w:rPr>
                <w:rFonts w:cstheme="minorHAnsi"/>
              </w:rPr>
              <w:t>C07AB12</w:t>
            </w:r>
          </w:p>
        </w:tc>
        <w:tc>
          <w:tcPr>
            <w:tcW w:w="2977" w:type="dxa"/>
          </w:tcPr>
          <w:p w14:paraId="02571BE6" w14:textId="77777777" w:rsidR="00483771" w:rsidRPr="001D7E23" w:rsidRDefault="00483771" w:rsidP="00D10244">
            <w:pPr>
              <w:rPr>
                <w:rFonts w:cstheme="minorHAnsi"/>
              </w:rPr>
            </w:pPr>
            <w:r w:rsidRPr="001D7E23">
              <w:rPr>
                <w:rFonts w:cstheme="minorHAnsi"/>
              </w:rPr>
              <w:t>9316H; 9311C; 9312D</w:t>
            </w:r>
          </w:p>
        </w:tc>
        <w:tc>
          <w:tcPr>
            <w:tcW w:w="1366" w:type="dxa"/>
          </w:tcPr>
          <w:p w14:paraId="62D607F7" w14:textId="77777777" w:rsidR="00483771" w:rsidRPr="001D7E23" w:rsidRDefault="00483771" w:rsidP="00D10244">
            <w:pPr>
              <w:rPr>
                <w:rFonts w:cstheme="minorHAnsi"/>
              </w:rPr>
            </w:pPr>
            <w:r w:rsidRPr="001D7E23">
              <w:rPr>
                <w:rFonts w:cstheme="minorHAnsi"/>
              </w:rPr>
              <w:t>Mar 2010</w:t>
            </w:r>
          </w:p>
        </w:tc>
      </w:tr>
      <w:tr w:rsidR="00C57C81" w:rsidRPr="001D7E23" w14:paraId="25AEE7E9" w14:textId="77777777" w:rsidTr="00330422">
        <w:tc>
          <w:tcPr>
            <w:tcW w:w="1552" w:type="dxa"/>
            <w:tcBorders>
              <w:bottom w:val="single" w:sz="4" w:space="0" w:color="auto"/>
            </w:tcBorders>
          </w:tcPr>
          <w:p w14:paraId="3C8ECBD2" w14:textId="77777777" w:rsidR="00C57C81" w:rsidRPr="001D7E23" w:rsidRDefault="00C57C81" w:rsidP="00D10244">
            <w:pPr>
              <w:rPr>
                <w:rFonts w:cstheme="minorHAnsi"/>
              </w:rPr>
            </w:pPr>
            <w:r w:rsidRPr="001D7E23">
              <w:rPr>
                <w:rFonts w:cstheme="minorHAnsi"/>
              </w:rPr>
              <w:t>MRA</w:t>
            </w:r>
          </w:p>
        </w:tc>
        <w:tc>
          <w:tcPr>
            <w:tcW w:w="2002" w:type="dxa"/>
          </w:tcPr>
          <w:p w14:paraId="4D2E1BC4" w14:textId="77777777" w:rsidR="00C57C81" w:rsidRPr="001D7E23" w:rsidRDefault="00C57C81" w:rsidP="00D10244">
            <w:pPr>
              <w:rPr>
                <w:rFonts w:cstheme="minorHAnsi"/>
              </w:rPr>
            </w:pPr>
            <w:r w:rsidRPr="001D7E23">
              <w:rPr>
                <w:rFonts w:cstheme="minorHAnsi"/>
              </w:rPr>
              <w:t>Eplerenone</w:t>
            </w:r>
          </w:p>
        </w:tc>
        <w:tc>
          <w:tcPr>
            <w:tcW w:w="1119" w:type="dxa"/>
          </w:tcPr>
          <w:p w14:paraId="7CEC1E4B" w14:textId="77777777" w:rsidR="00C57C81" w:rsidRPr="001D7E23" w:rsidRDefault="00C57C81" w:rsidP="00D10244">
            <w:pPr>
              <w:rPr>
                <w:rFonts w:cstheme="minorHAnsi"/>
              </w:rPr>
            </w:pPr>
            <w:r w:rsidRPr="001D7E23">
              <w:rPr>
                <w:rFonts w:cstheme="minorHAnsi"/>
              </w:rPr>
              <w:t>C03DA04</w:t>
            </w:r>
          </w:p>
        </w:tc>
        <w:tc>
          <w:tcPr>
            <w:tcW w:w="2977" w:type="dxa"/>
          </w:tcPr>
          <w:p w14:paraId="09531943" w14:textId="77777777" w:rsidR="00C57C81" w:rsidRPr="001D7E23" w:rsidRDefault="00C57C81" w:rsidP="00D10244">
            <w:pPr>
              <w:rPr>
                <w:rFonts w:cstheme="minorHAnsi"/>
              </w:rPr>
            </w:pPr>
            <w:r w:rsidRPr="001D7E23">
              <w:rPr>
                <w:rFonts w:cstheme="minorHAnsi"/>
              </w:rPr>
              <w:t>8879H; 8880J</w:t>
            </w:r>
          </w:p>
        </w:tc>
        <w:tc>
          <w:tcPr>
            <w:tcW w:w="1366" w:type="dxa"/>
          </w:tcPr>
          <w:p w14:paraId="53FCD61D" w14:textId="77777777" w:rsidR="00C57C81" w:rsidRPr="001D7E23" w:rsidRDefault="00C57C81" w:rsidP="00D10244">
            <w:pPr>
              <w:rPr>
                <w:rFonts w:cstheme="minorHAnsi"/>
              </w:rPr>
            </w:pPr>
            <w:r w:rsidRPr="001D7E23">
              <w:rPr>
                <w:rFonts w:cstheme="minorHAnsi"/>
              </w:rPr>
              <w:t>Feb 2006</w:t>
            </w:r>
          </w:p>
        </w:tc>
      </w:tr>
      <w:tr w:rsidR="00330422" w:rsidRPr="001D7E23" w14:paraId="0AEDB02C" w14:textId="77777777" w:rsidTr="00330422">
        <w:tc>
          <w:tcPr>
            <w:tcW w:w="1552" w:type="dxa"/>
            <w:tcBorders>
              <w:bottom w:val="nil"/>
            </w:tcBorders>
          </w:tcPr>
          <w:p w14:paraId="42039329" w14:textId="77777777" w:rsidR="00330422" w:rsidRPr="001D7E23" w:rsidRDefault="00330422" w:rsidP="00D10244">
            <w:pPr>
              <w:rPr>
                <w:rFonts w:cstheme="minorHAnsi"/>
              </w:rPr>
            </w:pPr>
            <w:r w:rsidRPr="001D7E23">
              <w:rPr>
                <w:rFonts w:cstheme="minorHAnsi"/>
              </w:rPr>
              <w:t>SGLT2i</w:t>
            </w:r>
          </w:p>
        </w:tc>
        <w:tc>
          <w:tcPr>
            <w:tcW w:w="2002" w:type="dxa"/>
          </w:tcPr>
          <w:p w14:paraId="1E316A9B" w14:textId="77777777" w:rsidR="00330422" w:rsidRPr="001D7E23" w:rsidRDefault="00330422" w:rsidP="00D10244">
            <w:pPr>
              <w:rPr>
                <w:rFonts w:cstheme="minorHAnsi"/>
              </w:rPr>
            </w:pPr>
            <w:r w:rsidRPr="001D7E23">
              <w:rPr>
                <w:rFonts w:cstheme="minorHAnsi"/>
              </w:rPr>
              <w:t>Dapagliflozin</w:t>
            </w:r>
          </w:p>
        </w:tc>
        <w:tc>
          <w:tcPr>
            <w:tcW w:w="1119" w:type="dxa"/>
          </w:tcPr>
          <w:p w14:paraId="68D3868F" w14:textId="77777777" w:rsidR="00330422" w:rsidRPr="001D7E23" w:rsidRDefault="00330422" w:rsidP="00D10244">
            <w:pPr>
              <w:rPr>
                <w:rFonts w:cstheme="minorHAnsi"/>
              </w:rPr>
            </w:pPr>
            <w:r w:rsidRPr="001D7E23">
              <w:rPr>
                <w:rFonts w:cstheme="minorHAnsi"/>
              </w:rPr>
              <w:t>A10BK01</w:t>
            </w:r>
          </w:p>
        </w:tc>
        <w:tc>
          <w:tcPr>
            <w:tcW w:w="2977" w:type="dxa"/>
          </w:tcPr>
          <w:p w14:paraId="15DE1C61" w14:textId="77777777" w:rsidR="00330422" w:rsidRPr="001D7E23" w:rsidRDefault="00330422" w:rsidP="00D10244">
            <w:pPr>
              <w:rPr>
                <w:rFonts w:cstheme="minorHAnsi"/>
              </w:rPr>
            </w:pPr>
            <w:r w:rsidRPr="001D7E23">
              <w:rPr>
                <w:rFonts w:cstheme="minorHAnsi"/>
              </w:rPr>
              <w:t>12823X</w:t>
            </w:r>
          </w:p>
        </w:tc>
        <w:tc>
          <w:tcPr>
            <w:tcW w:w="1366" w:type="dxa"/>
          </w:tcPr>
          <w:p w14:paraId="04F37575" w14:textId="77777777" w:rsidR="00330422" w:rsidRPr="001D7E23" w:rsidRDefault="00330422" w:rsidP="00D10244">
            <w:pPr>
              <w:rPr>
                <w:rFonts w:cstheme="minorHAnsi"/>
              </w:rPr>
            </w:pPr>
            <w:r w:rsidRPr="001D7E23">
              <w:rPr>
                <w:rFonts w:cstheme="minorHAnsi"/>
              </w:rPr>
              <w:t>Jan 2022</w:t>
            </w:r>
          </w:p>
        </w:tc>
      </w:tr>
      <w:tr w:rsidR="00330422" w:rsidRPr="001D7E23" w14:paraId="6221126B" w14:textId="77777777" w:rsidTr="00330422">
        <w:tc>
          <w:tcPr>
            <w:tcW w:w="1552" w:type="dxa"/>
            <w:tcBorders>
              <w:top w:val="nil"/>
            </w:tcBorders>
          </w:tcPr>
          <w:p w14:paraId="5B8C30F8" w14:textId="77777777" w:rsidR="00330422" w:rsidRPr="001D7E23" w:rsidRDefault="00330422" w:rsidP="00D10244">
            <w:pPr>
              <w:rPr>
                <w:rFonts w:cstheme="minorHAnsi"/>
              </w:rPr>
            </w:pPr>
          </w:p>
        </w:tc>
        <w:tc>
          <w:tcPr>
            <w:tcW w:w="2002" w:type="dxa"/>
          </w:tcPr>
          <w:p w14:paraId="2C3F81A5" w14:textId="77777777" w:rsidR="00330422" w:rsidRPr="001D7E23" w:rsidRDefault="00330422" w:rsidP="00D10244">
            <w:pPr>
              <w:rPr>
                <w:rFonts w:cstheme="minorHAnsi"/>
              </w:rPr>
            </w:pPr>
            <w:r w:rsidRPr="001D7E23">
              <w:rPr>
                <w:rFonts w:cstheme="minorHAnsi"/>
              </w:rPr>
              <w:t>Empagliflozin</w:t>
            </w:r>
          </w:p>
        </w:tc>
        <w:tc>
          <w:tcPr>
            <w:tcW w:w="1119" w:type="dxa"/>
          </w:tcPr>
          <w:p w14:paraId="1B5D71D5" w14:textId="77777777" w:rsidR="00330422" w:rsidRPr="001D7E23" w:rsidRDefault="00330422" w:rsidP="00D10244">
            <w:pPr>
              <w:rPr>
                <w:rFonts w:cstheme="minorHAnsi"/>
              </w:rPr>
            </w:pPr>
            <w:r w:rsidRPr="001D7E23">
              <w:rPr>
                <w:rFonts w:cstheme="minorHAnsi"/>
              </w:rPr>
              <w:t>A10BK03</w:t>
            </w:r>
          </w:p>
        </w:tc>
        <w:tc>
          <w:tcPr>
            <w:tcW w:w="2977" w:type="dxa"/>
          </w:tcPr>
          <w:p w14:paraId="6AE4B884" w14:textId="77777777" w:rsidR="00330422" w:rsidRPr="001D7E23" w:rsidRDefault="00330422" w:rsidP="00D10244">
            <w:pPr>
              <w:rPr>
                <w:rFonts w:cstheme="minorHAnsi"/>
              </w:rPr>
            </w:pPr>
            <w:r w:rsidRPr="001D7E23">
              <w:rPr>
                <w:rFonts w:cstheme="minorHAnsi"/>
              </w:rPr>
              <w:t>12918X</w:t>
            </w:r>
          </w:p>
        </w:tc>
        <w:tc>
          <w:tcPr>
            <w:tcW w:w="1366" w:type="dxa"/>
          </w:tcPr>
          <w:p w14:paraId="63878C5F" w14:textId="77777777" w:rsidR="00330422" w:rsidRPr="001D7E23" w:rsidRDefault="00330422" w:rsidP="00D10244">
            <w:pPr>
              <w:rPr>
                <w:rFonts w:cstheme="minorHAnsi"/>
              </w:rPr>
            </w:pPr>
            <w:r w:rsidRPr="001D7E23">
              <w:rPr>
                <w:rFonts w:cstheme="minorHAnsi"/>
              </w:rPr>
              <w:t>Apr 2022</w:t>
            </w:r>
          </w:p>
        </w:tc>
      </w:tr>
      <w:tr w:rsidR="00C57C81" w:rsidRPr="001D7E23" w14:paraId="6D69F516" w14:textId="77777777" w:rsidTr="00575377">
        <w:tc>
          <w:tcPr>
            <w:tcW w:w="1552" w:type="dxa"/>
          </w:tcPr>
          <w:p w14:paraId="29CC8104" w14:textId="77777777" w:rsidR="00C57C81" w:rsidRPr="001D7E23" w:rsidRDefault="00C57C81" w:rsidP="00D10244">
            <w:pPr>
              <w:rPr>
                <w:rFonts w:cstheme="minorHAnsi"/>
              </w:rPr>
            </w:pPr>
            <w:r w:rsidRPr="001D7E23">
              <w:rPr>
                <w:rFonts w:cstheme="minorHAnsi"/>
              </w:rPr>
              <w:t>ARNI</w:t>
            </w:r>
          </w:p>
        </w:tc>
        <w:tc>
          <w:tcPr>
            <w:tcW w:w="2002" w:type="dxa"/>
          </w:tcPr>
          <w:p w14:paraId="257E50BE" w14:textId="77777777" w:rsidR="00C57C81" w:rsidRPr="001D7E23" w:rsidRDefault="00C57C81" w:rsidP="00D10244">
            <w:pPr>
              <w:rPr>
                <w:rFonts w:cstheme="minorHAnsi"/>
              </w:rPr>
            </w:pPr>
            <w:r w:rsidRPr="001D7E23">
              <w:rPr>
                <w:rFonts w:cstheme="minorHAnsi"/>
              </w:rPr>
              <w:t>Sacubitril+Valsartan</w:t>
            </w:r>
          </w:p>
        </w:tc>
        <w:tc>
          <w:tcPr>
            <w:tcW w:w="1119" w:type="dxa"/>
          </w:tcPr>
          <w:p w14:paraId="79EC5E24" w14:textId="77777777" w:rsidR="00C57C81" w:rsidRPr="001D7E23" w:rsidRDefault="00C57C81" w:rsidP="00D10244">
            <w:pPr>
              <w:rPr>
                <w:rFonts w:cstheme="minorHAnsi"/>
              </w:rPr>
            </w:pPr>
            <w:r w:rsidRPr="001D7E23">
              <w:rPr>
                <w:rFonts w:cstheme="minorHAnsi"/>
              </w:rPr>
              <w:t>C09DX04</w:t>
            </w:r>
          </w:p>
        </w:tc>
        <w:tc>
          <w:tcPr>
            <w:tcW w:w="2977" w:type="dxa"/>
          </w:tcPr>
          <w:p w14:paraId="7BE4721A" w14:textId="77777777" w:rsidR="00C57C81" w:rsidRPr="001D7E23" w:rsidRDefault="00C57C81" w:rsidP="00D10244">
            <w:pPr>
              <w:rPr>
                <w:rFonts w:cstheme="minorHAnsi"/>
              </w:rPr>
            </w:pPr>
            <w:r w:rsidRPr="001D7E23">
              <w:rPr>
                <w:rFonts w:cstheme="minorHAnsi"/>
              </w:rPr>
              <w:t>11123K; 11131W; 11122J;</w:t>
            </w:r>
          </w:p>
        </w:tc>
        <w:tc>
          <w:tcPr>
            <w:tcW w:w="1366" w:type="dxa"/>
          </w:tcPr>
          <w:p w14:paraId="05FA465C" w14:textId="77777777" w:rsidR="00C57C81" w:rsidRPr="001D7E23" w:rsidRDefault="00C57C81" w:rsidP="00D10244">
            <w:pPr>
              <w:rPr>
                <w:rFonts w:cstheme="minorHAnsi"/>
              </w:rPr>
            </w:pPr>
            <w:r w:rsidRPr="001D7E23">
              <w:rPr>
                <w:rFonts w:cstheme="minorHAnsi"/>
              </w:rPr>
              <w:t>Jun 2017</w:t>
            </w:r>
          </w:p>
        </w:tc>
      </w:tr>
      <w:tr w:rsidR="00C57C81" w:rsidRPr="001D7E23" w14:paraId="2BCB9C74" w14:textId="77777777" w:rsidTr="00575377">
        <w:tc>
          <w:tcPr>
            <w:tcW w:w="1552" w:type="dxa"/>
          </w:tcPr>
          <w:p w14:paraId="14EC39A4" w14:textId="77777777" w:rsidR="00C57C81" w:rsidRPr="001D7E23" w:rsidRDefault="00C57C81" w:rsidP="00D10244">
            <w:pPr>
              <w:rPr>
                <w:rFonts w:cstheme="minorHAnsi"/>
              </w:rPr>
            </w:pPr>
            <w:r w:rsidRPr="001D7E23">
              <w:rPr>
                <w:rFonts w:cstheme="minorHAnsi"/>
              </w:rPr>
              <w:t>HCN channel blocker</w:t>
            </w:r>
          </w:p>
        </w:tc>
        <w:tc>
          <w:tcPr>
            <w:tcW w:w="2002" w:type="dxa"/>
          </w:tcPr>
          <w:p w14:paraId="456C0ABD" w14:textId="77777777" w:rsidR="00C57C81" w:rsidRPr="001D7E23" w:rsidRDefault="00C57C81" w:rsidP="00D10244">
            <w:pPr>
              <w:rPr>
                <w:rFonts w:cstheme="minorHAnsi"/>
              </w:rPr>
            </w:pPr>
            <w:r w:rsidRPr="001D7E23">
              <w:rPr>
                <w:rFonts w:cstheme="minorHAnsi"/>
              </w:rPr>
              <w:t>Ivabradine</w:t>
            </w:r>
          </w:p>
        </w:tc>
        <w:tc>
          <w:tcPr>
            <w:tcW w:w="1119" w:type="dxa"/>
          </w:tcPr>
          <w:p w14:paraId="5CE4DD69" w14:textId="77777777" w:rsidR="00C57C81" w:rsidRPr="001D7E23" w:rsidRDefault="00C57C81" w:rsidP="00D10244">
            <w:pPr>
              <w:rPr>
                <w:rFonts w:cstheme="minorHAnsi"/>
              </w:rPr>
            </w:pPr>
            <w:r w:rsidRPr="001D7E23">
              <w:rPr>
                <w:rFonts w:cstheme="minorHAnsi"/>
              </w:rPr>
              <w:t>C01EB17</w:t>
            </w:r>
          </w:p>
        </w:tc>
        <w:tc>
          <w:tcPr>
            <w:tcW w:w="2977" w:type="dxa"/>
          </w:tcPr>
          <w:p w14:paraId="530EDC6F" w14:textId="77777777" w:rsidR="00C57C81" w:rsidRPr="001D7E23" w:rsidRDefault="00C57C81" w:rsidP="00D10244">
            <w:pPr>
              <w:rPr>
                <w:rFonts w:cstheme="minorHAnsi"/>
              </w:rPr>
            </w:pPr>
            <w:r w:rsidRPr="001D7E23">
              <w:rPr>
                <w:rFonts w:cstheme="minorHAnsi"/>
              </w:rPr>
              <w:t>10012Y; 2960T</w:t>
            </w:r>
          </w:p>
        </w:tc>
        <w:tc>
          <w:tcPr>
            <w:tcW w:w="1366" w:type="dxa"/>
          </w:tcPr>
          <w:p w14:paraId="7C2B7F9D" w14:textId="77777777" w:rsidR="00C57C81" w:rsidRPr="001D7E23" w:rsidRDefault="00C57C81" w:rsidP="00D10244">
            <w:pPr>
              <w:rPr>
                <w:rFonts w:cstheme="minorHAnsi"/>
              </w:rPr>
            </w:pPr>
            <w:r w:rsidRPr="001D7E23">
              <w:rPr>
                <w:rFonts w:cstheme="minorHAnsi"/>
              </w:rPr>
              <w:t>Dec 2013</w:t>
            </w:r>
          </w:p>
        </w:tc>
      </w:tr>
      <w:tr w:rsidR="00C57C81" w:rsidRPr="001D7E23" w14:paraId="2B43CEE9" w14:textId="77777777" w:rsidTr="00575377">
        <w:tc>
          <w:tcPr>
            <w:tcW w:w="1552" w:type="dxa"/>
          </w:tcPr>
          <w:p w14:paraId="3D3DCFB4" w14:textId="77777777" w:rsidR="00C57C81" w:rsidRPr="001D7E23" w:rsidRDefault="00C57C81" w:rsidP="00D10244">
            <w:pPr>
              <w:rPr>
                <w:rFonts w:cstheme="minorHAnsi"/>
              </w:rPr>
            </w:pPr>
            <w:r w:rsidRPr="001D7E23">
              <w:rPr>
                <w:rFonts w:cstheme="minorHAnsi"/>
              </w:rPr>
              <w:t>sGC stimulator</w:t>
            </w:r>
          </w:p>
        </w:tc>
        <w:tc>
          <w:tcPr>
            <w:tcW w:w="2002" w:type="dxa"/>
          </w:tcPr>
          <w:p w14:paraId="075603C3" w14:textId="77777777" w:rsidR="00C57C81" w:rsidRPr="001D7E23" w:rsidRDefault="00C57C81" w:rsidP="00D10244">
            <w:pPr>
              <w:rPr>
                <w:rFonts w:cstheme="minorHAnsi"/>
              </w:rPr>
            </w:pPr>
            <w:r w:rsidRPr="001D7E23">
              <w:rPr>
                <w:rFonts w:cstheme="minorHAnsi"/>
              </w:rPr>
              <w:t>Vericiguat</w:t>
            </w:r>
          </w:p>
        </w:tc>
        <w:tc>
          <w:tcPr>
            <w:tcW w:w="1119" w:type="dxa"/>
          </w:tcPr>
          <w:p w14:paraId="09DAFB60" w14:textId="77777777" w:rsidR="00C57C81" w:rsidRPr="001D7E23" w:rsidRDefault="00C57C81" w:rsidP="00D10244">
            <w:pPr>
              <w:rPr>
                <w:rFonts w:cstheme="minorHAnsi"/>
              </w:rPr>
            </w:pPr>
            <w:r w:rsidRPr="001D7E23">
              <w:rPr>
                <w:rFonts w:cstheme="minorHAnsi"/>
              </w:rPr>
              <w:t>C01DX22</w:t>
            </w:r>
          </w:p>
        </w:tc>
        <w:tc>
          <w:tcPr>
            <w:tcW w:w="2977" w:type="dxa"/>
          </w:tcPr>
          <w:p w14:paraId="4C355EB0" w14:textId="5044AD3D" w:rsidR="00C57C81" w:rsidRPr="001D7E23" w:rsidRDefault="00C57C81" w:rsidP="00575377">
            <w:pPr>
              <w:rPr>
                <w:rFonts w:cstheme="minorHAnsi"/>
              </w:rPr>
            </w:pPr>
            <w:r w:rsidRPr="001D7E23">
              <w:rPr>
                <w:rFonts w:cstheme="minorHAnsi"/>
              </w:rPr>
              <w:t>13181R; 13178N; 13186B; 13189E;</w:t>
            </w:r>
            <w:r w:rsidR="00575377">
              <w:rPr>
                <w:rFonts w:cstheme="minorHAnsi"/>
              </w:rPr>
              <w:t xml:space="preserve"> </w:t>
            </w:r>
            <w:r w:rsidRPr="001D7E23">
              <w:rPr>
                <w:rFonts w:cstheme="minorHAnsi"/>
              </w:rPr>
              <w:t>13193J; 13192H</w:t>
            </w:r>
          </w:p>
        </w:tc>
        <w:tc>
          <w:tcPr>
            <w:tcW w:w="1366" w:type="dxa"/>
          </w:tcPr>
          <w:p w14:paraId="367E6DB7" w14:textId="77777777" w:rsidR="00C57C81" w:rsidRPr="001D7E23" w:rsidRDefault="00C57C81" w:rsidP="00D10244">
            <w:pPr>
              <w:rPr>
                <w:rFonts w:cstheme="minorHAnsi"/>
              </w:rPr>
            </w:pPr>
            <w:r w:rsidRPr="001D7E23">
              <w:rPr>
                <w:rFonts w:cstheme="minorHAnsi"/>
              </w:rPr>
              <w:t>Dec 2022</w:t>
            </w:r>
          </w:p>
        </w:tc>
      </w:tr>
    </w:tbl>
    <w:p w14:paraId="63659AC8" w14:textId="77777777" w:rsidR="00B62E95" w:rsidRPr="001D7E23" w:rsidRDefault="00B62E95" w:rsidP="001D7E23">
      <w:pPr>
        <w:spacing w:after="0"/>
        <w:rPr>
          <w:rFonts w:cstheme="minorHAnsi"/>
        </w:rPr>
      </w:pPr>
      <w:r w:rsidRPr="001D7E23">
        <w:rPr>
          <w:rFonts w:cstheme="minorHAnsi"/>
        </w:rPr>
        <w:t xml:space="preserve">Legend: </w:t>
      </w:r>
    </w:p>
    <w:p w14:paraId="4BEFD833" w14:textId="77777777" w:rsidR="00B62E95" w:rsidRPr="001D7E23" w:rsidRDefault="00B62E95" w:rsidP="001D7E23">
      <w:pPr>
        <w:spacing w:after="0"/>
        <w:rPr>
          <w:rFonts w:cstheme="minorHAnsi"/>
        </w:rPr>
      </w:pPr>
      <w:r w:rsidRPr="001D7E23">
        <w:rPr>
          <w:rFonts w:cstheme="minorHAnsi"/>
        </w:rPr>
        <w:t>MRA - Mineralocorticoid receptor antagonist</w:t>
      </w:r>
    </w:p>
    <w:p w14:paraId="4B460BCC" w14:textId="77777777" w:rsidR="00B62E95" w:rsidRDefault="00B62E95" w:rsidP="001D7E23">
      <w:pPr>
        <w:spacing w:after="0"/>
        <w:rPr>
          <w:rFonts w:cstheme="minorHAnsi"/>
        </w:rPr>
      </w:pPr>
      <w:r w:rsidRPr="001D7E23">
        <w:rPr>
          <w:rFonts w:cstheme="minorHAnsi"/>
        </w:rPr>
        <w:t>SGLT2i – Sodium-glucose co-tra</w:t>
      </w:r>
      <w:r w:rsidR="001D7E23">
        <w:rPr>
          <w:rFonts w:cstheme="minorHAnsi"/>
        </w:rPr>
        <w:t>n</w:t>
      </w:r>
      <w:r w:rsidRPr="001D7E23">
        <w:rPr>
          <w:rFonts w:cstheme="minorHAnsi"/>
        </w:rPr>
        <w:t>sporter 2 inhibitors</w:t>
      </w:r>
    </w:p>
    <w:p w14:paraId="593F60D5" w14:textId="77777777" w:rsidR="00B62E95" w:rsidRPr="001D7E23" w:rsidRDefault="00B62E95" w:rsidP="001D7E23">
      <w:pPr>
        <w:spacing w:after="0"/>
        <w:rPr>
          <w:rFonts w:cstheme="minorHAnsi"/>
        </w:rPr>
      </w:pPr>
      <w:r w:rsidRPr="001D7E23">
        <w:rPr>
          <w:rFonts w:cstheme="minorHAnsi"/>
        </w:rPr>
        <w:t xml:space="preserve">ARNI – </w:t>
      </w:r>
      <w:r w:rsidR="005030A4">
        <w:rPr>
          <w:rFonts w:cstheme="minorHAnsi"/>
        </w:rPr>
        <w:t>A</w:t>
      </w:r>
      <w:r w:rsidRPr="001D7E23">
        <w:rPr>
          <w:rFonts w:cstheme="minorHAnsi"/>
        </w:rPr>
        <w:t xml:space="preserve">ngiotensin </w:t>
      </w:r>
      <w:r w:rsidR="005030A4">
        <w:rPr>
          <w:rFonts w:cstheme="minorHAnsi"/>
        </w:rPr>
        <w:t>R</w:t>
      </w:r>
      <w:r w:rsidRPr="001D7E23">
        <w:rPr>
          <w:rFonts w:cstheme="minorHAnsi"/>
        </w:rPr>
        <w:t xml:space="preserve">eceptor </w:t>
      </w:r>
      <w:r w:rsidR="005030A4">
        <w:rPr>
          <w:rFonts w:cstheme="minorHAnsi"/>
        </w:rPr>
        <w:t>Ne</w:t>
      </w:r>
      <w:r w:rsidRPr="001D7E23">
        <w:rPr>
          <w:rFonts w:cstheme="minorHAnsi"/>
        </w:rPr>
        <w:t xml:space="preserve">prilysin </w:t>
      </w:r>
      <w:r w:rsidR="005030A4">
        <w:rPr>
          <w:rFonts w:cstheme="minorHAnsi"/>
        </w:rPr>
        <w:t>I</w:t>
      </w:r>
      <w:r w:rsidRPr="001D7E23">
        <w:rPr>
          <w:rFonts w:cstheme="minorHAnsi"/>
        </w:rPr>
        <w:t xml:space="preserve">nhibitor </w:t>
      </w:r>
    </w:p>
    <w:p w14:paraId="6F72AF68" w14:textId="77777777" w:rsidR="00B62E95" w:rsidRPr="001D7E23" w:rsidRDefault="00B62E95" w:rsidP="001D7E23">
      <w:pPr>
        <w:spacing w:after="0"/>
        <w:rPr>
          <w:rFonts w:cstheme="minorHAnsi"/>
          <w:color w:val="4D5156"/>
          <w:shd w:val="clear" w:color="auto" w:fill="FFFFFF"/>
        </w:rPr>
      </w:pPr>
      <w:r w:rsidRPr="001D7E23">
        <w:rPr>
          <w:rFonts w:cstheme="minorHAnsi"/>
        </w:rPr>
        <w:t>HCN</w:t>
      </w:r>
      <w:r w:rsidRPr="001D7E23">
        <w:rPr>
          <w:rFonts w:cstheme="minorHAnsi"/>
          <w:color w:val="4D5156"/>
          <w:shd w:val="clear" w:color="auto" w:fill="FFFFFF"/>
        </w:rPr>
        <w:t xml:space="preserve"> - </w:t>
      </w:r>
      <w:r w:rsidRPr="001D7E23">
        <w:rPr>
          <w:rFonts w:cstheme="minorHAnsi"/>
          <w:shd w:val="clear" w:color="auto" w:fill="FFFFFF"/>
        </w:rPr>
        <w:t>Hyperpolarization-activated Cyclic Nucleotide-gated</w:t>
      </w:r>
    </w:p>
    <w:p w14:paraId="1DC0156E" w14:textId="77777777" w:rsidR="00B62E95" w:rsidRPr="001D7E23" w:rsidRDefault="00B62E95" w:rsidP="001D7E23">
      <w:pPr>
        <w:spacing w:after="0"/>
        <w:rPr>
          <w:rFonts w:cstheme="minorHAnsi"/>
        </w:rPr>
      </w:pPr>
      <w:r w:rsidRPr="001D7E23">
        <w:rPr>
          <w:rFonts w:cstheme="minorHAnsi"/>
        </w:rPr>
        <w:t xml:space="preserve">sGC – </w:t>
      </w:r>
      <w:r w:rsidR="005030A4">
        <w:rPr>
          <w:rFonts w:cstheme="minorHAnsi"/>
        </w:rPr>
        <w:t>S</w:t>
      </w:r>
      <w:r w:rsidRPr="001D7E23">
        <w:rPr>
          <w:rFonts w:cstheme="minorHAnsi"/>
        </w:rPr>
        <w:t>oluble Guanylate Cyclase</w:t>
      </w:r>
    </w:p>
    <w:p w14:paraId="6D02DF1F" w14:textId="77777777" w:rsidR="00B62E95" w:rsidRDefault="00B62E95" w:rsidP="00B62E95">
      <w:pPr>
        <w:rPr>
          <w:rFonts w:ascii="Arial" w:hAnsi="Arial" w:cs="Arial"/>
          <w:color w:val="4D5156"/>
          <w:sz w:val="21"/>
          <w:szCs w:val="21"/>
          <w:shd w:val="clear" w:color="auto" w:fill="FFFFFF"/>
        </w:rPr>
      </w:pPr>
    </w:p>
    <w:p w14:paraId="22369103" w14:textId="77777777" w:rsidR="00B62E95" w:rsidRDefault="00B62E95" w:rsidP="00575377">
      <w:pPr>
        <w:spacing w:after="0"/>
        <w:rPr>
          <w:b/>
          <w:bCs/>
        </w:rPr>
      </w:pPr>
      <w:r w:rsidRPr="00B62E95">
        <w:rPr>
          <w:b/>
          <w:bCs/>
        </w:rPr>
        <w:t>Table 2. PBS-listed medicines with unrestricted benefit which can be used for heart failure</w:t>
      </w:r>
    </w:p>
    <w:tbl>
      <w:tblPr>
        <w:tblStyle w:val="TableGrid"/>
        <w:tblW w:w="9776" w:type="dxa"/>
        <w:tblLook w:val="04A0" w:firstRow="1" w:lastRow="0" w:firstColumn="1" w:lastColumn="0" w:noHBand="0" w:noVBand="1"/>
      </w:tblPr>
      <w:tblGrid>
        <w:gridCol w:w="1129"/>
        <w:gridCol w:w="1418"/>
        <w:gridCol w:w="7229"/>
      </w:tblGrid>
      <w:tr w:rsidR="00C57C81" w14:paraId="6B0D06C2" w14:textId="77777777" w:rsidTr="00E062C1">
        <w:tc>
          <w:tcPr>
            <w:tcW w:w="1129" w:type="dxa"/>
          </w:tcPr>
          <w:p w14:paraId="2265F789" w14:textId="77777777" w:rsidR="00C57C81" w:rsidRDefault="00C57C81" w:rsidP="00D10244">
            <w:r>
              <w:t>Class</w:t>
            </w:r>
          </w:p>
        </w:tc>
        <w:tc>
          <w:tcPr>
            <w:tcW w:w="1418" w:type="dxa"/>
          </w:tcPr>
          <w:p w14:paraId="3CD5F546" w14:textId="77777777" w:rsidR="00C57C81" w:rsidRDefault="00C57C81" w:rsidP="00D10244">
            <w:r>
              <w:t>ATC code</w:t>
            </w:r>
          </w:p>
        </w:tc>
        <w:tc>
          <w:tcPr>
            <w:tcW w:w="7229" w:type="dxa"/>
          </w:tcPr>
          <w:p w14:paraId="772F423D" w14:textId="77777777" w:rsidR="00C57C81" w:rsidRDefault="00C57C81" w:rsidP="00D10244">
            <w:r>
              <w:t xml:space="preserve">Specific </w:t>
            </w:r>
            <w:r w:rsidR="00773A60">
              <w:t>medicines</w:t>
            </w:r>
          </w:p>
        </w:tc>
      </w:tr>
      <w:tr w:rsidR="00C57C81" w14:paraId="36C1C3AB" w14:textId="77777777" w:rsidTr="00E062C1">
        <w:tc>
          <w:tcPr>
            <w:tcW w:w="1129" w:type="dxa"/>
          </w:tcPr>
          <w:p w14:paraId="6DC93031" w14:textId="77777777" w:rsidR="00C57C81" w:rsidRDefault="00C57C81" w:rsidP="00D10244">
            <w:r>
              <w:t xml:space="preserve">ACEi </w:t>
            </w:r>
          </w:p>
        </w:tc>
        <w:tc>
          <w:tcPr>
            <w:tcW w:w="1418" w:type="dxa"/>
          </w:tcPr>
          <w:p w14:paraId="5A4AC168" w14:textId="77777777" w:rsidR="00C57C81" w:rsidRDefault="00C57C81" w:rsidP="00D10244">
            <w:proofErr w:type="gramStart"/>
            <w:r>
              <w:t>C09A;</w:t>
            </w:r>
            <w:proofErr w:type="gramEnd"/>
            <w:r>
              <w:t xml:space="preserve"> </w:t>
            </w:r>
          </w:p>
          <w:p w14:paraId="00EAAB7F" w14:textId="77777777" w:rsidR="00C57C81" w:rsidRDefault="00C57C81" w:rsidP="00D10244">
            <w:r>
              <w:t>C09B (</w:t>
            </w:r>
            <w:r w:rsidR="00F130B8">
              <w:t>FDC</w:t>
            </w:r>
            <w:r>
              <w:t>)</w:t>
            </w:r>
          </w:p>
        </w:tc>
        <w:tc>
          <w:tcPr>
            <w:tcW w:w="7229" w:type="dxa"/>
          </w:tcPr>
          <w:p w14:paraId="45C1CC27" w14:textId="77777777" w:rsidR="00C57C81" w:rsidRDefault="00C57C81" w:rsidP="00D10244">
            <w:r>
              <w:t>Any</w:t>
            </w:r>
          </w:p>
        </w:tc>
      </w:tr>
      <w:tr w:rsidR="00C57C81" w14:paraId="071A2DD1" w14:textId="77777777" w:rsidTr="00E062C1">
        <w:tc>
          <w:tcPr>
            <w:tcW w:w="1129" w:type="dxa"/>
          </w:tcPr>
          <w:p w14:paraId="427C51B6" w14:textId="77777777" w:rsidR="00C57C81" w:rsidRDefault="00C57C81" w:rsidP="00D10244">
            <w:r>
              <w:t>ARB</w:t>
            </w:r>
          </w:p>
        </w:tc>
        <w:tc>
          <w:tcPr>
            <w:tcW w:w="1418" w:type="dxa"/>
          </w:tcPr>
          <w:p w14:paraId="36577DBF" w14:textId="77777777" w:rsidR="00C57C81" w:rsidRDefault="00C57C81" w:rsidP="00D10244">
            <w:proofErr w:type="gramStart"/>
            <w:r>
              <w:t>C09C;</w:t>
            </w:r>
            <w:proofErr w:type="gramEnd"/>
            <w:r>
              <w:t xml:space="preserve"> </w:t>
            </w:r>
          </w:p>
          <w:p w14:paraId="557FDEEE" w14:textId="77777777" w:rsidR="00C57C81" w:rsidRDefault="00C57C81" w:rsidP="00D10244">
            <w:r>
              <w:t>C09D (</w:t>
            </w:r>
            <w:r w:rsidR="00F130B8">
              <w:t>FDC</w:t>
            </w:r>
            <w:r>
              <w:t>)</w:t>
            </w:r>
          </w:p>
        </w:tc>
        <w:tc>
          <w:tcPr>
            <w:tcW w:w="7229" w:type="dxa"/>
          </w:tcPr>
          <w:p w14:paraId="2598226F" w14:textId="77777777" w:rsidR="00C57C81" w:rsidRDefault="00C57C81" w:rsidP="00D10244">
            <w:r>
              <w:t xml:space="preserve">Any </w:t>
            </w:r>
          </w:p>
          <w:p w14:paraId="586DCB39" w14:textId="77777777" w:rsidR="00C57C81" w:rsidRDefault="00C57C81" w:rsidP="00D10244">
            <w:r>
              <w:t>(note that Sacubitril+Valsartan (ARNI) is restricted for HF - Table 1)</w:t>
            </w:r>
          </w:p>
        </w:tc>
      </w:tr>
      <w:tr w:rsidR="00C57C81" w14:paraId="537D114B" w14:textId="77777777" w:rsidTr="00E062C1">
        <w:tc>
          <w:tcPr>
            <w:tcW w:w="1129" w:type="dxa"/>
          </w:tcPr>
          <w:p w14:paraId="125C51D1" w14:textId="77777777" w:rsidR="00C57C81" w:rsidRDefault="00C57C81" w:rsidP="00D10244">
            <w:r>
              <w:t>BB</w:t>
            </w:r>
          </w:p>
        </w:tc>
        <w:tc>
          <w:tcPr>
            <w:tcW w:w="1418" w:type="dxa"/>
          </w:tcPr>
          <w:p w14:paraId="7ABB7CD0" w14:textId="77777777" w:rsidR="00C57C81" w:rsidRDefault="00C57C81" w:rsidP="00D10244">
            <w:r>
              <w:t>C07AA</w:t>
            </w:r>
          </w:p>
          <w:p w14:paraId="05B0391E" w14:textId="77777777" w:rsidR="00C57C81" w:rsidRDefault="00C57C81" w:rsidP="00D10244">
            <w:r>
              <w:t>C07AB</w:t>
            </w:r>
          </w:p>
          <w:p w14:paraId="548BE99F" w14:textId="77777777" w:rsidR="00C57C81" w:rsidRDefault="00C57C81" w:rsidP="00D10244">
            <w:r>
              <w:t>C07AG</w:t>
            </w:r>
          </w:p>
        </w:tc>
        <w:tc>
          <w:tcPr>
            <w:tcW w:w="7229" w:type="dxa"/>
          </w:tcPr>
          <w:p w14:paraId="168E5BAB" w14:textId="77777777" w:rsidR="00C57C81" w:rsidRDefault="00C57C81" w:rsidP="00D10244">
            <w:r>
              <w:t>Non-selective</w:t>
            </w:r>
          </w:p>
          <w:p w14:paraId="6E5F7FF7" w14:textId="77777777" w:rsidR="00C57C81" w:rsidRDefault="00C57C81" w:rsidP="00D10244">
            <w:r>
              <w:t>Selective (metoprolol succinate and bisoprolol are restricted for HF – Table 1)</w:t>
            </w:r>
          </w:p>
          <w:p w14:paraId="60BD268E" w14:textId="77777777" w:rsidR="00C57C81" w:rsidRDefault="00C57C81" w:rsidP="00D10244">
            <w:r>
              <w:t xml:space="preserve">Alpha and beta (carvedilol </w:t>
            </w:r>
            <w:proofErr w:type="gramStart"/>
            <w:r>
              <w:t>is</w:t>
            </w:r>
            <w:proofErr w:type="gramEnd"/>
            <w:r>
              <w:t xml:space="preserve"> restricted for HF – Table 1)</w:t>
            </w:r>
          </w:p>
        </w:tc>
      </w:tr>
      <w:tr w:rsidR="00C57C81" w14:paraId="24BA4B8B" w14:textId="77777777" w:rsidTr="00E062C1">
        <w:tc>
          <w:tcPr>
            <w:tcW w:w="1129" w:type="dxa"/>
          </w:tcPr>
          <w:p w14:paraId="2789AB0A" w14:textId="77777777" w:rsidR="00C57C81" w:rsidRDefault="00C57C81" w:rsidP="00D10244">
            <w:r>
              <w:t>Diuretics</w:t>
            </w:r>
          </w:p>
        </w:tc>
        <w:tc>
          <w:tcPr>
            <w:tcW w:w="1418" w:type="dxa"/>
          </w:tcPr>
          <w:p w14:paraId="67736A4F" w14:textId="77777777" w:rsidR="00C57C81" w:rsidRDefault="00C57C81" w:rsidP="00D10244">
            <w:r>
              <w:t>C03</w:t>
            </w:r>
          </w:p>
        </w:tc>
        <w:tc>
          <w:tcPr>
            <w:tcW w:w="7229" w:type="dxa"/>
          </w:tcPr>
          <w:p w14:paraId="51C24412" w14:textId="77777777" w:rsidR="00C57C81" w:rsidRDefault="00C57C81" w:rsidP="00D10244">
            <w:r>
              <w:t>Thiazide; Loop diuretics</w:t>
            </w:r>
          </w:p>
        </w:tc>
      </w:tr>
      <w:tr w:rsidR="00C57C81" w14:paraId="3C873EDF" w14:textId="77777777" w:rsidTr="00E062C1">
        <w:tc>
          <w:tcPr>
            <w:tcW w:w="1129" w:type="dxa"/>
          </w:tcPr>
          <w:p w14:paraId="19F0E7A5" w14:textId="77777777" w:rsidR="00C57C81" w:rsidRDefault="00C57C81" w:rsidP="00D10244">
            <w:r>
              <w:t>Cardiac glycosides</w:t>
            </w:r>
          </w:p>
        </w:tc>
        <w:tc>
          <w:tcPr>
            <w:tcW w:w="1418" w:type="dxa"/>
          </w:tcPr>
          <w:p w14:paraId="49F357BE" w14:textId="77777777" w:rsidR="00C57C81" w:rsidRDefault="00C57C81" w:rsidP="00D10244">
            <w:r>
              <w:t>C01A</w:t>
            </w:r>
          </w:p>
        </w:tc>
        <w:tc>
          <w:tcPr>
            <w:tcW w:w="7229" w:type="dxa"/>
          </w:tcPr>
          <w:p w14:paraId="1779F3B6" w14:textId="77777777" w:rsidR="00C57C81" w:rsidRDefault="00C57C81" w:rsidP="00D10244">
            <w:r>
              <w:t>Digoxin</w:t>
            </w:r>
          </w:p>
        </w:tc>
      </w:tr>
      <w:tr w:rsidR="00C57C81" w14:paraId="7C49D960" w14:textId="77777777" w:rsidTr="00E062C1">
        <w:tc>
          <w:tcPr>
            <w:tcW w:w="1129" w:type="dxa"/>
          </w:tcPr>
          <w:p w14:paraId="2B83BBDE" w14:textId="77777777" w:rsidR="00C57C81" w:rsidRDefault="00C57C81" w:rsidP="00D10244">
            <w:r>
              <w:t xml:space="preserve">MRA </w:t>
            </w:r>
          </w:p>
        </w:tc>
        <w:tc>
          <w:tcPr>
            <w:tcW w:w="1418" w:type="dxa"/>
          </w:tcPr>
          <w:p w14:paraId="77CAF8BB" w14:textId="77777777" w:rsidR="00C57C81" w:rsidRDefault="00C57C81" w:rsidP="00D10244">
            <w:r>
              <w:t>C03DA</w:t>
            </w:r>
          </w:p>
        </w:tc>
        <w:tc>
          <w:tcPr>
            <w:tcW w:w="7229" w:type="dxa"/>
          </w:tcPr>
          <w:p w14:paraId="40B509E8" w14:textId="77777777" w:rsidR="00C57C81" w:rsidRPr="00861204" w:rsidRDefault="00C57C81" w:rsidP="00D10244">
            <w:pPr>
              <w:rPr>
                <w:highlight w:val="yellow"/>
              </w:rPr>
            </w:pPr>
            <w:r w:rsidRPr="005D396D">
              <w:t>Spironolactone</w:t>
            </w:r>
          </w:p>
        </w:tc>
      </w:tr>
    </w:tbl>
    <w:p w14:paraId="38253EBF" w14:textId="77777777" w:rsidR="00C57C81" w:rsidRDefault="00C57C81" w:rsidP="001D7E23">
      <w:pPr>
        <w:spacing w:after="0"/>
      </w:pPr>
      <w:r>
        <w:t>Legend:</w:t>
      </w:r>
    </w:p>
    <w:p w14:paraId="07E4FD6E" w14:textId="06FFA924" w:rsidR="00C57C81" w:rsidRDefault="00C57C81" w:rsidP="001D7E23">
      <w:pPr>
        <w:spacing w:after="0"/>
      </w:pPr>
      <w:r>
        <w:t>ACE</w:t>
      </w:r>
      <w:r w:rsidR="003A0616">
        <w:t>i</w:t>
      </w:r>
      <w:r>
        <w:t xml:space="preserve"> – Angiotensin-Converting Enzyme inhibitors</w:t>
      </w:r>
    </w:p>
    <w:p w14:paraId="76DB28D8" w14:textId="77777777" w:rsidR="00C57C81" w:rsidRDefault="00C57C81" w:rsidP="001D7E23">
      <w:pPr>
        <w:spacing w:after="0"/>
      </w:pPr>
      <w:r>
        <w:t xml:space="preserve">ARB – Angiotensin Receptor Blockers </w:t>
      </w:r>
    </w:p>
    <w:p w14:paraId="50BAD609" w14:textId="77777777" w:rsidR="00C57C81" w:rsidRDefault="00C57C81" w:rsidP="001D7E23">
      <w:pPr>
        <w:spacing w:after="0"/>
      </w:pPr>
      <w:r>
        <w:t>BB – Beta Blockers</w:t>
      </w:r>
    </w:p>
    <w:p w14:paraId="0A27B211" w14:textId="77777777" w:rsidR="00C57C81" w:rsidRDefault="00C57C81" w:rsidP="001D7E23">
      <w:pPr>
        <w:spacing w:after="0"/>
      </w:pPr>
      <w:r>
        <w:t>MRA - Mineralocorticoid receptor antagonist</w:t>
      </w:r>
    </w:p>
    <w:p w14:paraId="2FE6F9D6" w14:textId="77777777" w:rsidR="00F130B8" w:rsidRDefault="00F130B8" w:rsidP="00575377">
      <w:r>
        <w:t>FDC – Fixed dose combination</w:t>
      </w:r>
    </w:p>
    <w:p w14:paraId="0EA4A462" w14:textId="03C3E63A" w:rsidR="009C46BE" w:rsidRDefault="007306BB" w:rsidP="00575377">
      <w:pPr>
        <w:pStyle w:val="Heading2"/>
        <w:spacing w:after="240"/>
      </w:pPr>
      <w:bookmarkStart w:id="8" w:name="_Toc165448385"/>
      <w:r>
        <w:t>Methods</w:t>
      </w:r>
      <w:bookmarkEnd w:id="8"/>
    </w:p>
    <w:p w14:paraId="6BF0F8BD" w14:textId="7751AAF7" w:rsidR="00943FD7" w:rsidRDefault="00FA6689" w:rsidP="00CC1666">
      <w:pPr>
        <w:pStyle w:val="Heading3"/>
        <w:rPr>
          <w:b/>
        </w:rPr>
      </w:pPr>
      <w:bookmarkStart w:id="9" w:name="_Toc165448386"/>
      <w:r>
        <w:t>U</w:t>
      </w:r>
      <w:r w:rsidR="00CC1666">
        <w:t xml:space="preserve">tilisation </w:t>
      </w:r>
      <w:r w:rsidR="00761E05">
        <w:t>of heart failure</w:t>
      </w:r>
      <w:r w:rsidR="00CC1666">
        <w:t xml:space="preserve"> medicines in Australia</w:t>
      </w:r>
      <w:bookmarkEnd w:id="9"/>
      <w:r w:rsidR="00CC1666">
        <w:t xml:space="preserve"> </w:t>
      </w:r>
    </w:p>
    <w:p w14:paraId="16835C67" w14:textId="77777777" w:rsidR="00FA6689" w:rsidRPr="00FA6689" w:rsidRDefault="00FA6689" w:rsidP="001D22F9">
      <w:pPr>
        <w:jc w:val="both"/>
        <w:rPr>
          <w:i/>
          <w:iCs/>
        </w:rPr>
      </w:pPr>
      <w:r w:rsidRPr="00FA6689">
        <w:rPr>
          <w:i/>
          <w:iCs/>
        </w:rPr>
        <w:t>Prevalence</w:t>
      </w:r>
    </w:p>
    <w:p w14:paraId="487CAB11" w14:textId="281D6A76" w:rsidR="001D22F9" w:rsidRDefault="001D22F9" w:rsidP="001D22F9">
      <w:pPr>
        <w:jc w:val="both"/>
      </w:pPr>
      <w:r w:rsidRPr="00BB7CDC">
        <w:t>Prevalence w</w:t>
      </w:r>
      <w:r w:rsidR="007306BB">
        <w:t>as</w:t>
      </w:r>
      <w:r w:rsidRPr="00BB7CDC">
        <w:t xml:space="preserve"> calculated as the monthly number of people who were dispensed any medicine from Table 1 from 2017 to 2022</w:t>
      </w:r>
      <w:r>
        <w:t>.</w:t>
      </w:r>
      <w:r w:rsidRPr="00BB7CDC">
        <w:t xml:space="preserve"> We also report</w:t>
      </w:r>
      <w:r w:rsidR="007306BB">
        <w:t>ed</w:t>
      </w:r>
      <w:r w:rsidRPr="00BB7CDC">
        <w:t xml:space="preserve"> prevalence by </w:t>
      </w:r>
      <w:r>
        <w:t xml:space="preserve">medicine </w:t>
      </w:r>
      <w:r w:rsidRPr="00BB7CDC">
        <w:t>class</w:t>
      </w:r>
      <w:r>
        <w:t>.</w:t>
      </w:r>
      <w:r w:rsidRPr="00BB7CDC">
        <w:t xml:space="preserve"> We report</w:t>
      </w:r>
      <w:r w:rsidR="007306BB">
        <w:t>ed</w:t>
      </w:r>
      <w:r w:rsidRPr="00BB7CDC">
        <w:t xml:space="preserve"> yearly rates per 1</w:t>
      </w:r>
      <w:r w:rsidR="0075369F">
        <w:t>,</w:t>
      </w:r>
      <w:r w:rsidRPr="00BB7CDC">
        <w:t>000 people in Australia, and annual counts</w:t>
      </w:r>
      <w:r>
        <w:t>.</w:t>
      </w:r>
      <w:r w:rsidR="007F6330">
        <w:t xml:space="preserve"> Population estimates were based on the e</w:t>
      </w:r>
      <w:r w:rsidR="007F6330" w:rsidRPr="00556973">
        <w:t xml:space="preserve">stimated Australian resident population </w:t>
      </w:r>
      <w:proofErr w:type="gramStart"/>
      <w:r w:rsidR="007F6330" w:rsidRPr="00556973">
        <w:t>at</w:t>
      </w:r>
      <w:proofErr w:type="gramEnd"/>
      <w:r w:rsidR="007F6330" w:rsidRPr="00556973">
        <w:t xml:space="preserve"> 30 June as reported by the Australian Bureau of Statistics</w:t>
      </w:r>
      <w:r w:rsidR="00937E74">
        <w:t xml:space="preserve"> [5]</w:t>
      </w:r>
      <w:r w:rsidR="007F6330" w:rsidRPr="00556973">
        <w:t>.</w:t>
      </w:r>
    </w:p>
    <w:p w14:paraId="7A00C70B" w14:textId="77777777" w:rsidR="001B6ED8" w:rsidRDefault="001B6ED8" w:rsidP="001B6ED8">
      <w:pPr>
        <w:jc w:val="both"/>
      </w:pPr>
      <w:r w:rsidRPr="00A30D49">
        <w:t>We also establish</w:t>
      </w:r>
      <w:r>
        <w:t>ed</w:t>
      </w:r>
      <w:r w:rsidRPr="00A30D49">
        <w:t xml:space="preserve"> the point prevalence of </w:t>
      </w:r>
      <w:r>
        <w:t xml:space="preserve">all HF </w:t>
      </w:r>
      <w:r w:rsidRPr="00A30D49">
        <w:t xml:space="preserve">therapies in </w:t>
      </w:r>
      <w:r>
        <w:t>prevalent users of HF restricted medicines</w:t>
      </w:r>
      <w:r w:rsidRPr="00A30D49">
        <w:t xml:space="preserve"> in April 2023</w:t>
      </w:r>
      <w:r>
        <w:t xml:space="preserve"> </w:t>
      </w:r>
      <w:r w:rsidRPr="001B6ED8">
        <w:t>to provide a full twelve months from listing of empagliflozin on the PBS for HF (April 2022).</w:t>
      </w:r>
      <w:r w:rsidRPr="00A30D49">
        <w:t xml:space="preserve"> </w:t>
      </w:r>
    </w:p>
    <w:p w14:paraId="71BB883C" w14:textId="77777777" w:rsidR="00FA6689" w:rsidRPr="00FA6689" w:rsidRDefault="00FA6689" w:rsidP="001D22F9">
      <w:pPr>
        <w:jc w:val="both"/>
        <w:rPr>
          <w:i/>
          <w:iCs/>
        </w:rPr>
      </w:pPr>
      <w:r w:rsidRPr="00FA6689">
        <w:rPr>
          <w:i/>
          <w:iCs/>
        </w:rPr>
        <w:t>Incidence</w:t>
      </w:r>
    </w:p>
    <w:p w14:paraId="42665690" w14:textId="47B072BB" w:rsidR="001D22F9" w:rsidRDefault="001D22F9" w:rsidP="001D22F9">
      <w:pPr>
        <w:jc w:val="both"/>
      </w:pPr>
      <w:r w:rsidRPr="00BB7CDC">
        <w:t xml:space="preserve">Incidence </w:t>
      </w:r>
      <w:r w:rsidR="007306BB">
        <w:t>was</w:t>
      </w:r>
      <w:r w:rsidRPr="00BB7CDC">
        <w:t xml:space="preserve"> calculated as the monthly number of people who initiated any medicine from Table 1 between 2018 and 2022 (where incident use is defined as no dispensings of any of the medicines in the previous 12 months (we use</w:t>
      </w:r>
      <w:r w:rsidR="007306BB">
        <w:t>d</w:t>
      </w:r>
      <w:r w:rsidRPr="00BB7CDC">
        <w:t xml:space="preserve"> 2017 as the baseline year)</w:t>
      </w:r>
      <w:r>
        <w:t>.</w:t>
      </w:r>
      <w:r w:rsidR="00FD5021">
        <w:t xml:space="preserve"> This result gives the incident heart failure population. </w:t>
      </w:r>
      <w:r>
        <w:t xml:space="preserve"> </w:t>
      </w:r>
      <w:r w:rsidRPr="00BB7CDC">
        <w:t>We also report</w:t>
      </w:r>
      <w:r w:rsidR="007306BB">
        <w:t>ed</w:t>
      </w:r>
      <w:r w:rsidRPr="00BB7CDC">
        <w:t xml:space="preserve"> incidence by medicine class</w:t>
      </w:r>
      <w:r>
        <w:t>.</w:t>
      </w:r>
      <w:r w:rsidRPr="00BB7CDC">
        <w:t xml:space="preserve"> </w:t>
      </w:r>
      <w:r w:rsidR="00FD5021">
        <w:t xml:space="preserve">This result provides the incidence to a class of medicine, not incidence to heart failure.  </w:t>
      </w:r>
      <w:r w:rsidRPr="009E7361">
        <w:t>We report</w:t>
      </w:r>
      <w:r w:rsidR="007306BB">
        <w:t>ed</w:t>
      </w:r>
      <w:r w:rsidRPr="009E7361">
        <w:t xml:space="preserve"> yearly rates per 1</w:t>
      </w:r>
      <w:r w:rsidR="0075369F">
        <w:t>,</w:t>
      </w:r>
      <w:r w:rsidRPr="009E7361">
        <w:t>000 people in Australia, and annual counts</w:t>
      </w:r>
      <w:r>
        <w:t>.</w:t>
      </w:r>
    </w:p>
    <w:p w14:paraId="6B13BA63" w14:textId="4062EC5D" w:rsidR="00FD5021" w:rsidRDefault="00FD5021" w:rsidP="00FD5021">
      <w:pPr>
        <w:jc w:val="both"/>
      </w:pPr>
      <w:r w:rsidRPr="00BB7CDC">
        <w:t>We report</w:t>
      </w:r>
      <w:r w:rsidR="007306BB">
        <w:t>ed</w:t>
      </w:r>
      <w:r w:rsidRPr="00BB7CDC">
        <w:t xml:space="preserve"> the demographics of age, sex, and comorbidities of incident </w:t>
      </w:r>
      <w:r>
        <w:t xml:space="preserve">heart failure </w:t>
      </w:r>
      <w:r w:rsidRPr="00BB7CDC">
        <w:t>population (by year)</w:t>
      </w:r>
      <w:r>
        <w:t xml:space="preserve">. </w:t>
      </w:r>
    </w:p>
    <w:p w14:paraId="6F53F2DD" w14:textId="154004CC" w:rsidR="006E661B" w:rsidRDefault="006E661B" w:rsidP="006E661B">
      <w:pPr>
        <w:pStyle w:val="Heading3"/>
        <w:rPr>
          <w:b/>
        </w:rPr>
      </w:pPr>
      <w:bookmarkStart w:id="10" w:name="_Toc165448387"/>
      <w:r>
        <w:t>Treatment regimens</w:t>
      </w:r>
      <w:bookmarkEnd w:id="10"/>
    </w:p>
    <w:p w14:paraId="7ABB19B8" w14:textId="77777777" w:rsidR="00FA6689" w:rsidRPr="00FA6689" w:rsidRDefault="00FA6689" w:rsidP="008A3ED9">
      <w:pPr>
        <w:jc w:val="both"/>
        <w:rPr>
          <w:i/>
          <w:iCs/>
        </w:rPr>
      </w:pPr>
      <w:r w:rsidRPr="00FA6689">
        <w:rPr>
          <w:i/>
          <w:iCs/>
        </w:rPr>
        <w:t>Mono, dual, triple and quadruple therapies in prevalent users</w:t>
      </w:r>
    </w:p>
    <w:p w14:paraId="76D696F6" w14:textId="19087ED5" w:rsidR="008A3ED9" w:rsidRDefault="008A3ED9" w:rsidP="008A3ED9">
      <w:pPr>
        <w:jc w:val="both"/>
      </w:pPr>
      <w:r w:rsidRPr="00BB7CDC">
        <w:t>We report</w:t>
      </w:r>
      <w:r w:rsidR="007306BB">
        <w:t>ed</w:t>
      </w:r>
      <w:r w:rsidRPr="00BB7CDC">
        <w:t xml:space="preserve"> the proportion of the population on mono, dual, triple and quadruple therapy in prevalent users</w:t>
      </w:r>
      <w:r w:rsidR="00FA6689">
        <w:t xml:space="preserve"> of HF restricted medicines</w:t>
      </w:r>
      <w:r w:rsidRPr="00BB7CDC">
        <w:t xml:space="preserve">. Results </w:t>
      </w:r>
      <w:r w:rsidR="007306BB">
        <w:t>were</w:t>
      </w:r>
      <w:r w:rsidRPr="00BB7CDC">
        <w:t xml:space="preserve"> reported as monthly proportion</w:t>
      </w:r>
      <w:r w:rsidR="0009080D">
        <w:t>s</w:t>
      </w:r>
      <w:r w:rsidRPr="00BB7CDC">
        <w:t xml:space="preserve"> of people co-dispensed m</w:t>
      </w:r>
      <w:r w:rsidR="00BF07A4">
        <w:t>e</w:t>
      </w:r>
      <w:r w:rsidRPr="00BB7CDC">
        <w:t xml:space="preserve">dicines in Table 1 or </w:t>
      </w:r>
      <w:r w:rsidRPr="00AE2F6B">
        <w:t xml:space="preserve">Table 2 by class. </w:t>
      </w:r>
      <w:r w:rsidR="006D76EC" w:rsidRPr="00AE2F6B">
        <w:t>T</w:t>
      </w:r>
      <w:r w:rsidR="006D76EC" w:rsidRPr="00AE2F6B">
        <w:rPr>
          <w:rFonts w:cstheme="minorHAnsi"/>
          <w:bCs/>
        </w:rPr>
        <w:t>he medicine specific standard coverage days (SCDs) were used to estimate use</w:t>
      </w:r>
      <w:r w:rsidR="00AE2F6B" w:rsidRPr="00AE2F6B">
        <w:rPr>
          <w:rFonts w:cstheme="minorHAnsi"/>
          <w:bCs/>
        </w:rPr>
        <w:t xml:space="preserve"> or </w:t>
      </w:r>
      <w:r w:rsidR="006D76EC" w:rsidRPr="00AE2F6B">
        <w:rPr>
          <w:rFonts w:cstheme="minorHAnsi"/>
          <w:bCs/>
        </w:rPr>
        <w:t xml:space="preserve">co-use of medicines </w:t>
      </w:r>
      <w:proofErr w:type="gramStart"/>
      <w:r w:rsidR="006D76EC" w:rsidRPr="00AE2F6B">
        <w:rPr>
          <w:rFonts w:cstheme="minorHAnsi"/>
          <w:bCs/>
        </w:rPr>
        <w:t>in a given</w:t>
      </w:r>
      <w:proofErr w:type="gramEnd"/>
      <w:r w:rsidR="006D76EC" w:rsidRPr="00AE2F6B">
        <w:rPr>
          <w:rFonts w:cstheme="minorHAnsi"/>
          <w:bCs/>
        </w:rPr>
        <w:t xml:space="preserve"> month. </w:t>
      </w:r>
      <w:r w:rsidR="00F130B8">
        <w:rPr>
          <w:rFonts w:cstheme="minorHAnsi"/>
          <w:bCs/>
        </w:rPr>
        <w:t>Fixed dose combinations (ACE</w:t>
      </w:r>
      <w:r w:rsidR="003A0616">
        <w:rPr>
          <w:rFonts w:cstheme="minorHAnsi"/>
          <w:bCs/>
        </w:rPr>
        <w:t>i</w:t>
      </w:r>
      <w:r w:rsidR="00F130B8">
        <w:rPr>
          <w:rFonts w:cstheme="minorHAnsi"/>
          <w:bCs/>
        </w:rPr>
        <w:t xml:space="preserve">/ARB) were considered dual therapy. </w:t>
      </w:r>
      <w:r w:rsidRPr="00AE2F6B">
        <w:t>As a</w:t>
      </w:r>
      <w:r w:rsidRPr="00BB7CDC">
        <w:t xml:space="preserve"> secondary analysis</w:t>
      </w:r>
      <w:r>
        <w:t>, we</w:t>
      </w:r>
      <w:r w:rsidRPr="00BB7CDC">
        <w:t xml:space="preserve"> undert</w:t>
      </w:r>
      <w:r w:rsidR="007306BB">
        <w:t>ook</w:t>
      </w:r>
      <w:r w:rsidRPr="00BB7CDC">
        <w:t xml:space="preserve"> this same analysis for heart failure specific medicines listed in </w:t>
      </w:r>
      <w:r>
        <w:t>T</w:t>
      </w:r>
      <w:r w:rsidRPr="00BB7CDC">
        <w:t>able 1 only.</w:t>
      </w:r>
      <w:r w:rsidR="00CF753F">
        <w:t xml:space="preserve"> For the purposes of counting dual use </w:t>
      </w:r>
      <w:r w:rsidR="007623FA">
        <w:t xml:space="preserve">sacubitril </w:t>
      </w:r>
      <w:r w:rsidR="00CF753F">
        <w:t>with valsartan was counted as one medicine (ARNI).</w:t>
      </w:r>
    </w:p>
    <w:p w14:paraId="216A4398" w14:textId="77777777" w:rsidR="00FA6689" w:rsidRPr="00FA6689" w:rsidRDefault="00FA6689" w:rsidP="006C6C8A">
      <w:pPr>
        <w:pStyle w:val="Heading3"/>
        <w:rPr>
          <w:lang w:val="en-US"/>
        </w:rPr>
      </w:pPr>
      <w:bookmarkStart w:id="11" w:name="_Toc165448388"/>
      <w:r w:rsidRPr="00FA6689">
        <w:rPr>
          <w:lang w:val="en-US"/>
        </w:rPr>
        <w:t>Standard of care in prevalent users of HF restricted medicines</w:t>
      </w:r>
      <w:bookmarkEnd w:id="11"/>
    </w:p>
    <w:p w14:paraId="04AFEB2D" w14:textId="772C0766" w:rsidR="00FA6689" w:rsidRPr="00FA6689" w:rsidRDefault="00FA6689" w:rsidP="00FA6689">
      <w:pPr>
        <w:rPr>
          <w:rFonts w:cstheme="minorHAnsi"/>
        </w:rPr>
      </w:pPr>
      <w:r w:rsidRPr="00FA6689">
        <w:rPr>
          <w:rFonts w:cstheme="minorHAnsi"/>
          <w:lang w:val="en-US"/>
        </w:rPr>
        <w:t>The monthly proportion of prevalent users of HF restricted medicines who received standard of care was determined</w:t>
      </w:r>
      <w:r w:rsidR="00BF07A4">
        <w:rPr>
          <w:rFonts w:cstheme="minorHAnsi"/>
          <w:lang w:val="en-US"/>
        </w:rPr>
        <w:t xml:space="preserve"> for HFrEF</w:t>
      </w:r>
      <w:r w:rsidRPr="00FA6689">
        <w:rPr>
          <w:rFonts w:cstheme="minorHAnsi"/>
          <w:lang w:val="en-US"/>
        </w:rPr>
        <w:t xml:space="preserve">. Standard of care was defined as </w:t>
      </w:r>
      <w:r>
        <w:rPr>
          <w:rFonts w:cstheme="minorHAnsi"/>
          <w:lang w:val="en-US"/>
        </w:rPr>
        <w:t xml:space="preserve">prescribing of </w:t>
      </w:r>
      <w:r w:rsidRPr="00FA6689">
        <w:rPr>
          <w:rFonts w:cstheme="minorHAnsi"/>
        </w:rPr>
        <w:t>renin-angiotensin system inhibitor (ACEi</w:t>
      </w:r>
      <w:r w:rsidR="00F130B8">
        <w:rPr>
          <w:rFonts w:cstheme="minorHAnsi"/>
        </w:rPr>
        <w:t xml:space="preserve"> (including in FDC)</w:t>
      </w:r>
      <w:r w:rsidRPr="00FA6689">
        <w:rPr>
          <w:rFonts w:cstheme="minorHAnsi"/>
        </w:rPr>
        <w:t>, ARB</w:t>
      </w:r>
      <w:r w:rsidR="00F130B8">
        <w:rPr>
          <w:rFonts w:cstheme="minorHAnsi"/>
        </w:rPr>
        <w:t xml:space="preserve"> (including in FDC) </w:t>
      </w:r>
      <w:r w:rsidRPr="00FA6689">
        <w:rPr>
          <w:rFonts w:cstheme="minorHAnsi"/>
        </w:rPr>
        <w:t>or sacubitril with valsartan (ARNI))</w:t>
      </w:r>
      <w:r>
        <w:rPr>
          <w:rFonts w:cstheme="minorHAnsi"/>
        </w:rPr>
        <w:t xml:space="preserve"> </w:t>
      </w:r>
      <w:r w:rsidRPr="00FA6689">
        <w:rPr>
          <w:rFonts w:cstheme="minorHAnsi"/>
        </w:rPr>
        <w:t>and heart specific beta-blocker</w:t>
      </w:r>
      <w:r>
        <w:rPr>
          <w:rFonts w:cstheme="minorHAnsi"/>
        </w:rPr>
        <w:t xml:space="preserve"> </w:t>
      </w:r>
      <w:r w:rsidRPr="00FA6689">
        <w:rPr>
          <w:rFonts w:cstheme="minorHAnsi"/>
        </w:rPr>
        <w:t>+/- MRA</w:t>
      </w:r>
      <w:r>
        <w:rPr>
          <w:rFonts w:cstheme="minorHAnsi"/>
          <w:bCs/>
        </w:rPr>
        <w:t xml:space="preserve"> +/- SGLT2 inhibitor for HF</w:t>
      </w:r>
      <w:r w:rsidR="009D1DB8">
        <w:rPr>
          <w:rFonts w:cstheme="minorHAnsi"/>
          <w:bCs/>
        </w:rPr>
        <w:t>.</w:t>
      </w:r>
    </w:p>
    <w:p w14:paraId="587FE917" w14:textId="616EF9C6" w:rsidR="00821F5C" w:rsidRPr="00471D07" w:rsidRDefault="00BA171D" w:rsidP="00821F5C">
      <w:pPr>
        <w:pStyle w:val="Heading3"/>
      </w:pPr>
      <w:bookmarkStart w:id="12" w:name="_Toc165448389"/>
      <w:r>
        <w:t xml:space="preserve">Standard of care at initiation and </w:t>
      </w:r>
      <w:r w:rsidR="00821F5C">
        <w:t>add-on prescribing to standard care heart failure medicines</w:t>
      </w:r>
      <w:bookmarkEnd w:id="12"/>
    </w:p>
    <w:p w14:paraId="3E1E0859" w14:textId="336CE544" w:rsidR="00821F5C" w:rsidRDefault="00821F5C" w:rsidP="00BF07A4">
      <w:pPr>
        <w:spacing w:after="0"/>
        <w:jc w:val="both"/>
      </w:pPr>
      <w:r>
        <w:t xml:space="preserve">We defined standard of care </w:t>
      </w:r>
      <w:r w:rsidR="00CE50A0">
        <w:t>as follows:</w:t>
      </w:r>
    </w:p>
    <w:p w14:paraId="213314E0" w14:textId="676C9567" w:rsidR="00821F5C" w:rsidRPr="00C61EF3" w:rsidRDefault="00821F5C" w:rsidP="00821F5C">
      <w:pPr>
        <w:pStyle w:val="ListParagraph"/>
        <w:numPr>
          <w:ilvl w:val="0"/>
          <w:numId w:val="23"/>
        </w:numPr>
        <w:spacing w:line="276" w:lineRule="auto"/>
        <w:rPr>
          <w:rFonts w:asciiTheme="minorHAnsi" w:hAnsiTheme="minorHAnsi" w:cstheme="minorHAnsi"/>
          <w:sz w:val="22"/>
          <w:szCs w:val="18"/>
        </w:rPr>
      </w:pPr>
      <w:r w:rsidRPr="00C61EF3">
        <w:rPr>
          <w:rFonts w:asciiTheme="minorHAnsi" w:hAnsiTheme="minorHAnsi" w:cstheme="minorHAnsi"/>
          <w:sz w:val="22"/>
          <w:szCs w:val="18"/>
        </w:rPr>
        <w:t>renin-angiotensin system inhibitor (ACEi</w:t>
      </w:r>
      <w:r w:rsidR="00F130B8">
        <w:rPr>
          <w:rFonts w:asciiTheme="minorHAnsi" w:hAnsiTheme="minorHAnsi" w:cstheme="minorHAnsi"/>
          <w:sz w:val="22"/>
          <w:szCs w:val="18"/>
        </w:rPr>
        <w:t xml:space="preserve"> (including in </w:t>
      </w:r>
      <w:r w:rsidR="00780B97">
        <w:rPr>
          <w:rFonts w:asciiTheme="minorHAnsi" w:hAnsiTheme="minorHAnsi" w:cstheme="minorHAnsi"/>
          <w:sz w:val="22"/>
          <w:szCs w:val="18"/>
        </w:rPr>
        <w:t>fixed dose combinations (F</w:t>
      </w:r>
      <w:r w:rsidR="00F130B8">
        <w:rPr>
          <w:rFonts w:asciiTheme="minorHAnsi" w:hAnsiTheme="minorHAnsi" w:cstheme="minorHAnsi"/>
          <w:sz w:val="22"/>
          <w:szCs w:val="18"/>
        </w:rPr>
        <w:t>DC</w:t>
      </w:r>
      <w:r w:rsidR="00780B97">
        <w:rPr>
          <w:rFonts w:asciiTheme="minorHAnsi" w:hAnsiTheme="minorHAnsi" w:cstheme="minorHAnsi"/>
          <w:sz w:val="22"/>
          <w:szCs w:val="18"/>
        </w:rPr>
        <w:t>)</w:t>
      </w:r>
      <w:r w:rsidR="00F130B8">
        <w:rPr>
          <w:rFonts w:asciiTheme="minorHAnsi" w:hAnsiTheme="minorHAnsi" w:cstheme="minorHAnsi"/>
          <w:sz w:val="22"/>
          <w:szCs w:val="18"/>
        </w:rPr>
        <w:t>)</w:t>
      </w:r>
      <w:r w:rsidRPr="00C61EF3">
        <w:rPr>
          <w:rFonts w:asciiTheme="minorHAnsi" w:hAnsiTheme="minorHAnsi" w:cstheme="minorHAnsi"/>
          <w:sz w:val="22"/>
          <w:szCs w:val="18"/>
        </w:rPr>
        <w:t>, ARB</w:t>
      </w:r>
      <w:r w:rsidR="00F130B8">
        <w:rPr>
          <w:rFonts w:asciiTheme="minorHAnsi" w:hAnsiTheme="minorHAnsi" w:cstheme="minorHAnsi"/>
          <w:sz w:val="22"/>
          <w:szCs w:val="18"/>
        </w:rPr>
        <w:t xml:space="preserve"> (including in FDC)</w:t>
      </w:r>
      <w:r w:rsidRPr="00C61EF3">
        <w:rPr>
          <w:rFonts w:asciiTheme="minorHAnsi" w:hAnsiTheme="minorHAnsi" w:cstheme="minorHAnsi"/>
          <w:sz w:val="22"/>
          <w:szCs w:val="18"/>
        </w:rPr>
        <w:t xml:space="preserve"> or sacubitril with valsartan (ARNI))</w:t>
      </w:r>
    </w:p>
    <w:p w14:paraId="3FB4A759" w14:textId="77777777" w:rsidR="00821F5C" w:rsidRPr="00C61EF3" w:rsidRDefault="00821F5C" w:rsidP="00821F5C">
      <w:pPr>
        <w:pStyle w:val="ListParagraph"/>
        <w:numPr>
          <w:ilvl w:val="0"/>
          <w:numId w:val="23"/>
        </w:numPr>
        <w:spacing w:line="276" w:lineRule="auto"/>
        <w:rPr>
          <w:rFonts w:asciiTheme="minorHAnsi" w:hAnsiTheme="minorHAnsi" w:cstheme="minorHAnsi"/>
          <w:sz w:val="22"/>
          <w:szCs w:val="18"/>
        </w:rPr>
      </w:pPr>
      <w:r w:rsidRPr="00C61EF3">
        <w:rPr>
          <w:rFonts w:asciiTheme="minorHAnsi" w:hAnsiTheme="minorHAnsi" w:cstheme="minorHAnsi"/>
          <w:sz w:val="22"/>
          <w:szCs w:val="18"/>
        </w:rPr>
        <w:t xml:space="preserve">and heart specific beta-blocker </w:t>
      </w:r>
    </w:p>
    <w:p w14:paraId="1084D03C" w14:textId="70CE2D15" w:rsidR="00821F5C" w:rsidRPr="00D06319" w:rsidRDefault="00821F5C" w:rsidP="00821F5C">
      <w:pPr>
        <w:pStyle w:val="ListParagraph"/>
        <w:numPr>
          <w:ilvl w:val="0"/>
          <w:numId w:val="23"/>
        </w:numPr>
        <w:spacing w:line="276" w:lineRule="auto"/>
      </w:pPr>
      <w:r w:rsidRPr="00C61EF3">
        <w:rPr>
          <w:rFonts w:asciiTheme="minorHAnsi" w:hAnsiTheme="minorHAnsi" w:cstheme="minorHAnsi"/>
          <w:sz w:val="22"/>
          <w:szCs w:val="18"/>
        </w:rPr>
        <w:t>+/- Mineralocorticoid Receptor Antagonist (MRA</w:t>
      </w:r>
      <w:r w:rsidR="00F130B8">
        <w:rPr>
          <w:rFonts w:asciiTheme="minorHAnsi" w:hAnsiTheme="minorHAnsi" w:cstheme="minorHAnsi"/>
          <w:sz w:val="22"/>
          <w:szCs w:val="18"/>
        </w:rPr>
        <w:t xml:space="preserve"> – eplerenone/ spironolactone</w:t>
      </w:r>
      <w:r w:rsidRPr="00E2517E">
        <w:rPr>
          <w:rFonts w:cstheme="minorHAnsi"/>
          <w:bCs/>
        </w:rPr>
        <w:t>)</w:t>
      </w:r>
    </w:p>
    <w:p w14:paraId="30A46ECC" w14:textId="77777777" w:rsidR="00D06319" w:rsidRPr="00C61EF3" w:rsidRDefault="00D06319" w:rsidP="00BC1512">
      <w:pPr>
        <w:pStyle w:val="ListParagraph"/>
        <w:spacing w:line="276" w:lineRule="auto"/>
      </w:pPr>
    </w:p>
    <w:p w14:paraId="52354B89" w14:textId="7FAA733B" w:rsidR="00821F5C" w:rsidRDefault="00366E2E" w:rsidP="00821F5C">
      <w:pPr>
        <w:jc w:val="both"/>
      </w:pPr>
      <w:r w:rsidRPr="009A4994">
        <w:rPr>
          <w:rFonts w:cstheme="minorHAnsi"/>
          <w:bCs/>
        </w:rPr>
        <w:t xml:space="preserve">The analysis considered </w:t>
      </w:r>
      <w:r w:rsidR="00CE50A0" w:rsidRPr="009A4994">
        <w:rPr>
          <w:rFonts w:cstheme="minorHAnsi"/>
          <w:bCs/>
        </w:rPr>
        <w:t>SGLT2i use as ‘add-on treatment’ for consistency with PBS restriction criteria</w:t>
      </w:r>
      <w:r w:rsidR="000B3C8E" w:rsidRPr="009A4994">
        <w:rPr>
          <w:rFonts w:cstheme="minorHAnsi"/>
          <w:bCs/>
        </w:rPr>
        <w:t>,</w:t>
      </w:r>
      <w:r w:rsidR="000B3C8E">
        <w:rPr>
          <w:rFonts w:cstheme="minorHAnsi"/>
          <w:bCs/>
        </w:rPr>
        <w:t xml:space="preserve"> </w:t>
      </w:r>
      <w:r>
        <w:rPr>
          <w:rFonts w:cstheme="minorHAnsi"/>
          <w:bCs/>
        </w:rPr>
        <w:t>however it should be noted that</w:t>
      </w:r>
      <w:r w:rsidR="000B3C8E">
        <w:rPr>
          <w:rFonts w:cstheme="minorHAnsi"/>
          <w:bCs/>
        </w:rPr>
        <w:t xml:space="preserve"> the AMH now </w:t>
      </w:r>
      <w:r w:rsidR="002F115A">
        <w:rPr>
          <w:rFonts w:cstheme="minorHAnsi"/>
          <w:bCs/>
        </w:rPr>
        <w:t>recommends</w:t>
      </w:r>
      <w:r w:rsidR="000B3C8E">
        <w:rPr>
          <w:rFonts w:cstheme="minorHAnsi"/>
          <w:bCs/>
        </w:rPr>
        <w:t xml:space="preserve"> </w:t>
      </w:r>
      <w:r w:rsidR="006A5ED2">
        <w:rPr>
          <w:rFonts w:cstheme="minorHAnsi"/>
          <w:bCs/>
        </w:rPr>
        <w:t xml:space="preserve">quadruple therapy including </w:t>
      </w:r>
      <w:r w:rsidR="000B3C8E">
        <w:rPr>
          <w:rFonts w:cstheme="minorHAnsi"/>
          <w:bCs/>
        </w:rPr>
        <w:t>SGLT2i</w:t>
      </w:r>
      <w:r w:rsidR="006A5ED2">
        <w:rPr>
          <w:rFonts w:cstheme="minorHAnsi"/>
          <w:bCs/>
        </w:rPr>
        <w:t xml:space="preserve"> as</w:t>
      </w:r>
      <w:r w:rsidR="000B3C8E">
        <w:rPr>
          <w:rFonts w:cstheme="minorHAnsi"/>
          <w:bCs/>
        </w:rPr>
        <w:t xml:space="preserve"> part of standard of care for the treatment of HFrEF</w:t>
      </w:r>
      <w:r w:rsidR="00CE50A0">
        <w:rPr>
          <w:rFonts w:cstheme="minorHAnsi"/>
          <w:bCs/>
        </w:rPr>
        <w:t xml:space="preserve">. </w:t>
      </w:r>
      <w:r w:rsidR="00821F5C" w:rsidRPr="00C61EF3">
        <w:rPr>
          <w:rFonts w:cstheme="minorHAnsi"/>
          <w:bCs/>
        </w:rPr>
        <w:t>We</w:t>
      </w:r>
      <w:r w:rsidR="00821F5C" w:rsidRPr="005902E6">
        <w:t xml:space="preserve"> determine</w:t>
      </w:r>
      <w:r w:rsidR="00821F5C">
        <w:t>d</w:t>
      </w:r>
      <w:r w:rsidR="00821F5C" w:rsidRPr="005902E6">
        <w:t xml:space="preserve"> the proportion of the incident HF population in 2022 on standard of care at </w:t>
      </w:r>
      <w:r w:rsidR="00821F5C" w:rsidRPr="00780B97">
        <w:t>initiation of heart failure medicines</w:t>
      </w:r>
      <w:r w:rsidR="00BC1512" w:rsidRPr="00780B97">
        <w:t xml:space="preserve"> </w:t>
      </w:r>
      <w:r w:rsidR="00065F95" w:rsidRPr="00780B97">
        <w:t>using</w:t>
      </w:r>
      <w:r w:rsidR="00BC1512" w:rsidRPr="00780B97">
        <w:t xml:space="preserve"> a time window of t</w:t>
      </w:r>
      <w:r w:rsidR="00BA7A4B" w:rsidRPr="00780B97">
        <w:t>hirty</w:t>
      </w:r>
      <w:r w:rsidR="00BC1512" w:rsidRPr="00780B97">
        <w:t xml:space="preserve"> days </w:t>
      </w:r>
      <w:r w:rsidR="00193B9B" w:rsidRPr="00780B97">
        <w:t xml:space="preserve">post </w:t>
      </w:r>
      <w:r w:rsidR="00B51CDA" w:rsidRPr="00780B97">
        <w:t>first (</w:t>
      </w:r>
      <w:r w:rsidR="00BC1512" w:rsidRPr="00780B97">
        <w:t>index</w:t>
      </w:r>
      <w:r w:rsidR="00B51CDA" w:rsidRPr="00780B97">
        <w:t>)</w:t>
      </w:r>
      <w:r w:rsidR="00BC1512" w:rsidRPr="00780B97">
        <w:t xml:space="preserve"> HF restricted medicine</w:t>
      </w:r>
      <w:r w:rsidR="00065F95" w:rsidRPr="00780B97">
        <w:t xml:space="preserve"> using the standard coverage days methods (i.e. accounting for the duration a prescription lasts)</w:t>
      </w:r>
      <w:r w:rsidR="00821F5C" w:rsidRPr="00780B97">
        <w:t xml:space="preserve">. For those </w:t>
      </w:r>
      <w:r w:rsidR="00821F5C" w:rsidRPr="00780B97">
        <w:rPr>
          <w:rFonts w:cstheme="minorHAnsi"/>
          <w:bCs/>
        </w:rPr>
        <w:t>people</w:t>
      </w:r>
      <w:r w:rsidR="00821F5C" w:rsidRPr="00780B97">
        <w:t xml:space="preserve"> on</w:t>
      </w:r>
      <w:r w:rsidR="00821F5C" w:rsidRPr="005902E6">
        <w:t xml:space="preserve"> standard of care at initiation, we report</w:t>
      </w:r>
      <w:r w:rsidR="00821F5C">
        <w:t>ed</w:t>
      </w:r>
      <w:r w:rsidR="00821F5C" w:rsidRPr="005902E6">
        <w:t xml:space="preserve"> the class or classes of add on therapy at initiation and within 3 months post initiation. Add on therapy w</w:t>
      </w:r>
      <w:r w:rsidR="00821F5C">
        <w:t>as</w:t>
      </w:r>
      <w:r w:rsidR="00821F5C" w:rsidRPr="005902E6">
        <w:t xml:space="preserve"> limited to medicines subsid</w:t>
      </w:r>
      <w:r w:rsidR="0009080D">
        <w:t>is</w:t>
      </w:r>
      <w:r w:rsidR="00821F5C" w:rsidRPr="005902E6">
        <w:t>e</w:t>
      </w:r>
      <w:r w:rsidR="0009080D">
        <w:t>d</w:t>
      </w:r>
      <w:r w:rsidR="00821F5C" w:rsidRPr="005902E6">
        <w:t xml:space="preserve"> for HF only </w:t>
      </w:r>
      <w:r w:rsidR="00012D90">
        <w:t>(Table 2.1).</w:t>
      </w:r>
    </w:p>
    <w:p w14:paraId="38C97364" w14:textId="77777777" w:rsidR="00556973" w:rsidRDefault="00556973">
      <w:pPr>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br w:type="page"/>
      </w:r>
    </w:p>
    <w:p w14:paraId="7F170EF5" w14:textId="3015361B" w:rsidR="00012D90" w:rsidRPr="00C207A8" w:rsidRDefault="00012D90" w:rsidP="00575377">
      <w:pPr>
        <w:spacing w:after="0"/>
        <w:jc w:val="both"/>
        <w:rPr>
          <w:rFonts w:ascii="Calibri" w:eastAsia="Times New Roman" w:hAnsi="Calibri" w:cs="Times New Roman"/>
          <w:b/>
          <w:bCs/>
          <w:color w:val="000000"/>
          <w:lang w:eastAsia="en-AU"/>
        </w:rPr>
      </w:pPr>
      <w:r w:rsidRPr="00C207A8">
        <w:rPr>
          <w:rFonts w:ascii="Calibri" w:eastAsia="Times New Roman" w:hAnsi="Calibri" w:cs="Times New Roman"/>
          <w:b/>
          <w:bCs/>
          <w:color w:val="000000"/>
          <w:lang w:eastAsia="en-AU"/>
        </w:rPr>
        <w:t>Table 2.1. Medicines considered ‘add-on treatment’ to standard of care</w:t>
      </w:r>
    </w:p>
    <w:tbl>
      <w:tblPr>
        <w:tblW w:w="5000" w:type="pct"/>
        <w:tblCellMar>
          <w:left w:w="0" w:type="dxa"/>
          <w:right w:w="0" w:type="dxa"/>
        </w:tblCellMar>
        <w:tblLook w:val="04A0" w:firstRow="1" w:lastRow="0" w:firstColumn="1" w:lastColumn="0" w:noHBand="0" w:noVBand="1"/>
      </w:tblPr>
      <w:tblGrid>
        <w:gridCol w:w="1691"/>
        <w:gridCol w:w="1418"/>
        <w:gridCol w:w="1619"/>
        <w:gridCol w:w="4278"/>
      </w:tblGrid>
      <w:tr w:rsidR="00821F5C" w:rsidRPr="006734AD" w14:paraId="76E698FD" w14:textId="77777777" w:rsidTr="00575377">
        <w:tc>
          <w:tcPr>
            <w:tcW w:w="9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9FBA62" w14:textId="77777777" w:rsidR="00821F5C" w:rsidRPr="006734AD" w:rsidRDefault="00821F5C" w:rsidP="00D10244">
            <w:pPr>
              <w:spacing w:after="0" w:line="240" w:lineRule="auto"/>
              <w:rPr>
                <w:rFonts w:ascii="Calibri" w:eastAsia="Times New Roman" w:hAnsi="Calibri" w:cs="Tahoma"/>
                <w:lang w:eastAsia="en-AU"/>
              </w:rPr>
            </w:pPr>
            <w:r>
              <w:rPr>
                <w:rFonts w:ascii="Calibri" w:eastAsia="Times New Roman" w:hAnsi="Calibri" w:cs="Tahoma"/>
                <w:lang w:eastAsia="en-AU"/>
              </w:rPr>
              <w:t xml:space="preserve">Class </w:t>
            </w:r>
          </w:p>
        </w:tc>
        <w:tc>
          <w:tcPr>
            <w:tcW w:w="7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7BE25DB" w14:textId="77777777" w:rsidR="00821F5C" w:rsidRPr="006734AD" w:rsidRDefault="00821F5C" w:rsidP="00D10244">
            <w:pPr>
              <w:spacing w:after="0" w:line="240" w:lineRule="auto"/>
              <w:rPr>
                <w:rFonts w:ascii="Calibri" w:eastAsia="Times New Roman" w:hAnsi="Calibri" w:cs="Tahoma"/>
                <w:lang w:eastAsia="en-AU"/>
              </w:rPr>
            </w:pPr>
            <w:r>
              <w:rPr>
                <w:rFonts w:ascii="Calibri" w:eastAsia="Times New Roman" w:hAnsi="Calibri" w:cs="Tahoma"/>
                <w:lang w:eastAsia="en-AU"/>
              </w:rPr>
              <w:t>Medicine</w:t>
            </w:r>
          </w:p>
        </w:tc>
        <w:tc>
          <w:tcPr>
            <w:tcW w:w="89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4BF1DBF" w14:textId="506BDC9E" w:rsidR="00821F5C" w:rsidRPr="006734AD" w:rsidRDefault="000816BB" w:rsidP="00D10244">
            <w:pPr>
              <w:spacing w:after="0" w:line="240" w:lineRule="auto"/>
              <w:rPr>
                <w:rFonts w:ascii="Calibri" w:eastAsia="Times New Roman" w:hAnsi="Calibri" w:cs="Tahoma"/>
                <w:lang w:eastAsia="en-AU"/>
              </w:rPr>
            </w:pPr>
            <w:r>
              <w:rPr>
                <w:rFonts w:ascii="Calibri" w:eastAsia="Times New Roman" w:hAnsi="Calibri" w:cs="Tahoma"/>
                <w:lang w:eastAsia="en-AU"/>
              </w:rPr>
              <w:t xml:space="preserve">PBS </w:t>
            </w:r>
            <w:r w:rsidR="00821F5C">
              <w:rPr>
                <w:rFonts w:ascii="Calibri" w:eastAsia="Times New Roman" w:hAnsi="Calibri" w:cs="Tahoma"/>
                <w:lang w:eastAsia="en-AU"/>
              </w:rPr>
              <w:t>List date</w:t>
            </w:r>
          </w:p>
        </w:tc>
        <w:tc>
          <w:tcPr>
            <w:tcW w:w="2375" w:type="pct"/>
            <w:tcBorders>
              <w:top w:val="single" w:sz="8" w:space="0" w:color="auto"/>
              <w:left w:val="nil"/>
              <w:bottom w:val="single" w:sz="8" w:space="0" w:color="auto"/>
              <w:right w:val="single" w:sz="8" w:space="0" w:color="auto"/>
            </w:tcBorders>
          </w:tcPr>
          <w:p w14:paraId="12E50467" w14:textId="77777777" w:rsidR="00821F5C" w:rsidRPr="006734AD" w:rsidRDefault="00821F5C" w:rsidP="007F6330">
            <w:pPr>
              <w:spacing w:after="0" w:line="240" w:lineRule="auto"/>
              <w:ind w:left="212"/>
              <w:rPr>
                <w:rFonts w:ascii="Calibri" w:eastAsia="Times New Roman" w:hAnsi="Calibri" w:cs="Tahoma"/>
                <w:lang w:eastAsia="en-AU"/>
              </w:rPr>
            </w:pPr>
            <w:r>
              <w:rPr>
                <w:rFonts w:ascii="Calibri" w:eastAsia="Times New Roman" w:hAnsi="Calibri" w:cs="Tahoma"/>
                <w:lang w:eastAsia="en-AU"/>
              </w:rPr>
              <w:t>PBS restrictions</w:t>
            </w:r>
          </w:p>
        </w:tc>
      </w:tr>
      <w:tr w:rsidR="00821F5C" w:rsidRPr="006734AD" w14:paraId="6E13C4CB" w14:textId="77777777" w:rsidTr="00575377">
        <w:tc>
          <w:tcPr>
            <w:tcW w:w="93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881D3F" w14:textId="77777777" w:rsidR="00821F5C" w:rsidRPr="006734AD" w:rsidRDefault="00821F5C" w:rsidP="00D10244">
            <w:pPr>
              <w:spacing w:after="0" w:line="240" w:lineRule="auto"/>
              <w:rPr>
                <w:rFonts w:ascii="Calibri" w:eastAsia="Times New Roman" w:hAnsi="Calibri" w:cs="Tahoma"/>
                <w:lang w:eastAsia="en-AU"/>
              </w:rPr>
            </w:pPr>
            <w:r w:rsidRPr="006734AD">
              <w:rPr>
                <w:rFonts w:ascii="Calibri" w:eastAsia="Times New Roman" w:hAnsi="Calibri" w:cs="Tahoma"/>
                <w:lang w:eastAsia="en-AU"/>
              </w:rPr>
              <w:t>SGLT2i</w:t>
            </w:r>
          </w:p>
        </w:tc>
        <w:tc>
          <w:tcPr>
            <w:tcW w:w="7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D6ACC4" w14:textId="77777777" w:rsidR="00821F5C" w:rsidRPr="006734AD" w:rsidRDefault="00821F5C" w:rsidP="00D10244">
            <w:pPr>
              <w:spacing w:after="0" w:line="240" w:lineRule="auto"/>
              <w:rPr>
                <w:rFonts w:ascii="Calibri" w:eastAsia="Times New Roman" w:hAnsi="Calibri" w:cs="Tahoma"/>
                <w:lang w:eastAsia="en-AU"/>
              </w:rPr>
            </w:pPr>
            <w:r w:rsidRPr="006734AD">
              <w:rPr>
                <w:rFonts w:ascii="Calibri" w:eastAsia="Times New Roman" w:hAnsi="Calibri" w:cs="Tahoma"/>
                <w:lang w:eastAsia="en-AU"/>
              </w:rPr>
              <w:t>Dapagliflozin</w:t>
            </w:r>
          </w:p>
        </w:tc>
        <w:tc>
          <w:tcPr>
            <w:tcW w:w="8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AE9B7E" w14:textId="77777777" w:rsidR="00821F5C" w:rsidRPr="006734AD" w:rsidRDefault="00821F5C" w:rsidP="00D10244">
            <w:pPr>
              <w:spacing w:after="0" w:line="240" w:lineRule="auto"/>
              <w:rPr>
                <w:rFonts w:ascii="Calibri" w:eastAsia="Times New Roman" w:hAnsi="Calibri" w:cs="Tahoma"/>
                <w:lang w:eastAsia="en-AU"/>
              </w:rPr>
            </w:pPr>
            <w:r w:rsidRPr="006734AD">
              <w:rPr>
                <w:rFonts w:ascii="Calibri" w:eastAsia="Times New Roman" w:hAnsi="Calibri" w:cs="Tahoma"/>
                <w:lang w:eastAsia="en-AU"/>
              </w:rPr>
              <w:t>Jan 2022</w:t>
            </w:r>
          </w:p>
        </w:tc>
        <w:tc>
          <w:tcPr>
            <w:tcW w:w="2375" w:type="pct"/>
            <w:vMerge w:val="restart"/>
            <w:tcBorders>
              <w:top w:val="single" w:sz="8" w:space="0" w:color="auto"/>
              <w:left w:val="nil"/>
              <w:right w:val="single" w:sz="8" w:space="0" w:color="auto"/>
            </w:tcBorders>
          </w:tcPr>
          <w:p w14:paraId="569004C4" w14:textId="77777777" w:rsidR="00821F5C" w:rsidRPr="006734AD" w:rsidRDefault="00821F5C" w:rsidP="007F6330">
            <w:pPr>
              <w:spacing w:after="0" w:line="240" w:lineRule="auto"/>
              <w:ind w:left="212"/>
              <w:rPr>
                <w:rFonts w:ascii="Calibri" w:eastAsia="Times New Roman" w:hAnsi="Calibri" w:cs="Tahoma"/>
                <w:lang w:eastAsia="en-AU"/>
              </w:rPr>
            </w:pPr>
            <w:r>
              <w:rPr>
                <w:rFonts w:ascii="Calibri" w:eastAsia="Times New Roman" w:hAnsi="Calibri" w:cs="Tahoma"/>
                <w:lang w:eastAsia="en-AU"/>
              </w:rPr>
              <w:t>Requires treatment with a BB (if tolerated) plus an ARB or an ARNI (if tolerated)</w:t>
            </w:r>
          </w:p>
        </w:tc>
      </w:tr>
      <w:tr w:rsidR="00821F5C" w:rsidRPr="006734AD" w14:paraId="4B0E65BB" w14:textId="77777777" w:rsidTr="00575377">
        <w:tc>
          <w:tcPr>
            <w:tcW w:w="939" w:type="pct"/>
            <w:vMerge/>
            <w:tcBorders>
              <w:top w:val="single" w:sz="8" w:space="0" w:color="auto"/>
              <w:left w:val="single" w:sz="8" w:space="0" w:color="auto"/>
              <w:bottom w:val="single" w:sz="8" w:space="0" w:color="auto"/>
              <w:right w:val="single" w:sz="8" w:space="0" w:color="auto"/>
            </w:tcBorders>
            <w:vAlign w:val="center"/>
            <w:hideMark/>
          </w:tcPr>
          <w:p w14:paraId="077187AD" w14:textId="77777777" w:rsidR="00821F5C" w:rsidRPr="006734AD" w:rsidRDefault="00821F5C" w:rsidP="00D10244">
            <w:pPr>
              <w:spacing w:after="0" w:line="240" w:lineRule="auto"/>
              <w:rPr>
                <w:rFonts w:ascii="Calibri" w:eastAsia="Times New Roman" w:hAnsi="Calibri" w:cs="Tahoma"/>
                <w:lang w:eastAsia="en-AU"/>
              </w:rPr>
            </w:pP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14:paraId="296EA8ED" w14:textId="77777777" w:rsidR="00821F5C" w:rsidRPr="006734AD" w:rsidRDefault="00821F5C" w:rsidP="00D10244">
            <w:pPr>
              <w:spacing w:after="0" w:line="240" w:lineRule="auto"/>
              <w:rPr>
                <w:rFonts w:ascii="Calibri" w:eastAsia="Times New Roman" w:hAnsi="Calibri" w:cs="Tahoma"/>
                <w:lang w:eastAsia="en-AU"/>
              </w:rPr>
            </w:pPr>
            <w:r w:rsidRPr="006734AD">
              <w:rPr>
                <w:rFonts w:ascii="Calibri" w:eastAsia="Times New Roman" w:hAnsi="Calibri" w:cs="Tahoma"/>
                <w:lang w:eastAsia="en-AU"/>
              </w:rPr>
              <w:t>Empagliflozin</w:t>
            </w:r>
          </w:p>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14:paraId="155364F7" w14:textId="77777777" w:rsidR="00821F5C" w:rsidRPr="006734AD" w:rsidRDefault="00821F5C" w:rsidP="00D10244">
            <w:pPr>
              <w:spacing w:after="0" w:line="240" w:lineRule="auto"/>
              <w:rPr>
                <w:rFonts w:ascii="Calibri" w:eastAsia="Times New Roman" w:hAnsi="Calibri" w:cs="Tahoma"/>
                <w:lang w:eastAsia="en-AU"/>
              </w:rPr>
            </w:pPr>
            <w:r w:rsidRPr="006734AD">
              <w:rPr>
                <w:rFonts w:ascii="Calibri" w:eastAsia="Times New Roman" w:hAnsi="Calibri" w:cs="Tahoma"/>
                <w:lang w:eastAsia="en-AU"/>
              </w:rPr>
              <w:t>Apr 2022</w:t>
            </w:r>
          </w:p>
        </w:tc>
        <w:tc>
          <w:tcPr>
            <w:tcW w:w="2375" w:type="pct"/>
            <w:vMerge/>
            <w:tcBorders>
              <w:left w:val="nil"/>
              <w:bottom w:val="single" w:sz="8" w:space="0" w:color="auto"/>
              <w:right w:val="single" w:sz="8" w:space="0" w:color="auto"/>
            </w:tcBorders>
          </w:tcPr>
          <w:p w14:paraId="3B551B8B" w14:textId="77777777" w:rsidR="00821F5C" w:rsidRPr="006734AD" w:rsidRDefault="00821F5C" w:rsidP="007F6330">
            <w:pPr>
              <w:spacing w:after="0" w:line="240" w:lineRule="auto"/>
              <w:ind w:left="212"/>
              <w:rPr>
                <w:rFonts w:ascii="Calibri" w:eastAsia="Times New Roman" w:hAnsi="Calibri" w:cs="Tahoma"/>
                <w:lang w:eastAsia="en-AU"/>
              </w:rPr>
            </w:pPr>
          </w:p>
        </w:tc>
      </w:tr>
      <w:tr w:rsidR="00821F5C" w:rsidRPr="006734AD" w14:paraId="71E34A63" w14:textId="77777777" w:rsidTr="00575377">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61A6A8" w14:textId="2EEB3DC9" w:rsidR="00821F5C" w:rsidRPr="006734AD" w:rsidRDefault="00821F5C" w:rsidP="00D10244">
            <w:pPr>
              <w:spacing w:after="0" w:line="240" w:lineRule="auto"/>
              <w:rPr>
                <w:rFonts w:ascii="Calibri" w:eastAsia="Times New Roman" w:hAnsi="Calibri" w:cs="Tahoma"/>
                <w:lang w:eastAsia="en-AU"/>
              </w:rPr>
            </w:pPr>
            <w:r w:rsidRPr="006734AD">
              <w:rPr>
                <w:rFonts w:ascii="Calibri" w:eastAsia="Times New Roman" w:hAnsi="Calibri" w:cs="Tahoma"/>
                <w:lang w:eastAsia="en-AU"/>
              </w:rPr>
              <w:t xml:space="preserve">HCN </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14:paraId="774327D6" w14:textId="77777777" w:rsidR="00821F5C" w:rsidRPr="006734AD" w:rsidRDefault="00821F5C" w:rsidP="00D10244">
            <w:pPr>
              <w:spacing w:after="0" w:line="240" w:lineRule="auto"/>
              <w:rPr>
                <w:rFonts w:ascii="Calibri" w:eastAsia="Times New Roman" w:hAnsi="Calibri" w:cs="Tahoma"/>
                <w:lang w:eastAsia="en-AU"/>
              </w:rPr>
            </w:pPr>
            <w:r w:rsidRPr="006734AD">
              <w:rPr>
                <w:rFonts w:ascii="Calibri" w:eastAsia="Times New Roman" w:hAnsi="Calibri" w:cs="Tahoma"/>
                <w:lang w:eastAsia="en-AU"/>
              </w:rPr>
              <w:t>Ivabradine</w:t>
            </w:r>
          </w:p>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14:paraId="665C2E69" w14:textId="77777777" w:rsidR="00821F5C" w:rsidRPr="006734AD" w:rsidRDefault="00821F5C" w:rsidP="00D10244">
            <w:pPr>
              <w:spacing w:after="0" w:line="240" w:lineRule="auto"/>
              <w:rPr>
                <w:rFonts w:ascii="Calibri" w:eastAsia="Times New Roman" w:hAnsi="Calibri" w:cs="Tahoma"/>
                <w:lang w:eastAsia="en-AU"/>
              </w:rPr>
            </w:pPr>
            <w:r w:rsidRPr="006734AD">
              <w:rPr>
                <w:rFonts w:ascii="Calibri" w:eastAsia="Times New Roman" w:hAnsi="Calibri" w:cs="Tahoma"/>
                <w:lang w:eastAsia="en-AU"/>
              </w:rPr>
              <w:t>Dec 2013</w:t>
            </w:r>
          </w:p>
        </w:tc>
        <w:tc>
          <w:tcPr>
            <w:tcW w:w="2375" w:type="pct"/>
            <w:tcBorders>
              <w:top w:val="nil"/>
              <w:left w:val="nil"/>
              <w:bottom w:val="single" w:sz="8" w:space="0" w:color="auto"/>
              <w:right w:val="single" w:sz="8" w:space="0" w:color="auto"/>
            </w:tcBorders>
          </w:tcPr>
          <w:p w14:paraId="796D51AD" w14:textId="77777777" w:rsidR="00821F5C" w:rsidRPr="006734AD" w:rsidRDefault="00821F5C" w:rsidP="007F6330">
            <w:pPr>
              <w:spacing w:after="0" w:line="240" w:lineRule="auto"/>
              <w:ind w:left="212"/>
              <w:rPr>
                <w:rFonts w:ascii="Calibri" w:eastAsia="Times New Roman" w:hAnsi="Calibri" w:cs="Tahoma"/>
                <w:lang w:eastAsia="en-AU"/>
              </w:rPr>
            </w:pPr>
            <w:r>
              <w:rPr>
                <w:rFonts w:ascii="Calibri" w:eastAsia="Times New Roman" w:hAnsi="Calibri" w:cs="Tahoma"/>
                <w:lang w:eastAsia="en-AU"/>
              </w:rPr>
              <w:t>Requires standard of care including a BB (if tolerated)</w:t>
            </w:r>
          </w:p>
        </w:tc>
      </w:tr>
      <w:tr w:rsidR="00821F5C" w:rsidRPr="006734AD" w14:paraId="39DF3E89" w14:textId="77777777" w:rsidTr="00575377">
        <w:tc>
          <w:tcPr>
            <w:tcW w:w="9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9B193" w14:textId="77777777" w:rsidR="00821F5C" w:rsidRPr="006734AD" w:rsidRDefault="00821F5C" w:rsidP="00D10244">
            <w:pPr>
              <w:spacing w:after="0" w:line="240" w:lineRule="auto"/>
              <w:rPr>
                <w:rFonts w:ascii="Calibri" w:eastAsia="Times New Roman" w:hAnsi="Calibri" w:cs="Tahoma"/>
                <w:lang w:eastAsia="en-AU"/>
              </w:rPr>
            </w:pPr>
            <w:r w:rsidRPr="006734AD">
              <w:rPr>
                <w:rFonts w:ascii="Calibri" w:eastAsia="Times New Roman" w:hAnsi="Calibri" w:cs="Tahoma"/>
                <w:lang w:eastAsia="en-AU"/>
              </w:rPr>
              <w:t>sGC stimulator</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14:paraId="040E26C1" w14:textId="77777777" w:rsidR="00821F5C" w:rsidRPr="006734AD" w:rsidRDefault="00821F5C" w:rsidP="00D10244">
            <w:pPr>
              <w:spacing w:after="0" w:line="240" w:lineRule="auto"/>
              <w:rPr>
                <w:rFonts w:ascii="Calibri" w:eastAsia="Times New Roman" w:hAnsi="Calibri" w:cs="Tahoma"/>
                <w:lang w:eastAsia="en-AU"/>
              </w:rPr>
            </w:pPr>
            <w:r w:rsidRPr="006734AD">
              <w:rPr>
                <w:rFonts w:ascii="Calibri" w:eastAsia="Times New Roman" w:hAnsi="Calibri" w:cs="Tahoma"/>
                <w:lang w:eastAsia="en-AU"/>
              </w:rPr>
              <w:t>Vericiguat</w:t>
            </w:r>
          </w:p>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14:paraId="2DF15F21" w14:textId="77777777" w:rsidR="00821F5C" w:rsidRPr="006734AD" w:rsidRDefault="00821F5C" w:rsidP="00D10244">
            <w:pPr>
              <w:spacing w:after="0" w:line="240" w:lineRule="auto"/>
              <w:rPr>
                <w:rFonts w:ascii="Calibri" w:eastAsia="Times New Roman" w:hAnsi="Calibri" w:cs="Tahoma"/>
                <w:lang w:eastAsia="en-AU"/>
              </w:rPr>
            </w:pPr>
            <w:r w:rsidRPr="006734AD">
              <w:rPr>
                <w:rFonts w:ascii="Calibri" w:eastAsia="Times New Roman" w:hAnsi="Calibri" w:cs="Tahoma"/>
                <w:lang w:eastAsia="en-AU"/>
              </w:rPr>
              <w:t>Dec 2022</w:t>
            </w:r>
          </w:p>
        </w:tc>
        <w:tc>
          <w:tcPr>
            <w:tcW w:w="2375" w:type="pct"/>
            <w:tcBorders>
              <w:top w:val="nil"/>
              <w:left w:val="nil"/>
              <w:bottom w:val="single" w:sz="8" w:space="0" w:color="auto"/>
              <w:right w:val="single" w:sz="8" w:space="0" w:color="auto"/>
            </w:tcBorders>
          </w:tcPr>
          <w:p w14:paraId="1FDB447D" w14:textId="77777777" w:rsidR="00821F5C" w:rsidRPr="006734AD" w:rsidRDefault="00821F5C" w:rsidP="007F6330">
            <w:pPr>
              <w:spacing w:after="0" w:line="240" w:lineRule="auto"/>
              <w:ind w:left="212"/>
              <w:rPr>
                <w:rFonts w:ascii="Calibri" w:eastAsia="Times New Roman" w:hAnsi="Calibri" w:cs="Tahoma"/>
                <w:lang w:eastAsia="en-AU"/>
              </w:rPr>
            </w:pPr>
            <w:r>
              <w:rPr>
                <w:rFonts w:ascii="Calibri" w:eastAsia="Times New Roman" w:hAnsi="Calibri" w:cs="Tahoma"/>
                <w:lang w:eastAsia="en-AU"/>
              </w:rPr>
              <w:t>Requires treatment with a BB (if tolerated) plus an ARB or an ARNI (if tolerated)</w:t>
            </w:r>
          </w:p>
        </w:tc>
      </w:tr>
    </w:tbl>
    <w:p w14:paraId="446EE06A" w14:textId="77777777" w:rsidR="00821F5C" w:rsidRDefault="00821F5C" w:rsidP="00821F5C">
      <w:pPr>
        <w:spacing w:after="0" w:line="240" w:lineRule="auto"/>
      </w:pPr>
      <w:r>
        <w:t xml:space="preserve">Legend: </w:t>
      </w:r>
    </w:p>
    <w:p w14:paraId="6CA429C2" w14:textId="77777777" w:rsidR="00821F5C" w:rsidRPr="00556973" w:rsidRDefault="00821F5C" w:rsidP="00821F5C">
      <w:pPr>
        <w:spacing w:after="0"/>
        <w:rPr>
          <w:rFonts w:cstheme="minorHAnsi"/>
          <w:i/>
          <w:iCs/>
          <w:sz w:val="20"/>
          <w:szCs w:val="20"/>
        </w:rPr>
      </w:pPr>
      <w:r w:rsidRPr="00556973">
        <w:rPr>
          <w:i/>
          <w:iCs/>
          <w:sz w:val="20"/>
          <w:szCs w:val="20"/>
        </w:rPr>
        <w:t xml:space="preserve">SGLT2i – </w:t>
      </w:r>
      <w:r w:rsidRPr="00556973">
        <w:rPr>
          <w:rFonts w:cstheme="minorHAnsi"/>
          <w:i/>
          <w:iCs/>
          <w:sz w:val="20"/>
          <w:szCs w:val="20"/>
        </w:rPr>
        <w:t>Sodium-glucose co-transporter 2 inhibitors</w:t>
      </w:r>
    </w:p>
    <w:p w14:paraId="4A3F8E42" w14:textId="1D932F8D" w:rsidR="00821F5C" w:rsidRPr="00556973" w:rsidRDefault="00821F5C" w:rsidP="00556973">
      <w:pPr>
        <w:rPr>
          <w:rFonts w:cstheme="minorHAnsi"/>
          <w:i/>
          <w:iCs/>
          <w:sz w:val="20"/>
          <w:szCs w:val="20"/>
        </w:rPr>
      </w:pPr>
      <w:r w:rsidRPr="00556973">
        <w:rPr>
          <w:rFonts w:cstheme="minorHAnsi"/>
          <w:i/>
          <w:iCs/>
          <w:sz w:val="20"/>
          <w:szCs w:val="20"/>
        </w:rPr>
        <w:t>HCN - Hyperpolarization-activated Cyclic Nucleotide-gated</w:t>
      </w:r>
      <w:r w:rsidR="00425AF8" w:rsidRPr="00556973">
        <w:rPr>
          <w:rFonts w:cstheme="minorHAnsi"/>
          <w:i/>
          <w:iCs/>
          <w:sz w:val="20"/>
          <w:szCs w:val="20"/>
        </w:rPr>
        <w:t xml:space="preserve">; </w:t>
      </w:r>
      <w:r w:rsidRPr="00556973">
        <w:rPr>
          <w:rFonts w:cstheme="minorHAnsi"/>
          <w:i/>
          <w:iCs/>
          <w:sz w:val="20"/>
          <w:szCs w:val="20"/>
        </w:rPr>
        <w:t>sGC – soluble Guanylate Cyclase</w:t>
      </w:r>
    </w:p>
    <w:p w14:paraId="03414595" w14:textId="70A0E70E" w:rsidR="00CC1666" w:rsidRPr="00471D07" w:rsidRDefault="008C7B2D" w:rsidP="00CC1666">
      <w:pPr>
        <w:pStyle w:val="Heading3"/>
      </w:pPr>
      <w:bookmarkStart w:id="13" w:name="_Toc165448390"/>
      <w:r>
        <w:t xml:space="preserve">Treatment </w:t>
      </w:r>
      <w:r w:rsidR="006C6C8A">
        <w:t>sequences</w:t>
      </w:r>
      <w:bookmarkEnd w:id="13"/>
    </w:p>
    <w:p w14:paraId="7A17232B" w14:textId="53B89FF2" w:rsidR="008C7B2D" w:rsidRPr="00C61EF3" w:rsidRDefault="008C7B2D" w:rsidP="008C7B2D">
      <w:pPr>
        <w:jc w:val="both"/>
        <w:rPr>
          <w:rFonts w:cstheme="minorHAnsi"/>
          <w:bCs/>
        </w:rPr>
      </w:pPr>
      <w:r w:rsidRPr="00C61EF3">
        <w:rPr>
          <w:rFonts w:cstheme="minorHAnsi"/>
          <w:bCs/>
        </w:rPr>
        <w:t>To identify treatment patterns and pathways within the heart failure population, we create</w:t>
      </w:r>
      <w:r w:rsidR="005D749F">
        <w:rPr>
          <w:rFonts w:cstheme="minorHAnsi"/>
          <w:bCs/>
        </w:rPr>
        <w:t>d</w:t>
      </w:r>
      <w:r w:rsidRPr="00C61EF3">
        <w:rPr>
          <w:rFonts w:cstheme="minorHAnsi"/>
          <w:bCs/>
        </w:rPr>
        <w:t xml:space="preserve"> a cohort of people who initiated any HF medicine in Table 1 (first ever) between 2018 and 2021 (2017 </w:t>
      </w:r>
      <w:r w:rsidR="00BF07A4">
        <w:rPr>
          <w:rFonts w:cstheme="minorHAnsi"/>
          <w:bCs/>
        </w:rPr>
        <w:t xml:space="preserve">was used as the </w:t>
      </w:r>
      <w:r w:rsidRPr="00C61EF3">
        <w:rPr>
          <w:rFonts w:cstheme="minorHAnsi"/>
          <w:bCs/>
        </w:rPr>
        <w:t>baseline</w:t>
      </w:r>
      <w:r w:rsidR="00BF07A4">
        <w:rPr>
          <w:rFonts w:cstheme="minorHAnsi"/>
          <w:bCs/>
        </w:rPr>
        <w:t xml:space="preserve"> year)</w:t>
      </w:r>
      <w:r w:rsidRPr="00C61EF3">
        <w:rPr>
          <w:rFonts w:cstheme="minorHAnsi"/>
          <w:bCs/>
        </w:rPr>
        <w:t xml:space="preserve"> to allow for at least 18 months of follow-up</w:t>
      </w:r>
      <w:r w:rsidRPr="00B81C32">
        <w:rPr>
          <w:rFonts w:cstheme="minorHAnsi"/>
          <w:bCs/>
        </w:rPr>
        <w:t>.</w:t>
      </w:r>
      <w:r w:rsidR="00027F7D" w:rsidRPr="00B81C32">
        <w:rPr>
          <w:rFonts w:cstheme="minorHAnsi"/>
          <w:bCs/>
        </w:rPr>
        <w:t xml:space="preserve"> It should be noted that even though only treatment with PBS restricted HF medicines were considered in this analysis, people </w:t>
      </w:r>
      <w:r w:rsidR="00027F7D" w:rsidRPr="00B81C32">
        <w:rPr>
          <w:rFonts w:ascii="Calibri" w:hAnsi="Calibri"/>
          <w:color w:val="000000"/>
        </w:rPr>
        <w:t xml:space="preserve">may have also be taking non-HF restricted medicines. The unrestricted medicines were excluded </w:t>
      </w:r>
      <w:r w:rsidR="00D06319" w:rsidRPr="00B81C32">
        <w:rPr>
          <w:rFonts w:ascii="Calibri" w:hAnsi="Calibri"/>
          <w:color w:val="000000"/>
        </w:rPr>
        <w:t xml:space="preserve">in defining the initiation cohort </w:t>
      </w:r>
      <w:r w:rsidR="00027F7D" w:rsidRPr="00B81C32">
        <w:rPr>
          <w:rFonts w:ascii="Calibri" w:hAnsi="Calibri"/>
          <w:color w:val="000000"/>
        </w:rPr>
        <w:t>because of</w:t>
      </w:r>
      <w:r w:rsidR="00D06319" w:rsidRPr="00B81C32">
        <w:rPr>
          <w:rFonts w:ascii="Calibri" w:hAnsi="Calibri"/>
          <w:color w:val="000000"/>
        </w:rPr>
        <w:t xml:space="preserve"> the</w:t>
      </w:r>
      <w:r w:rsidR="00027F7D" w:rsidRPr="00B81C32">
        <w:rPr>
          <w:rFonts w:ascii="Calibri" w:hAnsi="Calibri"/>
          <w:color w:val="000000"/>
        </w:rPr>
        <w:t xml:space="preserve"> uncertainty on the indication.</w:t>
      </w:r>
    </w:p>
    <w:p w14:paraId="64AD11BF" w14:textId="6EDB6872" w:rsidR="008C7B2D" w:rsidRPr="00C61EF3" w:rsidRDefault="008C7B2D" w:rsidP="00C61EF3">
      <w:pPr>
        <w:jc w:val="both"/>
        <w:rPr>
          <w:rFonts w:cstheme="minorHAnsi"/>
          <w:bCs/>
        </w:rPr>
      </w:pPr>
      <w:r w:rsidRPr="00C61EF3">
        <w:rPr>
          <w:rFonts w:cstheme="minorHAnsi"/>
          <w:bCs/>
        </w:rPr>
        <w:t>Treatment pathway</w:t>
      </w:r>
      <w:r w:rsidR="00405EC4">
        <w:rPr>
          <w:rFonts w:cstheme="minorHAnsi"/>
          <w:bCs/>
        </w:rPr>
        <w:t>s</w:t>
      </w:r>
      <w:r w:rsidRPr="00C61EF3">
        <w:rPr>
          <w:rFonts w:cstheme="minorHAnsi"/>
          <w:bCs/>
        </w:rPr>
        <w:t xml:space="preserve"> from the index dispensing to end of follow-up </w:t>
      </w:r>
      <w:r w:rsidR="005D749F">
        <w:rPr>
          <w:rFonts w:cstheme="minorHAnsi"/>
          <w:bCs/>
        </w:rPr>
        <w:t xml:space="preserve">were </w:t>
      </w:r>
      <w:r w:rsidRPr="00C61EF3">
        <w:rPr>
          <w:rFonts w:cstheme="minorHAnsi"/>
          <w:bCs/>
        </w:rPr>
        <w:t xml:space="preserve">assessed to determine switching, add on and treatment combinations of PBS listed HF medicines (as per Table 1). Prescription date of supply and </w:t>
      </w:r>
      <w:r w:rsidR="00BF07A4">
        <w:rPr>
          <w:rFonts w:cstheme="minorHAnsi"/>
          <w:bCs/>
        </w:rPr>
        <w:t>medicine</w:t>
      </w:r>
      <w:r w:rsidRPr="00C61EF3">
        <w:rPr>
          <w:rFonts w:cstheme="minorHAnsi"/>
          <w:bCs/>
        </w:rPr>
        <w:t xml:space="preserve"> specific standard coverage days (SCDs), </w:t>
      </w:r>
      <w:r w:rsidR="00BF07A4">
        <w:rPr>
          <w:rFonts w:cstheme="minorHAnsi"/>
          <w:bCs/>
        </w:rPr>
        <w:t xml:space="preserve">the latter </w:t>
      </w:r>
      <w:r w:rsidRPr="00C61EF3">
        <w:rPr>
          <w:rFonts w:cstheme="minorHAnsi"/>
          <w:bCs/>
        </w:rPr>
        <w:t>calculated from the data for each medicine and reflecting the median number of days between dispensings, w</w:t>
      </w:r>
      <w:r w:rsidR="005D749F">
        <w:rPr>
          <w:rFonts w:cstheme="minorHAnsi"/>
          <w:bCs/>
        </w:rPr>
        <w:t>ere</w:t>
      </w:r>
      <w:r w:rsidRPr="00C61EF3">
        <w:rPr>
          <w:rFonts w:cstheme="minorHAnsi"/>
          <w:bCs/>
        </w:rPr>
        <w:t xml:space="preserve"> used to define the start and end date (predicted refill date for next prescription) of each episode of treatment with the specific medicine. Treatment episodes for each patient and each medication we</w:t>
      </w:r>
      <w:r w:rsidR="005D749F">
        <w:rPr>
          <w:rFonts w:cstheme="minorHAnsi"/>
          <w:bCs/>
        </w:rPr>
        <w:t>re</w:t>
      </w:r>
      <w:r w:rsidRPr="00C61EF3">
        <w:rPr>
          <w:rFonts w:cstheme="minorHAnsi"/>
          <w:bCs/>
        </w:rPr>
        <w:t xml:space="preserve"> estimated on a weekly rather than daily basis to keep the data volume at a manageable level. This means that if the episode’s start date falls in a particular calendar </w:t>
      </w:r>
      <w:proofErr w:type="gramStart"/>
      <w:r w:rsidRPr="00C61EF3">
        <w:rPr>
          <w:rFonts w:cstheme="minorHAnsi"/>
          <w:bCs/>
        </w:rPr>
        <w:t>week</w:t>
      </w:r>
      <w:proofErr w:type="gramEnd"/>
      <w:r w:rsidRPr="00C61EF3">
        <w:rPr>
          <w:rFonts w:cstheme="minorHAnsi"/>
          <w:bCs/>
        </w:rPr>
        <w:t xml:space="preserve"> then the medication is deemed to cover that week. The same rule </w:t>
      </w:r>
      <w:r w:rsidR="005D749F">
        <w:rPr>
          <w:rFonts w:cstheme="minorHAnsi"/>
          <w:bCs/>
        </w:rPr>
        <w:t>was</w:t>
      </w:r>
      <w:r w:rsidRPr="00C61EF3">
        <w:rPr>
          <w:rFonts w:cstheme="minorHAnsi"/>
          <w:bCs/>
        </w:rPr>
        <w:t xml:space="preserve"> applied to the medication episode’s end date. A break (long gap) in treatment w</w:t>
      </w:r>
      <w:r w:rsidR="005D749F">
        <w:rPr>
          <w:rFonts w:cstheme="minorHAnsi"/>
          <w:bCs/>
        </w:rPr>
        <w:t>as</w:t>
      </w:r>
      <w:r w:rsidRPr="00C61EF3">
        <w:rPr>
          <w:rFonts w:cstheme="minorHAnsi"/>
          <w:bCs/>
        </w:rPr>
        <w:t xml:space="preserve"> defined as a gap of two or more SCDs (i.e. the patient has not received re-supply at two consecutive expected refill dates). If multiple prescriptions of the same medication (but not the same strength) </w:t>
      </w:r>
      <w:r w:rsidR="00BF07A4">
        <w:rPr>
          <w:rFonts w:cstheme="minorHAnsi"/>
          <w:bCs/>
        </w:rPr>
        <w:t>we</w:t>
      </w:r>
      <w:r w:rsidRPr="00C61EF3">
        <w:rPr>
          <w:rFonts w:cstheme="minorHAnsi"/>
          <w:bCs/>
        </w:rPr>
        <w:t>re supplied on the same day, it w</w:t>
      </w:r>
      <w:r w:rsidR="005D749F">
        <w:rPr>
          <w:rFonts w:cstheme="minorHAnsi"/>
          <w:bCs/>
        </w:rPr>
        <w:t>as</w:t>
      </w:r>
      <w:r w:rsidRPr="00C61EF3">
        <w:rPr>
          <w:rFonts w:cstheme="minorHAnsi"/>
          <w:bCs/>
        </w:rPr>
        <w:t xml:space="preserve"> assumed that these were necessary for dose escalation and the coverage period w</w:t>
      </w:r>
      <w:r w:rsidR="005D749F">
        <w:rPr>
          <w:rFonts w:cstheme="minorHAnsi"/>
          <w:bCs/>
        </w:rPr>
        <w:t>as not</w:t>
      </w:r>
      <w:r w:rsidRPr="00C61EF3">
        <w:rPr>
          <w:rFonts w:cstheme="minorHAnsi"/>
          <w:bCs/>
        </w:rPr>
        <w:t xml:space="preserve"> extended. If the multiple prescription of the same medication and the same strength </w:t>
      </w:r>
      <w:r w:rsidR="00BF07A4">
        <w:rPr>
          <w:rFonts w:cstheme="minorHAnsi"/>
          <w:bCs/>
        </w:rPr>
        <w:t>we</w:t>
      </w:r>
      <w:r w:rsidRPr="00C61EF3">
        <w:rPr>
          <w:rFonts w:cstheme="minorHAnsi"/>
          <w:bCs/>
        </w:rPr>
        <w:t xml:space="preserve">re supplied on the same day (for example original and repeat prescriptions </w:t>
      </w:r>
      <w:r w:rsidR="00BF07A4">
        <w:rPr>
          <w:rFonts w:cstheme="minorHAnsi"/>
          <w:bCs/>
        </w:rPr>
        <w:t>we</w:t>
      </w:r>
      <w:r w:rsidRPr="00C61EF3">
        <w:rPr>
          <w:rFonts w:cstheme="minorHAnsi"/>
          <w:bCs/>
        </w:rPr>
        <w:t>re supplied under Regulation 24 on the same day), then this w</w:t>
      </w:r>
      <w:r w:rsidR="005D749F">
        <w:rPr>
          <w:rFonts w:cstheme="minorHAnsi"/>
          <w:bCs/>
        </w:rPr>
        <w:t>as</w:t>
      </w:r>
      <w:r w:rsidRPr="00C61EF3">
        <w:rPr>
          <w:rFonts w:cstheme="minorHAnsi"/>
          <w:bCs/>
        </w:rPr>
        <w:t xml:space="preserve"> assumed to extend the coverage period (i.e. end of coverage period = supply date + number of prescriptions on the same day x SCD). Once medication episodes for each patient and each medicine </w:t>
      </w:r>
      <w:r w:rsidR="00BF07A4">
        <w:rPr>
          <w:rFonts w:cstheme="minorHAnsi"/>
          <w:bCs/>
        </w:rPr>
        <w:t>we</w:t>
      </w:r>
      <w:r w:rsidRPr="00C61EF3">
        <w:rPr>
          <w:rFonts w:cstheme="minorHAnsi"/>
          <w:bCs/>
        </w:rPr>
        <w:t>re determined for every week, then regimens of monotherapy and co-administration w</w:t>
      </w:r>
      <w:r w:rsidR="005D749F">
        <w:rPr>
          <w:rFonts w:cstheme="minorHAnsi"/>
          <w:bCs/>
        </w:rPr>
        <w:t>ere</w:t>
      </w:r>
      <w:r w:rsidRPr="00C61EF3">
        <w:rPr>
          <w:rFonts w:cstheme="minorHAnsi"/>
          <w:bCs/>
        </w:rPr>
        <w:t xml:space="preserve"> calculated. Short periods </w:t>
      </w:r>
      <w:r w:rsidR="009B720E" w:rsidRPr="00C61EF3">
        <w:rPr>
          <w:rFonts w:cstheme="minorHAnsi"/>
          <w:bCs/>
        </w:rPr>
        <w:t xml:space="preserve">(less than </w:t>
      </w:r>
      <w:r w:rsidR="00B01DE1" w:rsidRPr="00C61EF3">
        <w:rPr>
          <w:rFonts w:cstheme="minorHAnsi"/>
          <w:bCs/>
        </w:rPr>
        <w:t>one</w:t>
      </w:r>
      <w:r w:rsidR="009B720E" w:rsidRPr="00C61EF3">
        <w:rPr>
          <w:rFonts w:cstheme="minorHAnsi"/>
          <w:bCs/>
        </w:rPr>
        <w:t xml:space="preserve"> SCD</w:t>
      </w:r>
      <w:r w:rsidR="001D5585">
        <w:rPr>
          <w:rFonts w:cstheme="minorHAnsi"/>
          <w:bCs/>
        </w:rPr>
        <w:t xml:space="preserve"> which is 30 days for </w:t>
      </w:r>
      <w:proofErr w:type="gramStart"/>
      <w:r w:rsidR="001D5585">
        <w:rPr>
          <w:rFonts w:cstheme="minorHAnsi"/>
          <w:bCs/>
        </w:rPr>
        <w:t>the majority of</w:t>
      </w:r>
      <w:proofErr w:type="gramEnd"/>
      <w:r w:rsidR="001D5585">
        <w:rPr>
          <w:rFonts w:cstheme="minorHAnsi"/>
          <w:bCs/>
        </w:rPr>
        <w:t xml:space="preserve"> the medicines</w:t>
      </w:r>
      <w:r w:rsidR="009B720E" w:rsidRPr="00C61EF3">
        <w:rPr>
          <w:rFonts w:cstheme="minorHAnsi"/>
          <w:bCs/>
        </w:rPr>
        <w:t xml:space="preserve">) </w:t>
      </w:r>
      <w:r w:rsidRPr="00C61EF3">
        <w:rPr>
          <w:rFonts w:cstheme="minorHAnsi"/>
          <w:bCs/>
        </w:rPr>
        <w:t>of overlap between two different regimens w</w:t>
      </w:r>
      <w:r w:rsidR="005D749F">
        <w:rPr>
          <w:rFonts w:cstheme="minorHAnsi"/>
          <w:bCs/>
        </w:rPr>
        <w:t>ere</w:t>
      </w:r>
      <w:r w:rsidRPr="00C61EF3">
        <w:rPr>
          <w:rFonts w:cstheme="minorHAnsi"/>
          <w:bCs/>
        </w:rPr>
        <w:t xml:space="preserve"> considered a switch rather than co-administration (for example A </w:t>
      </w:r>
      <w:r w:rsidRPr="00C61EF3">
        <w:rPr>
          <w:rFonts w:cstheme="minorHAnsi"/>
          <w:bCs/>
        </w:rPr>
        <w:sym w:font="Wingdings" w:char="F0E0"/>
      </w:r>
      <w:r w:rsidRPr="00C61EF3">
        <w:rPr>
          <w:rFonts w:cstheme="minorHAnsi"/>
          <w:bCs/>
        </w:rPr>
        <w:t xml:space="preserve"> A+B </w:t>
      </w:r>
      <w:r w:rsidRPr="00C61EF3">
        <w:rPr>
          <w:rFonts w:cstheme="minorHAnsi"/>
          <w:bCs/>
        </w:rPr>
        <w:sym w:font="Wingdings" w:char="F0E0"/>
      </w:r>
      <w:r w:rsidRPr="00C61EF3">
        <w:rPr>
          <w:rFonts w:cstheme="minorHAnsi"/>
          <w:bCs/>
        </w:rPr>
        <w:t xml:space="preserve"> B is considered as A</w:t>
      </w:r>
      <w:r w:rsidRPr="00C61EF3">
        <w:rPr>
          <w:rFonts w:cstheme="minorHAnsi"/>
          <w:bCs/>
        </w:rPr>
        <w:sym w:font="Wingdings" w:char="F0E0"/>
      </w:r>
      <w:r w:rsidRPr="00C61EF3">
        <w:rPr>
          <w:rFonts w:cstheme="minorHAnsi"/>
          <w:bCs/>
        </w:rPr>
        <w:t>B). Switches w</w:t>
      </w:r>
      <w:r w:rsidR="005D749F">
        <w:rPr>
          <w:rFonts w:cstheme="minorHAnsi"/>
          <w:bCs/>
        </w:rPr>
        <w:t>ere</w:t>
      </w:r>
      <w:r w:rsidRPr="00C61EF3">
        <w:rPr>
          <w:rFonts w:cstheme="minorHAnsi"/>
          <w:bCs/>
        </w:rPr>
        <w:t xml:space="preserve"> defined as change from one treatment regimen to another.</w:t>
      </w:r>
    </w:p>
    <w:p w14:paraId="5E8EB728" w14:textId="77777777" w:rsidR="008C7B2D" w:rsidRPr="00C61EF3" w:rsidRDefault="008C7B2D" w:rsidP="008C7B2D">
      <w:pPr>
        <w:jc w:val="both"/>
        <w:rPr>
          <w:rFonts w:cstheme="minorHAnsi"/>
          <w:bCs/>
        </w:rPr>
      </w:pPr>
      <w:r w:rsidRPr="00C61EF3">
        <w:rPr>
          <w:rFonts w:cstheme="minorHAnsi"/>
          <w:bCs/>
        </w:rPr>
        <w:t>We report</w:t>
      </w:r>
      <w:r w:rsidR="005D749F">
        <w:rPr>
          <w:rFonts w:cstheme="minorHAnsi"/>
          <w:bCs/>
        </w:rPr>
        <w:t>ed</w:t>
      </w:r>
      <w:r w:rsidRPr="00C61EF3">
        <w:rPr>
          <w:rFonts w:cstheme="minorHAnsi"/>
          <w:bCs/>
        </w:rPr>
        <w:t xml:space="preserve"> </w:t>
      </w:r>
      <w:r w:rsidR="005C5F4C">
        <w:rPr>
          <w:rFonts w:cstheme="minorHAnsi"/>
          <w:bCs/>
        </w:rPr>
        <w:t>monotherapy</w:t>
      </w:r>
      <w:r w:rsidR="002E5FB8">
        <w:rPr>
          <w:rFonts w:cstheme="minorHAnsi"/>
          <w:bCs/>
        </w:rPr>
        <w:t>,</w:t>
      </w:r>
      <w:r w:rsidR="005C5F4C">
        <w:rPr>
          <w:rFonts w:cstheme="minorHAnsi"/>
          <w:bCs/>
        </w:rPr>
        <w:t xml:space="preserve"> changes in therapy (</w:t>
      </w:r>
      <w:r w:rsidRPr="00C61EF3">
        <w:rPr>
          <w:rFonts w:cstheme="minorHAnsi"/>
          <w:bCs/>
        </w:rPr>
        <w:t xml:space="preserve">switches </w:t>
      </w:r>
      <w:r w:rsidR="00840D58">
        <w:rPr>
          <w:rFonts w:cstheme="minorHAnsi"/>
          <w:bCs/>
        </w:rPr>
        <w:t xml:space="preserve">from index </w:t>
      </w:r>
      <w:r w:rsidRPr="00C61EF3">
        <w:rPr>
          <w:rFonts w:cstheme="minorHAnsi"/>
          <w:bCs/>
        </w:rPr>
        <w:t>medicine</w:t>
      </w:r>
      <w:r w:rsidR="00840D58">
        <w:rPr>
          <w:rFonts w:cstheme="minorHAnsi"/>
          <w:bCs/>
        </w:rPr>
        <w:t>(</w:t>
      </w:r>
      <w:r w:rsidRPr="00C61EF3">
        <w:rPr>
          <w:rFonts w:cstheme="minorHAnsi"/>
          <w:bCs/>
        </w:rPr>
        <w:t>s</w:t>
      </w:r>
      <w:r w:rsidR="00840D58">
        <w:rPr>
          <w:rFonts w:cstheme="minorHAnsi"/>
          <w:bCs/>
        </w:rPr>
        <w:t>)</w:t>
      </w:r>
      <w:r w:rsidRPr="00C61EF3">
        <w:rPr>
          <w:rFonts w:cstheme="minorHAnsi"/>
          <w:bCs/>
        </w:rPr>
        <w:t>,</w:t>
      </w:r>
      <w:r w:rsidR="005C5F4C">
        <w:rPr>
          <w:rFonts w:cstheme="minorHAnsi"/>
          <w:bCs/>
        </w:rPr>
        <w:t xml:space="preserve"> </w:t>
      </w:r>
      <w:r w:rsidRPr="00C61EF3">
        <w:rPr>
          <w:rFonts w:cstheme="minorHAnsi"/>
          <w:bCs/>
        </w:rPr>
        <w:t>addition of second line therapy</w:t>
      </w:r>
      <w:r w:rsidR="002E5FB8">
        <w:rPr>
          <w:rFonts w:cstheme="minorHAnsi"/>
          <w:bCs/>
        </w:rPr>
        <w:t xml:space="preserve"> to index therapy, step down from index therapy</w:t>
      </w:r>
      <w:r w:rsidR="005C5F4C">
        <w:rPr>
          <w:rFonts w:cstheme="minorHAnsi"/>
          <w:bCs/>
        </w:rPr>
        <w:t>)</w:t>
      </w:r>
      <w:r w:rsidR="002E5FB8">
        <w:rPr>
          <w:rFonts w:cstheme="minorHAnsi"/>
          <w:bCs/>
        </w:rPr>
        <w:t>, and therapy with combinations</w:t>
      </w:r>
      <w:r w:rsidR="00EC4A8D">
        <w:rPr>
          <w:rFonts w:cstheme="minorHAnsi"/>
          <w:bCs/>
        </w:rPr>
        <w:t xml:space="preserve"> over the follow-up period</w:t>
      </w:r>
      <w:r w:rsidR="00EA3876">
        <w:rPr>
          <w:rFonts w:cstheme="minorHAnsi"/>
          <w:bCs/>
        </w:rPr>
        <w:t xml:space="preserve">. </w:t>
      </w:r>
      <w:r w:rsidRPr="00C61EF3">
        <w:rPr>
          <w:rFonts w:cstheme="minorHAnsi"/>
          <w:bCs/>
        </w:rPr>
        <w:t>This analysis w</w:t>
      </w:r>
      <w:r w:rsidR="005D749F">
        <w:rPr>
          <w:rFonts w:cstheme="minorHAnsi"/>
          <w:bCs/>
        </w:rPr>
        <w:t>as</w:t>
      </w:r>
      <w:r w:rsidRPr="00C61EF3">
        <w:rPr>
          <w:rFonts w:cstheme="minorHAnsi"/>
          <w:bCs/>
        </w:rPr>
        <w:t xml:space="preserve"> limited to medicines subsidised for heart failure only. </w:t>
      </w:r>
    </w:p>
    <w:p w14:paraId="24157384" w14:textId="0851B162" w:rsidR="00F50194" w:rsidRDefault="006E661B" w:rsidP="00F50194">
      <w:pPr>
        <w:pStyle w:val="Heading3"/>
      </w:pPr>
      <w:bookmarkStart w:id="14" w:name="_Toc165448391"/>
      <w:r>
        <w:t>T</w:t>
      </w:r>
      <w:r w:rsidR="00F50194">
        <w:t>reatment</w:t>
      </w:r>
      <w:r>
        <w:t xml:space="preserve"> duration</w:t>
      </w:r>
      <w:bookmarkEnd w:id="14"/>
    </w:p>
    <w:p w14:paraId="65FD5DB3" w14:textId="77777777" w:rsidR="00F50194" w:rsidRDefault="00F50194" w:rsidP="00F50194">
      <w:pPr>
        <w:jc w:val="both"/>
      </w:pPr>
      <w:r>
        <w:t>We determine</w:t>
      </w:r>
      <w:r w:rsidR="005D749F">
        <w:t>d</w:t>
      </w:r>
      <w:r>
        <w:t xml:space="preserve"> the duration of heart failure treatments using the following methods. </w:t>
      </w:r>
    </w:p>
    <w:p w14:paraId="4400988F" w14:textId="371F615B" w:rsidR="00F50194" w:rsidRPr="007A59FE" w:rsidRDefault="00F50194" w:rsidP="00575377">
      <w:pPr>
        <w:spacing w:after="0"/>
        <w:jc w:val="both"/>
      </w:pPr>
      <w:r>
        <w:t xml:space="preserve">Duration of the index (first) episode </w:t>
      </w:r>
      <w:r w:rsidR="005D749F">
        <w:t>was</w:t>
      </w:r>
      <w:r>
        <w:t xml:space="preserve"> defined as time from index dispensing (1</w:t>
      </w:r>
      <w:r w:rsidRPr="00302B19">
        <w:rPr>
          <w:vertAlign w:val="superscript"/>
        </w:rPr>
        <w:t>st</w:t>
      </w:r>
      <w:r>
        <w:t xml:space="preserve"> ever HF medicine from Table 1) between 2018 and 2021</w:t>
      </w:r>
      <w:r w:rsidR="00A80B60">
        <w:t>,</w:t>
      </w:r>
      <w:r>
        <w:t xml:space="preserve"> to study end (30 Jun 2023). </w:t>
      </w:r>
      <w:r w:rsidRPr="008C3D54">
        <w:rPr>
          <w:rFonts w:cstheme="minorHAnsi"/>
          <w:lang w:val="en-US"/>
        </w:rPr>
        <w:t xml:space="preserve">The study end point </w:t>
      </w:r>
      <w:r w:rsidR="00FD2DB4">
        <w:rPr>
          <w:rFonts w:cstheme="minorHAnsi"/>
          <w:lang w:val="en-US"/>
        </w:rPr>
        <w:t xml:space="preserve">for each patient </w:t>
      </w:r>
      <w:r>
        <w:rPr>
          <w:rFonts w:cstheme="minorHAnsi"/>
          <w:lang w:val="en-US"/>
        </w:rPr>
        <w:t>w</w:t>
      </w:r>
      <w:r w:rsidR="005D749F">
        <w:rPr>
          <w:rFonts w:cstheme="minorHAnsi"/>
          <w:lang w:val="en-US"/>
        </w:rPr>
        <w:t>as</w:t>
      </w:r>
      <w:r>
        <w:rPr>
          <w:rFonts w:cstheme="minorHAnsi"/>
          <w:lang w:val="en-US"/>
        </w:rPr>
        <w:t xml:space="preserve"> </w:t>
      </w:r>
      <w:r w:rsidRPr="008C3D54">
        <w:rPr>
          <w:rFonts w:cstheme="minorHAnsi"/>
          <w:lang w:val="en-US"/>
        </w:rPr>
        <w:t xml:space="preserve">the time to discontinuation of the </w:t>
      </w:r>
      <w:r>
        <w:rPr>
          <w:rFonts w:cstheme="minorHAnsi"/>
          <w:lang w:val="en-US"/>
        </w:rPr>
        <w:t>first</w:t>
      </w:r>
      <w:r w:rsidRPr="008C3D54">
        <w:rPr>
          <w:rFonts w:cstheme="minorHAnsi"/>
          <w:lang w:val="en-US"/>
        </w:rPr>
        <w:t xml:space="preserve"> </w:t>
      </w:r>
      <w:r w:rsidR="005D749F">
        <w:rPr>
          <w:rFonts w:cstheme="minorHAnsi"/>
          <w:lang w:val="en-US"/>
        </w:rPr>
        <w:t>therapy,</w:t>
      </w:r>
      <w:r w:rsidRPr="008C3D54">
        <w:rPr>
          <w:rFonts w:cstheme="minorHAnsi"/>
          <w:lang w:val="en-US"/>
        </w:rPr>
        <w:t xml:space="preserve"> </w:t>
      </w:r>
      <w:r>
        <w:rPr>
          <w:rFonts w:cstheme="minorHAnsi"/>
          <w:lang w:val="en-US"/>
        </w:rPr>
        <w:t xml:space="preserve">either </w:t>
      </w:r>
      <w:r w:rsidRPr="008C3D54">
        <w:rPr>
          <w:rFonts w:cstheme="minorHAnsi"/>
          <w:lang w:val="en-US"/>
        </w:rPr>
        <w:t>due to</w:t>
      </w:r>
      <w:r>
        <w:rPr>
          <w:rFonts w:cstheme="minorHAnsi"/>
          <w:lang w:val="en-US"/>
        </w:rPr>
        <w:t xml:space="preserve"> switch or cessation:</w:t>
      </w:r>
    </w:p>
    <w:p w14:paraId="65E97B71" w14:textId="77777777" w:rsidR="00F50194" w:rsidRPr="00C61EF3" w:rsidRDefault="00F50194" w:rsidP="00C61EF3">
      <w:pPr>
        <w:pStyle w:val="ListParagraph"/>
        <w:numPr>
          <w:ilvl w:val="0"/>
          <w:numId w:val="23"/>
        </w:numPr>
        <w:spacing w:line="276" w:lineRule="auto"/>
        <w:rPr>
          <w:rFonts w:asciiTheme="minorHAnsi" w:hAnsiTheme="minorHAnsi" w:cstheme="minorHAnsi"/>
          <w:sz w:val="22"/>
          <w:szCs w:val="18"/>
        </w:rPr>
      </w:pPr>
      <w:r w:rsidRPr="00C61EF3">
        <w:rPr>
          <w:rFonts w:asciiTheme="minorHAnsi" w:hAnsiTheme="minorHAnsi" w:cstheme="minorHAnsi"/>
          <w:sz w:val="22"/>
          <w:szCs w:val="18"/>
        </w:rPr>
        <w:t>switch w</w:t>
      </w:r>
      <w:r w:rsidR="005D749F">
        <w:rPr>
          <w:rFonts w:asciiTheme="minorHAnsi" w:hAnsiTheme="minorHAnsi" w:cstheme="minorHAnsi"/>
          <w:sz w:val="22"/>
          <w:szCs w:val="18"/>
        </w:rPr>
        <w:t>as</w:t>
      </w:r>
      <w:r w:rsidRPr="00C61EF3">
        <w:rPr>
          <w:rFonts w:asciiTheme="minorHAnsi" w:hAnsiTheme="minorHAnsi" w:cstheme="minorHAnsi"/>
          <w:sz w:val="22"/>
          <w:szCs w:val="18"/>
        </w:rPr>
        <w:t xml:space="preserve"> defined as change to a therapy not containing the index one, </w:t>
      </w:r>
    </w:p>
    <w:p w14:paraId="4931818E" w14:textId="7242D7D8" w:rsidR="00F50194" w:rsidRPr="00C61EF3" w:rsidRDefault="00F50194" w:rsidP="00C61EF3">
      <w:pPr>
        <w:pStyle w:val="ListParagraph"/>
        <w:numPr>
          <w:ilvl w:val="0"/>
          <w:numId w:val="23"/>
        </w:numPr>
        <w:spacing w:line="276" w:lineRule="auto"/>
        <w:rPr>
          <w:rFonts w:asciiTheme="minorHAnsi" w:hAnsiTheme="minorHAnsi"/>
          <w:sz w:val="22"/>
          <w:szCs w:val="22"/>
        </w:rPr>
      </w:pPr>
      <w:r w:rsidRPr="00C61EF3">
        <w:rPr>
          <w:rFonts w:asciiTheme="minorHAnsi" w:hAnsiTheme="minorHAnsi" w:cstheme="minorHAnsi"/>
          <w:sz w:val="22"/>
          <w:szCs w:val="18"/>
        </w:rPr>
        <w:t xml:space="preserve">cessation </w:t>
      </w:r>
      <w:r w:rsidR="00AD13E5">
        <w:rPr>
          <w:rFonts w:asciiTheme="minorHAnsi" w:hAnsiTheme="minorHAnsi" w:cstheme="minorHAnsi"/>
          <w:sz w:val="22"/>
          <w:szCs w:val="18"/>
        </w:rPr>
        <w:t>was</w:t>
      </w:r>
      <w:r w:rsidRPr="00C61EF3">
        <w:rPr>
          <w:rFonts w:asciiTheme="minorHAnsi" w:hAnsiTheme="minorHAnsi" w:cstheme="minorHAnsi"/>
          <w:sz w:val="22"/>
          <w:szCs w:val="18"/>
        </w:rPr>
        <w:t xml:space="preserve"> defined as a gap in refill based on the length of the estimated prescription duration</w:t>
      </w:r>
      <w:r w:rsidRPr="00FF1AB2">
        <w:rPr>
          <w:rFonts w:asciiTheme="minorHAnsi" w:hAnsiTheme="minorHAnsi" w:cstheme="minorHAnsi"/>
          <w:sz w:val="22"/>
          <w:szCs w:val="22"/>
          <w:lang w:val="en-US"/>
        </w:rPr>
        <w:t xml:space="preserve"> which </w:t>
      </w:r>
      <w:r w:rsidR="0009080D">
        <w:rPr>
          <w:rFonts w:asciiTheme="minorHAnsi" w:hAnsiTheme="minorHAnsi" w:cstheme="minorHAnsi"/>
          <w:sz w:val="22"/>
          <w:szCs w:val="22"/>
          <w:lang w:val="en-US"/>
        </w:rPr>
        <w:t>was</w:t>
      </w:r>
      <w:r w:rsidRPr="00FF1AB2">
        <w:rPr>
          <w:rFonts w:asciiTheme="minorHAnsi" w:hAnsiTheme="minorHAnsi" w:cstheme="minorHAnsi"/>
          <w:sz w:val="22"/>
          <w:szCs w:val="22"/>
          <w:lang w:val="en-US"/>
        </w:rPr>
        <w:t xml:space="preserve"> </w:t>
      </w:r>
      <w:r w:rsidRPr="00FF1AB2">
        <w:rPr>
          <w:rFonts w:asciiTheme="minorHAnsi" w:hAnsiTheme="minorHAnsi"/>
          <w:sz w:val="22"/>
          <w:szCs w:val="22"/>
        </w:rPr>
        <w:t xml:space="preserve">calculated from the data and reflects the </w:t>
      </w:r>
      <w:proofErr w:type="gramStart"/>
      <w:r w:rsidRPr="00FF1AB2">
        <w:rPr>
          <w:rFonts w:asciiTheme="minorHAnsi" w:hAnsiTheme="minorHAnsi"/>
          <w:sz w:val="22"/>
          <w:szCs w:val="22"/>
        </w:rPr>
        <w:t>time period</w:t>
      </w:r>
      <w:proofErr w:type="gramEnd"/>
      <w:r w:rsidRPr="00FF1AB2">
        <w:rPr>
          <w:rFonts w:asciiTheme="minorHAnsi" w:hAnsiTheme="minorHAnsi"/>
          <w:sz w:val="22"/>
          <w:szCs w:val="22"/>
        </w:rPr>
        <w:t xml:space="preserve"> within which 75% of people returned for a repeat prescription. Gaps which </w:t>
      </w:r>
      <w:r w:rsidR="0009080D">
        <w:rPr>
          <w:rFonts w:asciiTheme="minorHAnsi" w:hAnsiTheme="minorHAnsi"/>
          <w:sz w:val="22"/>
          <w:szCs w:val="22"/>
        </w:rPr>
        <w:t>we</w:t>
      </w:r>
      <w:r w:rsidRPr="00FF1AB2">
        <w:rPr>
          <w:rFonts w:asciiTheme="minorHAnsi" w:hAnsiTheme="minorHAnsi"/>
          <w:sz w:val="22"/>
          <w:szCs w:val="22"/>
        </w:rPr>
        <w:t xml:space="preserve">re </w:t>
      </w:r>
      <w:r w:rsidR="00B65270">
        <w:rPr>
          <w:rFonts w:asciiTheme="minorHAnsi" w:hAnsiTheme="minorHAnsi" w:cstheme="minorHAnsi"/>
          <w:sz w:val="22"/>
          <w:szCs w:val="22"/>
        </w:rPr>
        <w:t>≥</w:t>
      </w:r>
      <w:r w:rsidRPr="00FF1AB2">
        <w:rPr>
          <w:rFonts w:asciiTheme="minorHAnsi" w:hAnsiTheme="minorHAnsi"/>
          <w:sz w:val="22"/>
          <w:szCs w:val="22"/>
        </w:rPr>
        <w:t xml:space="preserve"> t</w:t>
      </w:r>
      <w:r w:rsidR="00C953EA">
        <w:rPr>
          <w:rFonts w:asciiTheme="minorHAnsi" w:hAnsiTheme="minorHAnsi"/>
          <w:sz w:val="22"/>
          <w:szCs w:val="22"/>
        </w:rPr>
        <w:t>hree</w:t>
      </w:r>
      <w:r w:rsidRPr="00FF1AB2">
        <w:rPr>
          <w:rFonts w:asciiTheme="minorHAnsi" w:hAnsiTheme="minorHAnsi" w:cstheme="minorHAnsi"/>
          <w:sz w:val="22"/>
          <w:szCs w:val="22"/>
          <w:lang w:val="en-US"/>
        </w:rPr>
        <w:t xml:space="preserve"> times the length of the estimated prescription duration w</w:t>
      </w:r>
      <w:r w:rsidR="00AD13E5">
        <w:rPr>
          <w:rFonts w:asciiTheme="minorHAnsi" w:hAnsiTheme="minorHAnsi" w:cstheme="minorHAnsi"/>
          <w:sz w:val="22"/>
          <w:szCs w:val="22"/>
          <w:lang w:val="en-US"/>
        </w:rPr>
        <w:t>ere</w:t>
      </w:r>
      <w:r w:rsidRPr="00FF1AB2">
        <w:rPr>
          <w:rFonts w:asciiTheme="minorHAnsi" w:hAnsiTheme="minorHAnsi" w:cstheme="minorHAnsi"/>
          <w:sz w:val="22"/>
          <w:szCs w:val="22"/>
          <w:lang w:val="en-US"/>
        </w:rPr>
        <w:t xml:space="preserve"> considered to represent cessation. </w:t>
      </w:r>
    </w:p>
    <w:p w14:paraId="4BC65EC9" w14:textId="3E7493BA" w:rsidR="00F50194" w:rsidRPr="00901F89" w:rsidRDefault="00F50194" w:rsidP="00C61EF3">
      <w:pPr>
        <w:jc w:val="both"/>
      </w:pPr>
      <w:r w:rsidRPr="008C3D54">
        <w:t xml:space="preserve">Persons </w:t>
      </w:r>
      <w:r>
        <w:t>w</w:t>
      </w:r>
      <w:r w:rsidR="00AD13E5">
        <w:t>ere</w:t>
      </w:r>
      <w:r w:rsidRPr="008C3D54">
        <w:t xml:space="preserve"> followed up until cessation, switching to therapy not including the index medicine</w:t>
      </w:r>
      <w:r>
        <w:t>(s)</w:t>
      </w:r>
      <w:r w:rsidRPr="008C3D54">
        <w:t xml:space="preserve">, death or end of </w:t>
      </w:r>
      <w:r>
        <w:t>study</w:t>
      </w:r>
      <w:r w:rsidRPr="008C3D54">
        <w:t xml:space="preserve">. Persons who ceased or switched therapy before the end of </w:t>
      </w:r>
      <w:r>
        <w:t>study</w:t>
      </w:r>
      <w:r w:rsidRPr="008C3D54">
        <w:t xml:space="preserve"> </w:t>
      </w:r>
      <w:r>
        <w:t>w</w:t>
      </w:r>
      <w:r w:rsidR="00AD13E5">
        <w:t>ere</w:t>
      </w:r>
      <w:r w:rsidRPr="008C3D54">
        <w:t xml:space="preserve"> reported as “event” persons, while those who died</w:t>
      </w:r>
      <w:r>
        <w:t xml:space="preserve"> </w:t>
      </w:r>
      <w:r w:rsidRPr="008C3D54">
        <w:t>or continued therapy with the index</w:t>
      </w:r>
      <w:r>
        <w:t xml:space="preserve"> therapy</w:t>
      </w:r>
      <w:r w:rsidRPr="008C3D54">
        <w:t xml:space="preserve"> </w:t>
      </w:r>
      <w:r w:rsidR="00AD13E5">
        <w:t>at the end of study</w:t>
      </w:r>
      <w:r w:rsidRPr="008C3D54">
        <w:t xml:space="preserve"> </w:t>
      </w:r>
      <w:r>
        <w:t>w</w:t>
      </w:r>
      <w:r w:rsidR="00AD13E5">
        <w:t>ere</w:t>
      </w:r>
      <w:r>
        <w:t xml:space="preserve"> </w:t>
      </w:r>
      <w:r w:rsidRPr="008C3D54">
        <w:t>reported as “censored” persons</w:t>
      </w:r>
      <w:r>
        <w:t>.</w:t>
      </w:r>
      <w:r w:rsidR="00AD13E5">
        <w:t xml:space="preserve"> </w:t>
      </w:r>
      <w:r w:rsidR="00D75964">
        <w:t>As death data was not available, a proxy was used</w:t>
      </w:r>
      <w:r w:rsidR="00FD320D">
        <w:t xml:space="preserve">, namely the date of the very last dispensing for any </w:t>
      </w:r>
      <w:r w:rsidR="00405EC4">
        <w:t xml:space="preserve">PBS </w:t>
      </w:r>
      <w:r w:rsidR="00FD320D">
        <w:t>medicine from Table</w:t>
      </w:r>
      <w:r w:rsidR="00B65270">
        <w:t xml:space="preserve"> </w:t>
      </w:r>
      <w:r w:rsidR="00FD320D">
        <w:t>1 or Table</w:t>
      </w:r>
      <w:r w:rsidR="00B65270">
        <w:t xml:space="preserve"> </w:t>
      </w:r>
      <w:r w:rsidR="00FD320D">
        <w:t>2 plus 365 days (if it was before the end of study</w:t>
      </w:r>
      <w:r w:rsidR="00405EC4">
        <w:t>)</w:t>
      </w:r>
      <w:r w:rsidR="00FD320D">
        <w:t>; if the date was after the end of study, the person was considered not to have died.</w:t>
      </w:r>
    </w:p>
    <w:p w14:paraId="142F1D37" w14:textId="77777777" w:rsidR="00F50194" w:rsidRDefault="00F50194" w:rsidP="00F50194">
      <w:pPr>
        <w:jc w:val="both"/>
      </w:pPr>
      <w:r>
        <w:t xml:space="preserve">Where a person starts on multiple medicines, the duration </w:t>
      </w:r>
      <w:r w:rsidR="00FD320D">
        <w:t>was</w:t>
      </w:r>
      <w:r>
        <w:t xml:space="preserve"> estimated as time to first change to therapy not containing any index medicine or cessation, whichever occurs first.</w:t>
      </w:r>
    </w:p>
    <w:p w14:paraId="6E807270" w14:textId="77777777" w:rsidR="00F50194" w:rsidRDefault="00F50194" w:rsidP="00F50194">
      <w:pPr>
        <w:jc w:val="both"/>
      </w:pPr>
      <w:r>
        <w:t>The duration of the index episode w</w:t>
      </w:r>
      <w:r w:rsidR="00FD320D">
        <w:t>as</w:t>
      </w:r>
      <w:r>
        <w:t xml:space="preserve"> stratified by the type of the index HF medicine (individual medicine).  We report</w:t>
      </w:r>
      <w:r w:rsidR="00FD320D">
        <w:t>ed</w:t>
      </w:r>
      <w:r>
        <w:t xml:space="preserve"> results using Kaplan Meier methods.  As heart failure prevalence is heavily influenced by age, we </w:t>
      </w:r>
      <w:r w:rsidR="00FD320D">
        <w:t>adjusted for age in the cox proportional hazards models to determine differences in persistence between medicines.</w:t>
      </w:r>
    </w:p>
    <w:p w14:paraId="50B31A03" w14:textId="77777777" w:rsidR="00F50194" w:rsidRDefault="00F50194" w:rsidP="00F50194">
      <w:pPr>
        <w:jc w:val="both"/>
      </w:pPr>
      <w:r>
        <w:t xml:space="preserve">Overall duration </w:t>
      </w:r>
      <w:r w:rsidR="00FD320D">
        <w:t>was</w:t>
      </w:r>
      <w:r>
        <w:t xml:space="preserve"> determined as time from index dispensing (1</w:t>
      </w:r>
      <w:r w:rsidRPr="00302B19">
        <w:rPr>
          <w:vertAlign w:val="superscript"/>
        </w:rPr>
        <w:t>st</w:t>
      </w:r>
      <w:r>
        <w:t xml:space="preserve"> ever HF medicine from Table 1) to last dispensing for a medicine from Table 1 (including gaps). </w:t>
      </w:r>
    </w:p>
    <w:p w14:paraId="01F9D184" w14:textId="77777777" w:rsidR="00617D16" w:rsidRDefault="00617D16" w:rsidP="002B3106">
      <w:pPr>
        <w:jc w:val="both"/>
      </w:pPr>
      <w:r>
        <w:t>Using the same method, we also examine</w:t>
      </w:r>
      <w:r w:rsidR="00FD320D">
        <w:t>d</w:t>
      </w:r>
      <w:r>
        <w:t xml:space="preserve"> time to treatment intensification (i.e. add on therapy), where a new heart failure medicine is added to </w:t>
      </w:r>
      <w:r w:rsidR="00FD320D">
        <w:t>index</w:t>
      </w:r>
      <w:r>
        <w:t xml:space="preserve"> therapy.</w:t>
      </w:r>
    </w:p>
    <w:p w14:paraId="67E7620F" w14:textId="77777777" w:rsidR="00617D16" w:rsidRDefault="00497AF1" w:rsidP="00575377">
      <w:pPr>
        <w:spacing w:after="0"/>
        <w:jc w:val="both"/>
      </w:pPr>
      <w:r>
        <w:t>Noting that opportunity to switch or add has changed over time as different products have become available on the PBS, we u</w:t>
      </w:r>
      <w:r w:rsidR="00617D16">
        <w:t>s</w:t>
      </w:r>
      <w:r w:rsidR="005902E6">
        <w:t>e</w:t>
      </w:r>
      <w:r w:rsidR="00FD320D">
        <w:t>d</w:t>
      </w:r>
      <w:r w:rsidR="00617D16">
        <w:t xml:space="preserve"> yearly cohorts of initiators in 2020, 2021 </w:t>
      </w:r>
      <w:r w:rsidR="00FD320D">
        <w:t>and</w:t>
      </w:r>
      <w:r w:rsidR="00617D16">
        <w:t xml:space="preserve"> assess</w:t>
      </w:r>
      <w:r w:rsidR="00FD320D">
        <w:t>ed</w:t>
      </w:r>
      <w:r w:rsidR="00617D16">
        <w:t xml:space="preserve"> time to</w:t>
      </w:r>
      <w:r w:rsidR="005902E6">
        <w:t>:</w:t>
      </w:r>
    </w:p>
    <w:p w14:paraId="32A9C0A1" w14:textId="542BF8C7" w:rsidR="00617D16" w:rsidRPr="002B3106" w:rsidRDefault="00617D16" w:rsidP="002B3106">
      <w:pPr>
        <w:pStyle w:val="ListParagraph"/>
        <w:numPr>
          <w:ilvl w:val="0"/>
          <w:numId w:val="24"/>
        </w:numPr>
        <w:spacing w:line="276" w:lineRule="auto"/>
        <w:rPr>
          <w:rFonts w:asciiTheme="minorHAnsi" w:hAnsiTheme="minorHAnsi" w:cstheme="minorHAnsi"/>
          <w:sz w:val="22"/>
          <w:szCs w:val="18"/>
        </w:rPr>
      </w:pPr>
      <w:r w:rsidRPr="002B3106">
        <w:rPr>
          <w:rFonts w:asciiTheme="minorHAnsi" w:hAnsiTheme="minorHAnsi" w:cstheme="minorHAnsi"/>
          <w:sz w:val="22"/>
          <w:szCs w:val="18"/>
        </w:rPr>
        <w:t xml:space="preserve">first change in therapy (add, switch) from index heart failure </w:t>
      </w:r>
      <w:proofErr w:type="gramStart"/>
      <w:r w:rsidRPr="002B3106">
        <w:rPr>
          <w:rFonts w:asciiTheme="minorHAnsi" w:hAnsiTheme="minorHAnsi" w:cstheme="minorHAnsi"/>
          <w:sz w:val="22"/>
          <w:szCs w:val="18"/>
        </w:rPr>
        <w:t>medicine</w:t>
      </w:r>
      <w:r w:rsidR="00575377">
        <w:rPr>
          <w:rFonts w:asciiTheme="minorHAnsi" w:hAnsiTheme="minorHAnsi" w:cstheme="minorHAnsi"/>
          <w:sz w:val="22"/>
          <w:szCs w:val="18"/>
        </w:rPr>
        <w:t>;</w:t>
      </w:r>
      <w:proofErr w:type="gramEnd"/>
    </w:p>
    <w:p w14:paraId="354FAF8A" w14:textId="35F3DBBC" w:rsidR="00617D16" w:rsidRPr="002B3106" w:rsidRDefault="00617D16" w:rsidP="002B3106">
      <w:pPr>
        <w:pStyle w:val="ListParagraph"/>
        <w:numPr>
          <w:ilvl w:val="0"/>
          <w:numId w:val="24"/>
        </w:numPr>
        <w:spacing w:line="276" w:lineRule="auto"/>
        <w:rPr>
          <w:rFonts w:asciiTheme="minorHAnsi" w:hAnsiTheme="minorHAnsi" w:cstheme="minorHAnsi"/>
          <w:sz w:val="22"/>
          <w:szCs w:val="18"/>
        </w:rPr>
      </w:pPr>
      <w:r w:rsidRPr="002B3106">
        <w:rPr>
          <w:rFonts w:asciiTheme="minorHAnsi" w:hAnsiTheme="minorHAnsi" w:cstheme="minorHAnsi"/>
          <w:sz w:val="22"/>
          <w:szCs w:val="18"/>
        </w:rPr>
        <w:t>first switch</w:t>
      </w:r>
      <w:r w:rsidR="00FD320D">
        <w:rPr>
          <w:rFonts w:asciiTheme="minorHAnsi" w:hAnsiTheme="minorHAnsi" w:cstheme="minorHAnsi"/>
          <w:sz w:val="22"/>
          <w:szCs w:val="18"/>
        </w:rPr>
        <w:t xml:space="preserve"> </w:t>
      </w:r>
      <w:r w:rsidR="00EE4C03">
        <w:rPr>
          <w:rFonts w:asciiTheme="minorHAnsi" w:hAnsiTheme="minorHAnsi" w:cstheme="minorHAnsi"/>
          <w:sz w:val="22"/>
          <w:szCs w:val="18"/>
        </w:rPr>
        <w:t xml:space="preserve">from index </w:t>
      </w:r>
      <w:proofErr w:type="gramStart"/>
      <w:r w:rsidR="00EE4C03">
        <w:rPr>
          <w:rFonts w:asciiTheme="minorHAnsi" w:hAnsiTheme="minorHAnsi" w:cstheme="minorHAnsi"/>
          <w:sz w:val="22"/>
          <w:szCs w:val="18"/>
        </w:rPr>
        <w:t>medicine</w:t>
      </w:r>
      <w:r w:rsidR="00575377">
        <w:rPr>
          <w:rFonts w:asciiTheme="minorHAnsi" w:hAnsiTheme="minorHAnsi" w:cstheme="minorHAnsi"/>
          <w:sz w:val="22"/>
          <w:szCs w:val="18"/>
        </w:rPr>
        <w:t>;</w:t>
      </w:r>
      <w:proofErr w:type="gramEnd"/>
    </w:p>
    <w:p w14:paraId="4D0E0CCF" w14:textId="67419549" w:rsidR="002B3106" w:rsidRPr="00FD320D" w:rsidRDefault="00617D16" w:rsidP="00575377">
      <w:pPr>
        <w:pStyle w:val="ListParagraph"/>
        <w:numPr>
          <w:ilvl w:val="0"/>
          <w:numId w:val="24"/>
        </w:numPr>
        <w:spacing w:after="240" w:line="276" w:lineRule="auto"/>
        <w:rPr>
          <w:rFonts w:asciiTheme="minorHAnsi" w:hAnsiTheme="minorHAnsi" w:cstheme="minorHAnsi"/>
          <w:sz w:val="22"/>
          <w:szCs w:val="18"/>
        </w:rPr>
      </w:pPr>
      <w:r w:rsidRPr="00FD320D">
        <w:rPr>
          <w:rFonts w:asciiTheme="minorHAnsi" w:hAnsiTheme="minorHAnsi" w:cstheme="minorHAnsi"/>
          <w:sz w:val="22"/>
          <w:szCs w:val="18"/>
        </w:rPr>
        <w:t xml:space="preserve">first addition </w:t>
      </w:r>
      <w:r w:rsidR="00EE4C03">
        <w:rPr>
          <w:rFonts w:asciiTheme="minorHAnsi" w:hAnsiTheme="minorHAnsi" w:cstheme="minorHAnsi"/>
          <w:sz w:val="22"/>
          <w:szCs w:val="18"/>
        </w:rPr>
        <w:t>to index medicine</w:t>
      </w:r>
      <w:r w:rsidR="00575377">
        <w:rPr>
          <w:rFonts w:asciiTheme="minorHAnsi" w:hAnsiTheme="minorHAnsi" w:cstheme="minorHAnsi"/>
          <w:sz w:val="22"/>
          <w:szCs w:val="18"/>
        </w:rPr>
        <w:t>.</w:t>
      </w:r>
    </w:p>
    <w:p w14:paraId="2F0E4C93" w14:textId="19541194" w:rsidR="00617D16" w:rsidRDefault="00617D16" w:rsidP="00F50194">
      <w:pPr>
        <w:jc w:val="both"/>
      </w:pPr>
      <w:r>
        <w:t xml:space="preserve">The </w:t>
      </w:r>
      <w:r w:rsidR="00D10244">
        <w:t xml:space="preserve">primary </w:t>
      </w:r>
      <w:r>
        <w:t>analysis w</w:t>
      </w:r>
      <w:r w:rsidR="00FD320D">
        <w:t>as</w:t>
      </w:r>
      <w:r>
        <w:t xml:space="preserve"> limited to medicines in </w:t>
      </w:r>
      <w:r w:rsidR="005902E6">
        <w:t>T</w:t>
      </w:r>
      <w:r>
        <w:t xml:space="preserve">able 1. </w:t>
      </w:r>
      <w:r w:rsidR="00A835C9">
        <w:t>Follow-up periods w</w:t>
      </w:r>
      <w:r w:rsidR="00FD320D">
        <w:t xml:space="preserve">as </w:t>
      </w:r>
      <w:r w:rsidR="00A835C9">
        <w:t xml:space="preserve">limited to </w:t>
      </w:r>
      <w:r w:rsidR="0095515B">
        <w:t>one year for the 2020 and 2021 cohorts</w:t>
      </w:r>
      <w:r w:rsidR="00A835C9">
        <w:t>.</w:t>
      </w:r>
      <w:r w:rsidR="00D10244">
        <w:t xml:space="preserve"> The secondary analysis included all medicines in Table 2.</w:t>
      </w:r>
    </w:p>
    <w:p w14:paraId="529C620B" w14:textId="7ADA6EFB" w:rsidR="00F50194" w:rsidRPr="00F50194" w:rsidRDefault="004031D7" w:rsidP="00F50194">
      <w:pPr>
        <w:pStyle w:val="Heading3"/>
      </w:pPr>
      <w:bookmarkStart w:id="15" w:name="_Toc165448392"/>
      <w:r>
        <w:t>Extent of u</w:t>
      </w:r>
      <w:r w:rsidR="00F50194">
        <w:t>se</w:t>
      </w:r>
      <w:r w:rsidR="00195EF7">
        <w:t xml:space="preserve"> in accord and</w:t>
      </w:r>
      <w:r w:rsidR="00F50194">
        <w:t xml:space="preserve"> outside of PBS restrictions</w:t>
      </w:r>
      <w:bookmarkEnd w:id="15"/>
    </w:p>
    <w:p w14:paraId="546A1424" w14:textId="01F5E444" w:rsidR="00F50194" w:rsidRDefault="00F50194" w:rsidP="00780B97">
      <w:pPr>
        <w:spacing w:after="0"/>
        <w:jc w:val="both"/>
      </w:pPr>
      <w:bookmarkStart w:id="16" w:name="_Toc43980743"/>
      <w:r w:rsidRPr="00E928FD">
        <w:t xml:space="preserve">To examine potential use of outside of PBS restrictions we </w:t>
      </w:r>
      <w:r w:rsidR="00FD320D" w:rsidRPr="00E928FD">
        <w:t>investigated</w:t>
      </w:r>
      <w:r w:rsidRPr="00E928FD">
        <w:t xml:space="preserve"> the following metrics</w:t>
      </w:r>
      <w:r w:rsidR="009D324D" w:rsidRPr="00E928FD">
        <w:t xml:space="preserve"> reflecting recommended use in accord with PBS restrictions for subsidy:</w:t>
      </w:r>
    </w:p>
    <w:p w14:paraId="0F6D909C" w14:textId="4BAC73C6" w:rsidR="00B81C32" w:rsidRPr="009D324D" w:rsidRDefault="00F50194" w:rsidP="00B51CDA">
      <w:pPr>
        <w:pStyle w:val="ListParagraph"/>
        <w:numPr>
          <w:ilvl w:val="0"/>
          <w:numId w:val="25"/>
        </w:numPr>
        <w:spacing w:line="276" w:lineRule="auto"/>
        <w:jc w:val="both"/>
        <w:rPr>
          <w:rFonts w:asciiTheme="minorHAnsi" w:hAnsiTheme="minorHAnsi" w:cstheme="minorHAnsi"/>
          <w:sz w:val="22"/>
          <w:szCs w:val="22"/>
        </w:rPr>
      </w:pPr>
      <w:r w:rsidRPr="009D324D">
        <w:rPr>
          <w:rFonts w:asciiTheme="minorHAnsi" w:hAnsiTheme="minorHAnsi" w:cstheme="minorHAnsi"/>
          <w:sz w:val="22"/>
          <w:szCs w:val="22"/>
        </w:rPr>
        <w:t xml:space="preserve">Proportion of people who initiated </w:t>
      </w:r>
      <w:r w:rsidR="00B81C32" w:rsidRPr="009D324D">
        <w:rPr>
          <w:rFonts w:asciiTheme="minorHAnsi" w:hAnsiTheme="minorHAnsi" w:cstheme="minorHAnsi"/>
          <w:sz w:val="22"/>
          <w:szCs w:val="22"/>
        </w:rPr>
        <w:t xml:space="preserve">BB restricted for HF </w:t>
      </w:r>
      <w:r w:rsidRPr="009D324D">
        <w:rPr>
          <w:rFonts w:asciiTheme="minorHAnsi" w:hAnsiTheme="minorHAnsi" w:cstheme="minorHAnsi"/>
          <w:sz w:val="22"/>
          <w:szCs w:val="22"/>
        </w:rPr>
        <w:t xml:space="preserve">who </w:t>
      </w:r>
      <w:r w:rsidR="009D324D" w:rsidRPr="009D324D">
        <w:rPr>
          <w:rFonts w:asciiTheme="minorHAnsi" w:hAnsiTheme="minorHAnsi" w:cstheme="minorHAnsi"/>
          <w:sz w:val="22"/>
          <w:szCs w:val="22"/>
        </w:rPr>
        <w:t>had</w:t>
      </w:r>
      <w:r w:rsidRPr="009D324D">
        <w:rPr>
          <w:rFonts w:asciiTheme="minorHAnsi" w:hAnsiTheme="minorHAnsi" w:cstheme="minorHAnsi"/>
          <w:sz w:val="22"/>
          <w:szCs w:val="22"/>
        </w:rPr>
        <w:t xml:space="preserve"> prior use of ACE</w:t>
      </w:r>
      <w:r w:rsidR="003A0616">
        <w:rPr>
          <w:rFonts w:asciiTheme="minorHAnsi" w:hAnsiTheme="minorHAnsi" w:cstheme="minorHAnsi"/>
          <w:sz w:val="22"/>
          <w:szCs w:val="22"/>
        </w:rPr>
        <w:t>i</w:t>
      </w:r>
      <w:r w:rsidRPr="009D324D">
        <w:rPr>
          <w:rFonts w:asciiTheme="minorHAnsi" w:hAnsiTheme="minorHAnsi" w:cstheme="minorHAnsi"/>
          <w:sz w:val="22"/>
          <w:szCs w:val="22"/>
        </w:rPr>
        <w:t>/ARB</w:t>
      </w:r>
      <w:r w:rsidR="00F130B8" w:rsidRPr="009D324D">
        <w:rPr>
          <w:rFonts w:asciiTheme="minorHAnsi" w:hAnsiTheme="minorHAnsi" w:cstheme="minorHAnsi"/>
          <w:sz w:val="22"/>
          <w:szCs w:val="22"/>
        </w:rPr>
        <w:t xml:space="preserve"> </w:t>
      </w:r>
      <w:r w:rsidRPr="009D324D">
        <w:rPr>
          <w:rFonts w:asciiTheme="minorHAnsi" w:hAnsiTheme="minorHAnsi" w:cstheme="minorHAnsi"/>
          <w:sz w:val="22"/>
          <w:szCs w:val="22"/>
        </w:rPr>
        <w:t xml:space="preserve">in the previous 12 </w:t>
      </w:r>
      <w:proofErr w:type="gramStart"/>
      <w:r w:rsidRPr="009D324D">
        <w:rPr>
          <w:rFonts w:asciiTheme="minorHAnsi" w:hAnsiTheme="minorHAnsi" w:cstheme="minorHAnsi"/>
          <w:sz w:val="22"/>
          <w:szCs w:val="22"/>
        </w:rPr>
        <w:t>months;</w:t>
      </w:r>
      <w:proofErr w:type="gramEnd"/>
      <w:r w:rsidR="00A103B6" w:rsidRPr="009D324D">
        <w:rPr>
          <w:rFonts w:asciiTheme="minorHAnsi" w:hAnsiTheme="minorHAnsi" w:cstheme="minorHAnsi"/>
          <w:sz w:val="22"/>
          <w:szCs w:val="22"/>
        </w:rPr>
        <w:t xml:space="preserve"> </w:t>
      </w:r>
    </w:p>
    <w:p w14:paraId="428756F6" w14:textId="24B1578C" w:rsidR="00B81C32" w:rsidRPr="009D324D" w:rsidRDefault="00B81C32" w:rsidP="00B51CDA">
      <w:pPr>
        <w:pStyle w:val="ListParagraph"/>
        <w:numPr>
          <w:ilvl w:val="0"/>
          <w:numId w:val="25"/>
        </w:numPr>
        <w:spacing w:line="276" w:lineRule="auto"/>
        <w:jc w:val="both"/>
        <w:rPr>
          <w:rFonts w:asciiTheme="minorHAnsi" w:hAnsiTheme="minorHAnsi" w:cstheme="minorHAnsi"/>
          <w:sz w:val="22"/>
          <w:szCs w:val="22"/>
        </w:rPr>
      </w:pPr>
      <w:r w:rsidRPr="009D324D">
        <w:rPr>
          <w:rFonts w:asciiTheme="minorHAnsi" w:hAnsiTheme="minorHAnsi" w:cstheme="minorHAnsi"/>
          <w:sz w:val="22"/>
          <w:szCs w:val="22"/>
        </w:rPr>
        <w:t>Proportion of people who initiated ARNI who ha</w:t>
      </w:r>
      <w:r w:rsidR="009D324D" w:rsidRPr="009D324D">
        <w:rPr>
          <w:rFonts w:asciiTheme="minorHAnsi" w:hAnsiTheme="minorHAnsi" w:cstheme="minorHAnsi"/>
          <w:sz w:val="22"/>
          <w:szCs w:val="22"/>
        </w:rPr>
        <w:t>d</w:t>
      </w:r>
      <w:r w:rsidRPr="009D324D">
        <w:rPr>
          <w:rFonts w:asciiTheme="minorHAnsi" w:hAnsiTheme="minorHAnsi" w:cstheme="minorHAnsi"/>
          <w:sz w:val="22"/>
          <w:szCs w:val="22"/>
        </w:rPr>
        <w:t xml:space="preserve"> concomitant use of any BB </w:t>
      </w:r>
      <w:r w:rsidR="004E368D" w:rsidRPr="009D324D">
        <w:rPr>
          <w:rFonts w:asciiTheme="minorHAnsi" w:hAnsiTheme="minorHAnsi" w:cstheme="minorHAnsi"/>
          <w:sz w:val="22"/>
          <w:szCs w:val="22"/>
        </w:rPr>
        <w:t xml:space="preserve">within 30 days prior and post </w:t>
      </w:r>
      <w:proofErr w:type="gramStart"/>
      <w:r w:rsidR="004E368D" w:rsidRPr="009D324D">
        <w:rPr>
          <w:rFonts w:asciiTheme="minorHAnsi" w:hAnsiTheme="minorHAnsi" w:cstheme="minorHAnsi"/>
          <w:sz w:val="22"/>
          <w:szCs w:val="22"/>
        </w:rPr>
        <w:t>initiation;</w:t>
      </w:r>
      <w:proofErr w:type="gramEnd"/>
    </w:p>
    <w:p w14:paraId="323E6534" w14:textId="31E2473A" w:rsidR="00B81C32" w:rsidRPr="009D324D" w:rsidRDefault="00B81C32" w:rsidP="00B51CDA">
      <w:pPr>
        <w:pStyle w:val="ListParagraph"/>
        <w:numPr>
          <w:ilvl w:val="0"/>
          <w:numId w:val="25"/>
        </w:numPr>
        <w:spacing w:line="276" w:lineRule="auto"/>
        <w:jc w:val="both"/>
        <w:rPr>
          <w:rFonts w:asciiTheme="minorHAnsi" w:hAnsiTheme="minorHAnsi" w:cstheme="minorHAnsi"/>
          <w:sz w:val="22"/>
          <w:szCs w:val="22"/>
        </w:rPr>
      </w:pPr>
      <w:r w:rsidRPr="009D324D">
        <w:rPr>
          <w:rFonts w:asciiTheme="minorHAnsi" w:hAnsiTheme="minorHAnsi" w:cstheme="minorHAnsi"/>
          <w:sz w:val="22"/>
          <w:szCs w:val="22"/>
        </w:rPr>
        <w:t xml:space="preserve">Proportion of people who initiated ARNI who </w:t>
      </w:r>
      <w:r w:rsidR="009D324D" w:rsidRPr="009D324D">
        <w:rPr>
          <w:rFonts w:asciiTheme="minorHAnsi" w:hAnsiTheme="minorHAnsi" w:cstheme="minorHAnsi"/>
          <w:sz w:val="22"/>
          <w:szCs w:val="22"/>
        </w:rPr>
        <w:t>had</w:t>
      </w:r>
      <w:r w:rsidRPr="009D324D">
        <w:rPr>
          <w:rFonts w:asciiTheme="minorHAnsi" w:hAnsiTheme="minorHAnsi" w:cstheme="minorHAnsi"/>
          <w:sz w:val="22"/>
          <w:szCs w:val="22"/>
        </w:rPr>
        <w:t xml:space="preserve"> prior use of ACE</w:t>
      </w:r>
      <w:r w:rsidR="003A0616">
        <w:rPr>
          <w:rFonts w:asciiTheme="minorHAnsi" w:hAnsiTheme="minorHAnsi" w:cstheme="minorHAnsi"/>
          <w:sz w:val="22"/>
          <w:szCs w:val="22"/>
        </w:rPr>
        <w:t>i</w:t>
      </w:r>
      <w:r w:rsidRPr="009D324D">
        <w:rPr>
          <w:rFonts w:asciiTheme="minorHAnsi" w:hAnsiTheme="minorHAnsi" w:cstheme="minorHAnsi"/>
          <w:sz w:val="22"/>
          <w:szCs w:val="22"/>
        </w:rPr>
        <w:t xml:space="preserve">/ARB in the previous 12 </w:t>
      </w:r>
      <w:proofErr w:type="gramStart"/>
      <w:r w:rsidRPr="009D324D">
        <w:rPr>
          <w:rFonts w:asciiTheme="minorHAnsi" w:hAnsiTheme="minorHAnsi" w:cstheme="minorHAnsi"/>
          <w:sz w:val="22"/>
          <w:szCs w:val="22"/>
        </w:rPr>
        <w:t>months;</w:t>
      </w:r>
      <w:proofErr w:type="gramEnd"/>
      <w:r w:rsidRPr="009D324D">
        <w:rPr>
          <w:rFonts w:asciiTheme="minorHAnsi" w:hAnsiTheme="minorHAnsi" w:cstheme="minorHAnsi"/>
          <w:sz w:val="22"/>
          <w:szCs w:val="22"/>
        </w:rPr>
        <w:t xml:space="preserve"> </w:t>
      </w:r>
    </w:p>
    <w:p w14:paraId="46D4FF68" w14:textId="50D33CCF" w:rsidR="00B81C32" w:rsidRPr="009D324D" w:rsidRDefault="004E368D" w:rsidP="00B51CDA">
      <w:pPr>
        <w:pStyle w:val="ListParagraph"/>
        <w:numPr>
          <w:ilvl w:val="0"/>
          <w:numId w:val="25"/>
        </w:numPr>
        <w:spacing w:line="276" w:lineRule="auto"/>
        <w:jc w:val="both"/>
        <w:rPr>
          <w:rFonts w:asciiTheme="minorHAnsi" w:hAnsiTheme="minorHAnsi" w:cstheme="minorHAnsi"/>
          <w:sz w:val="22"/>
          <w:szCs w:val="22"/>
        </w:rPr>
      </w:pPr>
      <w:r w:rsidRPr="009D324D">
        <w:rPr>
          <w:rFonts w:asciiTheme="minorHAnsi" w:hAnsiTheme="minorHAnsi" w:cstheme="minorHAnsi"/>
          <w:sz w:val="22"/>
          <w:szCs w:val="22"/>
        </w:rPr>
        <w:t xml:space="preserve">Proportion of people who initiated ARNI who had </w:t>
      </w:r>
      <w:r w:rsidR="009D324D" w:rsidRPr="009D324D">
        <w:rPr>
          <w:rFonts w:asciiTheme="minorHAnsi" w:hAnsiTheme="minorHAnsi" w:cstheme="minorHAnsi"/>
          <w:sz w:val="22"/>
          <w:szCs w:val="22"/>
        </w:rPr>
        <w:t xml:space="preserve">no </w:t>
      </w:r>
      <w:r w:rsidRPr="009D324D">
        <w:rPr>
          <w:rFonts w:asciiTheme="minorHAnsi" w:hAnsiTheme="minorHAnsi" w:cstheme="minorHAnsi"/>
          <w:sz w:val="22"/>
          <w:szCs w:val="22"/>
        </w:rPr>
        <w:t>co-use of ACE</w:t>
      </w:r>
      <w:r w:rsidR="003A0616">
        <w:rPr>
          <w:rFonts w:asciiTheme="minorHAnsi" w:hAnsiTheme="minorHAnsi" w:cstheme="minorHAnsi"/>
          <w:sz w:val="22"/>
          <w:szCs w:val="22"/>
        </w:rPr>
        <w:t>i</w:t>
      </w:r>
      <w:r w:rsidRPr="009D324D">
        <w:rPr>
          <w:rFonts w:asciiTheme="minorHAnsi" w:hAnsiTheme="minorHAnsi" w:cstheme="minorHAnsi"/>
          <w:sz w:val="22"/>
          <w:szCs w:val="22"/>
        </w:rPr>
        <w:t xml:space="preserve">/ARB within 30 days post </w:t>
      </w:r>
      <w:proofErr w:type="gramStart"/>
      <w:r w:rsidRPr="009D324D">
        <w:rPr>
          <w:rFonts w:asciiTheme="minorHAnsi" w:hAnsiTheme="minorHAnsi" w:cstheme="minorHAnsi"/>
          <w:sz w:val="22"/>
          <w:szCs w:val="22"/>
        </w:rPr>
        <w:t>initiation;</w:t>
      </w:r>
      <w:proofErr w:type="gramEnd"/>
    </w:p>
    <w:p w14:paraId="2F8FE81B" w14:textId="52D0A8A4" w:rsidR="004E368D" w:rsidRPr="009D324D" w:rsidRDefault="004E368D" w:rsidP="00B51CDA">
      <w:pPr>
        <w:pStyle w:val="ListParagraph"/>
        <w:numPr>
          <w:ilvl w:val="0"/>
          <w:numId w:val="25"/>
        </w:numPr>
        <w:spacing w:line="276" w:lineRule="auto"/>
        <w:jc w:val="both"/>
        <w:rPr>
          <w:rFonts w:asciiTheme="minorHAnsi" w:hAnsiTheme="minorHAnsi" w:cstheme="minorHAnsi"/>
          <w:sz w:val="22"/>
          <w:szCs w:val="22"/>
        </w:rPr>
      </w:pPr>
      <w:r w:rsidRPr="009D324D">
        <w:rPr>
          <w:rFonts w:asciiTheme="minorHAnsi" w:hAnsiTheme="minorHAnsi" w:cstheme="minorHAnsi"/>
          <w:sz w:val="22"/>
          <w:szCs w:val="22"/>
        </w:rPr>
        <w:t xml:space="preserve">Proportion of people who initiated SGLT2 for HF who </w:t>
      </w:r>
      <w:r w:rsidR="009D324D" w:rsidRPr="009D324D">
        <w:rPr>
          <w:rFonts w:asciiTheme="minorHAnsi" w:hAnsiTheme="minorHAnsi" w:cstheme="minorHAnsi"/>
          <w:sz w:val="22"/>
          <w:szCs w:val="22"/>
        </w:rPr>
        <w:t xml:space="preserve">had </w:t>
      </w:r>
      <w:r w:rsidRPr="009D324D">
        <w:rPr>
          <w:rFonts w:asciiTheme="minorHAnsi" w:hAnsiTheme="minorHAnsi" w:cstheme="minorHAnsi"/>
          <w:sz w:val="22"/>
          <w:szCs w:val="22"/>
        </w:rPr>
        <w:t>add-on therapy with any BB/ACE</w:t>
      </w:r>
      <w:r w:rsidR="003A0616">
        <w:rPr>
          <w:rFonts w:asciiTheme="minorHAnsi" w:hAnsiTheme="minorHAnsi" w:cstheme="minorHAnsi"/>
          <w:sz w:val="22"/>
          <w:szCs w:val="22"/>
        </w:rPr>
        <w:t>i</w:t>
      </w:r>
      <w:r w:rsidRPr="009D324D">
        <w:rPr>
          <w:rFonts w:asciiTheme="minorHAnsi" w:hAnsiTheme="minorHAnsi" w:cstheme="minorHAnsi"/>
          <w:sz w:val="22"/>
          <w:szCs w:val="22"/>
        </w:rPr>
        <w:t xml:space="preserve">/ARB/ARNI within 30 days prior and post </w:t>
      </w:r>
      <w:proofErr w:type="gramStart"/>
      <w:r w:rsidRPr="009D324D">
        <w:rPr>
          <w:rFonts w:asciiTheme="minorHAnsi" w:hAnsiTheme="minorHAnsi" w:cstheme="minorHAnsi"/>
          <w:sz w:val="22"/>
          <w:szCs w:val="22"/>
        </w:rPr>
        <w:t>initiation;</w:t>
      </w:r>
      <w:proofErr w:type="gramEnd"/>
    </w:p>
    <w:p w14:paraId="45479F17" w14:textId="5D16AA9C" w:rsidR="009D324D" w:rsidRPr="009D324D" w:rsidRDefault="009D324D" w:rsidP="00B51CDA">
      <w:pPr>
        <w:pStyle w:val="ListParagraph"/>
        <w:numPr>
          <w:ilvl w:val="0"/>
          <w:numId w:val="25"/>
        </w:numPr>
        <w:spacing w:line="276" w:lineRule="auto"/>
        <w:jc w:val="both"/>
        <w:rPr>
          <w:rFonts w:asciiTheme="minorHAnsi" w:hAnsiTheme="minorHAnsi" w:cstheme="minorHAnsi"/>
          <w:sz w:val="22"/>
          <w:szCs w:val="22"/>
        </w:rPr>
      </w:pPr>
      <w:r w:rsidRPr="009D324D">
        <w:rPr>
          <w:rFonts w:asciiTheme="minorHAnsi" w:hAnsiTheme="minorHAnsi" w:cstheme="minorHAnsi"/>
          <w:sz w:val="22"/>
          <w:szCs w:val="22"/>
        </w:rPr>
        <w:t xml:space="preserve">Proportion of people who initiated SGLT2 for HF who did not receive treatment with </w:t>
      </w:r>
      <w:r w:rsidR="009D697E">
        <w:rPr>
          <w:rFonts w:asciiTheme="minorHAnsi" w:hAnsiTheme="minorHAnsi" w:cstheme="minorHAnsi"/>
          <w:sz w:val="22"/>
          <w:szCs w:val="22"/>
        </w:rPr>
        <w:t>an</w:t>
      </w:r>
      <w:r w:rsidRPr="009D324D">
        <w:rPr>
          <w:rFonts w:asciiTheme="minorHAnsi" w:hAnsiTheme="minorHAnsi" w:cstheme="minorHAnsi"/>
          <w:sz w:val="22"/>
          <w:szCs w:val="22"/>
        </w:rPr>
        <w:t xml:space="preserve">other SGLT2 not for HF within 30 days post </w:t>
      </w:r>
      <w:proofErr w:type="gramStart"/>
      <w:r w:rsidRPr="009D324D">
        <w:rPr>
          <w:rFonts w:asciiTheme="minorHAnsi" w:hAnsiTheme="minorHAnsi" w:cstheme="minorHAnsi"/>
          <w:sz w:val="22"/>
          <w:szCs w:val="22"/>
        </w:rPr>
        <w:t>initiation;</w:t>
      </w:r>
      <w:proofErr w:type="gramEnd"/>
    </w:p>
    <w:p w14:paraId="4C8D4549" w14:textId="23573197" w:rsidR="009D324D" w:rsidRDefault="009D324D" w:rsidP="00780B97">
      <w:pPr>
        <w:pStyle w:val="ListParagraph"/>
        <w:numPr>
          <w:ilvl w:val="0"/>
          <w:numId w:val="25"/>
        </w:numPr>
        <w:spacing w:after="240" w:line="276" w:lineRule="auto"/>
        <w:jc w:val="both"/>
        <w:rPr>
          <w:rFonts w:asciiTheme="minorHAnsi" w:hAnsiTheme="minorHAnsi" w:cstheme="minorHAnsi"/>
          <w:sz w:val="22"/>
          <w:szCs w:val="22"/>
        </w:rPr>
      </w:pPr>
      <w:r w:rsidRPr="009D324D">
        <w:rPr>
          <w:rFonts w:asciiTheme="minorHAnsi" w:hAnsiTheme="minorHAnsi" w:cstheme="minorHAnsi"/>
          <w:sz w:val="22"/>
          <w:szCs w:val="22"/>
        </w:rPr>
        <w:t>Proportion of people who initiated HCN who had concomitant use of any BB within 30 days prior and post initiation</w:t>
      </w:r>
      <w:r w:rsidR="00780B97">
        <w:rPr>
          <w:rFonts w:asciiTheme="minorHAnsi" w:hAnsiTheme="minorHAnsi" w:cstheme="minorHAnsi"/>
          <w:sz w:val="22"/>
          <w:szCs w:val="22"/>
        </w:rPr>
        <w:t xml:space="preserve">. </w:t>
      </w:r>
    </w:p>
    <w:p w14:paraId="738C70D4" w14:textId="50660C28" w:rsidR="00BA7A4B" w:rsidRPr="0054000A" w:rsidRDefault="00B51CDA" w:rsidP="00E32761">
      <w:pPr>
        <w:jc w:val="both"/>
      </w:pPr>
      <w:r w:rsidRPr="00B81C32">
        <w:t>Initiation was defined as dispensing of any PBS restricted HF medicine after no dispensings of any HF restricted medicine in the previous 12 months.</w:t>
      </w:r>
      <w:r>
        <w:t xml:space="preserve"> </w:t>
      </w:r>
      <w:r w:rsidR="00BA7A4B">
        <w:t xml:space="preserve">This analysis was completed for the calendar year 2022 </w:t>
      </w:r>
      <w:r w:rsidR="00BA7A4B" w:rsidRPr="009A4994">
        <w:t xml:space="preserve">as SGLT2 inhibitors were listed on the PBS for use in HF in 2022 (dapagliflozin was listed in </w:t>
      </w:r>
      <w:r w:rsidR="00BA7A4B" w:rsidRPr="0054000A">
        <w:t xml:space="preserve">January 2022, while empagliflozin was listed in April 2022). </w:t>
      </w:r>
    </w:p>
    <w:p w14:paraId="0D86F5C3" w14:textId="77777777" w:rsidR="0054000A" w:rsidRDefault="0054000A" w:rsidP="00E32761">
      <w:pPr>
        <w:jc w:val="both"/>
        <w:rPr>
          <w:rFonts w:cstheme="minorHAnsi"/>
        </w:rPr>
      </w:pPr>
      <w:r>
        <w:rPr>
          <w:rFonts w:cstheme="minorHAnsi"/>
        </w:rPr>
        <w:t>Noting that SGLT2 inhibitors are PBS listed for indications other than heart failure and may be being used for those conditions w</w:t>
      </w:r>
      <w:r w:rsidR="00B51CDA" w:rsidRPr="0054000A">
        <w:rPr>
          <w:rFonts w:cstheme="minorHAnsi"/>
        </w:rPr>
        <w:t>e also determined the p</w:t>
      </w:r>
      <w:r w:rsidR="009D324D" w:rsidRPr="0054000A">
        <w:rPr>
          <w:rFonts w:cstheme="minorHAnsi"/>
        </w:rPr>
        <w:t xml:space="preserve">roportion of people on </w:t>
      </w:r>
      <w:r>
        <w:rPr>
          <w:rFonts w:cstheme="minorHAnsi"/>
        </w:rPr>
        <w:t>PBS restricted HF medicines</w:t>
      </w:r>
      <w:r w:rsidR="009D324D" w:rsidRPr="0054000A">
        <w:rPr>
          <w:rFonts w:cstheme="minorHAnsi"/>
        </w:rPr>
        <w:t xml:space="preserve"> who were dispensed SGLT2i </w:t>
      </w:r>
      <w:r w:rsidR="00BA7A4B" w:rsidRPr="0054000A">
        <w:rPr>
          <w:rFonts w:cstheme="minorHAnsi"/>
        </w:rPr>
        <w:t xml:space="preserve">subsidised and </w:t>
      </w:r>
      <w:r w:rsidR="009D324D" w:rsidRPr="0054000A">
        <w:rPr>
          <w:rFonts w:cstheme="minorHAnsi"/>
        </w:rPr>
        <w:t>not subsidised for heart failure.</w:t>
      </w:r>
      <w:r>
        <w:rPr>
          <w:rFonts w:cstheme="minorHAnsi"/>
        </w:rPr>
        <w:t xml:space="preserve">  </w:t>
      </w:r>
      <w:bookmarkEnd w:id="16"/>
    </w:p>
    <w:p w14:paraId="6CFBBF8B" w14:textId="0D041DA4" w:rsidR="00EF0DDF" w:rsidRPr="002B3106" w:rsidRDefault="0054000A" w:rsidP="00E32761">
      <w:pPr>
        <w:jc w:val="both"/>
      </w:pPr>
      <w:r>
        <w:rPr>
          <w:rFonts w:cstheme="minorHAnsi"/>
        </w:rPr>
        <w:t>The submissions to the PBAC for SGLT2 inhibitors for heart failure included standard of care as the comparator where ACE</w:t>
      </w:r>
      <w:r w:rsidR="003A0616">
        <w:rPr>
          <w:rFonts w:cstheme="minorHAnsi"/>
        </w:rPr>
        <w:t>i</w:t>
      </w:r>
      <w:r>
        <w:rPr>
          <w:rFonts w:cstheme="minorHAnsi"/>
        </w:rPr>
        <w:t>/ARB usage represented the majority of standard of care market, with ARNI use accounting for a smaller proportion of use; between 11% and 20%</w:t>
      </w:r>
      <w:r w:rsidR="00E32761">
        <w:rPr>
          <w:rFonts w:cstheme="minorHAnsi"/>
        </w:rPr>
        <w:t xml:space="preserve"> </w:t>
      </w:r>
      <w:r>
        <w:rPr>
          <w:rFonts w:cstheme="minorHAnsi"/>
        </w:rPr>
        <w:t>[</w:t>
      </w:r>
      <w:r w:rsidR="00937E74">
        <w:rPr>
          <w:rFonts w:cstheme="minorHAnsi"/>
        </w:rPr>
        <w:t>7</w:t>
      </w:r>
      <w:r>
        <w:rPr>
          <w:rFonts w:cstheme="minorHAnsi"/>
        </w:rPr>
        <w:t>]</w:t>
      </w:r>
      <w:r w:rsidR="00E32761">
        <w:rPr>
          <w:rFonts w:cstheme="minorHAnsi"/>
        </w:rPr>
        <w:t>.</w:t>
      </w:r>
      <w:r>
        <w:rPr>
          <w:rFonts w:cstheme="minorHAnsi"/>
        </w:rPr>
        <w:t xml:space="preserve"> For this reason, w</w:t>
      </w:r>
      <w:r w:rsidR="00EF0DDF">
        <w:rPr>
          <w:rFonts w:cstheme="minorHAnsi"/>
          <w:lang w:val="en-US"/>
        </w:rPr>
        <w:t>e</w:t>
      </w:r>
      <w:r w:rsidR="00E32761">
        <w:rPr>
          <w:rFonts w:cstheme="minorHAnsi"/>
          <w:lang w:val="en-US"/>
        </w:rPr>
        <w:t xml:space="preserve"> </w:t>
      </w:r>
      <w:r w:rsidR="00EF0DDF">
        <w:rPr>
          <w:rFonts w:cstheme="minorHAnsi"/>
          <w:lang w:val="en-US"/>
        </w:rPr>
        <w:t>establish</w:t>
      </w:r>
      <w:r w:rsidR="00FD320D">
        <w:rPr>
          <w:rFonts w:cstheme="minorHAnsi"/>
          <w:lang w:val="en-US"/>
        </w:rPr>
        <w:t>ed</w:t>
      </w:r>
      <w:r w:rsidR="00EF0DDF">
        <w:rPr>
          <w:rFonts w:cstheme="minorHAnsi"/>
          <w:lang w:val="en-US"/>
        </w:rPr>
        <w:t xml:space="preserve"> the proportion of people dispensed dapagliflozin or empagliflozin </w:t>
      </w:r>
      <w:proofErr w:type="gramStart"/>
      <w:r w:rsidR="00EF0DDF">
        <w:rPr>
          <w:rFonts w:cstheme="minorHAnsi"/>
          <w:lang w:val="en-US"/>
        </w:rPr>
        <w:t>in a given</w:t>
      </w:r>
      <w:proofErr w:type="gramEnd"/>
      <w:r w:rsidR="00EF0DDF">
        <w:rPr>
          <w:rFonts w:cstheme="minorHAnsi"/>
          <w:lang w:val="en-US"/>
        </w:rPr>
        <w:t xml:space="preserve"> month who were also dispensed </w:t>
      </w:r>
      <w:r w:rsidR="00EF0DDF" w:rsidRPr="002B3106">
        <w:t>sacubitril + valsartan (ARNI)</w:t>
      </w:r>
      <w:r w:rsidR="009D697E">
        <w:t xml:space="preserve"> or an ACE</w:t>
      </w:r>
      <w:r w:rsidR="003A0616">
        <w:t>i</w:t>
      </w:r>
      <w:r w:rsidR="009D697E">
        <w:t>/ARB</w:t>
      </w:r>
      <w:r w:rsidR="00EF0DDF" w:rsidRPr="002B3106">
        <w:t>.</w:t>
      </w:r>
      <w:r w:rsidR="00D43D2E" w:rsidRPr="002B3106">
        <w:t xml:space="preserve">   </w:t>
      </w:r>
    </w:p>
    <w:p w14:paraId="694DEE84" w14:textId="1E966424" w:rsidR="00AA4344" w:rsidRPr="00AA4344" w:rsidRDefault="00AA4344" w:rsidP="00780B97">
      <w:pPr>
        <w:pStyle w:val="Heading2"/>
        <w:spacing w:after="240"/>
      </w:pPr>
      <w:bookmarkStart w:id="17" w:name="_Toc165448393"/>
      <w:r>
        <w:t>R</w:t>
      </w:r>
      <w:r w:rsidR="00CA57D5">
        <w:t>esults</w:t>
      </w:r>
      <w:bookmarkEnd w:id="17"/>
    </w:p>
    <w:p w14:paraId="6DC427C0" w14:textId="66EEA415" w:rsidR="00D6177A" w:rsidRDefault="00D6177A" w:rsidP="00780B97">
      <w:pPr>
        <w:pStyle w:val="Heading2"/>
        <w:spacing w:after="240"/>
        <w:rPr>
          <w:b/>
        </w:rPr>
      </w:pPr>
      <w:bookmarkStart w:id="18" w:name="_Toc165448394"/>
      <w:r>
        <w:t>Utilisation of heart failure medicines in Australia</w:t>
      </w:r>
      <w:bookmarkEnd w:id="18"/>
      <w:r>
        <w:t xml:space="preserve"> </w:t>
      </w:r>
    </w:p>
    <w:p w14:paraId="1935DCE0" w14:textId="2816E8B4" w:rsidR="00662227" w:rsidRPr="00EE6862" w:rsidRDefault="00662227" w:rsidP="00E928FD">
      <w:pPr>
        <w:pStyle w:val="Heading3"/>
      </w:pPr>
      <w:bookmarkStart w:id="19" w:name="_Toc165448395"/>
      <w:r w:rsidRPr="00EE6862">
        <w:t>Prevalence</w:t>
      </w:r>
      <w:bookmarkEnd w:id="19"/>
      <w:r w:rsidRPr="00EE6862">
        <w:t xml:space="preserve"> </w:t>
      </w:r>
    </w:p>
    <w:p w14:paraId="4267350C" w14:textId="67427463" w:rsidR="00860DDB" w:rsidRDefault="00860DDB" w:rsidP="00B51CDA">
      <w:pPr>
        <w:jc w:val="both"/>
      </w:pPr>
      <w:r>
        <w:t xml:space="preserve">The </w:t>
      </w:r>
      <w:r w:rsidR="00E90B05">
        <w:t>annual</w:t>
      </w:r>
      <w:r>
        <w:t xml:space="preserve"> rates per 1</w:t>
      </w:r>
      <w:r w:rsidR="0075369F">
        <w:t>,</w:t>
      </w:r>
      <w:r>
        <w:t>00</w:t>
      </w:r>
      <w:r w:rsidR="0075369F">
        <w:t>0</w:t>
      </w:r>
      <w:r>
        <w:t xml:space="preserve"> </w:t>
      </w:r>
      <w:r w:rsidR="00E90B05">
        <w:t xml:space="preserve">of </w:t>
      </w:r>
      <w:r>
        <w:t>people</w:t>
      </w:r>
      <w:r w:rsidR="00E90B05">
        <w:t xml:space="preserve"> who were supplied</w:t>
      </w:r>
      <w:r>
        <w:t xml:space="preserve"> </w:t>
      </w:r>
      <w:r w:rsidR="006E6CAD" w:rsidRPr="00CF5A6C">
        <w:rPr>
          <w:rFonts w:cs="Arial"/>
          <w:color w:val="000000" w:themeColor="text1"/>
        </w:rPr>
        <w:t xml:space="preserve">PBS restricted HF medicines </w:t>
      </w:r>
      <w:r>
        <w:t xml:space="preserve">(listed in Table 1) increased from 7.9 in 2017 to 12.2 </w:t>
      </w:r>
      <w:r w:rsidR="00FD2DB4">
        <w:t xml:space="preserve">in 2022 </w:t>
      </w:r>
      <w:r>
        <w:t>(Table 3).</w:t>
      </w:r>
    </w:p>
    <w:p w14:paraId="0C6AE5A1" w14:textId="28B9DEE2" w:rsidR="00860DDB" w:rsidRPr="00C207A8" w:rsidRDefault="00860DDB" w:rsidP="00556973">
      <w:pPr>
        <w:spacing w:after="0"/>
        <w:rPr>
          <w:b/>
          <w:bCs/>
        </w:rPr>
      </w:pPr>
      <w:r w:rsidRPr="00860DDB">
        <w:rPr>
          <w:b/>
          <w:bCs/>
        </w:rPr>
        <w:t>Table 3</w:t>
      </w:r>
      <w:r w:rsidRPr="00860DDB">
        <w:t>.</w:t>
      </w:r>
      <w:r w:rsidR="00E90B05">
        <w:t xml:space="preserve"> </w:t>
      </w:r>
      <w:r w:rsidR="00E90B05" w:rsidRPr="00C207A8">
        <w:rPr>
          <w:b/>
          <w:bCs/>
        </w:rPr>
        <w:t>Annual r</w:t>
      </w:r>
      <w:r w:rsidRPr="00C207A8">
        <w:rPr>
          <w:b/>
          <w:bCs/>
        </w:rPr>
        <w:t>ate per 1</w:t>
      </w:r>
      <w:r w:rsidR="0075369F">
        <w:rPr>
          <w:b/>
          <w:bCs/>
        </w:rPr>
        <w:t>,</w:t>
      </w:r>
      <w:r w:rsidRPr="00C207A8">
        <w:rPr>
          <w:b/>
          <w:bCs/>
        </w:rPr>
        <w:t xml:space="preserve">000 </w:t>
      </w:r>
      <w:r w:rsidR="00E90B05" w:rsidRPr="00C207A8">
        <w:rPr>
          <w:b/>
          <w:bCs/>
        </w:rPr>
        <w:t xml:space="preserve">of </w:t>
      </w:r>
      <w:r w:rsidRPr="00C207A8">
        <w:rPr>
          <w:b/>
          <w:bCs/>
        </w:rPr>
        <w:t xml:space="preserve">people </w:t>
      </w:r>
      <w:r w:rsidR="00E90B05" w:rsidRPr="00C207A8">
        <w:rPr>
          <w:b/>
          <w:bCs/>
        </w:rPr>
        <w:t xml:space="preserve">who were </w:t>
      </w:r>
      <w:r w:rsidR="00D13208" w:rsidRPr="00C207A8">
        <w:rPr>
          <w:b/>
          <w:bCs/>
        </w:rPr>
        <w:t xml:space="preserve">supplied </w:t>
      </w:r>
      <w:r w:rsidR="006E6CAD" w:rsidRPr="00C207A8">
        <w:rPr>
          <w:rFonts w:cs="Arial"/>
          <w:b/>
          <w:bCs/>
          <w:color w:val="000000" w:themeColor="text1"/>
        </w:rPr>
        <w:t>PBS restricted HF medicines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37"/>
        <w:gridCol w:w="3686"/>
        <w:gridCol w:w="2551"/>
      </w:tblGrid>
      <w:tr w:rsidR="00860DDB" w:rsidRPr="00860DDB" w14:paraId="0566D60F" w14:textId="77777777" w:rsidTr="00556973">
        <w:trPr>
          <w:trHeight w:val="264"/>
        </w:trPr>
        <w:tc>
          <w:tcPr>
            <w:tcW w:w="960" w:type="dxa"/>
            <w:shd w:val="clear" w:color="auto" w:fill="auto"/>
            <w:noWrap/>
            <w:vAlign w:val="bottom"/>
            <w:hideMark/>
          </w:tcPr>
          <w:p w14:paraId="7BF803E9" w14:textId="77777777" w:rsidR="00860DDB" w:rsidRPr="00860DDB" w:rsidRDefault="00860DDB" w:rsidP="00860DDB">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 Year</w:t>
            </w:r>
          </w:p>
        </w:tc>
        <w:tc>
          <w:tcPr>
            <w:tcW w:w="2437" w:type="dxa"/>
            <w:shd w:val="clear" w:color="auto" w:fill="auto"/>
            <w:noWrap/>
            <w:vAlign w:val="bottom"/>
            <w:hideMark/>
          </w:tcPr>
          <w:p w14:paraId="74BB0B36" w14:textId="36ED6AEB" w:rsidR="00860DDB" w:rsidRPr="00860DDB" w:rsidRDefault="00860DDB" w:rsidP="00860DDB">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Number of people on </w:t>
            </w:r>
            <w:r w:rsidR="00FD2DB4">
              <w:rPr>
                <w:rFonts w:ascii="Arial" w:eastAsia="Times New Roman" w:hAnsi="Arial" w:cs="Arial"/>
                <w:sz w:val="20"/>
                <w:szCs w:val="20"/>
                <w:lang w:eastAsia="en-AU"/>
              </w:rPr>
              <w:t xml:space="preserve">PBS restricted </w:t>
            </w:r>
            <w:r>
              <w:rPr>
                <w:rFonts w:ascii="Arial" w:eastAsia="Times New Roman" w:hAnsi="Arial" w:cs="Arial"/>
                <w:sz w:val="20"/>
                <w:szCs w:val="20"/>
                <w:lang w:eastAsia="en-AU"/>
              </w:rPr>
              <w:t>HF medicines</w:t>
            </w:r>
          </w:p>
        </w:tc>
        <w:tc>
          <w:tcPr>
            <w:tcW w:w="3686" w:type="dxa"/>
            <w:shd w:val="clear" w:color="auto" w:fill="auto"/>
            <w:noWrap/>
            <w:vAlign w:val="bottom"/>
            <w:hideMark/>
          </w:tcPr>
          <w:p w14:paraId="46AA0357" w14:textId="14AE8AE0" w:rsidR="00860DDB" w:rsidRPr="00860DDB" w:rsidRDefault="008F0F6D" w:rsidP="00860DDB">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 xml:space="preserve">Estimated </w:t>
            </w:r>
            <w:proofErr w:type="gramStart"/>
            <w:r w:rsidR="00860DDB" w:rsidRPr="00860DDB">
              <w:rPr>
                <w:rFonts w:ascii="Arial" w:eastAsia="Times New Roman" w:hAnsi="Arial" w:cs="Arial"/>
                <w:sz w:val="20"/>
                <w:szCs w:val="20"/>
                <w:lang w:eastAsia="en-AU"/>
              </w:rPr>
              <w:t>Au</w:t>
            </w:r>
            <w:r w:rsidR="00860DDB">
              <w:rPr>
                <w:rFonts w:ascii="Arial" w:eastAsia="Times New Roman" w:hAnsi="Arial" w:cs="Arial"/>
                <w:sz w:val="20"/>
                <w:szCs w:val="20"/>
                <w:lang w:eastAsia="en-AU"/>
              </w:rPr>
              <w:t xml:space="preserve">stralian </w:t>
            </w:r>
            <w:r w:rsidR="00860DDB" w:rsidRPr="00860DDB">
              <w:rPr>
                <w:rFonts w:ascii="Arial" w:eastAsia="Times New Roman" w:hAnsi="Arial" w:cs="Arial"/>
                <w:sz w:val="20"/>
                <w:szCs w:val="20"/>
                <w:lang w:eastAsia="en-AU"/>
              </w:rPr>
              <w:t xml:space="preserve"> </w:t>
            </w:r>
            <w:r>
              <w:rPr>
                <w:rFonts w:ascii="Arial" w:eastAsia="Times New Roman" w:hAnsi="Arial" w:cs="Arial"/>
                <w:sz w:val="20"/>
                <w:szCs w:val="20"/>
                <w:lang w:eastAsia="en-AU"/>
              </w:rPr>
              <w:t>resident</w:t>
            </w:r>
            <w:proofErr w:type="gramEnd"/>
            <w:r>
              <w:rPr>
                <w:rFonts w:ascii="Arial" w:eastAsia="Times New Roman" w:hAnsi="Arial" w:cs="Arial"/>
                <w:sz w:val="20"/>
                <w:szCs w:val="20"/>
                <w:lang w:eastAsia="en-AU"/>
              </w:rPr>
              <w:t xml:space="preserve"> </w:t>
            </w:r>
            <w:r w:rsidR="00860DDB" w:rsidRPr="00860DDB">
              <w:rPr>
                <w:rFonts w:ascii="Arial" w:eastAsia="Times New Roman" w:hAnsi="Arial" w:cs="Arial"/>
                <w:sz w:val="20"/>
                <w:szCs w:val="20"/>
                <w:lang w:eastAsia="en-AU"/>
              </w:rPr>
              <w:t>pop</w:t>
            </w:r>
            <w:r w:rsidR="00860DDB">
              <w:rPr>
                <w:rFonts w:ascii="Arial" w:eastAsia="Times New Roman" w:hAnsi="Arial" w:cs="Arial"/>
                <w:sz w:val="20"/>
                <w:szCs w:val="20"/>
                <w:lang w:eastAsia="en-AU"/>
              </w:rPr>
              <w:t>ulation at 30 Jun</w:t>
            </w:r>
            <w:r w:rsidR="00D70132">
              <w:rPr>
                <w:rFonts w:ascii="Arial" w:eastAsia="Times New Roman" w:hAnsi="Arial" w:cs="Arial"/>
                <w:sz w:val="20"/>
                <w:szCs w:val="20"/>
                <w:lang w:eastAsia="en-AU"/>
              </w:rPr>
              <w:t>e</w:t>
            </w:r>
            <w:r>
              <w:rPr>
                <w:rFonts w:ascii="Arial" w:eastAsia="Times New Roman" w:hAnsi="Arial" w:cs="Arial"/>
                <w:sz w:val="20"/>
                <w:szCs w:val="20"/>
                <w:lang w:eastAsia="en-AU"/>
              </w:rPr>
              <w:t xml:space="preserve"> as reported by the Australian Bureau of Statistics</w:t>
            </w:r>
          </w:p>
        </w:tc>
        <w:tc>
          <w:tcPr>
            <w:tcW w:w="2551" w:type="dxa"/>
            <w:shd w:val="clear" w:color="auto" w:fill="auto"/>
            <w:noWrap/>
            <w:vAlign w:val="bottom"/>
            <w:hideMark/>
          </w:tcPr>
          <w:p w14:paraId="034EE9AA" w14:textId="22B3E301" w:rsidR="00860DDB" w:rsidRPr="00860DDB" w:rsidRDefault="00D13208" w:rsidP="00860DDB">
            <w:pPr>
              <w:spacing w:after="0" w:line="240" w:lineRule="auto"/>
              <w:rPr>
                <w:rFonts w:ascii="Arial" w:eastAsia="Times New Roman" w:hAnsi="Arial" w:cs="Arial"/>
                <w:sz w:val="20"/>
                <w:szCs w:val="20"/>
                <w:lang w:eastAsia="en-AU"/>
              </w:rPr>
            </w:pPr>
            <w:r>
              <w:rPr>
                <w:rFonts w:ascii="Arial" w:eastAsia="Times New Roman" w:hAnsi="Arial" w:cs="Arial"/>
                <w:sz w:val="20"/>
                <w:szCs w:val="20"/>
                <w:lang w:eastAsia="en-AU"/>
              </w:rPr>
              <w:t>Prevalent r</w:t>
            </w:r>
            <w:r w:rsidR="00860DDB" w:rsidRPr="00860DDB">
              <w:rPr>
                <w:rFonts w:ascii="Arial" w:eastAsia="Times New Roman" w:hAnsi="Arial" w:cs="Arial"/>
                <w:sz w:val="20"/>
                <w:szCs w:val="20"/>
                <w:lang w:eastAsia="en-AU"/>
              </w:rPr>
              <w:t>ate</w:t>
            </w:r>
            <w:r w:rsidR="00860DDB">
              <w:rPr>
                <w:rFonts w:ascii="Arial" w:eastAsia="Times New Roman" w:hAnsi="Arial" w:cs="Arial"/>
                <w:sz w:val="20"/>
                <w:szCs w:val="20"/>
                <w:lang w:eastAsia="en-AU"/>
              </w:rPr>
              <w:t xml:space="preserve"> per 1</w:t>
            </w:r>
            <w:r w:rsidR="0075369F">
              <w:rPr>
                <w:rFonts w:ascii="Arial" w:eastAsia="Times New Roman" w:hAnsi="Arial" w:cs="Arial"/>
                <w:sz w:val="20"/>
                <w:szCs w:val="20"/>
                <w:lang w:eastAsia="en-AU"/>
              </w:rPr>
              <w:t>,</w:t>
            </w:r>
            <w:r w:rsidR="00860DDB">
              <w:rPr>
                <w:rFonts w:ascii="Arial" w:eastAsia="Times New Roman" w:hAnsi="Arial" w:cs="Arial"/>
                <w:sz w:val="20"/>
                <w:szCs w:val="20"/>
                <w:lang w:eastAsia="en-AU"/>
              </w:rPr>
              <w:t>000 people</w:t>
            </w:r>
          </w:p>
        </w:tc>
      </w:tr>
      <w:tr w:rsidR="00860DDB" w:rsidRPr="00860DDB" w14:paraId="67DDF709" w14:textId="77777777" w:rsidTr="00556973">
        <w:trPr>
          <w:trHeight w:val="264"/>
        </w:trPr>
        <w:tc>
          <w:tcPr>
            <w:tcW w:w="960" w:type="dxa"/>
            <w:shd w:val="clear" w:color="auto" w:fill="auto"/>
            <w:noWrap/>
            <w:vAlign w:val="bottom"/>
            <w:hideMark/>
          </w:tcPr>
          <w:p w14:paraId="552EB2E0" w14:textId="77777777" w:rsidR="00860DDB" w:rsidRPr="00860DDB" w:rsidRDefault="00860DDB" w:rsidP="00860DDB">
            <w:pPr>
              <w:spacing w:after="0" w:line="240" w:lineRule="auto"/>
              <w:jc w:val="right"/>
              <w:rPr>
                <w:rFonts w:ascii="Arial" w:eastAsia="Times New Roman" w:hAnsi="Arial" w:cs="Arial"/>
                <w:sz w:val="20"/>
                <w:szCs w:val="20"/>
                <w:lang w:eastAsia="en-AU"/>
              </w:rPr>
            </w:pPr>
            <w:r w:rsidRPr="00860DDB">
              <w:rPr>
                <w:rFonts w:ascii="Arial" w:eastAsia="Times New Roman" w:hAnsi="Arial" w:cs="Arial"/>
                <w:sz w:val="20"/>
                <w:szCs w:val="20"/>
                <w:lang w:eastAsia="en-AU"/>
              </w:rPr>
              <w:t>2017</w:t>
            </w:r>
          </w:p>
        </w:tc>
        <w:tc>
          <w:tcPr>
            <w:tcW w:w="2437" w:type="dxa"/>
            <w:shd w:val="clear" w:color="auto" w:fill="auto"/>
            <w:noWrap/>
            <w:vAlign w:val="bottom"/>
            <w:hideMark/>
          </w:tcPr>
          <w:p w14:paraId="7B911966" w14:textId="40CA9AD1" w:rsidR="00860DDB" w:rsidRPr="00860DDB" w:rsidRDefault="00860DDB" w:rsidP="00556973">
            <w:pPr>
              <w:spacing w:after="0" w:line="240" w:lineRule="auto"/>
              <w:jc w:val="center"/>
              <w:rPr>
                <w:rFonts w:ascii="Arial" w:eastAsia="Times New Roman" w:hAnsi="Arial" w:cs="Arial"/>
                <w:sz w:val="20"/>
                <w:szCs w:val="20"/>
                <w:lang w:eastAsia="en-AU"/>
              </w:rPr>
            </w:pPr>
            <w:r w:rsidRPr="00860DDB">
              <w:rPr>
                <w:rFonts w:ascii="Arial" w:eastAsia="Times New Roman" w:hAnsi="Arial" w:cs="Arial"/>
                <w:sz w:val="20"/>
                <w:szCs w:val="20"/>
                <w:lang w:eastAsia="en-AU"/>
              </w:rPr>
              <w:t>193</w:t>
            </w:r>
            <w:r w:rsidR="00754EC9">
              <w:rPr>
                <w:rFonts w:ascii="Arial" w:eastAsia="Times New Roman" w:hAnsi="Arial" w:cs="Arial"/>
                <w:sz w:val="20"/>
                <w:szCs w:val="20"/>
                <w:lang w:eastAsia="en-AU"/>
              </w:rPr>
              <w:t>,</w:t>
            </w:r>
            <w:r w:rsidRPr="00860DDB">
              <w:rPr>
                <w:rFonts w:ascii="Arial" w:eastAsia="Times New Roman" w:hAnsi="Arial" w:cs="Arial"/>
                <w:sz w:val="20"/>
                <w:szCs w:val="20"/>
                <w:lang w:eastAsia="en-AU"/>
              </w:rPr>
              <w:t>382</w:t>
            </w:r>
          </w:p>
        </w:tc>
        <w:tc>
          <w:tcPr>
            <w:tcW w:w="3686" w:type="dxa"/>
            <w:shd w:val="clear" w:color="auto" w:fill="auto"/>
            <w:noWrap/>
            <w:vAlign w:val="bottom"/>
            <w:hideMark/>
          </w:tcPr>
          <w:p w14:paraId="08884D67" w14:textId="05345102" w:rsidR="00860DDB" w:rsidRPr="00860DDB" w:rsidRDefault="00860DDB" w:rsidP="00556973">
            <w:pPr>
              <w:spacing w:after="0" w:line="240" w:lineRule="auto"/>
              <w:jc w:val="center"/>
              <w:rPr>
                <w:rFonts w:ascii="Arial" w:eastAsia="Times New Roman" w:hAnsi="Arial" w:cs="Arial"/>
                <w:sz w:val="20"/>
                <w:szCs w:val="20"/>
                <w:lang w:eastAsia="en-AU"/>
              </w:rPr>
            </w:pPr>
            <w:r w:rsidRPr="00860DDB">
              <w:rPr>
                <w:rFonts w:ascii="Arial" w:eastAsia="Times New Roman" w:hAnsi="Arial" w:cs="Arial"/>
                <w:sz w:val="20"/>
                <w:szCs w:val="20"/>
                <w:lang w:eastAsia="en-AU"/>
              </w:rPr>
              <w:t>24</w:t>
            </w:r>
            <w:r w:rsidR="00754EC9">
              <w:rPr>
                <w:rFonts w:ascii="Arial" w:eastAsia="Times New Roman" w:hAnsi="Arial" w:cs="Arial"/>
                <w:sz w:val="20"/>
                <w:szCs w:val="20"/>
                <w:lang w:eastAsia="en-AU"/>
              </w:rPr>
              <w:t>,</w:t>
            </w:r>
            <w:r w:rsidRPr="00860DDB">
              <w:rPr>
                <w:rFonts w:ascii="Arial" w:eastAsia="Times New Roman" w:hAnsi="Arial" w:cs="Arial"/>
                <w:sz w:val="20"/>
                <w:szCs w:val="20"/>
                <w:lang w:eastAsia="en-AU"/>
              </w:rPr>
              <w:t>603</w:t>
            </w:r>
            <w:r w:rsidR="00754EC9">
              <w:rPr>
                <w:rFonts w:ascii="Arial" w:eastAsia="Times New Roman" w:hAnsi="Arial" w:cs="Arial"/>
                <w:sz w:val="20"/>
                <w:szCs w:val="20"/>
                <w:lang w:eastAsia="en-AU"/>
              </w:rPr>
              <w:t>,</w:t>
            </w:r>
            <w:r w:rsidRPr="00860DDB">
              <w:rPr>
                <w:rFonts w:ascii="Arial" w:eastAsia="Times New Roman" w:hAnsi="Arial" w:cs="Arial"/>
                <w:sz w:val="20"/>
                <w:szCs w:val="20"/>
                <w:lang w:eastAsia="en-AU"/>
              </w:rPr>
              <w:t>316</w:t>
            </w:r>
          </w:p>
        </w:tc>
        <w:tc>
          <w:tcPr>
            <w:tcW w:w="2551" w:type="dxa"/>
            <w:shd w:val="clear" w:color="auto" w:fill="auto"/>
            <w:noWrap/>
            <w:vAlign w:val="bottom"/>
            <w:hideMark/>
          </w:tcPr>
          <w:p w14:paraId="700E18E5" w14:textId="77777777" w:rsidR="00860DDB" w:rsidRPr="00860DDB" w:rsidRDefault="00860DDB" w:rsidP="00556973">
            <w:pPr>
              <w:spacing w:after="0" w:line="240" w:lineRule="auto"/>
              <w:jc w:val="center"/>
              <w:rPr>
                <w:rFonts w:ascii="Arial" w:eastAsia="Times New Roman" w:hAnsi="Arial" w:cs="Arial"/>
                <w:sz w:val="20"/>
                <w:szCs w:val="20"/>
                <w:lang w:eastAsia="en-AU"/>
              </w:rPr>
            </w:pPr>
            <w:r w:rsidRPr="00860DDB">
              <w:rPr>
                <w:rFonts w:ascii="Arial" w:eastAsia="Times New Roman" w:hAnsi="Arial" w:cs="Arial"/>
                <w:sz w:val="20"/>
                <w:szCs w:val="20"/>
                <w:lang w:eastAsia="en-AU"/>
              </w:rPr>
              <w:t>7.9</w:t>
            </w:r>
          </w:p>
        </w:tc>
      </w:tr>
      <w:tr w:rsidR="00860DDB" w:rsidRPr="00860DDB" w14:paraId="5FDA7A2B" w14:textId="77777777" w:rsidTr="00556973">
        <w:trPr>
          <w:trHeight w:val="264"/>
        </w:trPr>
        <w:tc>
          <w:tcPr>
            <w:tcW w:w="960" w:type="dxa"/>
            <w:shd w:val="clear" w:color="auto" w:fill="auto"/>
            <w:noWrap/>
            <w:vAlign w:val="bottom"/>
            <w:hideMark/>
          </w:tcPr>
          <w:p w14:paraId="495AF933" w14:textId="77777777" w:rsidR="00860DDB" w:rsidRPr="00860DDB" w:rsidRDefault="00860DDB" w:rsidP="00860DDB">
            <w:pPr>
              <w:spacing w:after="0" w:line="240" w:lineRule="auto"/>
              <w:jc w:val="right"/>
              <w:rPr>
                <w:rFonts w:ascii="Arial" w:eastAsia="Times New Roman" w:hAnsi="Arial" w:cs="Arial"/>
                <w:sz w:val="20"/>
                <w:szCs w:val="20"/>
                <w:lang w:eastAsia="en-AU"/>
              </w:rPr>
            </w:pPr>
            <w:r w:rsidRPr="00860DDB">
              <w:rPr>
                <w:rFonts w:ascii="Arial" w:eastAsia="Times New Roman" w:hAnsi="Arial" w:cs="Arial"/>
                <w:sz w:val="20"/>
                <w:szCs w:val="20"/>
                <w:lang w:eastAsia="en-AU"/>
              </w:rPr>
              <w:t>2018</w:t>
            </w:r>
          </w:p>
        </w:tc>
        <w:tc>
          <w:tcPr>
            <w:tcW w:w="2437" w:type="dxa"/>
            <w:shd w:val="clear" w:color="auto" w:fill="auto"/>
            <w:noWrap/>
            <w:vAlign w:val="bottom"/>
            <w:hideMark/>
          </w:tcPr>
          <w:p w14:paraId="4216E6B4" w14:textId="51C79D8B" w:rsidR="00860DDB" w:rsidRPr="00860DDB" w:rsidRDefault="00860DDB" w:rsidP="00556973">
            <w:pPr>
              <w:spacing w:after="0" w:line="240" w:lineRule="auto"/>
              <w:jc w:val="center"/>
              <w:rPr>
                <w:rFonts w:ascii="Arial" w:eastAsia="Times New Roman" w:hAnsi="Arial" w:cs="Arial"/>
                <w:sz w:val="20"/>
                <w:szCs w:val="20"/>
                <w:lang w:eastAsia="en-AU"/>
              </w:rPr>
            </w:pPr>
            <w:r w:rsidRPr="00860DDB">
              <w:rPr>
                <w:rFonts w:ascii="Arial" w:eastAsia="Times New Roman" w:hAnsi="Arial" w:cs="Arial"/>
                <w:sz w:val="20"/>
                <w:szCs w:val="20"/>
                <w:lang w:eastAsia="en-AU"/>
              </w:rPr>
              <w:t>211</w:t>
            </w:r>
            <w:r w:rsidR="00754EC9">
              <w:rPr>
                <w:rFonts w:ascii="Arial" w:eastAsia="Times New Roman" w:hAnsi="Arial" w:cs="Arial"/>
                <w:sz w:val="20"/>
                <w:szCs w:val="20"/>
                <w:lang w:eastAsia="en-AU"/>
              </w:rPr>
              <w:t>,</w:t>
            </w:r>
            <w:r w:rsidRPr="00860DDB">
              <w:rPr>
                <w:rFonts w:ascii="Arial" w:eastAsia="Times New Roman" w:hAnsi="Arial" w:cs="Arial"/>
                <w:sz w:val="20"/>
                <w:szCs w:val="20"/>
                <w:lang w:eastAsia="en-AU"/>
              </w:rPr>
              <w:t>807</w:t>
            </w:r>
          </w:p>
        </w:tc>
        <w:tc>
          <w:tcPr>
            <w:tcW w:w="3686" w:type="dxa"/>
            <w:shd w:val="clear" w:color="auto" w:fill="auto"/>
            <w:noWrap/>
            <w:vAlign w:val="bottom"/>
            <w:hideMark/>
          </w:tcPr>
          <w:p w14:paraId="039D64AE" w14:textId="5745FCBD" w:rsidR="00860DDB" w:rsidRPr="00860DDB" w:rsidRDefault="00860DDB" w:rsidP="00556973">
            <w:pPr>
              <w:spacing w:after="0" w:line="240" w:lineRule="auto"/>
              <w:jc w:val="center"/>
              <w:rPr>
                <w:rFonts w:ascii="Arial" w:eastAsia="Times New Roman" w:hAnsi="Arial" w:cs="Arial"/>
                <w:sz w:val="20"/>
                <w:szCs w:val="20"/>
                <w:lang w:eastAsia="en-AU"/>
              </w:rPr>
            </w:pPr>
            <w:r w:rsidRPr="00860DDB">
              <w:rPr>
                <w:rFonts w:ascii="Arial" w:eastAsia="Times New Roman" w:hAnsi="Arial" w:cs="Arial"/>
                <w:sz w:val="20"/>
                <w:szCs w:val="20"/>
                <w:lang w:eastAsia="en-AU"/>
              </w:rPr>
              <w:t>24</w:t>
            </w:r>
            <w:r w:rsidR="00754EC9">
              <w:rPr>
                <w:rFonts w:ascii="Arial" w:eastAsia="Times New Roman" w:hAnsi="Arial" w:cs="Arial"/>
                <w:sz w:val="20"/>
                <w:szCs w:val="20"/>
                <w:lang w:eastAsia="en-AU"/>
              </w:rPr>
              <w:t>,</w:t>
            </w:r>
            <w:r w:rsidRPr="00860DDB">
              <w:rPr>
                <w:rFonts w:ascii="Arial" w:eastAsia="Times New Roman" w:hAnsi="Arial" w:cs="Arial"/>
                <w:sz w:val="20"/>
                <w:szCs w:val="20"/>
                <w:lang w:eastAsia="en-AU"/>
              </w:rPr>
              <w:t>987</w:t>
            </w:r>
            <w:r w:rsidR="00754EC9">
              <w:rPr>
                <w:rFonts w:ascii="Arial" w:eastAsia="Times New Roman" w:hAnsi="Arial" w:cs="Arial"/>
                <w:sz w:val="20"/>
                <w:szCs w:val="20"/>
                <w:lang w:eastAsia="en-AU"/>
              </w:rPr>
              <w:t>,</w:t>
            </w:r>
            <w:r w:rsidRPr="00860DDB">
              <w:rPr>
                <w:rFonts w:ascii="Arial" w:eastAsia="Times New Roman" w:hAnsi="Arial" w:cs="Arial"/>
                <w:sz w:val="20"/>
                <w:szCs w:val="20"/>
                <w:lang w:eastAsia="en-AU"/>
              </w:rPr>
              <w:t>751</w:t>
            </w:r>
          </w:p>
        </w:tc>
        <w:tc>
          <w:tcPr>
            <w:tcW w:w="2551" w:type="dxa"/>
            <w:shd w:val="clear" w:color="auto" w:fill="auto"/>
            <w:noWrap/>
            <w:vAlign w:val="bottom"/>
            <w:hideMark/>
          </w:tcPr>
          <w:p w14:paraId="482C2028" w14:textId="77777777" w:rsidR="00860DDB" w:rsidRPr="00860DDB" w:rsidRDefault="00860DDB" w:rsidP="00556973">
            <w:pPr>
              <w:spacing w:after="0" w:line="240" w:lineRule="auto"/>
              <w:jc w:val="center"/>
              <w:rPr>
                <w:rFonts w:ascii="Arial" w:eastAsia="Times New Roman" w:hAnsi="Arial" w:cs="Arial"/>
                <w:sz w:val="20"/>
                <w:szCs w:val="20"/>
                <w:lang w:eastAsia="en-AU"/>
              </w:rPr>
            </w:pPr>
            <w:r w:rsidRPr="00860DDB">
              <w:rPr>
                <w:rFonts w:ascii="Arial" w:eastAsia="Times New Roman" w:hAnsi="Arial" w:cs="Arial"/>
                <w:sz w:val="20"/>
                <w:szCs w:val="20"/>
                <w:lang w:eastAsia="en-AU"/>
              </w:rPr>
              <w:t>8.5</w:t>
            </w:r>
          </w:p>
        </w:tc>
      </w:tr>
      <w:tr w:rsidR="00860DDB" w:rsidRPr="00860DDB" w14:paraId="442B6EB5" w14:textId="77777777" w:rsidTr="00556973">
        <w:trPr>
          <w:trHeight w:val="264"/>
        </w:trPr>
        <w:tc>
          <w:tcPr>
            <w:tcW w:w="960" w:type="dxa"/>
            <w:shd w:val="clear" w:color="auto" w:fill="auto"/>
            <w:noWrap/>
            <w:vAlign w:val="bottom"/>
            <w:hideMark/>
          </w:tcPr>
          <w:p w14:paraId="5B8DA314" w14:textId="77777777" w:rsidR="00860DDB" w:rsidRPr="00860DDB" w:rsidRDefault="00860DDB" w:rsidP="00860DDB">
            <w:pPr>
              <w:spacing w:after="0" w:line="240" w:lineRule="auto"/>
              <w:jc w:val="right"/>
              <w:rPr>
                <w:rFonts w:ascii="Arial" w:eastAsia="Times New Roman" w:hAnsi="Arial" w:cs="Arial"/>
                <w:sz w:val="20"/>
                <w:szCs w:val="20"/>
                <w:lang w:eastAsia="en-AU"/>
              </w:rPr>
            </w:pPr>
            <w:r w:rsidRPr="00860DDB">
              <w:rPr>
                <w:rFonts w:ascii="Arial" w:eastAsia="Times New Roman" w:hAnsi="Arial" w:cs="Arial"/>
                <w:sz w:val="20"/>
                <w:szCs w:val="20"/>
                <w:lang w:eastAsia="en-AU"/>
              </w:rPr>
              <w:t>2019</w:t>
            </w:r>
          </w:p>
        </w:tc>
        <w:tc>
          <w:tcPr>
            <w:tcW w:w="2437" w:type="dxa"/>
            <w:shd w:val="clear" w:color="auto" w:fill="auto"/>
            <w:noWrap/>
            <w:vAlign w:val="bottom"/>
            <w:hideMark/>
          </w:tcPr>
          <w:p w14:paraId="63B61FD6" w14:textId="08AF7344" w:rsidR="00860DDB" w:rsidRPr="00860DDB" w:rsidRDefault="00860DDB" w:rsidP="00556973">
            <w:pPr>
              <w:spacing w:after="0" w:line="240" w:lineRule="auto"/>
              <w:jc w:val="center"/>
              <w:rPr>
                <w:rFonts w:ascii="Arial" w:eastAsia="Times New Roman" w:hAnsi="Arial" w:cs="Arial"/>
                <w:sz w:val="20"/>
                <w:szCs w:val="20"/>
                <w:lang w:eastAsia="en-AU"/>
              </w:rPr>
            </w:pPr>
            <w:r w:rsidRPr="00860DDB">
              <w:rPr>
                <w:rFonts w:ascii="Arial" w:eastAsia="Times New Roman" w:hAnsi="Arial" w:cs="Arial"/>
                <w:sz w:val="20"/>
                <w:szCs w:val="20"/>
                <w:lang w:eastAsia="en-AU"/>
              </w:rPr>
              <w:t>232</w:t>
            </w:r>
            <w:r w:rsidR="00754EC9">
              <w:rPr>
                <w:rFonts w:ascii="Arial" w:eastAsia="Times New Roman" w:hAnsi="Arial" w:cs="Arial"/>
                <w:sz w:val="20"/>
                <w:szCs w:val="20"/>
                <w:lang w:eastAsia="en-AU"/>
              </w:rPr>
              <w:t>,</w:t>
            </w:r>
            <w:r w:rsidRPr="00860DDB">
              <w:rPr>
                <w:rFonts w:ascii="Arial" w:eastAsia="Times New Roman" w:hAnsi="Arial" w:cs="Arial"/>
                <w:sz w:val="20"/>
                <w:szCs w:val="20"/>
                <w:lang w:eastAsia="en-AU"/>
              </w:rPr>
              <w:t>743</w:t>
            </w:r>
          </w:p>
        </w:tc>
        <w:tc>
          <w:tcPr>
            <w:tcW w:w="3686" w:type="dxa"/>
            <w:shd w:val="clear" w:color="auto" w:fill="auto"/>
            <w:noWrap/>
            <w:vAlign w:val="bottom"/>
            <w:hideMark/>
          </w:tcPr>
          <w:p w14:paraId="5CF05252" w14:textId="6B946444" w:rsidR="00860DDB" w:rsidRPr="00860DDB" w:rsidRDefault="00860DDB" w:rsidP="00556973">
            <w:pPr>
              <w:spacing w:after="0" w:line="240" w:lineRule="auto"/>
              <w:jc w:val="center"/>
              <w:rPr>
                <w:rFonts w:ascii="Arial" w:eastAsia="Times New Roman" w:hAnsi="Arial" w:cs="Arial"/>
                <w:sz w:val="20"/>
                <w:szCs w:val="20"/>
                <w:lang w:eastAsia="en-AU"/>
              </w:rPr>
            </w:pPr>
            <w:r w:rsidRPr="00860DDB">
              <w:rPr>
                <w:rFonts w:ascii="Arial" w:eastAsia="Times New Roman" w:hAnsi="Arial" w:cs="Arial"/>
                <w:sz w:val="20"/>
                <w:szCs w:val="20"/>
                <w:lang w:eastAsia="en-AU"/>
              </w:rPr>
              <w:t>25</w:t>
            </w:r>
            <w:r w:rsidR="00754EC9">
              <w:rPr>
                <w:rFonts w:ascii="Arial" w:eastAsia="Times New Roman" w:hAnsi="Arial" w:cs="Arial"/>
                <w:sz w:val="20"/>
                <w:szCs w:val="20"/>
                <w:lang w:eastAsia="en-AU"/>
              </w:rPr>
              <w:t>,</w:t>
            </w:r>
            <w:r w:rsidRPr="00860DDB">
              <w:rPr>
                <w:rFonts w:ascii="Arial" w:eastAsia="Times New Roman" w:hAnsi="Arial" w:cs="Arial"/>
                <w:sz w:val="20"/>
                <w:szCs w:val="20"/>
                <w:lang w:eastAsia="en-AU"/>
              </w:rPr>
              <w:t>359</w:t>
            </w:r>
            <w:r w:rsidR="00754EC9">
              <w:rPr>
                <w:rFonts w:ascii="Arial" w:eastAsia="Times New Roman" w:hAnsi="Arial" w:cs="Arial"/>
                <w:sz w:val="20"/>
                <w:szCs w:val="20"/>
                <w:lang w:eastAsia="en-AU"/>
              </w:rPr>
              <w:t>,</w:t>
            </w:r>
            <w:r w:rsidRPr="00860DDB">
              <w:rPr>
                <w:rFonts w:ascii="Arial" w:eastAsia="Times New Roman" w:hAnsi="Arial" w:cs="Arial"/>
                <w:sz w:val="20"/>
                <w:szCs w:val="20"/>
                <w:lang w:eastAsia="en-AU"/>
              </w:rPr>
              <w:t>662</w:t>
            </w:r>
          </w:p>
        </w:tc>
        <w:tc>
          <w:tcPr>
            <w:tcW w:w="2551" w:type="dxa"/>
            <w:shd w:val="clear" w:color="auto" w:fill="auto"/>
            <w:noWrap/>
            <w:vAlign w:val="bottom"/>
            <w:hideMark/>
          </w:tcPr>
          <w:p w14:paraId="0A92FE1E" w14:textId="77777777" w:rsidR="00860DDB" w:rsidRPr="00860DDB" w:rsidRDefault="00860DDB" w:rsidP="00556973">
            <w:pPr>
              <w:spacing w:after="0" w:line="240" w:lineRule="auto"/>
              <w:jc w:val="center"/>
              <w:rPr>
                <w:rFonts w:ascii="Arial" w:eastAsia="Times New Roman" w:hAnsi="Arial" w:cs="Arial"/>
                <w:sz w:val="20"/>
                <w:szCs w:val="20"/>
                <w:lang w:eastAsia="en-AU"/>
              </w:rPr>
            </w:pPr>
            <w:r w:rsidRPr="00860DDB">
              <w:rPr>
                <w:rFonts w:ascii="Arial" w:eastAsia="Times New Roman" w:hAnsi="Arial" w:cs="Arial"/>
                <w:sz w:val="20"/>
                <w:szCs w:val="20"/>
                <w:lang w:eastAsia="en-AU"/>
              </w:rPr>
              <w:t>9.2</w:t>
            </w:r>
          </w:p>
        </w:tc>
      </w:tr>
      <w:tr w:rsidR="00860DDB" w:rsidRPr="00860DDB" w14:paraId="1BB92EF4" w14:textId="77777777" w:rsidTr="00556973">
        <w:trPr>
          <w:trHeight w:val="264"/>
        </w:trPr>
        <w:tc>
          <w:tcPr>
            <w:tcW w:w="960" w:type="dxa"/>
            <w:shd w:val="clear" w:color="auto" w:fill="auto"/>
            <w:noWrap/>
            <w:vAlign w:val="bottom"/>
            <w:hideMark/>
          </w:tcPr>
          <w:p w14:paraId="5142FD3B" w14:textId="77777777" w:rsidR="00860DDB" w:rsidRPr="00860DDB" w:rsidRDefault="00860DDB" w:rsidP="00860DDB">
            <w:pPr>
              <w:spacing w:after="0" w:line="240" w:lineRule="auto"/>
              <w:jc w:val="right"/>
              <w:rPr>
                <w:rFonts w:ascii="Arial" w:eastAsia="Times New Roman" w:hAnsi="Arial" w:cs="Arial"/>
                <w:sz w:val="20"/>
                <w:szCs w:val="20"/>
                <w:lang w:eastAsia="en-AU"/>
              </w:rPr>
            </w:pPr>
            <w:r w:rsidRPr="00860DDB">
              <w:rPr>
                <w:rFonts w:ascii="Arial" w:eastAsia="Times New Roman" w:hAnsi="Arial" w:cs="Arial"/>
                <w:sz w:val="20"/>
                <w:szCs w:val="20"/>
                <w:lang w:eastAsia="en-AU"/>
              </w:rPr>
              <w:t>2020</w:t>
            </w:r>
          </w:p>
        </w:tc>
        <w:tc>
          <w:tcPr>
            <w:tcW w:w="2437" w:type="dxa"/>
            <w:shd w:val="clear" w:color="auto" w:fill="auto"/>
            <w:noWrap/>
            <w:vAlign w:val="bottom"/>
            <w:hideMark/>
          </w:tcPr>
          <w:p w14:paraId="11F9945B" w14:textId="0802ACBB" w:rsidR="00860DDB" w:rsidRPr="00860DDB" w:rsidRDefault="00860DDB" w:rsidP="00556973">
            <w:pPr>
              <w:spacing w:after="0" w:line="240" w:lineRule="auto"/>
              <w:jc w:val="center"/>
              <w:rPr>
                <w:rFonts w:ascii="Arial" w:eastAsia="Times New Roman" w:hAnsi="Arial" w:cs="Arial"/>
                <w:sz w:val="20"/>
                <w:szCs w:val="20"/>
                <w:lang w:eastAsia="en-AU"/>
              </w:rPr>
            </w:pPr>
            <w:r w:rsidRPr="00860DDB">
              <w:rPr>
                <w:rFonts w:ascii="Arial" w:eastAsia="Times New Roman" w:hAnsi="Arial" w:cs="Arial"/>
                <w:sz w:val="20"/>
                <w:szCs w:val="20"/>
                <w:lang w:eastAsia="en-AU"/>
              </w:rPr>
              <w:t>257</w:t>
            </w:r>
            <w:r w:rsidR="00754EC9">
              <w:rPr>
                <w:rFonts w:ascii="Arial" w:eastAsia="Times New Roman" w:hAnsi="Arial" w:cs="Arial"/>
                <w:sz w:val="20"/>
                <w:szCs w:val="20"/>
                <w:lang w:eastAsia="en-AU"/>
              </w:rPr>
              <w:t>,</w:t>
            </w:r>
            <w:r w:rsidRPr="00860DDB">
              <w:rPr>
                <w:rFonts w:ascii="Arial" w:eastAsia="Times New Roman" w:hAnsi="Arial" w:cs="Arial"/>
                <w:sz w:val="20"/>
                <w:szCs w:val="20"/>
                <w:lang w:eastAsia="en-AU"/>
              </w:rPr>
              <w:t>234</w:t>
            </w:r>
          </w:p>
        </w:tc>
        <w:tc>
          <w:tcPr>
            <w:tcW w:w="3686" w:type="dxa"/>
            <w:shd w:val="clear" w:color="auto" w:fill="auto"/>
            <w:noWrap/>
            <w:vAlign w:val="bottom"/>
            <w:hideMark/>
          </w:tcPr>
          <w:p w14:paraId="2EBD2B52" w14:textId="494D5988" w:rsidR="00860DDB" w:rsidRPr="00860DDB" w:rsidRDefault="00860DDB" w:rsidP="00556973">
            <w:pPr>
              <w:spacing w:after="0" w:line="240" w:lineRule="auto"/>
              <w:jc w:val="center"/>
              <w:rPr>
                <w:rFonts w:ascii="Arial" w:eastAsia="Times New Roman" w:hAnsi="Arial" w:cs="Arial"/>
                <w:sz w:val="20"/>
                <w:szCs w:val="20"/>
                <w:lang w:eastAsia="en-AU"/>
              </w:rPr>
            </w:pPr>
            <w:r w:rsidRPr="00860DDB">
              <w:rPr>
                <w:rFonts w:ascii="Arial" w:eastAsia="Times New Roman" w:hAnsi="Arial" w:cs="Arial"/>
                <w:sz w:val="20"/>
                <w:szCs w:val="20"/>
                <w:lang w:eastAsia="en-AU"/>
              </w:rPr>
              <w:t>25</w:t>
            </w:r>
            <w:r w:rsidR="00754EC9">
              <w:rPr>
                <w:rFonts w:ascii="Arial" w:eastAsia="Times New Roman" w:hAnsi="Arial" w:cs="Arial"/>
                <w:sz w:val="20"/>
                <w:szCs w:val="20"/>
                <w:lang w:eastAsia="en-AU"/>
              </w:rPr>
              <w:t>,</w:t>
            </w:r>
            <w:r w:rsidRPr="00860DDB">
              <w:rPr>
                <w:rFonts w:ascii="Arial" w:eastAsia="Times New Roman" w:hAnsi="Arial" w:cs="Arial"/>
                <w:sz w:val="20"/>
                <w:szCs w:val="20"/>
                <w:lang w:eastAsia="en-AU"/>
              </w:rPr>
              <w:t>692</w:t>
            </w:r>
            <w:r w:rsidR="00754EC9">
              <w:rPr>
                <w:rFonts w:ascii="Arial" w:eastAsia="Times New Roman" w:hAnsi="Arial" w:cs="Arial"/>
                <w:sz w:val="20"/>
                <w:szCs w:val="20"/>
                <w:lang w:eastAsia="en-AU"/>
              </w:rPr>
              <w:t>,</w:t>
            </w:r>
            <w:r w:rsidRPr="00860DDB">
              <w:rPr>
                <w:rFonts w:ascii="Arial" w:eastAsia="Times New Roman" w:hAnsi="Arial" w:cs="Arial"/>
                <w:sz w:val="20"/>
                <w:szCs w:val="20"/>
                <w:lang w:eastAsia="en-AU"/>
              </w:rPr>
              <w:t>600</w:t>
            </w:r>
          </w:p>
        </w:tc>
        <w:tc>
          <w:tcPr>
            <w:tcW w:w="2551" w:type="dxa"/>
            <w:shd w:val="clear" w:color="auto" w:fill="auto"/>
            <w:noWrap/>
            <w:vAlign w:val="bottom"/>
            <w:hideMark/>
          </w:tcPr>
          <w:p w14:paraId="2A33AE79" w14:textId="77777777" w:rsidR="00860DDB" w:rsidRPr="00860DDB" w:rsidRDefault="00860DDB" w:rsidP="00556973">
            <w:pPr>
              <w:spacing w:after="0" w:line="240" w:lineRule="auto"/>
              <w:jc w:val="center"/>
              <w:rPr>
                <w:rFonts w:ascii="Arial" w:eastAsia="Times New Roman" w:hAnsi="Arial" w:cs="Arial"/>
                <w:sz w:val="20"/>
                <w:szCs w:val="20"/>
                <w:lang w:eastAsia="en-AU"/>
              </w:rPr>
            </w:pPr>
            <w:r w:rsidRPr="00860DDB">
              <w:rPr>
                <w:rFonts w:ascii="Arial" w:eastAsia="Times New Roman" w:hAnsi="Arial" w:cs="Arial"/>
                <w:sz w:val="20"/>
                <w:szCs w:val="20"/>
                <w:lang w:eastAsia="en-AU"/>
              </w:rPr>
              <w:t>10</w:t>
            </w:r>
          </w:p>
        </w:tc>
      </w:tr>
      <w:tr w:rsidR="00860DDB" w:rsidRPr="00860DDB" w14:paraId="6DDAF06B" w14:textId="77777777" w:rsidTr="00556973">
        <w:trPr>
          <w:trHeight w:val="264"/>
        </w:trPr>
        <w:tc>
          <w:tcPr>
            <w:tcW w:w="960" w:type="dxa"/>
            <w:shd w:val="clear" w:color="auto" w:fill="auto"/>
            <w:noWrap/>
            <w:vAlign w:val="bottom"/>
            <w:hideMark/>
          </w:tcPr>
          <w:p w14:paraId="2A4AF5B2" w14:textId="77777777" w:rsidR="00860DDB" w:rsidRPr="00860DDB" w:rsidRDefault="00860DDB" w:rsidP="00860DDB">
            <w:pPr>
              <w:spacing w:after="0" w:line="240" w:lineRule="auto"/>
              <w:jc w:val="right"/>
              <w:rPr>
                <w:rFonts w:ascii="Arial" w:eastAsia="Times New Roman" w:hAnsi="Arial" w:cs="Arial"/>
                <w:sz w:val="20"/>
                <w:szCs w:val="20"/>
                <w:lang w:eastAsia="en-AU"/>
              </w:rPr>
            </w:pPr>
            <w:r w:rsidRPr="00860DDB">
              <w:rPr>
                <w:rFonts w:ascii="Arial" w:eastAsia="Times New Roman" w:hAnsi="Arial" w:cs="Arial"/>
                <w:sz w:val="20"/>
                <w:szCs w:val="20"/>
                <w:lang w:eastAsia="en-AU"/>
              </w:rPr>
              <w:t>2021</w:t>
            </w:r>
          </w:p>
        </w:tc>
        <w:tc>
          <w:tcPr>
            <w:tcW w:w="2437" w:type="dxa"/>
            <w:shd w:val="clear" w:color="auto" w:fill="auto"/>
            <w:noWrap/>
            <w:vAlign w:val="bottom"/>
            <w:hideMark/>
          </w:tcPr>
          <w:p w14:paraId="18C08A34" w14:textId="29B2A16B" w:rsidR="00860DDB" w:rsidRPr="00860DDB" w:rsidRDefault="00860DDB" w:rsidP="00556973">
            <w:pPr>
              <w:spacing w:after="0" w:line="240" w:lineRule="auto"/>
              <w:jc w:val="center"/>
              <w:rPr>
                <w:rFonts w:ascii="Arial" w:eastAsia="Times New Roman" w:hAnsi="Arial" w:cs="Arial"/>
                <w:sz w:val="20"/>
                <w:szCs w:val="20"/>
                <w:lang w:eastAsia="en-AU"/>
              </w:rPr>
            </w:pPr>
            <w:r w:rsidRPr="00860DDB">
              <w:rPr>
                <w:rFonts w:ascii="Arial" w:eastAsia="Times New Roman" w:hAnsi="Arial" w:cs="Arial"/>
                <w:sz w:val="20"/>
                <w:szCs w:val="20"/>
                <w:lang w:eastAsia="en-AU"/>
              </w:rPr>
              <w:t>281</w:t>
            </w:r>
            <w:r w:rsidR="00754EC9">
              <w:rPr>
                <w:rFonts w:ascii="Arial" w:eastAsia="Times New Roman" w:hAnsi="Arial" w:cs="Arial"/>
                <w:sz w:val="20"/>
                <w:szCs w:val="20"/>
                <w:lang w:eastAsia="en-AU"/>
              </w:rPr>
              <w:t>,</w:t>
            </w:r>
            <w:r w:rsidRPr="00860DDB">
              <w:rPr>
                <w:rFonts w:ascii="Arial" w:eastAsia="Times New Roman" w:hAnsi="Arial" w:cs="Arial"/>
                <w:sz w:val="20"/>
                <w:szCs w:val="20"/>
                <w:lang w:eastAsia="en-AU"/>
              </w:rPr>
              <w:t>982</w:t>
            </w:r>
          </w:p>
        </w:tc>
        <w:tc>
          <w:tcPr>
            <w:tcW w:w="3686" w:type="dxa"/>
            <w:shd w:val="clear" w:color="auto" w:fill="auto"/>
            <w:noWrap/>
            <w:vAlign w:val="bottom"/>
            <w:hideMark/>
          </w:tcPr>
          <w:p w14:paraId="2D82ACE1" w14:textId="221B5D02" w:rsidR="00860DDB" w:rsidRPr="00860DDB" w:rsidRDefault="00860DDB" w:rsidP="00556973">
            <w:pPr>
              <w:spacing w:after="0" w:line="240" w:lineRule="auto"/>
              <w:jc w:val="center"/>
              <w:rPr>
                <w:rFonts w:ascii="Arial" w:eastAsia="Times New Roman" w:hAnsi="Arial" w:cs="Arial"/>
                <w:sz w:val="20"/>
                <w:szCs w:val="20"/>
                <w:lang w:eastAsia="en-AU"/>
              </w:rPr>
            </w:pPr>
            <w:r w:rsidRPr="00860DDB">
              <w:rPr>
                <w:rFonts w:ascii="Arial" w:eastAsia="Times New Roman" w:hAnsi="Arial" w:cs="Arial"/>
                <w:sz w:val="20"/>
                <w:szCs w:val="20"/>
                <w:lang w:eastAsia="en-AU"/>
              </w:rPr>
              <w:t>25</w:t>
            </w:r>
            <w:r w:rsidR="00754EC9">
              <w:rPr>
                <w:rFonts w:ascii="Arial" w:eastAsia="Times New Roman" w:hAnsi="Arial" w:cs="Arial"/>
                <w:sz w:val="20"/>
                <w:szCs w:val="20"/>
                <w:lang w:eastAsia="en-AU"/>
              </w:rPr>
              <w:t>,</w:t>
            </w:r>
            <w:r w:rsidRPr="00860DDB">
              <w:rPr>
                <w:rFonts w:ascii="Arial" w:eastAsia="Times New Roman" w:hAnsi="Arial" w:cs="Arial"/>
                <w:sz w:val="20"/>
                <w:szCs w:val="20"/>
                <w:lang w:eastAsia="en-AU"/>
              </w:rPr>
              <w:t>739</w:t>
            </w:r>
            <w:r w:rsidR="00754EC9">
              <w:rPr>
                <w:rFonts w:ascii="Arial" w:eastAsia="Times New Roman" w:hAnsi="Arial" w:cs="Arial"/>
                <w:sz w:val="20"/>
                <w:szCs w:val="20"/>
                <w:lang w:eastAsia="en-AU"/>
              </w:rPr>
              <w:t>,</w:t>
            </w:r>
            <w:r w:rsidRPr="00860DDB">
              <w:rPr>
                <w:rFonts w:ascii="Arial" w:eastAsia="Times New Roman" w:hAnsi="Arial" w:cs="Arial"/>
                <w:sz w:val="20"/>
                <w:szCs w:val="20"/>
                <w:lang w:eastAsia="en-AU"/>
              </w:rPr>
              <w:t>256</w:t>
            </w:r>
          </w:p>
        </w:tc>
        <w:tc>
          <w:tcPr>
            <w:tcW w:w="2551" w:type="dxa"/>
            <w:shd w:val="clear" w:color="auto" w:fill="auto"/>
            <w:noWrap/>
            <w:vAlign w:val="bottom"/>
            <w:hideMark/>
          </w:tcPr>
          <w:p w14:paraId="092F123A" w14:textId="77777777" w:rsidR="00860DDB" w:rsidRPr="00860DDB" w:rsidRDefault="00860DDB" w:rsidP="00556973">
            <w:pPr>
              <w:spacing w:after="0" w:line="240" w:lineRule="auto"/>
              <w:jc w:val="center"/>
              <w:rPr>
                <w:rFonts w:ascii="Arial" w:eastAsia="Times New Roman" w:hAnsi="Arial" w:cs="Arial"/>
                <w:sz w:val="20"/>
                <w:szCs w:val="20"/>
                <w:lang w:eastAsia="en-AU"/>
              </w:rPr>
            </w:pPr>
            <w:r w:rsidRPr="00860DDB">
              <w:rPr>
                <w:rFonts w:ascii="Arial" w:eastAsia="Times New Roman" w:hAnsi="Arial" w:cs="Arial"/>
                <w:sz w:val="20"/>
                <w:szCs w:val="20"/>
                <w:lang w:eastAsia="en-AU"/>
              </w:rPr>
              <w:t>11</w:t>
            </w:r>
          </w:p>
        </w:tc>
      </w:tr>
      <w:tr w:rsidR="00860DDB" w:rsidRPr="00860DDB" w14:paraId="201CEDC7" w14:textId="77777777" w:rsidTr="00556973">
        <w:trPr>
          <w:trHeight w:val="264"/>
        </w:trPr>
        <w:tc>
          <w:tcPr>
            <w:tcW w:w="960" w:type="dxa"/>
            <w:shd w:val="clear" w:color="auto" w:fill="auto"/>
            <w:noWrap/>
            <w:vAlign w:val="bottom"/>
            <w:hideMark/>
          </w:tcPr>
          <w:p w14:paraId="03461F4D" w14:textId="77777777" w:rsidR="00860DDB" w:rsidRPr="00860DDB" w:rsidRDefault="00860DDB" w:rsidP="00860DDB">
            <w:pPr>
              <w:spacing w:after="0" w:line="240" w:lineRule="auto"/>
              <w:jc w:val="right"/>
              <w:rPr>
                <w:rFonts w:ascii="Arial" w:eastAsia="Times New Roman" w:hAnsi="Arial" w:cs="Arial"/>
                <w:sz w:val="20"/>
                <w:szCs w:val="20"/>
                <w:lang w:eastAsia="en-AU"/>
              </w:rPr>
            </w:pPr>
            <w:r w:rsidRPr="00860DDB">
              <w:rPr>
                <w:rFonts w:ascii="Arial" w:eastAsia="Times New Roman" w:hAnsi="Arial" w:cs="Arial"/>
                <w:sz w:val="20"/>
                <w:szCs w:val="20"/>
                <w:lang w:eastAsia="en-AU"/>
              </w:rPr>
              <w:t>2022</w:t>
            </w:r>
          </w:p>
        </w:tc>
        <w:tc>
          <w:tcPr>
            <w:tcW w:w="2437" w:type="dxa"/>
            <w:shd w:val="clear" w:color="auto" w:fill="auto"/>
            <w:noWrap/>
            <w:vAlign w:val="bottom"/>
            <w:hideMark/>
          </w:tcPr>
          <w:p w14:paraId="342B8C23" w14:textId="6B87834E" w:rsidR="00860DDB" w:rsidRPr="00860DDB" w:rsidRDefault="00860DDB" w:rsidP="00556973">
            <w:pPr>
              <w:spacing w:after="0" w:line="240" w:lineRule="auto"/>
              <w:jc w:val="center"/>
              <w:rPr>
                <w:rFonts w:ascii="Arial" w:eastAsia="Times New Roman" w:hAnsi="Arial" w:cs="Arial"/>
                <w:sz w:val="20"/>
                <w:szCs w:val="20"/>
                <w:lang w:eastAsia="en-AU"/>
              </w:rPr>
            </w:pPr>
            <w:r w:rsidRPr="00860DDB">
              <w:rPr>
                <w:rFonts w:ascii="Arial" w:eastAsia="Times New Roman" w:hAnsi="Arial" w:cs="Arial"/>
                <w:sz w:val="20"/>
                <w:szCs w:val="20"/>
                <w:lang w:eastAsia="en-AU"/>
              </w:rPr>
              <w:t>318</w:t>
            </w:r>
            <w:r w:rsidR="00754EC9">
              <w:rPr>
                <w:rFonts w:ascii="Arial" w:eastAsia="Times New Roman" w:hAnsi="Arial" w:cs="Arial"/>
                <w:sz w:val="20"/>
                <w:szCs w:val="20"/>
                <w:lang w:eastAsia="en-AU"/>
              </w:rPr>
              <w:t>,</w:t>
            </w:r>
            <w:r w:rsidRPr="00860DDB">
              <w:rPr>
                <w:rFonts w:ascii="Arial" w:eastAsia="Times New Roman" w:hAnsi="Arial" w:cs="Arial"/>
                <w:sz w:val="20"/>
                <w:szCs w:val="20"/>
                <w:lang w:eastAsia="en-AU"/>
              </w:rPr>
              <w:t>028</w:t>
            </w:r>
          </w:p>
        </w:tc>
        <w:tc>
          <w:tcPr>
            <w:tcW w:w="3686" w:type="dxa"/>
            <w:shd w:val="clear" w:color="auto" w:fill="auto"/>
            <w:noWrap/>
            <w:vAlign w:val="bottom"/>
            <w:hideMark/>
          </w:tcPr>
          <w:p w14:paraId="05ABF948" w14:textId="261E6B0B" w:rsidR="00860DDB" w:rsidRPr="00860DDB" w:rsidRDefault="00860DDB" w:rsidP="00556973">
            <w:pPr>
              <w:spacing w:after="0" w:line="240" w:lineRule="auto"/>
              <w:jc w:val="center"/>
              <w:rPr>
                <w:rFonts w:ascii="Arial" w:eastAsia="Times New Roman" w:hAnsi="Arial" w:cs="Arial"/>
                <w:sz w:val="20"/>
                <w:szCs w:val="20"/>
                <w:lang w:eastAsia="en-AU"/>
              </w:rPr>
            </w:pPr>
            <w:r w:rsidRPr="00860DDB">
              <w:rPr>
                <w:rFonts w:ascii="Arial" w:eastAsia="Times New Roman" w:hAnsi="Arial" w:cs="Arial"/>
                <w:sz w:val="20"/>
                <w:szCs w:val="20"/>
                <w:lang w:eastAsia="en-AU"/>
              </w:rPr>
              <w:t>25</w:t>
            </w:r>
            <w:r w:rsidR="00754EC9">
              <w:rPr>
                <w:rFonts w:ascii="Arial" w:eastAsia="Times New Roman" w:hAnsi="Arial" w:cs="Arial"/>
                <w:sz w:val="20"/>
                <w:szCs w:val="20"/>
                <w:lang w:eastAsia="en-AU"/>
              </w:rPr>
              <w:t>,</w:t>
            </w:r>
            <w:r w:rsidRPr="00860DDB">
              <w:rPr>
                <w:rFonts w:ascii="Arial" w:eastAsia="Times New Roman" w:hAnsi="Arial" w:cs="Arial"/>
                <w:sz w:val="20"/>
                <w:szCs w:val="20"/>
                <w:lang w:eastAsia="en-AU"/>
              </w:rPr>
              <w:t>996</w:t>
            </w:r>
            <w:r w:rsidR="00754EC9">
              <w:rPr>
                <w:rFonts w:ascii="Arial" w:eastAsia="Times New Roman" w:hAnsi="Arial" w:cs="Arial"/>
                <w:sz w:val="20"/>
                <w:szCs w:val="20"/>
                <w:lang w:eastAsia="en-AU"/>
              </w:rPr>
              <w:t>,</w:t>
            </w:r>
            <w:r w:rsidRPr="00860DDB">
              <w:rPr>
                <w:rFonts w:ascii="Arial" w:eastAsia="Times New Roman" w:hAnsi="Arial" w:cs="Arial"/>
                <w:sz w:val="20"/>
                <w:szCs w:val="20"/>
                <w:lang w:eastAsia="en-AU"/>
              </w:rPr>
              <w:t>144</w:t>
            </w:r>
          </w:p>
        </w:tc>
        <w:tc>
          <w:tcPr>
            <w:tcW w:w="2551" w:type="dxa"/>
            <w:shd w:val="clear" w:color="auto" w:fill="auto"/>
            <w:noWrap/>
            <w:vAlign w:val="bottom"/>
            <w:hideMark/>
          </w:tcPr>
          <w:p w14:paraId="3186EC1D" w14:textId="77777777" w:rsidR="00860DDB" w:rsidRPr="00860DDB" w:rsidRDefault="00860DDB" w:rsidP="00556973">
            <w:pPr>
              <w:spacing w:after="0" w:line="240" w:lineRule="auto"/>
              <w:jc w:val="center"/>
              <w:rPr>
                <w:rFonts w:ascii="Arial" w:eastAsia="Times New Roman" w:hAnsi="Arial" w:cs="Arial"/>
                <w:sz w:val="20"/>
                <w:szCs w:val="20"/>
                <w:lang w:eastAsia="en-AU"/>
              </w:rPr>
            </w:pPr>
            <w:r w:rsidRPr="00860DDB">
              <w:rPr>
                <w:rFonts w:ascii="Arial" w:eastAsia="Times New Roman" w:hAnsi="Arial" w:cs="Arial"/>
                <w:sz w:val="20"/>
                <w:szCs w:val="20"/>
                <w:lang w:eastAsia="en-AU"/>
              </w:rPr>
              <w:t>12.2</w:t>
            </w:r>
          </w:p>
        </w:tc>
      </w:tr>
    </w:tbl>
    <w:p w14:paraId="24175023" w14:textId="6DA6B9D3" w:rsidR="00575377" w:rsidRDefault="00993E7B">
      <w:r>
        <w:t xml:space="preserve">Note: Year 2023 is not presented as only data to </w:t>
      </w:r>
      <w:r w:rsidR="007A59FE">
        <w:t xml:space="preserve">30 </w:t>
      </w:r>
      <w:r>
        <w:t>Jun</w:t>
      </w:r>
      <w:r w:rsidR="007A59FE">
        <w:t xml:space="preserve"> 2023</w:t>
      </w:r>
      <w:r>
        <w:t xml:space="preserve"> was available</w:t>
      </w:r>
      <w:r w:rsidR="00575377">
        <w:br w:type="page"/>
      </w:r>
    </w:p>
    <w:p w14:paraId="2FF54720" w14:textId="5F4FE1C2" w:rsidR="00B25E15" w:rsidRDefault="00B25E15" w:rsidP="00B25E15">
      <w:r>
        <w:t>There were 14</w:t>
      </w:r>
      <w:r w:rsidR="004C58B8">
        <w:t>8</w:t>
      </w:r>
      <w:r>
        <w:t>,</w:t>
      </w:r>
      <w:r w:rsidR="004C58B8">
        <w:t>946</w:t>
      </w:r>
      <w:r>
        <w:t xml:space="preserve"> prescriptions for medicines restricted for HF (listed in Table 1) in J</w:t>
      </w:r>
      <w:r w:rsidR="004C58B8">
        <w:t>une</w:t>
      </w:r>
      <w:r>
        <w:t xml:space="preserve"> 2017 increasing to 327,391 in Jun</w:t>
      </w:r>
      <w:r w:rsidR="004C58B8">
        <w:t>e</w:t>
      </w:r>
      <w:r>
        <w:t xml:space="preserve"> 2023 (Figure 1). </w:t>
      </w:r>
      <w:r w:rsidR="00556973">
        <w:t>The graph shows increasing seasonality effect over time with peaks in December and troughs in January associated with the safety net effect resulting in additional dispensings during the period where people can fill dispensings under the safety net.</w:t>
      </w:r>
    </w:p>
    <w:p w14:paraId="6FB661DA" w14:textId="77777777" w:rsidR="00017F20" w:rsidRDefault="00D53A44" w:rsidP="0079747D">
      <w:pPr>
        <w:spacing w:after="0"/>
      </w:pPr>
      <w:r>
        <w:rPr>
          <w:noProof/>
          <w:lang w:eastAsia="en-AU"/>
        </w:rPr>
        <w:drawing>
          <wp:inline distT="0" distB="0" distL="0" distR="0" wp14:anchorId="634B35BE" wp14:editId="5C4A8E77">
            <wp:extent cx="4994275" cy="3155950"/>
            <wp:effectExtent l="0" t="0" r="15875" b="6350"/>
            <wp:docPr id="1" name="Chart 1" descr="Graph showing increasing number of prescriptions supplied over time for PBS restricted heart failure medicines">
              <a:extLst xmlns:a="http://schemas.openxmlformats.org/drawingml/2006/main">
                <a:ext uri="{FF2B5EF4-FFF2-40B4-BE49-F238E27FC236}">
                  <a16:creationId xmlns:a16="http://schemas.microsoft.com/office/drawing/2014/main" id="{FD5BC8E4-CB78-2AD3-8F99-0007F294B7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D4D01F" w14:textId="0838E163" w:rsidR="00D53A44" w:rsidRDefault="00D53A44" w:rsidP="00017F20">
      <w:r w:rsidRPr="00662227">
        <w:rPr>
          <w:b/>
          <w:bCs/>
        </w:rPr>
        <w:t>Figure 1</w:t>
      </w:r>
      <w:r>
        <w:t xml:space="preserve">. </w:t>
      </w:r>
      <w:r w:rsidRPr="00C207A8">
        <w:rPr>
          <w:b/>
          <w:bCs/>
        </w:rPr>
        <w:t xml:space="preserve">Number of prescriptions supplied </w:t>
      </w:r>
      <w:r w:rsidR="006E6CAD" w:rsidRPr="00C207A8">
        <w:rPr>
          <w:b/>
          <w:bCs/>
        </w:rPr>
        <w:t xml:space="preserve">for </w:t>
      </w:r>
      <w:r w:rsidR="006E6CAD" w:rsidRPr="00C207A8">
        <w:rPr>
          <w:rFonts w:cs="Arial"/>
          <w:b/>
          <w:bCs/>
          <w:color w:val="000000" w:themeColor="text1"/>
        </w:rPr>
        <w:t>PBS restricted HF medicines</w:t>
      </w:r>
      <w:r w:rsidR="00E90B05" w:rsidRPr="00C207A8">
        <w:rPr>
          <w:b/>
          <w:bCs/>
        </w:rPr>
        <w:t xml:space="preserve"> by month</w:t>
      </w:r>
    </w:p>
    <w:p w14:paraId="79410CB3" w14:textId="13ADD4A1" w:rsidR="00B25E15" w:rsidRPr="00D10E69" w:rsidRDefault="00B25E15" w:rsidP="00745FEF">
      <w:pPr>
        <w:jc w:val="both"/>
        <w:rPr>
          <w:strike/>
        </w:rPr>
      </w:pPr>
      <w:r>
        <w:t xml:space="preserve">The monthly number of people who received </w:t>
      </w:r>
      <w:r w:rsidR="00C207A8" w:rsidRPr="00CF5A6C">
        <w:rPr>
          <w:rFonts w:cs="Arial"/>
          <w:color w:val="000000" w:themeColor="text1"/>
        </w:rPr>
        <w:t>PBS restricted HF medicines</w:t>
      </w:r>
      <w:r w:rsidR="00C207A8">
        <w:t xml:space="preserve"> </w:t>
      </w:r>
      <w:r>
        <w:t>in J</w:t>
      </w:r>
      <w:r w:rsidR="003B20E2">
        <w:t>une</w:t>
      </w:r>
      <w:r>
        <w:t xml:space="preserve"> 2017 was 1</w:t>
      </w:r>
      <w:r w:rsidR="003B20E2">
        <w:t>22</w:t>
      </w:r>
      <w:r>
        <w:t>,</w:t>
      </w:r>
      <w:r w:rsidR="003B20E2">
        <w:t>727</w:t>
      </w:r>
      <w:r>
        <w:t xml:space="preserve"> increasing to 228,190 in Jun</w:t>
      </w:r>
      <w:r w:rsidR="00823C29">
        <w:t>e</w:t>
      </w:r>
      <w:r>
        <w:t xml:space="preserve"> 2023 (Figure 2).</w:t>
      </w:r>
      <w:r w:rsidR="006E6CAD">
        <w:t xml:space="preserve"> </w:t>
      </w:r>
      <w:r w:rsidR="00D10E69">
        <w:t>In June</w:t>
      </w:r>
      <w:r w:rsidR="006E6CAD">
        <w:t xml:space="preserve"> 20</w:t>
      </w:r>
      <w:r w:rsidR="00D10E69">
        <w:t>22,</w:t>
      </w:r>
      <w:r w:rsidR="006E6CAD">
        <w:t xml:space="preserve"> </w:t>
      </w:r>
      <w:r w:rsidR="00D10E69">
        <w:t xml:space="preserve">the </w:t>
      </w:r>
      <w:r w:rsidR="006E6CAD">
        <w:t xml:space="preserve">monthly prevalence </w:t>
      </w:r>
      <w:r w:rsidR="00D10E69">
        <w:t xml:space="preserve">was 199,100 which </w:t>
      </w:r>
      <w:r w:rsidR="006E6CAD">
        <w:t xml:space="preserve">is </w:t>
      </w:r>
      <w:r w:rsidR="00D10E69">
        <w:t>slightly higher than</w:t>
      </w:r>
      <w:r w:rsidR="006E6CAD">
        <w:t xml:space="preserve"> the self-reported heart failure numbers of 1</w:t>
      </w:r>
      <w:r w:rsidR="00D10E69">
        <w:t>43</w:t>
      </w:r>
      <w:r w:rsidR="006E6CAD">
        <w:t>,</w:t>
      </w:r>
      <w:r w:rsidR="00D10E69">
        <w:t>7</w:t>
      </w:r>
      <w:r w:rsidR="006E6CAD">
        <w:t>00 from the 20</w:t>
      </w:r>
      <w:r w:rsidR="00D10E69">
        <w:t>22</w:t>
      </w:r>
      <w:r w:rsidR="006E6CAD">
        <w:t xml:space="preserve"> National Health Survey</w:t>
      </w:r>
      <w:r w:rsidR="003B20E2">
        <w:t xml:space="preserve"> </w:t>
      </w:r>
      <w:r w:rsidR="00DE793F">
        <w:t>[</w:t>
      </w:r>
      <w:r w:rsidR="00937E74">
        <w:t>6</w:t>
      </w:r>
      <w:r w:rsidR="00DE793F">
        <w:t xml:space="preserve">] </w:t>
      </w:r>
      <w:r w:rsidR="001C745B">
        <w:t xml:space="preserve"> </w:t>
      </w:r>
    </w:p>
    <w:p w14:paraId="4F912E41" w14:textId="77777777" w:rsidR="00D53A44" w:rsidRDefault="00D235EE" w:rsidP="0079747D">
      <w:pPr>
        <w:spacing w:after="0"/>
      </w:pPr>
      <w:r>
        <w:rPr>
          <w:noProof/>
          <w:lang w:eastAsia="en-AU"/>
        </w:rPr>
        <w:drawing>
          <wp:inline distT="0" distB="0" distL="0" distR="0" wp14:anchorId="279D9C81" wp14:editId="681D8647">
            <wp:extent cx="5098648" cy="2743200"/>
            <wp:effectExtent l="0" t="0" r="6985" b="0"/>
            <wp:docPr id="6" name="Chart 6" descr="Graph showing increasing number of people being supplied heart failure specific medicines over time">
              <a:extLst xmlns:a="http://schemas.openxmlformats.org/drawingml/2006/main">
                <a:ext uri="{FF2B5EF4-FFF2-40B4-BE49-F238E27FC236}">
                  <a16:creationId xmlns:a16="http://schemas.microsoft.com/office/drawing/2014/main" id="{C0E37D89-3D25-40C4-C962-D931AAC24B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FA85DF1" w14:textId="29F5DC01" w:rsidR="00D53A44" w:rsidRPr="00C207A8" w:rsidRDefault="00D53A44" w:rsidP="00017F20">
      <w:pPr>
        <w:rPr>
          <w:b/>
          <w:bCs/>
        </w:rPr>
      </w:pPr>
      <w:r w:rsidRPr="00662227">
        <w:rPr>
          <w:b/>
          <w:bCs/>
        </w:rPr>
        <w:t>Figure 2</w:t>
      </w:r>
      <w:r>
        <w:t xml:space="preserve">. </w:t>
      </w:r>
      <w:r w:rsidRPr="00C207A8">
        <w:rPr>
          <w:b/>
          <w:bCs/>
        </w:rPr>
        <w:t xml:space="preserve">Number of people supplied </w:t>
      </w:r>
      <w:r w:rsidR="00C207A8" w:rsidRPr="00C207A8">
        <w:rPr>
          <w:rFonts w:cs="Arial"/>
          <w:b/>
          <w:bCs/>
          <w:color w:val="000000" w:themeColor="text1"/>
        </w:rPr>
        <w:t>PBS restricted HF medicines</w:t>
      </w:r>
      <w:r w:rsidR="00C207A8" w:rsidRPr="00C207A8">
        <w:rPr>
          <w:b/>
          <w:bCs/>
        </w:rPr>
        <w:t xml:space="preserve"> </w:t>
      </w:r>
      <w:r w:rsidR="00E90B05" w:rsidRPr="00C207A8">
        <w:rPr>
          <w:b/>
          <w:bCs/>
        </w:rPr>
        <w:t>by month</w:t>
      </w:r>
    </w:p>
    <w:p w14:paraId="1E639CBF" w14:textId="77777777" w:rsidR="00780B97" w:rsidRDefault="00780B97">
      <w:r>
        <w:br w:type="page"/>
      </w:r>
    </w:p>
    <w:p w14:paraId="343700E6" w14:textId="2C4CEE6D" w:rsidR="00B25E15" w:rsidRPr="00D53A44" w:rsidRDefault="00783FC0" w:rsidP="00823C29">
      <w:pPr>
        <w:jc w:val="both"/>
      </w:pPr>
      <w:r>
        <w:t xml:space="preserve">When the analysis only included </w:t>
      </w:r>
      <w:r w:rsidR="006E6CAD" w:rsidRPr="00CF5A6C">
        <w:rPr>
          <w:rFonts w:cs="Arial"/>
          <w:color w:val="000000" w:themeColor="text1"/>
        </w:rPr>
        <w:t>PBS restricted HF medicines</w:t>
      </w:r>
      <w:r>
        <w:t xml:space="preserve">, heart specific </w:t>
      </w:r>
      <w:r w:rsidR="00823C29">
        <w:t>b</w:t>
      </w:r>
      <w:r w:rsidR="00B25E15">
        <w:t xml:space="preserve">eta blockers were the </w:t>
      </w:r>
      <w:proofErr w:type="gramStart"/>
      <w:r w:rsidR="00B25E15">
        <w:t>most commonly supplied</w:t>
      </w:r>
      <w:proofErr w:type="gramEnd"/>
      <w:r w:rsidR="00B25E15">
        <w:t xml:space="preserve"> class of </w:t>
      </w:r>
      <w:r w:rsidR="00C207A8" w:rsidRPr="00CF5A6C">
        <w:rPr>
          <w:rFonts w:cs="Arial"/>
          <w:color w:val="000000" w:themeColor="text1"/>
        </w:rPr>
        <w:t>PBS restricted HF medicines</w:t>
      </w:r>
      <w:r w:rsidR="00B25E15">
        <w:t xml:space="preserve">, followed by </w:t>
      </w:r>
      <w:r w:rsidR="009374CB">
        <w:t xml:space="preserve">an </w:t>
      </w:r>
      <w:r w:rsidR="00B25E15">
        <w:t>ARNI (sacubitril + valsartan)</w:t>
      </w:r>
      <w:r w:rsidR="00C207A8">
        <w:t>,</w:t>
      </w:r>
      <w:r w:rsidR="00B25E15">
        <w:t xml:space="preserve"> Figure 3. </w:t>
      </w:r>
      <w:r w:rsidR="00B25E15" w:rsidRPr="009A4994">
        <w:t xml:space="preserve">Two SGLT2 inhibitors (dapagliflozin and empagliflozin) were </w:t>
      </w:r>
      <w:r w:rsidR="00CF5BD2" w:rsidRPr="009A4994">
        <w:t xml:space="preserve">listed on the PBS </w:t>
      </w:r>
      <w:r w:rsidR="00B25E15" w:rsidRPr="009A4994">
        <w:t>for</w:t>
      </w:r>
      <w:r w:rsidR="00CF5BD2" w:rsidRPr="009A4994">
        <w:t xml:space="preserve"> use in</w:t>
      </w:r>
      <w:r w:rsidR="00B25E15" w:rsidRPr="009A4994">
        <w:t xml:space="preserve"> HF in 2022</w:t>
      </w:r>
      <w:r w:rsidR="00CF5BD2">
        <w:t xml:space="preserve"> (January and April, respectively)</w:t>
      </w:r>
      <w:r w:rsidR="00B25E15">
        <w:t xml:space="preserve">, while </w:t>
      </w:r>
      <w:r w:rsidR="009E6C9E">
        <w:t xml:space="preserve">a </w:t>
      </w:r>
      <w:r w:rsidR="00823C29">
        <w:t xml:space="preserve">sGC stimulator </w:t>
      </w:r>
      <w:r w:rsidR="00B25E15">
        <w:t>(vericiguat) was listed for HF in Dec</w:t>
      </w:r>
      <w:r w:rsidR="00C207A8">
        <w:t>ember</w:t>
      </w:r>
      <w:r w:rsidR="00B25E15">
        <w:t xml:space="preserve"> 2022.</w:t>
      </w:r>
    </w:p>
    <w:p w14:paraId="3D2A4B7A" w14:textId="425E8BBF" w:rsidR="00D235EE" w:rsidRDefault="00D235EE" w:rsidP="00017F20"/>
    <w:p w14:paraId="7BCFA0E0" w14:textId="6338614B" w:rsidR="0038008D" w:rsidRDefault="0038008D" w:rsidP="0079747D">
      <w:pPr>
        <w:spacing w:after="0"/>
      </w:pPr>
      <w:r>
        <w:rPr>
          <w:noProof/>
          <w:lang w:eastAsia="en-AU"/>
        </w:rPr>
        <w:drawing>
          <wp:inline distT="0" distB="0" distL="0" distR="0" wp14:anchorId="04F95D4E" wp14:editId="4C896470">
            <wp:extent cx="5724525" cy="4686300"/>
            <wp:effectExtent l="0" t="0" r="9525" b="0"/>
            <wp:docPr id="25" name="Chart 25" descr="Graph showing that heart specific beta blocker medicines were significantly the most commonly supplied medicines. Sacubitril with valsartan was the second most supplied, but significantly less than beta blockers.">
              <a:extLst xmlns:a="http://schemas.openxmlformats.org/drawingml/2006/main">
                <a:ext uri="{FF2B5EF4-FFF2-40B4-BE49-F238E27FC236}">
                  <a16:creationId xmlns:a16="http://schemas.microsoft.com/office/drawing/2014/main" id="{0E531710-578E-4605-B425-87B288CBE8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A9E4B95" w14:textId="44F17B2F" w:rsidR="00D235EE" w:rsidRPr="00C207A8" w:rsidRDefault="00D235EE" w:rsidP="008B0243">
      <w:pPr>
        <w:spacing w:after="0" w:line="240" w:lineRule="auto"/>
        <w:rPr>
          <w:b/>
          <w:bCs/>
        </w:rPr>
      </w:pPr>
      <w:r w:rsidRPr="00C207A8">
        <w:rPr>
          <w:b/>
          <w:bCs/>
        </w:rPr>
        <w:t xml:space="preserve">Figure 3. </w:t>
      </w:r>
      <w:r w:rsidR="00DD474A" w:rsidRPr="00C207A8">
        <w:rPr>
          <w:b/>
          <w:bCs/>
        </w:rPr>
        <w:t>Number of people supplied</w:t>
      </w:r>
      <w:r w:rsidRPr="00C207A8">
        <w:rPr>
          <w:b/>
          <w:bCs/>
        </w:rPr>
        <w:t xml:space="preserve"> </w:t>
      </w:r>
      <w:r w:rsidR="00C207A8" w:rsidRPr="00C207A8">
        <w:rPr>
          <w:rFonts w:cs="Arial"/>
          <w:b/>
          <w:bCs/>
          <w:color w:val="000000" w:themeColor="text1"/>
        </w:rPr>
        <w:t>PBS restricted HF medicines</w:t>
      </w:r>
      <w:r w:rsidR="00C207A8" w:rsidRPr="00C207A8">
        <w:rPr>
          <w:b/>
          <w:bCs/>
        </w:rPr>
        <w:t xml:space="preserve"> </w:t>
      </w:r>
      <w:r w:rsidRPr="00C207A8">
        <w:rPr>
          <w:b/>
          <w:bCs/>
        </w:rPr>
        <w:t xml:space="preserve">by </w:t>
      </w:r>
      <w:r w:rsidR="00E90B05" w:rsidRPr="00C207A8">
        <w:rPr>
          <w:b/>
          <w:bCs/>
        </w:rPr>
        <w:t xml:space="preserve">month and </w:t>
      </w:r>
      <w:r w:rsidRPr="00C207A8">
        <w:rPr>
          <w:b/>
          <w:bCs/>
        </w:rPr>
        <w:t>class.</w:t>
      </w:r>
    </w:p>
    <w:p w14:paraId="45C658D0" w14:textId="77777777" w:rsidR="00D235EE" w:rsidRPr="008B0243" w:rsidRDefault="00D235EE" w:rsidP="008B0243">
      <w:pPr>
        <w:spacing w:after="0" w:line="240" w:lineRule="auto"/>
        <w:rPr>
          <w:rFonts w:cstheme="minorHAnsi"/>
          <w:i/>
          <w:iCs/>
          <w:sz w:val="18"/>
          <w:szCs w:val="18"/>
        </w:rPr>
      </w:pPr>
      <w:r w:rsidRPr="008B0243">
        <w:rPr>
          <w:rFonts w:cstheme="minorHAnsi"/>
          <w:i/>
          <w:iCs/>
          <w:sz w:val="18"/>
          <w:szCs w:val="18"/>
        </w:rPr>
        <w:t xml:space="preserve">Legend: </w:t>
      </w:r>
    </w:p>
    <w:p w14:paraId="6549FA8D" w14:textId="77777777" w:rsidR="00F338C0" w:rsidRPr="008B0243" w:rsidRDefault="00F338C0" w:rsidP="00D235EE">
      <w:pPr>
        <w:spacing w:after="0"/>
        <w:rPr>
          <w:rFonts w:cstheme="minorHAnsi"/>
          <w:i/>
          <w:iCs/>
          <w:sz w:val="18"/>
          <w:szCs w:val="18"/>
        </w:rPr>
      </w:pPr>
      <w:r w:rsidRPr="008B0243">
        <w:rPr>
          <w:rFonts w:cstheme="minorHAnsi"/>
          <w:i/>
          <w:iCs/>
          <w:sz w:val="18"/>
          <w:szCs w:val="18"/>
        </w:rPr>
        <w:t>BB – Beta-blockers</w:t>
      </w:r>
    </w:p>
    <w:p w14:paraId="621DEF01" w14:textId="77777777" w:rsidR="00D235EE" w:rsidRPr="008B0243" w:rsidRDefault="00D235EE" w:rsidP="00D235EE">
      <w:pPr>
        <w:spacing w:after="0"/>
        <w:rPr>
          <w:rFonts w:cstheme="minorHAnsi"/>
          <w:i/>
          <w:iCs/>
          <w:sz w:val="18"/>
          <w:szCs w:val="18"/>
        </w:rPr>
      </w:pPr>
      <w:r w:rsidRPr="008B0243">
        <w:rPr>
          <w:rFonts w:cstheme="minorHAnsi"/>
          <w:i/>
          <w:iCs/>
          <w:sz w:val="18"/>
          <w:szCs w:val="18"/>
        </w:rPr>
        <w:t xml:space="preserve">MRA - Mineralocorticoid </w:t>
      </w:r>
      <w:r w:rsidR="005030A4">
        <w:rPr>
          <w:rFonts w:cstheme="minorHAnsi"/>
          <w:i/>
          <w:iCs/>
          <w:sz w:val="18"/>
          <w:szCs w:val="18"/>
        </w:rPr>
        <w:t>R</w:t>
      </w:r>
      <w:r w:rsidRPr="008B0243">
        <w:rPr>
          <w:rFonts w:cstheme="minorHAnsi"/>
          <w:i/>
          <w:iCs/>
          <w:sz w:val="18"/>
          <w:szCs w:val="18"/>
        </w:rPr>
        <w:t xml:space="preserve">eceptor </w:t>
      </w:r>
      <w:r w:rsidR="005030A4">
        <w:rPr>
          <w:rFonts w:cstheme="minorHAnsi"/>
          <w:i/>
          <w:iCs/>
          <w:sz w:val="18"/>
          <w:szCs w:val="18"/>
        </w:rPr>
        <w:t>A</w:t>
      </w:r>
      <w:r w:rsidRPr="008B0243">
        <w:rPr>
          <w:rFonts w:cstheme="minorHAnsi"/>
          <w:i/>
          <w:iCs/>
          <w:sz w:val="18"/>
          <w:szCs w:val="18"/>
        </w:rPr>
        <w:t>ntagonist</w:t>
      </w:r>
    </w:p>
    <w:p w14:paraId="3166D5E7" w14:textId="77777777" w:rsidR="00D235EE" w:rsidRPr="008B0243" w:rsidRDefault="00D235EE" w:rsidP="00D235EE">
      <w:pPr>
        <w:spacing w:after="0"/>
        <w:rPr>
          <w:rFonts w:cstheme="minorHAnsi"/>
          <w:i/>
          <w:iCs/>
          <w:sz w:val="18"/>
          <w:szCs w:val="18"/>
        </w:rPr>
      </w:pPr>
      <w:r w:rsidRPr="008B0243">
        <w:rPr>
          <w:rFonts w:cstheme="minorHAnsi"/>
          <w:i/>
          <w:iCs/>
          <w:sz w:val="18"/>
          <w:szCs w:val="18"/>
        </w:rPr>
        <w:t>SGLT2 – Sodium-glucose co-transporter 2 inhibitors</w:t>
      </w:r>
    </w:p>
    <w:p w14:paraId="5128BEE8" w14:textId="77777777" w:rsidR="00D235EE" w:rsidRPr="008B0243" w:rsidRDefault="00D235EE" w:rsidP="00D235EE">
      <w:pPr>
        <w:spacing w:after="0"/>
        <w:rPr>
          <w:rFonts w:cstheme="minorHAnsi"/>
          <w:i/>
          <w:iCs/>
          <w:sz w:val="18"/>
          <w:szCs w:val="18"/>
        </w:rPr>
      </w:pPr>
      <w:r w:rsidRPr="008B0243">
        <w:rPr>
          <w:rFonts w:cstheme="minorHAnsi"/>
          <w:i/>
          <w:iCs/>
          <w:sz w:val="18"/>
          <w:szCs w:val="18"/>
        </w:rPr>
        <w:t xml:space="preserve">ARNI – </w:t>
      </w:r>
      <w:r w:rsidR="005030A4">
        <w:rPr>
          <w:rFonts w:cstheme="minorHAnsi"/>
          <w:i/>
          <w:iCs/>
          <w:sz w:val="18"/>
          <w:szCs w:val="18"/>
        </w:rPr>
        <w:t>A</w:t>
      </w:r>
      <w:r w:rsidRPr="008B0243">
        <w:rPr>
          <w:rFonts w:cstheme="minorHAnsi"/>
          <w:i/>
          <w:iCs/>
          <w:sz w:val="18"/>
          <w:szCs w:val="18"/>
        </w:rPr>
        <w:t xml:space="preserve">ngiotensin </w:t>
      </w:r>
      <w:r w:rsidR="005030A4">
        <w:rPr>
          <w:rFonts w:cstheme="minorHAnsi"/>
          <w:i/>
          <w:iCs/>
          <w:sz w:val="18"/>
          <w:szCs w:val="18"/>
        </w:rPr>
        <w:t>R</w:t>
      </w:r>
      <w:r w:rsidRPr="008B0243">
        <w:rPr>
          <w:rFonts w:cstheme="minorHAnsi"/>
          <w:i/>
          <w:iCs/>
          <w:sz w:val="18"/>
          <w:szCs w:val="18"/>
        </w:rPr>
        <w:t xml:space="preserve">eceptor </w:t>
      </w:r>
      <w:r w:rsidR="005030A4">
        <w:rPr>
          <w:rFonts w:cstheme="minorHAnsi"/>
          <w:i/>
          <w:iCs/>
          <w:sz w:val="18"/>
          <w:szCs w:val="18"/>
        </w:rPr>
        <w:t>N</w:t>
      </w:r>
      <w:r w:rsidRPr="008B0243">
        <w:rPr>
          <w:rFonts w:cstheme="minorHAnsi"/>
          <w:i/>
          <w:iCs/>
          <w:sz w:val="18"/>
          <w:szCs w:val="18"/>
        </w:rPr>
        <w:t xml:space="preserve">eprilysin </w:t>
      </w:r>
      <w:r w:rsidR="005030A4">
        <w:rPr>
          <w:rFonts w:cstheme="minorHAnsi"/>
          <w:i/>
          <w:iCs/>
          <w:sz w:val="18"/>
          <w:szCs w:val="18"/>
        </w:rPr>
        <w:t>I</w:t>
      </w:r>
      <w:r w:rsidRPr="008B0243">
        <w:rPr>
          <w:rFonts w:cstheme="minorHAnsi"/>
          <w:i/>
          <w:iCs/>
          <w:sz w:val="18"/>
          <w:szCs w:val="18"/>
        </w:rPr>
        <w:t xml:space="preserve">nhibitor </w:t>
      </w:r>
    </w:p>
    <w:p w14:paraId="2330A8C5" w14:textId="77777777" w:rsidR="00D235EE" w:rsidRPr="008B0243" w:rsidRDefault="00D235EE" w:rsidP="00D235EE">
      <w:pPr>
        <w:spacing w:after="0"/>
        <w:rPr>
          <w:rFonts w:cstheme="minorHAnsi"/>
          <w:i/>
          <w:iCs/>
          <w:color w:val="4D5156"/>
          <w:sz w:val="18"/>
          <w:szCs w:val="18"/>
          <w:shd w:val="clear" w:color="auto" w:fill="FFFFFF"/>
        </w:rPr>
      </w:pPr>
      <w:r w:rsidRPr="008B0243">
        <w:rPr>
          <w:rFonts w:cstheme="minorHAnsi"/>
          <w:i/>
          <w:iCs/>
          <w:sz w:val="18"/>
          <w:szCs w:val="18"/>
        </w:rPr>
        <w:t>HCN</w:t>
      </w:r>
      <w:r w:rsidRPr="008B0243">
        <w:rPr>
          <w:rFonts w:cstheme="minorHAnsi"/>
          <w:i/>
          <w:iCs/>
          <w:color w:val="4D5156"/>
          <w:sz w:val="18"/>
          <w:szCs w:val="18"/>
          <w:shd w:val="clear" w:color="auto" w:fill="FFFFFF"/>
        </w:rPr>
        <w:t xml:space="preserve"> - </w:t>
      </w:r>
      <w:r w:rsidRPr="008B0243">
        <w:rPr>
          <w:rFonts w:cstheme="minorHAnsi"/>
          <w:i/>
          <w:iCs/>
          <w:sz w:val="18"/>
          <w:szCs w:val="18"/>
          <w:shd w:val="clear" w:color="auto" w:fill="FFFFFF"/>
        </w:rPr>
        <w:t>Hyperpolarization-activated Cyclic Nucleotide-gated</w:t>
      </w:r>
    </w:p>
    <w:p w14:paraId="1CC742EB" w14:textId="5C79E0C6" w:rsidR="00D235EE" w:rsidRDefault="00F60C68" w:rsidP="00D235EE">
      <w:pPr>
        <w:spacing w:after="0"/>
        <w:rPr>
          <w:rFonts w:cstheme="minorHAnsi"/>
          <w:i/>
          <w:iCs/>
          <w:sz w:val="18"/>
          <w:szCs w:val="18"/>
        </w:rPr>
      </w:pPr>
      <w:r>
        <w:rPr>
          <w:rFonts w:cstheme="minorHAnsi"/>
          <w:i/>
          <w:iCs/>
          <w:sz w:val="18"/>
          <w:szCs w:val="18"/>
        </w:rPr>
        <w:t>s</w:t>
      </w:r>
      <w:r w:rsidR="00D235EE" w:rsidRPr="008B0243">
        <w:rPr>
          <w:rFonts w:cstheme="minorHAnsi"/>
          <w:i/>
          <w:iCs/>
          <w:sz w:val="18"/>
          <w:szCs w:val="18"/>
        </w:rPr>
        <w:t>GC – Soluble Guanylate Cyclase</w:t>
      </w:r>
    </w:p>
    <w:p w14:paraId="68F1EC4B" w14:textId="77777777" w:rsidR="00811AA7" w:rsidRDefault="00811AA7" w:rsidP="00D235EE">
      <w:pPr>
        <w:spacing w:after="0"/>
        <w:rPr>
          <w:rFonts w:cstheme="minorHAnsi"/>
          <w:i/>
          <w:iCs/>
          <w:sz w:val="18"/>
          <w:szCs w:val="18"/>
        </w:rPr>
      </w:pPr>
    </w:p>
    <w:p w14:paraId="2537F11D" w14:textId="1D048C92" w:rsidR="00811AA7" w:rsidRDefault="00811AA7" w:rsidP="00D235EE">
      <w:pPr>
        <w:spacing w:after="0"/>
        <w:rPr>
          <w:rFonts w:cstheme="minorHAnsi"/>
          <w:i/>
          <w:iCs/>
          <w:sz w:val="18"/>
          <w:szCs w:val="18"/>
        </w:rPr>
      </w:pPr>
    </w:p>
    <w:p w14:paraId="4AB0F774" w14:textId="77777777" w:rsidR="00F60C68" w:rsidRPr="008B0243" w:rsidRDefault="00F60C68" w:rsidP="00D235EE">
      <w:pPr>
        <w:spacing w:after="0"/>
        <w:rPr>
          <w:rFonts w:cstheme="minorHAnsi"/>
          <w:i/>
          <w:iCs/>
          <w:sz w:val="18"/>
          <w:szCs w:val="18"/>
        </w:rPr>
      </w:pPr>
    </w:p>
    <w:p w14:paraId="310352A5" w14:textId="77777777" w:rsidR="00C207A8" w:rsidRDefault="00C207A8">
      <w:pPr>
        <w:rPr>
          <w:b/>
          <w:bCs/>
          <w:i/>
          <w:iCs/>
        </w:rPr>
      </w:pPr>
      <w:r>
        <w:rPr>
          <w:b/>
          <w:bCs/>
          <w:i/>
          <w:iCs/>
        </w:rPr>
        <w:br w:type="page"/>
      </w:r>
    </w:p>
    <w:p w14:paraId="235EF170" w14:textId="62C4BFEA" w:rsidR="00993E7B" w:rsidRPr="00EE6862" w:rsidRDefault="00993E7B" w:rsidP="00E928FD">
      <w:pPr>
        <w:pStyle w:val="Heading3"/>
      </w:pPr>
      <w:bookmarkStart w:id="20" w:name="_Toc165448396"/>
      <w:r w:rsidRPr="00EE6862">
        <w:t>Incidence</w:t>
      </w:r>
      <w:bookmarkEnd w:id="20"/>
    </w:p>
    <w:p w14:paraId="4E549547" w14:textId="4F3AE6B3" w:rsidR="00745FEF" w:rsidRDefault="00B93FB5" w:rsidP="00661285">
      <w:pPr>
        <w:jc w:val="both"/>
      </w:pPr>
      <w:r>
        <w:t>The incident HF population</w:t>
      </w:r>
      <w:r w:rsidR="00C207A8">
        <w:t>,</w:t>
      </w:r>
      <w:r>
        <w:t xml:space="preserve"> </w:t>
      </w:r>
      <w:r w:rsidR="00C207A8">
        <w:t>defined as incident to</w:t>
      </w:r>
      <w:r w:rsidR="00C207A8" w:rsidRPr="00661285">
        <w:t xml:space="preserve"> PBS restricted HF medicines,</w:t>
      </w:r>
      <w:r w:rsidR="00C207A8">
        <w:t xml:space="preserve"> </w:t>
      </w:r>
      <w:r>
        <w:t>was t</w:t>
      </w:r>
      <w:r w:rsidR="00D13208">
        <w:t>wo</w:t>
      </w:r>
      <w:r w:rsidR="00D13208" w:rsidRPr="00D13208">
        <w:t xml:space="preserve"> people per 1</w:t>
      </w:r>
      <w:r w:rsidR="0075369F">
        <w:t>,</w:t>
      </w:r>
      <w:r w:rsidR="00D13208" w:rsidRPr="00D13208">
        <w:t xml:space="preserve">000 in 2018, </w:t>
      </w:r>
      <w:r>
        <w:t xml:space="preserve">increasing </w:t>
      </w:r>
      <w:r w:rsidR="00D13208" w:rsidRPr="00D13208">
        <w:t>to 3 per 1</w:t>
      </w:r>
      <w:r w:rsidR="0075369F">
        <w:t>,</w:t>
      </w:r>
      <w:r w:rsidR="00D13208" w:rsidRPr="00D13208">
        <w:t>00</w:t>
      </w:r>
      <w:r w:rsidR="0075369F">
        <w:t>0</w:t>
      </w:r>
      <w:r w:rsidR="00D13208" w:rsidRPr="00D13208">
        <w:t xml:space="preserve"> in 2</w:t>
      </w:r>
      <w:r w:rsidR="00D13208">
        <w:t>0</w:t>
      </w:r>
      <w:r w:rsidR="00D13208" w:rsidRPr="00D13208">
        <w:t>22</w:t>
      </w:r>
      <w:r w:rsidR="00D13208">
        <w:t xml:space="preserve"> </w:t>
      </w:r>
      <w:r>
        <w:t>(N=81,343), Table 4.</w:t>
      </w:r>
      <w:r w:rsidR="00C45E7A">
        <w:t xml:space="preserve"> </w:t>
      </w:r>
    </w:p>
    <w:p w14:paraId="0C3E032F" w14:textId="77777777" w:rsidR="00745FEF" w:rsidRDefault="00C45E7A" w:rsidP="00661285">
      <w:pPr>
        <w:jc w:val="both"/>
      </w:pPr>
      <w:r>
        <w:t>The mean age</w:t>
      </w:r>
      <w:r w:rsidR="009E6C9E">
        <w:t xml:space="preserve"> at initiation</w:t>
      </w:r>
      <w:r>
        <w:t xml:space="preserve"> was </w:t>
      </w:r>
      <w:r w:rsidR="009E6C9E">
        <w:t>consistent across each year</w:t>
      </w:r>
      <w:r w:rsidR="009E6C9E" w:rsidDel="009E6C9E">
        <w:t xml:space="preserve"> </w:t>
      </w:r>
      <w:r w:rsidR="009E6C9E">
        <w:t xml:space="preserve">at </w:t>
      </w:r>
      <w:r>
        <w:t>70</w:t>
      </w:r>
      <w:r w:rsidR="009E6C9E">
        <w:t xml:space="preserve">-71, </w:t>
      </w:r>
      <w:r>
        <w:t>and 40-42% of the initiators were females</w:t>
      </w:r>
      <w:r w:rsidR="009E6C9E">
        <w:t xml:space="preserve"> in each year</w:t>
      </w:r>
      <w:r>
        <w:t>.</w:t>
      </w:r>
      <w:r w:rsidR="00A824B6">
        <w:t xml:space="preserve"> </w:t>
      </w:r>
    </w:p>
    <w:p w14:paraId="18656AFF" w14:textId="09EE9CE8" w:rsidR="00661285" w:rsidRPr="00661285" w:rsidRDefault="009E6C9E" w:rsidP="00661285">
      <w:pPr>
        <w:jc w:val="both"/>
      </w:pPr>
      <w:r>
        <w:t xml:space="preserve">On average, people </w:t>
      </w:r>
      <w:r w:rsidR="00A824B6">
        <w:t>had three co-morbidities</w:t>
      </w:r>
      <w:r w:rsidR="00D70132">
        <w:t xml:space="preserve"> (using the Rx Risk)</w:t>
      </w:r>
      <w:r w:rsidR="00A824B6">
        <w:t xml:space="preserve"> in addition to HF with the leading ones being hyperlipidaemia and gastro-oesophageal reflux disease.</w:t>
      </w:r>
      <w:r w:rsidR="00E959CE">
        <w:t xml:space="preserve"> </w:t>
      </w:r>
      <w:r w:rsidR="00E959CE" w:rsidRPr="00661285">
        <w:t xml:space="preserve">In </w:t>
      </w:r>
      <w:r w:rsidR="00D06319" w:rsidRPr="00661285">
        <w:t xml:space="preserve">the </w:t>
      </w:r>
      <w:r w:rsidR="00E959CE" w:rsidRPr="00661285">
        <w:t>2022</w:t>
      </w:r>
      <w:r w:rsidR="00D06319" w:rsidRPr="00661285">
        <w:t xml:space="preserve"> cohort</w:t>
      </w:r>
      <w:r w:rsidR="00E959CE" w:rsidRPr="00661285">
        <w:t xml:space="preserve">, </w:t>
      </w:r>
      <w:r w:rsidR="00D06319" w:rsidRPr="00661285">
        <w:t>the five most common comor</w:t>
      </w:r>
      <w:r w:rsidR="0021311C" w:rsidRPr="00661285">
        <w:t>bi</w:t>
      </w:r>
      <w:r w:rsidR="00D06319" w:rsidRPr="00661285">
        <w:t xml:space="preserve">dities were as follows: </w:t>
      </w:r>
      <w:r w:rsidR="00E959CE" w:rsidRPr="00661285">
        <w:t>15% of the incident HF population had hyperlipidaemia</w:t>
      </w:r>
      <w:r w:rsidR="00C207A8" w:rsidRPr="00661285">
        <w:t xml:space="preserve"> (measured by dispensings of lipid lowering therapy)</w:t>
      </w:r>
      <w:r w:rsidR="0044463B" w:rsidRPr="00661285">
        <w:t>,</w:t>
      </w:r>
      <w:r w:rsidR="00E959CE" w:rsidRPr="00661285">
        <w:t xml:space="preserve"> 12% </w:t>
      </w:r>
      <w:r w:rsidR="0044463B" w:rsidRPr="00661285">
        <w:t>had gastro-oesophageal reflux disease</w:t>
      </w:r>
      <w:r w:rsidR="00C207A8" w:rsidRPr="00661285">
        <w:t xml:space="preserve"> (measured by dispen</w:t>
      </w:r>
      <w:r w:rsidR="000A3E5C">
        <w:t>s</w:t>
      </w:r>
      <w:r w:rsidR="00C207A8" w:rsidRPr="00661285">
        <w:t>ings of proton pump inhibitors)</w:t>
      </w:r>
      <w:r w:rsidR="0044463B" w:rsidRPr="00661285">
        <w:t>, 10% had diabetes</w:t>
      </w:r>
      <w:r w:rsidR="00C207A8" w:rsidRPr="00661285">
        <w:t xml:space="preserve"> (measured by dispensing of anti-diabetic agents) </w:t>
      </w:r>
      <w:r w:rsidR="0044463B" w:rsidRPr="00661285">
        <w:t>, 9% were dispensed anticoagulants, and 8% had airways disease</w:t>
      </w:r>
      <w:r w:rsidR="00C207A8" w:rsidRPr="00661285">
        <w:t xml:space="preserve"> (measured by dispensings inhaled respiratory medicines)</w:t>
      </w:r>
      <w:r w:rsidR="0044463B" w:rsidRPr="00661285">
        <w:t>.</w:t>
      </w:r>
      <w:r w:rsidR="004F4A9F">
        <w:t xml:space="preserve"> </w:t>
      </w:r>
      <w:r w:rsidR="004F4A9F" w:rsidRPr="00661285">
        <w:t>Two percent of the people in 2022 cohort had renal disease</w:t>
      </w:r>
      <w:r w:rsidR="00661285" w:rsidRPr="00661285">
        <w:t xml:space="preserve"> (measured by dispensings of sevelamer, lanthanum, sucroferrate, calcitriol, darbepoetin or methoxy polyethylene glycol-epoetin beta</w:t>
      </w:r>
      <w:r w:rsidR="00745FEF">
        <w:t>)</w:t>
      </w:r>
      <w:r w:rsidR="00661285">
        <w:t>.</w:t>
      </w:r>
    </w:p>
    <w:p w14:paraId="0366EDE3" w14:textId="3D28270B" w:rsidR="00993E7B" w:rsidRPr="00661285" w:rsidRDefault="00993E7B" w:rsidP="00575377">
      <w:pPr>
        <w:spacing w:after="0"/>
        <w:rPr>
          <w:b/>
          <w:bCs/>
        </w:rPr>
      </w:pPr>
      <w:r w:rsidRPr="00661285">
        <w:rPr>
          <w:b/>
          <w:bCs/>
        </w:rPr>
        <w:t xml:space="preserve">Table 4. </w:t>
      </w:r>
      <w:r w:rsidR="00E90B05" w:rsidRPr="00661285">
        <w:rPr>
          <w:b/>
          <w:bCs/>
        </w:rPr>
        <w:t xml:space="preserve">Annual </w:t>
      </w:r>
      <w:r w:rsidR="00613904" w:rsidRPr="00661285">
        <w:rPr>
          <w:b/>
          <w:bCs/>
        </w:rPr>
        <w:t xml:space="preserve">incidence </w:t>
      </w:r>
      <w:r w:rsidR="00E90B05" w:rsidRPr="00661285">
        <w:rPr>
          <w:b/>
          <w:bCs/>
        </w:rPr>
        <w:t>r</w:t>
      </w:r>
      <w:r w:rsidRPr="00661285">
        <w:rPr>
          <w:b/>
          <w:bCs/>
        </w:rPr>
        <w:t>ate per 1</w:t>
      </w:r>
      <w:r w:rsidR="0075369F">
        <w:rPr>
          <w:b/>
          <w:bCs/>
        </w:rPr>
        <w:t>,</w:t>
      </w:r>
      <w:r w:rsidRPr="00661285">
        <w:rPr>
          <w:b/>
          <w:bCs/>
        </w:rPr>
        <w:t xml:space="preserve">000 </w:t>
      </w:r>
      <w:r w:rsidR="00B93FB5" w:rsidRPr="00661285">
        <w:rPr>
          <w:b/>
          <w:bCs/>
        </w:rPr>
        <w:t>(</w:t>
      </w:r>
      <w:r w:rsidRPr="00661285">
        <w:rPr>
          <w:b/>
          <w:bCs/>
        </w:rPr>
        <w:t xml:space="preserve">people </w:t>
      </w:r>
      <w:r w:rsidR="00D13208" w:rsidRPr="00661285">
        <w:rPr>
          <w:b/>
          <w:bCs/>
        </w:rPr>
        <w:t xml:space="preserve">who were </w:t>
      </w:r>
      <w:r w:rsidRPr="00661285">
        <w:rPr>
          <w:b/>
          <w:bCs/>
        </w:rPr>
        <w:t xml:space="preserve">initiated </w:t>
      </w:r>
      <w:r w:rsidR="00C207A8" w:rsidRPr="00661285">
        <w:rPr>
          <w:rFonts w:cs="Arial"/>
          <w:b/>
          <w:bCs/>
          <w:color w:val="000000" w:themeColor="text1"/>
        </w:rPr>
        <w:t>PBS restricted HF medicines</w:t>
      </w:r>
      <w:r w:rsidR="00C207A8" w:rsidRPr="00661285">
        <w:rPr>
          <w:b/>
          <w:bCs/>
        </w:rPr>
        <w:t xml:space="preserve"> </w:t>
      </w:r>
      <w:r w:rsidR="000E5B48" w:rsidRPr="00661285">
        <w:rPr>
          <w:b/>
          <w:bCs/>
        </w:rPr>
        <w:t xml:space="preserve">after no dispensings of any medicine </w:t>
      </w:r>
      <w:r w:rsidR="00957E58" w:rsidRPr="00661285">
        <w:rPr>
          <w:b/>
          <w:bCs/>
        </w:rPr>
        <w:t xml:space="preserve">restricted </w:t>
      </w:r>
      <w:r w:rsidR="000E5B48" w:rsidRPr="00661285">
        <w:rPr>
          <w:b/>
          <w:bCs/>
        </w:rPr>
        <w:t>for HF in the previous 12 months</w:t>
      </w:r>
      <w:r w:rsidR="00B93FB5" w:rsidRPr="00661285">
        <w:rPr>
          <w:b/>
          <w:bCs/>
        </w:rPr>
        <w:t>)</w:t>
      </w:r>
      <w:r w:rsidRPr="00661285">
        <w:rPr>
          <w:b/>
          <w:bCs/>
        </w:rPr>
        <w:t xml:space="preserv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445"/>
        <w:gridCol w:w="1559"/>
        <w:gridCol w:w="993"/>
        <w:gridCol w:w="1236"/>
        <w:gridCol w:w="983"/>
        <w:gridCol w:w="1608"/>
      </w:tblGrid>
      <w:tr w:rsidR="00D13208" w:rsidRPr="00FE0ABB" w14:paraId="0A5DE382" w14:textId="77777777" w:rsidTr="00570F9D">
        <w:trPr>
          <w:trHeight w:val="264"/>
        </w:trPr>
        <w:tc>
          <w:tcPr>
            <w:tcW w:w="960" w:type="dxa"/>
            <w:shd w:val="clear" w:color="auto" w:fill="auto"/>
            <w:noWrap/>
            <w:vAlign w:val="bottom"/>
            <w:hideMark/>
          </w:tcPr>
          <w:p w14:paraId="1EC0DDE8" w14:textId="77777777" w:rsidR="00D13208" w:rsidRPr="00FE0ABB" w:rsidRDefault="00D13208" w:rsidP="00D10244">
            <w:pPr>
              <w:spacing w:after="0" w:line="240" w:lineRule="auto"/>
              <w:rPr>
                <w:rFonts w:eastAsia="Times New Roman" w:cstheme="minorHAnsi"/>
                <w:lang w:eastAsia="en-AU"/>
              </w:rPr>
            </w:pPr>
            <w:r w:rsidRPr="00FE0ABB">
              <w:rPr>
                <w:rFonts w:eastAsia="Times New Roman" w:cstheme="minorHAnsi"/>
                <w:lang w:eastAsia="en-AU"/>
              </w:rPr>
              <w:t xml:space="preserve"> Year</w:t>
            </w:r>
          </w:p>
        </w:tc>
        <w:tc>
          <w:tcPr>
            <w:tcW w:w="1445" w:type="dxa"/>
            <w:tcBorders>
              <w:bottom w:val="single" w:sz="4" w:space="0" w:color="auto"/>
            </w:tcBorders>
            <w:shd w:val="clear" w:color="auto" w:fill="auto"/>
            <w:noWrap/>
            <w:vAlign w:val="bottom"/>
            <w:hideMark/>
          </w:tcPr>
          <w:p w14:paraId="680DC8D9" w14:textId="210522BA" w:rsidR="00D13208" w:rsidRPr="00FE0ABB" w:rsidRDefault="00D13208" w:rsidP="00D10244">
            <w:pPr>
              <w:spacing w:after="0" w:line="240" w:lineRule="auto"/>
              <w:rPr>
                <w:rFonts w:eastAsia="Times New Roman" w:cstheme="minorHAnsi"/>
                <w:lang w:eastAsia="en-AU"/>
              </w:rPr>
            </w:pPr>
            <w:r w:rsidRPr="00FE0ABB">
              <w:rPr>
                <w:rFonts w:eastAsia="Times New Roman" w:cstheme="minorHAnsi"/>
                <w:lang w:eastAsia="en-AU"/>
              </w:rPr>
              <w:t xml:space="preserve">Number of people initiated on HF </w:t>
            </w:r>
            <w:r w:rsidR="00957E58">
              <w:rPr>
                <w:rFonts w:eastAsia="Times New Roman" w:cstheme="minorHAnsi"/>
                <w:lang w:eastAsia="en-AU"/>
              </w:rPr>
              <w:t xml:space="preserve">restricted </w:t>
            </w:r>
            <w:r w:rsidRPr="00FE0ABB">
              <w:rPr>
                <w:rFonts w:eastAsia="Times New Roman" w:cstheme="minorHAnsi"/>
                <w:lang w:eastAsia="en-AU"/>
              </w:rPr>
              <w:t>medicines</w:t>
            </w:r>
          </w:p>
        </w:tc>
        <w:tc>
          <w:tcPr>
            <w:tcW w:w="1559" w:type="dxa"/>
            <w:shd w:val="clear" w:color="auto" w:fill="auto"/>
            <w:noWrap/>
            <w:vAlign w:val="bottom"/>
            <w:hideMark/>
          </w:tcPr>
          <w:p w14:paraId="73DF162E" w14:textId="514B495E" w:rsidR="00D13208" w:rsidRPr="00FE0ABB" w:rsidRDefault="00570F9D" w:rsidP="00D10244">
            <w:pPr>
              <w:spacing w:after="0" w:line="240" w:lineRule="auto"/>
              <w:rPr>
                <w:rFonts w:eastAsia="Times New Roman" w:cstheme="minorHAnsi"/>
                <w:lang w:eastAsia="en-AU"/>
              </w:rPr>
            </w:pPr>
            <w:r>
              <w:rPr>
                <w:rFonts w:eastAsia="Times New Roman" w:cstheme="minorHAnsi"/>
                <w:lang w:eastAsia="en-AU"/>
              </w:rPr>
              <w:t xml:space="preserve">Estimated </w:t>
            </w:r>
            <w:r w:rsidR="00D13208" w:rsidRPr="00FE0ABB">
              <w:rPr>
                <w:rFonts w:eastAsia="Times New Roman" w:cstheme="minorHAnsi"/>
                <w:lang w:eastAsia="en-AU"/>
              </w:rPr>
              <w:t xml:space="preserve">Australian </w:t>
            </w:r>
            <w:r>
              <w:rPr>
                <w:rFonts w:eastAsia="Times New Roman" w:cstheme="minorHAnsi"/>
                <w:lang w:eastAsia="en-AU"/>
              </w:rPr>
              <w:t>resident</w:t>
            </w:r>
            <w:r w:rsidR="00D13208" w:rsidRPr="00FE0ABB">
              <w:rPr>
                <w:rFonts w:eastAsia="Times New Roman" w:cstheme="minorHAnsi"/>
                <w:lang w:eastAsia="en-AU"/>
              </w:rPr>
              <w:t xml:space="preserve"> population </w:t>
            </w:r>
            <w:proofErr w:type="gramStart"/>
            <w:r w:rsidR="00D13208" w:rsidRPr="00FE0ABB">
              <w:rPr>
                <w:rFonts w:eastAsia="Times New Roman" w:cstheme="minorHAnsi"/>
                <w:lang w:eastAsia="en-AU"/>
              </w:rPr>
              <w:t>at</w:t>
            </w:r>
            <w:proofErr w:type="gramEnd"/>
            <w:r w:rsidR="00D13208" w:rsidRPr="00FE0ABB">
              <w:rPr>
                <w:rFonts w:eastAsia="Times New Roman" w:cstheme="minorHAnsi"/>
                <w:lang w:eastAsia="en-AU"/>
              </w:rPr>
              <w:t xml:space="preserve"> 30 Jun</w:t>
            </w:r>
            <w:r>
              <w:rPr>
                <w:rFonts w:eastAsia="Times New Roman" w:cstheme="minorHAnsi"/>
                <w:lang w:eastAsia="en-AU"/>
              </w:rPr>
              <w:t>e as reported by the Australian Bureau of Statistics</w:t>
            </w:r>
          </w:p>
        </w:tc>
        <w:tc>
          <w:tcPr>
            <w:tcW w:w="993" w:type="dxa"/>
            <w:tcBorders>
              <w:bottom w:val="single" w:sz="4" w:space="0" w:color="auto"/>
            </w:tcBorders>
            <w:shd w:val="clear" w:color="auto" w:fill="auto"/>
            <w:noWrap/>
            <w:vAlign w:val="bottom"/>
            <w:hideMark/>
          </w:tcPr>
          <w:p w14:paraId="5062CB63" w14:textId="73D9208B" w:rsidR="00D13208" w:rsidRPr="00FE0ABB" w:rsidRDefault="00D13208" w:rsidP="00D10244">
            <w:pPr>
              <w:spacing w:after="0" w:line="240" w:lineRule="auto"/>
              <w:rPr>
                <w:rFonts w:eastAsia="Times New Roman" w:cstheme="minorHAnsi"/>
                <w:lang w:eastAsia="en-AU"/>
              </w:rPr>
            </w:pPr>
            <w:r w:rsidRPr="00FE0ABB">
              <w:rPr>
                <w:rFonts w:eastAsia="Times New Roman" w:cstheme="minorHAnsi"/>
                <w:lang w:eastAsia="en-AU"/>
              </w:rPr>
              <w:t>Incident rate per 1</w:t>
            </w:r>
            <w:r w:rsidR="0075369F">
              <w:rPr>
                <w:rFonts w:eastAsia="Times New Roman" w:cstheme="minorHAnsi"/>
                <w:lang w:eastAsia="en-AU"/>
              </w:rPr>
              <w:t>,</w:t>
            </w:r>
            <w:r w:rsidRPr="00FE0ABB">
              <w:rPr>
                <w:rFonts w:eastAsia="Times New Roman" w:cstheme="minorHAnsi"/>
                <w:lang w:eastAsia="en-AU"/>
              </w:rPr>
              <w:t>000 people</w:t>
            </w:r>
          </w:p>
        </w:tc>
        <w:tc>
          <w:tcPr>
            <w:tcW w:w="1236" w:type="dxa"/>
            <w:tcBorders>
              <w:bottom w:val="single" w:sz="4" w:space="0" w:color="auto"/>
            </w:tcBorders>
          </w:tcPr>
          <w:p w14:paraId="7921655C" w14:textId="77777777" w:rsidR="00D13208" w:rsidRPr="00FE0ABB" w:rsidRDefault="00D13208" w:rsidP="00D10244">
            <w:pPr>
              <w:spacing w:after="0" w:line="240" w:lineRule="auto"/>
              <w:rPr>
                <w:rFonts w:eastAsia="Times New Roman" w:cstheme="minorHAnsi"/>
                <w:lang w:eastAsia="en-AU"/>
              </w:rPr>
            </w:pPr>
            <w:r w:rsidRPr="00FE0ABB">
              <w:rPr>
                <w:rFonts w:eastAsia="Times New Roman" w:cstheme="minorHAnsi"/>
                <w:lang w:eastAsia="en-AU"/>
              </w:rPr>
              <w:t>Mean age</w:t>
            </w:r>
          </w:p>
          <w:p w14:paraId="113A76CE" w14:textId="77777777" w:rsidR="00D13208" w:rsidRPr="00FE0ABB" w:rsidRDefault="00D13208" w:rsidP="00D10244">
            <w:pPr>
              <w:spacing w:after="0" w:line="240" w:lineRule="auto"/>
              <w:rPr>
                <w:rFonts w:eastAsia="Times New Roman" w:cstheme="minorHAnsi"/>
                <w:lang w:eastAsia="en-AU"/>
              </w:rPr>
            </w:pPr>
            <w:r w:rsidRPr="00FE0ABB">
              <w:rPr>
                <w:rFonts w:eastAsia="Times New Roman" w:cstheme="minorHAnsi"/>
                <w:lang w:eastAsia="en-AU"/>
              </w:rPr>
              <w:t>at initiation</w:t>
            </w:r>
            <w:r w:rsidR="00AE2F6B">
              <w:rPr>
                <w:rFonts w:eastAsia="Times New Roman" w:cstheme="minorHAnsi"/>
                <w:lang w:eastAsia="en-AU"/>
              </w:rPr>
              <w:t xml:space="preserve"> (years)</w:t>
            </w:r>
            <w:r w:rsidR="005D413F" w:rsidRPr="00FE0ABB">
              <w:rPr>
                <w:rFonts w:eastAsia="Times New Roman" w:cstheme="minorHAnsi"/>
                <w:lang w:eastAsia="en-AU"/>
              </w:rPr>
              <w:t xml:space="preserve">, </w:t>
            </w:r>
            <w:r w:rsidR="003C32F1" w:rsidRPr="00FE0ABB">
              <w:rPr>
                <w:rFonts w:eastAsia="Times New Roman" w:cstheme="minorHAnsi"/>
                <w:lang w:eastAsia="en-AU"/>
              </w:rPr>
              <w:t>(</w:t>
            </w:r>
            <w:r w:rsidR="005D413F" w:rsidRPr="00FE0ABB">
              <w:rPr>
                <w:rFonts w:eastAsia="Times New Roman" w:cstheme="minorHAnsi"/>
                <w:lang w:eastAsia="en-AU"/>
              </w:rPr>
              <w:t>SD</w:t>
            </w:r>
            <w:r w:rsidR="003C32F1" w:rsidRPr="00FE0ABB">
              <w:rPr>
                <w:rFonts w:eastAsia="Times New Roman" w:cstheme="minorHAnsi"/>
                <w:lang w:eastAsia="en-AU"/>
              </w:rPr>
              <w:t>)</w:t>
            </w:r>
          </w:p>
        </w:tc>
        <w:tc>
          <w:tcPr>
            <w:tcW w:w="983" w:type="dxa"/>
            <w:tcBorders>
              <w:bottom w:val="single" w:sz="4" w:space="0" w:color="auto"/>
            </w:tcBorders>
          </w:tcPr>
          <w:p w14:paraId="0AEC8465" w14:textId="77777777" w:rsidR="00D13208" w:rsidRPr="00FE0ABB" w:rsidRDefault="00C45E7A" w:rsidP="00D10244">
            <w:pPr>
              <w:spacing w:after="0" w:line="240" w:lineRule="auto"/>
              <w:rPr>
                <w:rFonts w:eastAsia="Times New Roman" w:cstheme="minorHAnsi"/>
                <w:lang w:eastAsia="en-AU"/>
              </w:rPr>
            </w:pPr>
            <w:r w:rsidRPr="00FE0ABB">
              <w:rPr>
                <w:rFonts w:eastAsia="Times New Roman" w:cstheme="minorHAnsi"/>
                <w:lang w:eastAsia="en-AU"/>
              </w:rPr>
              <w:t>Females</w:t>
            </w:r>
          </w:p>
        </w:tc>
        <w:tc>
          <w:tcPr>
            <w:tcW w:w="1608" w:type="dxa"/>
            <w:tcBorders>
              <w:bottom w:val="single" w:sz="4" w:space="0" w:color="auto"/>
            </w:tcBorders>
          </w:tcPr>
          <w:p w14:paraId="2E9FDC14" w14:textId="77777777" w:rsidR="00D13208" w:rsidRPr="00FE0ABB" w:rsidRDefault="003C32F1" w:rsidP="00D10244">
            <w:pPr>
              <w:spacing w:after="0" w:line="240" w:lineRule="auto"/>
              <w:rPr>
                <w:rFonts w:eastAsia="Times New Roman" w:cstheme="minorHAnsi"/>
                <w:lang w:eastAsia="en-AU"/>
              </w:rPr>
            </w:pPr>
            <w:r w:rsidRPr="00FE0ABB">
              <w:rPr>
                <w:rFonts w:eastAsia="Times New Roman" w:cstheme="minorHAnsi"/>
                <w:lang w:eastAsia="en-AU"/>
              </w:rPr>
              <w:t>Mean number of c</w:t>
            </w:r>
            <w:r w:rsidR="00D13208" w:rsidRPr="00FE0ABB">
              <w:rPr>
                <w:rFonts w:eastAsia="Times New Roman" w:cstheme="minorHAnsi"/>
                <w:lang w:eastAsia="en-AU"/>
              </w:rPr>
              <w:t>o-morbidities</w:t>
            </w:r>
          </w:p>
          <w:p w14:paraId="45CAA662" w14:textId="77777777" w:rsidR="009875E1" w:rsidRPr="00FE0ABB" w:rsidRDefault="009875E1" w:rsidP="00D10244">
            <w:pPr>
              <w:spacing w:after="0" w:line="240" w:lineRule="auto"/>
              <w:rPr>
                <w:rFonts w:eastAsia="Times New Roman" w:cstheme="minorHAnsi"/>
                <w:lang w:eastAsia="en-AU"/>
              </w:rPr>
            </w:pPr>
            <w:r w:rsidRPr="00FE0ABB">
              <w:rPr>
                <w:rFonts w:eastAsia="Times New Roman" w:cstheme="minorHAnsi"/>
                <w:lang w:eastAsia="en-AU"/>
              </w:rPr>
              <w:t>in the 12 months prior to initiation</w:t>
            </w:r>
            <w:r w:rsidR="003C32F1" w:rsidRPr="00FE0ABB">
              <w:rPr>
                <w:rFonts w:eastAsia="Times New Roman" w:cstheme="minorHAnsi"/>
                <w:lang w:eastAsia="en-AU"/>
              </w:rPr>
              <w:t>, SD</w:t>
            </w:r>
          </w:p>
        </w:tc>
      </w:tr>
      <w:tr w:rsidR="005D413F" w:rsidRPr="00FE0ABB" w14:paraId="088C1FF2" w14:textId="77777777" w:rsidTr="00570F9D">
        <w:trPr>
          <w:trHeight w:val="264"/>
        </w:trPr>
        <w:tc>
          <w:tcPr>
            <w:tcW w:w="960" w:type="dxa"/>
            <w:shd w:val="clear" w:color="auto" w:fill="auto"/>
            <w:noWrap/>
            <w:vAlign w:val="bottom"/>
            <w:hideMark/>
          </w:tcPr>
          <w:p w14:paraId="4EEDA6E7" w14:textId="77777777" w:rsidR="005D413F" w:rsidRPr="00FE0ABB" w:rsidRDefault="005D413F" w:rsidP="005D413F">
            <w:pPr>
              <w:spacing w:after="0" w:line="240" w:lineRule="auto"/>
              <w:jc w:val="right"/>
              <w:rPr>
                <w:rFonts w:eastAsia="Times New Roman" w:cstheme="minorHAnsi"/>
                <w:lang w:eastAsia="en-AU"/>
              </w:rPr>
            </w:pPr>
            <w:r w:rsidRPr="00FE0ABB">
              <w:rPr>
                <w:rFonts w:eastAsia="Times New Roman" w:cstheme="minorHAnsi"/>
                <w:lang w:eastAsia="en-AU"/>
              </w:rPr>
              <w:t>2018</w:t>
            </w:r>
          </w:p>
        </w:tc>
        <w:tc>
          <w:tcPr>
            <w:tcW w:w="1445" w:type="dxa"/>
            <w:tcBorders>
              <w:top w:val="single" w:sz="4" w:space="0" w:color="auto"/>
              <w:left w:val="nil"/>
              <w:bottom w:val="single" w:sz="4" w:space="0" w:color="auto"/>
              <w:right w:val="nil"/>
            </w:tcBorders>
            <w:shd w:val="clear" w:color="auto" w:fill="auto"/>
            <w:noWrap/>
            <w:vAlign w:val="bottom"/>
            <w:hideMark/>
          </w:tcPr>
          <w:p w14:paraId="0E28B9FF" w14:textId="288A5A59" w:rsidR="005D413F" w:rsidRPr="00FE0ABB" w:rsidRDefault="005D413F" w:rsidP="00AE2F6B">
            <w:pPr>
              <w:spacing w:after="0" w:line="240" w:lineRule="auto"/>
              <w:jc w:val="center"/>
              <w:rPr>
                <w:rFonts w:eastAsia="Times New Roman" w:cstheme="minorHAnsi"/>
                <w:lang w:eastAsia="en-AU"/>
              </w:rPr>
            </w:pPr>
            <w:r w:rsidRPr="00FE0ABB">
              <w:rPr>
                <w:rFonts w:cstheme="minorHAnsi"/>
              </w:rPr>
              <w:t>51</w:t>
            </w:r>
            <w:r w:rsidR="009468AB">
              <w:rPr>
                <w:rFonts w:cstheme="minorHAnsi"/>
              </w:rPr>
              <w:t>,</w:t>
            </w:r>
            <w:r w:rsidRPr="00FE0ABB">
              <w:rPr>
                <w:rFonts w:cstheme="minorHAnsi"/>
              </w:rPr>
              <w:t>268</w:t>
            </w:r>
          </w:p>
        </w:tc>
        <w:tc>
          <w:tcPr>
            <w:tcW w:w="1559" w:type="dxa"/>
            <w:shd w:val="clear" w:color="auto" w:fill="auto"/>
            <w:noWrap/>
            <w:vAlign w:val="bottom"/>
            <w:hideMark/>
          </w:tcPr>
          <w:p w14:paraId="4B742974" w14:textId="4FA1DACF" w:rsidR="005D413F" w:rsidRPr="00FE0ABB" w:rsidRDefault="005D413F" w:rsidP="00AE2F6B">
            <w:pPr>
              <w:spacing w:after="0" w:line="240" w:lineRule="auto"/>
              <w:jc w:val="center"/>
              <w:rPr>
                <w:rFonts w:eastAsia="Times New Roman" w:cstheme="minorHAnsi"/>
                <w:lang w:eastAsia="en-AU"/>
              </w:rPr>
            </w:pPr>
            <w:r w:rsidRPr="00FE0ABB">
              <w:rPr>
                <w:rFonts w:eastAsia="Times New Roman" w:cstheme="minorHAnsi"/>
                <w:lang w:eastAsia="en-AU"/>
              </w:rPr>
              <w:t>24</w:t>
            </w:r>
            <w:r w:rsidR="009468AB">
              <w:rPr>
                <w:rFonts w:eastAsia="Times New Roman" w:cstheme="minorHAnsi"/>
                <w:lang w:eastAsia="en-AU"/>
              </w:rPr>
              <w:t>,</w:t>
            </w:r>
            <w:r w:rsidRPr="00FE0ABB">
              <w:rPr>
                <w:rFonts w:eastAsia="Times New Roman" w:cstheme="minorHAnsi"/>
                <w:lang w:eastAsia="en-AU"/>
              </w:rPr>
              <w:t>987</w:t>
            </w:r>
            <w:r w:rsidR="009468AB">
              <w:rPr>
                <w:rFonts w:eastAsia="Times New Roman" w:cstheme="minorHAnsi"/>
                <w:lang w:eastAsia="en-AU"/>
              </w:rPr>
              <w:t>,</w:t>
            </w:r>
            <w:r w:rsidRPr="00FE0ABB">
              <w:rPr>
                <w:rFonts w:eastAsia="Times New Roman" w:cstheme="minorHAnsi"/>
                <w:lang w:eastAsia="en-AU"/>
              </w:rPr>
              <w:t>751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42671B5C" w14:textId="77777777" w:rsidR="005D413F" w:rsidRPr="00FE0ABB" w:rsidRDefault="005D413F" w:rsidP="00AE2F6B">
            <w:pPr>
              <w:spacing w:after="0" w:line="240" w:lineRule="auto"/>
              <w:jc w:val="center"/>
              <w:rPr>
                <w:rFonts w:eastAsia="Times New Roman" w:cstheme="minorHAnsi"/>
                <w:lang w:eastAsia="en-AU"/>
              </w:rPr>
            </w:pPr>
            <w:r w:rsidRPr="00FE0ABB">
              <w:rPr>
                <w:rFonts w:cstheme="minorHAnsi"/>
              </w:rPr>
              <w:t>2.1</w:t>
            </w:r>
          </w:p>
        </w:tc>
        <w:tc>
          <w:tcPr>
            <w:tcW w:w="1236" w:type="dxa"/>
            <w:tcBorders>
              <w:top w:val="single" w:sz="4" w:space="0" w:color="auto"/>
              <w:left w:val="nil"/>
              <w:bottom w:val="single" w:sz="4" w:space="0" w:color="auto"/>
              <w:right w:val="single" w:sz="4" w:space="0" w:color="auto"/>
            </w:tcBorders>
            <w:shd w:val="clear" w:color="auto" w:fill="auto"/>
            <w:vAlign w:val="bottom"/>
          </w:tcPr>
          <w:p w14:paraId="0891788F" w14:textId="77777777" w:rsidR="005D413F" w:rsidRPr="00FE0ABB" w:rsidRDefault="005D413F" w:rsidP="00AE2F6B">
            <w:pPr>
              <w:spacing w:after="0" w:line="240" w:lineRule="auto"/>
              <w:jc w:val="center"/>
              <w:rPr>
                <w:rFonts w:cstheme="minorHAnsi"/>
              </w:rPr>
            </w:pPr>
            <w:r w:rsidRPr="00FE0ABB">
              <w:rPr>
                <w:rFonts w:cstheme="minorHAnsi"/>
              </w:rPr>
              <w:t>71</w:t>
            </w:r>
            <w:r w:rsidR="003C32F1" w:rsidRPr="00FE0ABB">
              <w:rPr>
                <w:rFonts w:cstheme="minorHAnsi"/>
              </w:rPr>
              <w:t xml:space="preserve"> (14.3)</w:t>
            </w:r>
          </w:p>
        </w:tc>
        <w:tc>
          <w:tcPr>
            <w:tcW w:w="983" w:type="dxa"/>
            <w:tcBorders>
              <w:top w:val="single" w:sz="4" w:space="0" w:color="auto"/>
              <w:left w:val="single" w:sz="4" w:space="0" w:color="auto"/>
              <w:bottom w:val="single" w:sz="4" w:space="0" w:color="auto"/>
              <w:right w:val="single" w:sz="4" w:space="0" w:color="auto"/>
            </w:tcBorders>
          </w:tcPr>
          <w:p w14:paraId="4FCABB26" w14:textId="77777777" w:rsidR="00C45E7A" w:rsidRPr="00FE0ABB" w:rsidRDefault="00C45E7A" w:rsidP="00AE2F6B">
            <w:pPr>
              <w:spacing w:after="0" w:line="240" w:lineRule="auto"/>
              <w:jc w:val="center"/>
              <w:rPr>
                <w:rFonts w:cstheme="minorHAnsi"/>
              </w:rPr>
            </w:pPr>
            <w:r w:rsidRPr="00FE0ABB">
              <w:rPr>
                <w:rFonts w:cstheme="minorHAnsi"/>
              </w:rPr>
              <w:t>40.5%</w:t>
            </w:r>
          </w:p>
        </w:tc>
        <w:tc>
          <w:tcPr>
            <w:tcW w:w="1608" w:type="dxa"/>
            <w:tcBorders>
              <w:top w:val="single" w:sz="4" w:space="0" w:color="auto"/>
              <w:left w:val="nil"/>
              <w:bottom w:val="single" w:sz="4" w:space="0" w:color="auto"/>
              <w:right w:val="single" w:sz="4" w:space="0" w:color="auto"/>
            </w:tcBorders>
          </w:tcPr>
          <w:p w14:paraId="2F7A794C" w14:textId="77777777" w:rsidR="005D413F" w:rsidRPr="00FE0ABB" w:rsidRDefault="003C32F1" w:rsidP="00AE2F6B">
            <w:pPr>
              <w:spacing w:after="0" w:line="240" w:lineRule="auto"/>
              <w:jc w:val="center"/>
              <w:rPr>
                <w:rFonts w:cstheme="minorHAnsi"/>
              </w:rPr>
            </w:pPr>
            <w:r w:rsidRPr="00FE0ABB">
              <w:rPr>
                <w:rFonts w:cstheme="minorHAnsi"/>
              </w:rPr>
              <w:t>3.4 (2.5)</w:t>
            </w:r>
          </w:p>
        </w:tc>
      </w:tr>
      <w:tr w:rsidR="005D413F" w:rsidRPr="00FE0ABB" w14:paraId="0B7F2FC1" w14:textId="77777777" w:rsidTr="00570F9D">
        <w:trPr>
          <w:trHeight w:val="264"/>
        </w:trPr>
        <w:tc>
          <w:tcPr>
            <w:tcW w:w="960" w:type="dxa"/>
            <w:shd w:val="clear" w:color="auto" w:fill="auto"/>
            <w:noWrap/>
            <w:vAlign w:val="bottom"/>
            <w:hideMark/>
          </w:tcPr>
          <w:p w14:paraId="02B23766" w14:textId="77777777" w:rsidR="005D413F" w:rsidRPr="00FE0ABB" w:rsidRDefault="005D413F" w:rsidP="005D413F">
            <w:pPr>
              <w:spacing w:after="0" w:line="240" w:lineRule="auto"/>
              <w:jc w:val="right"/>
              <w:rPr>
                <w:rFonts w:eastAsia="Times New Roman" w:cstheme="minorHAnsi"/>
                <w:lang w:eastAsia="en-AU"/>
              </w:rPr>
            </w:pPr>
            <w:r w:rsidRPr="00FE0ABB">
              <w:rPr>
                <w:rFonts w:eastAsia="Times New Roman" w:cstheme="minorHAnsi"/>
                <w:lang w:eastAsia="en-AU"/>
              </w:rPr>
              <w:t>2019</w:t>
            </w:r>
          </w:p>
        </w:tc>
        <w:tc>
          <w:tcPr>
            <w:tcW w:w="1445" w:type="dxa"/>
            <w:tcBorders>
              <w:top w:val="single" w:sz="4" w:space="0" w:color="auto"/>
              <w:left w:val="nil"/>
              <w:bottom w:val="single" w:sz="4" w:space="0" w:color="auto"/>
              <w:right w:val="nil"/>
            </w:tcBorders>
            <w:shd w:val="clear" w:color="auto" w:fill="auto"/>
            <w:noWrap/>
            <w:vAlign w:val="bottom"/>
            <w:hideMark/>
          </w:tcPr>
          <w:p w14:paraId="0A03E52D" w14:textId="49DB3E7C" w:rsidR="005D413F" w:rsidRPr="00FE0ABB" w:rsidRDefault="005D413F" w:rsidP="00AE2F6B">
            <w:pPr>
              <w:spacing w:after="0" w:line="240" w:lineRule="auto"/>
              <w:jc w:val="center"/>
              <w:rPr>
                <w:rFonts w:eastAsia="Times New Roman" w:cstheme="minorHAnsi"/>
                <w:lang w:eastAsia="en-AU"/>
              </w:rPr>
            </w:pPr>
            <w:r w:rsidRPr="00FE0ABB">
              <w:rPr>
                <w:rFonts w:cstheme="minorHAnsi"/>
              </w:rPr>
              <w:t>55</w:t>
            </w:r>
            <w:r w:rsidR="009468AB">
              <w:rPr>
                <w:rFonts w:cstheme="minorHAnsi"/>
              </w:rPr>
              <w:t>,</w:t>
            </w:r>
            <w:r w:rsidRPr="00FE0ABB">
              <w:rPr>
                <w:rFonts w:cstheme="minorHAnsi"/>
              </w:rPr>
              <w:t>921</w:t>
            </w:r>
          </w:p>
        </w:tc>
        <w:tc>
          <w:tcPr>
            <w:tcW w:w="1559" w:type="dxa"/>
            <w:shd w:val="clear" w:color="auto" w:fill="auto"/>
            <w:noWrap/>
            <w:vAlign w:val="bottom"/>
            <w:hideMark/>
          </w:tcPr>
          <w:p w14:paraId="527BADC4" w14:textId="533A37FC" w:rsidR="005D413F" w:rsidRPr="00FE0ABB" w:rsidRDefault="005D413F" w:rsidP="00AE2F6B">
            <w:pPr>
              <w:spacing w:after="0" w:line="240" w:lineRule="auto"/>
              <w:jc w:val="center"/>
              <w:rPr>
                <w:rFonts w:eastAsia="Times New Roman" w:cstheme="minorHAnsi"/>
                <w:lang w:eastAsia="en-AU"/>
              </w:rPr>
            </w:pPr>
            <w:r w:rsidRPr="00FE0ABB">
              <w:rPr>
                <w:rFonts w:eastAsia="Times New Roman" w:cstheme="minorHAnsi"/>
                <w:lang w:eastAsia="en-AU"/>
              </w:rPr>
              <w:t>25</w:t>
            </w:r>
            <w:r w:rsidR="009468AB">
              <w:rPr>
                <w:rFonts w:eastAsia="Times New Roman" w:cstheme="minorHAnsi"/>
                <w:lang w:eastAsia="en-AU"/>
              </w:rPr>
              <w:t>,</w:t>
            </w:r>
            <w:r w:rsidRPr="00FE0ABB">
              <w:rPr>
                <w:rFonts w:eastAsia="Times New Roman" w:cstheme="minorHAnsi"/>
                <w:lang w:eastAsia="en-AU"/>
              </w:rPr>
              <w:t>359</w:t>
            </w:r>
            <w:r w:rsidR="009468AB">
              <w:rPr>
                <w:rFonts w:eastAsia="Times New Roman" w:cstheme="minorHAnsi"/>
                <w:lang w:eastAsia="en-AU"/>
              </w:rPr>
              <w:t>,</w:t>
            </w:r>
            <w:r w:rsidRPr="00FE0ABB">
              <w:rPr>
                <w:rFonts w:eastAsia="Times New Roman" w:cstheme="minorHAnsi"/>
                <w:lang w:eastAsia="en-AU"/>
              </w:rPr>
              <w:t>662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6DC60E6F" w14:textId="77777777" w:rsidR="005D413F" w:rsidRPr="00FE0ABB" w:rsidRDefault="005D413F" w:rsidP="00AE2F6B">
            <w:pPr>
              <w:spacing w:after="0" w:line="240" w:lineRule="auto"/>
              <w:jc w:val="center"/>
              <w:rPr>
                <w:rFonts w:eastAsia="Times New Roman" w:cstheme="minorHAnsi"/>
                <w:lang w:eastAsia="en-AU"/>
              </w:rPr>
            </w:pPr>
            <w:r w:rsidRPr="00FE0ABB">
              <w:rPr>
                <w:rFonts w:cstheme="minorHAnsi"/>
              </w:rPr>
              <w:t>2.2</w:t>
            </w:r>
          </w:p>
        </w:tc>
        <w:tc>
          <w:tcPr>
            <w:tcW w:w="1236" w:type="dxa"/>
            <w:tcBorders>
              <w:top w:val="single" w:sz="4" w:space="0" w:color="auto"/>
              <w:left w:val="nil"/>
              <w:bottom w:val="single" w:sz="4" w:space="0" w:color="auto"/>
              <w:right w:val="single" w:sz="4" w:space="0" w:color="auto"/>
            </w:tcBorders>
            <w:shd w:val="clear" w:color="auto" w:fill="auto"/>
            <w:vAlign w:val="bottom"/>
          </w:tcPr>
          <w:p w14:paraId="6224ABDD" w14:textId="77777777" w:rsidR="005D413F" w:rsidRPr="00FE0ABB" w:rsidRDefault="005D413F" w:rsidP="00AE2F6B">
            <w:pPr>
              <w:spacing w:after="0" w:line="240" w:lineRule="auto"/>
              <w:jc w:val="center"/>
              <w:rPr>
                <w:rFonts w:cstheme="minorHAnsi"/>
              </w:rPr>
            </w:pPr>
            <w:r w:rsidRPr="00FE0ABB">
              <w:rPr>
                <w:rFonts w:cstheme="minorHAnsi"/>
              </w:rPr>
              <w:t>71 (</w:t>
            </w:r>
            <w:r w:rsidR="003C32F1" w:rsidRPr="00FE0ABB">
              <w:rPr>
                <w:rFonts w:cstheme="minorHAnsi"/>
              </w:rPr>
              <w:t>1</w:t>
            </w:r>
            <w:r w:rsidRPr="00FE0ABB">
              <w:rPr>
                <w:rFonts w:cstheme="minorHAnsi"/>
              </w:rPr>
              <w:t>4.1)</w:t>
            </w:r>
          </w:p>
        </w:tc>
        <w:tc>
          <w:tcPr>
            <w:tcW w:w="983" w:type="dxa"/>
            <w:tcBorders>
              <w:top w:val="single" w:sz="4" w:space="0" w:color="auto"/>
              <w:left w:val="single" w:sz="4" w:space="0" w:color="auto"/>
              <w:bottom w:val="single" w:sz="4" w:space="0" w:color="auto"/>
              <w:right w:val="single" w:sz="4" w:space="0" w:color="auto"/>
            </w:tcBorders>
          </w:tcPr>
          <w:p w14:paraId="33E21AB9" w14:textId="77777777" w:rsidR="005D413F" w:rsidRPr="00FE0ABB" w:rsidRDefault="00C45E7A" w:rsidP="00AE2F6B">
            <w:pPr>
              <w:spacing w:after="0" w:line="240" w:lineRule="auto"/>
              <w:jc w:val="center"/>
              <w:rPr>
                <w:rFonts w:cstheme="minorHAnsi"/>
              </w:rPr>
            </w:pPr>
            <w:r w:rsidRPr="00FE0ABB">
              <w:rPr>
                <w:rFonts w:cstheme="minorHAnsi"/>
              </w:rPr>
              <w:t>40.7%</w:t>
            </w:r>
          </w:p>
        </w:tc>
        <w:tc>
          <w:tcPr>
            <w:tcW w:w="1608" w:type="dxa"/>
            <w:tcBorders>
              <w:top w:val="single" w:sz="4" w:space="0" w:color="auto"/>
              <w:left w:val="nil"/>
              <w:bottom w:val="single" w:sz="4" w:space="0" w:color="auto"/>
              <w:right w:val="single" w:sz="4" w:space="0" w:color="auto"/>
            </w:tcBorders>
          </w:tcPr>
          <w:p w14:paraId="0427F218" w14:textId="77777777" w:rsidR="005D413F" w:rsidRPr="00FE0ABB" w:rsidRDefault="003C32F1" w:rsidP="00AE2F6B">
            <w:pPr>
              <w:spacing w:after="0" w:line="240" w:lineRule="auto"/>
              <w:jc w:val="center"/>
              <w:rPr>
                <w:rFonts w:cstheme="minorHAnsi"/>
              </w:rPr>
            </w:pPr>
            <w:r w:rsidRPr="00FE0ABB">
              <w:rPr>
                <w:rFonts w:cstheme="minorHAnsi"/>
              </w:rPr>
              <w:t>3.3 (2.5)</w:t>
            </w:r>
          </w:p>
        </w:tc>
      </w:tr>
      <w:tr w:rsidR="005D413F" w:rsidRPr="00FE0ABB" w14:paraId="34F2D742" w14:textId="77777777" w:rsidTr="00570F9D">
        <w:trPr>
          <w:trHeight w:val="264"/>
        </w:trPr>
        <w:tc>
          <w:tcPr>
            <w:tcW w:w="960" w:type="dxa"/>
            <w:shd w:val="clear" w:color="auto" w:fill="auto"/>
            <w:noWrap/>
            <w:vAlign w:val="bottom"/>
            <w:hideMark/>
          </w:tcPr>
          <w:p w14:paraId="2957B8F6" w14:textId="77777777" w:rsidR="005D413F" w:rsidRPr="00FE0ABB" w:rsidRDefault="005D413F" w:rsidP="005D413F">
            <w:pPr>
              <w:spacing w:after="0" w:line="240" w:lineRule="auto"/>
              <w:jc w:val="right"/>
              <w:rPr>
                <w:rFonts w:eastAsia="Times New Roman" w:cstheme="minorHAnsi"/>
                <w:lang w:eastAsia="en-AU"/>
              </w:rPr>
            </w:pPr>
            <w:r w:rsidRPr="00FE0ABB">
              <w:rPr>
                <w:rFonts w:eastAsia="Times New Roman" w:cstheme="minorHAnsi"/>
                <w:lang w:eastAsia="en-AU"/>
              </w:rPr>
              <w:t>2020</w:t>
            </w:r>
          </w:p>
        </w:tc>
        <w:tc>
          <w:tcPr>
            <w:tcW w:w="1445" w:type="dxa"/>
            <w:tcBorders>
              <w:top w:val="single" w:sz="4" w:space="0" w:color="auto"/>
              <w:left w:val="nil"/>
              <w:bottom w:val="single" w:sz="4" w:space="0" w:color="auto"/>
              <w:right w:val="nil"/>
            </w:tcBorders>
            <w:shd w:val="clear" w:color="auto" w:fill="auto"/>
            <w:noWrap/>
            <w:vAlign w:val="bottom"/>
            <w:hideMark/>
          </w:tcPr>
          <w:p w14:paraId="255F7189" w14:textId="1691157B" w:rsidR="005D413F" w:rsidRPr="00FE0ABB" w:rsidRDefault="005D413F" w:rsidP="00AE2F6B">
            <w:pPr>
              <w:spacing w:after="0" w:line="240" w:lineRule="auto"/>
              <w:jc w:val="center"/>
              <w:rPr>
                <w:rFonts w:eastAsia="Times New Roman" w:cstheme="minorHAnsi"/>
                <w:lang w:eastAsia="en-AU"/>
              </w:rPr>
            </w:pPr>
            <w:r w:rsidRPr="00FE0ABB">
              <w:rPr>
                <w:rFonts w:cstheme="minorHAnsi"/>
              </w:rPr>
              <w:t>61</w:t>
            </w:r>
            <w:r w:rsidR="009468AB">
              <w:rPr>
                <w:rFonts w:cstheme="minorHAnsi"/>
              </w:rPr>
              <w:t>,</w:t>
            </w:r>
            <w:r w:rsidRPr="00FE0ABB">
              <w:rPr>
                <w:rFonts w:cstheme="minorHAnsi"/>
              </w:rPr>
              <w:t>427</w:t>
            </w:r>
          </w:p>
        </w:tc>
        <w:tc>
          <w:tcPr>
            <w:tcW w:w="1559" w:type="dxa"/>
            <w:shd w:val="clear" w:color="auto" w:fill="auto"/>
            <w:noWrap/>
            <w:vAlign w:val="bottom"/>
            <w:hideMark/>
          </w:tcPr>
          <w:p w14:paraId="59936923" w14:textId="0D8577C5" w:rsidR="005D413F" w:rsidRPr="00FE0ABB" w:rsidRDefault="005D413F" w:rsidP="00AE2F6B">
            <w:pPr>
              <w:spacing w:after="0" w:line="240" w:lineRule="auto"/>
              <w:jc w:val="center"/>
              <w:rPr>
                <w:rFonts w:eastAsia="Times New Roman" w:cstheme="minorHAnsi"/>
                <w:lang w:eastAsia="en-AU"/>
              </w:rPr>
            </w:pPr>
            <w:r w:rsidRPr="00FE0ABB">
              <w:rPr>
                <w:rFonts w:eastAsia="Times New Roman" w:cstheme="minorHAnsi"/>
                <w:lang w:eastAsia="en-AU"/>
              </w:rPr>
              <w:t>25</w:t>
            </w:r>
            <w:r w:rsidR="009468AB">
              <w:rPr>
                <w:rFonts w:eastAsia="Times New Roman" w:cstheme="minorHAnsi"/>
                <w:lang w:eastAsia="en-AU"/>
              </w:rPr>
              <w:t>,</w:t>
            </w:r>
            <w:r w:rsidRPr="00FE0ABB">
              <w:rPr>
                <w:rFonts w:eastAsia="Times New Roman" w:cstheme="minorHAnsi"/>
                <w:lang w:eastAsia="en-AU"/>
              </w:rPr>
              <w:t>692</w:t>
            </w:r>
            <w:r w:rsidR="009468AB">
              <w:rPr>
                <w:rFonts w:eastAsia="Times New Roman" w:cstheme="minorHAnsi"/>
                <w:lang w:eastAsia="en-AU"/>
              </w:rPr>
              <w:t>,</w:t>
            </w:r>
            <w:r w:rsidRPr="00FE0ABB">
              <w:rPr>
                <w:rFonts w:eastAsia="Times New Roman" w:cstheme="minorHAnsi"/>
                <w:lang w:eastAsia="en-AU"/>
              </w:rPr>
              <w:t>600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73551CA" w14:textId="77777777" w:rsidR="005D413F" w:rsidRPr="00FE0ABB" w:rsidRDefault="005D413F" w:rsidP="00AE2F6B">
            <w:pPr>
              <w:spacing w:after="0" w:line="240" w:lineRule="auto"/>
              <w:jc w:val="center"/>
              <w:rPr>
                <w:rFonts w:eastAsia="Times New Roman" w:cstheme="minorHAnsi"/>
                <w:lang w:eastAsia="en-AU"/>
              </w:rPr>
            </w:pPr>
            <w:r w:rsidRPr="00FE0ABB">
              <w:rPr>
                <w:rFonts w:cstheme="minorHAnsi"/>
              </w:rPr>
              <w:t>2.4</w:t>
            </w:r>
          </w:p>
        </w:tc>
        <w:tc>
          <w:tcPr>
            <w:tcW w:w="1236" w:type="dxa"/>
            <w:tcBorders>
              <w:top w:val="single" w:sz="4" w:space="0" w:color="auto"/>
              <w:left w:val="nil"/>
              <w:bottom w:val="single" w:sz="4" w:space="0" w:color="auto"/>
              <w:right w:val="single" w:sz="4" w:space="0" w:color="auto"/>
            </w:tcBorders>
            <w:shd w:val="clear" w:color="auto" w:fill="auto"/>
            <w:vAlign w:val="bottom"/>
          </w:tcPr>
          <w:p w14:paraId="238F5F58" w14:textId="77777777" w:rsidR="005D413F" w:rsidRPr="00FE0ABB" w:rsidRDefault="005D413F" w:rsidP="00AE2F6B">
            <w:pPr>
              <w:spacing w:after="0" w:line="240" w:lineRule="auto"/>
              <w:jc w:val="center"/>
              <w:rPr>
                <w:rFonts w:cstheme="minorHAnsi"/>
              </w:rPr>
            </w:pPr>
            <w:r w:rsidRPr="00FE0ABB">
              <w:rPr>
                <w:rFonts w:cstheme="minorHAnsi"/>
              </w:rPr>
              <w:t>70 (14.6)</w:t>
            </w:r>
          </w:p>
        </w:tc>
        <w:tc>
          <w:tcPr>
            <w:tcW w:w="983" w:type="dxa"/>
            <w:tcBorders>
              <w:top w:val="single" w:sz="4" w:space="0" w:color="auto"/>
              <w:left w:val="single" w:sz="4" w:space="0" w:color="auto"/>
              <w:bottom w:val="single" w:sz="4" w:space="0" w:color="auto"/>
              <w:right w:val="single" w:sz="4" w:space="0" w:color="auto"/>
            </w:tcBorders>
          </w:tcPr>
          <w:p w14:paraId="4E4965D8" w14:textId="77777777" w:rsidR="005D413F" w:rsidRPr="00FE0ABB" w:rsidRDefault="00C45E7A" w:rsidP="00AE2F6B">
            <w:pPr>
              <w:spacing w:after="0" w:line="240" w:lineRule="auto"/>
              <w:jc w:val="center"/>
              <w:rPr>
                <w:rFonts w:cstheme="minorHAnsi"/>
              </w:rPr>
            </w:pPr>
            <w:r w:rsidRPr="00FE0ABB">
              <w:rPr>
                <w:rFonts w:cstheme="minorHAnsi"/>
              </w:rPr>
              <w:t>40.3%</w:t>
            </w:r>
          </w:p>
        </w:tc>
        <w:tc>
          <w:tcPr>
            <w:tcW w:w="1608" w:type="dxa"/>
            <w:tcBorders>
              <w:top w:val="single" w:sz="4" w:space="0" w:color="auto"/>
              <w:left w:val="nil"/>
              <w:bottom w:val="single" w:sz="4" w:space="0" w:color="auto"/>
              <w:right w:val="single" w:sz="4" w:space="0" w:color="auto"/>
            </w:tcBorders>
          </w:tcPr>
          <w:p w14:paraId="70D4F61E" w14:textId="77777777" w:rsidR="005D413F" w:rsidRPr="00FE0ABB" w:rsidRDefault="003C32F1" w:rsidP="00AE2F6B">
            <w:pPr>
              <w:spacing w:after="0" w:line="240" w:lineRule="auto"/>
              <w:jc w:val="center"/>
              <w:rPr>
                <w:rFonts w:cstheme="minorHAnsi"/>
              </w:rPr>
            </w:pPr>
            <w:r w:rsidRPr="00FE0ABB">
              <w:rPr>
                <w:rFonts w:cstheme="minorHAnsi"/>
              </w:rPr>
              <w:t>3.1 (2.5)</w:t>
            </w:r>
          </w:p>
        </w:tc>
      </w:tr>
      <w:tr w:rsidR="005D413F" w:rsidRPr="00FE0ABB" w14:paraId="0EBA0AE1" w14:textId="77777777" w:rsidTr="00570F9D">
        <w:trPr>
          <w:trHeight w:val="264"/>
        </w:trPr>
        <w:tc>
          <w:tcPr>
            <w:tcW w:w="960" w:type="dxa"/>
            <w:shd w:val="clear" w:color="auto" w:fill="auto"/>
            <w:noWrap/>
            <w:vAlign w:val="bottom"/>
            <w:hideMark/>
          </w:tcPr>
          <w:p w14:paraId="6338CA47" w14:textId="77777777" w:rsidR="005D413F" w:rsidRPr="00FE0ABB" w:rsidRDefault="005D413F" w:rsidP="005D413F">
            <w:pPr>
              <w:spacing w:after="0" w:line="240" w:lineRule="auto"/>
              <w:jc w:val="right"/>
              <w:rPr>
                <w:rFonts w:eastAsia="Times New Roman" w:cstheme="minorHAnsi"/>
                <w:lang w:eastAsia="en-AU"/>
              </w:rPr>
            </w:pPr>
            <w:r w:rsidRPr="00FE0ABB">
              <w:rPr>
                <w:rFonts w:eastAsia="Times New Roman" w:cstheme="minorHAnsi"/>
                <w:lang w:eastAsia="en-AU"/>
              </w:rPr>
              <w:t>2021</w:t>
            </w:r>
          </w:p>
        </w:tc>
        <w:tc>
          <w:tcPr>
            <w:tcW w:w="1445" w:type="dxa"/>
            <w:tcBorders>
              <w:top w:val="single" w:sz="4" w:space="0" w:color="auto"/>
              <w:left w:val="nil"/>
              <w:bottom w:val="single" w:sz="4" w:space="0" w:color="auto"/>
              <w:right w:val="nil"/>
            </w:tcBorders>
            <w:shd w:val="clear" w:color="auto" w:fill="auto"/>
            <w:noWrap/>
            <w:vAlign w:val="bottom"/>
            <w:hideMark/>
          </w:tcPr>
          <w:p w14:paraId="14B4F4B1" w14:textId="4AA0A227" w:rsidR="005D413F" w:rsidRPr="00FE0ABB" w:rsidRDefault="005D413F" w:rsidP="00AE2F6B">
            <w:pPr>
              <w:spacing w:after="0" w:line="240" w:lineRule="auto"/>
              <w:jc w:val="center"/>
              <w:rPr>
                <w:rFonts w:eastAsia="Times New Roman" w:cstheme="minorHAnsi"/>
                <w:lang w:eastAsia="en-AU"/>
              </w:rPr>
            </w:pPr>
            <w:r w:rsidRPr="00FE0ABB">
              <w:rPr>
                <w:rFonts w:cstheme="minorHAnsi"/>
              </w:rPr>
              <w:t>63</w:t>
            </w:r>
            <w:r w:rsidR="009468AB">
              <w:rPr>
                <w:rFonts w:cstheme="minorHAnsi"/>
              </w:rPr>
              <w:t>,</w:t>
            </w:r>
            <w:r w:rsidRPr="00FE0ABB">
              <w:rPr>
                <w:rFonts w:cstheme="minorHAnsi"/>
              </w:rPr>
              <w:t>448</w:t>
            </w:r>
          </w:p>
        </w:tc>
        <w:tc>
          <w:tcPr>
            <w:tcW w:w="1559" w:type="dxa"/>
            <w:shd w:val="clear" w:color="auto" w:fill="auto"/>
            <w:noWrap/>
            <w:vAlign w:val="bottom"/>
            <w:hideMark/>
          </w:tcPr>
          <w:p w14:paraId="7D1BD72E" w14:textId="120D12DA" w:rsidR="005D413F" w:rsidRPr="00FE0ABB" w:rsidRDefault="005D413F" w:rsidP="00AE2F6B">
            <w:pPr>
              <w:spacing w:after="0" w:line="240" w:lineRule="auto"/>
              <w:jc w:val="center"/>
              <w:rPr>
                <w:rFonts w:eastAsia="Times New Roman" w:cstheme="minorHAnsi"/>
                <w:lang w:eastAsia="en-AU"/>
              </w:rPr>
            </w:pPr>
            <w:r w:rsidRPr="00FE0ABB">
              <w:rPr>
                <w:rFonts w:eastAsia="Times New Roman" w:cstheme="minorHAnsi"/>
                <w:lang w:eastAsia="en-AU"/>
              </w:rPr>
              <w:t>25</w:t>
            </w:r>
            <w:r w:rsidR="009468AB">
              <w:rPr>
                <w:rFonts w:eastAsia="Times New Roman" w:cstheme="minorHAnsi"/>
                <w:lang w:eastAsia="en-AU"/>
              </w:rPr>
              <w:t>,</w:t>
            </w:r>
            <w:r w:rsidRPr="00FE0ABB">
              <w:rPr>
                <w:rFonts w:eastAsia="Times New Roman" w:cstheme="minorHAnsi"/>
                <w:lang w:eastAsia="en-AU"/>
              </w:rPr>
              <w:t>739</w:t>
            </w:r>
            <w:r w:rsidR="009468AB">
              <w:rPr>
                <w:rFonts w:eastAsia="Times New Roman" w:cstheme="minorHAnsi"/>
                <w:lang w:eastAsia="en-AU"/>
              </w:rPr>
              <w:t>,</w:t>
            </w:r>
            <w:r w:rsidRPr="00FE0ABB">
              <w:rPr>
                <w:rFonts w:eastAsia="Times New Roman" w:cstheme="minorHAnsi"/>
                <w:lang w:eastAsia="en-AU"/>
              </w:rPr>
              <w:t>256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301AF859" w14:textId="77777777" w:rsidR="005D413F" w:rsidRPr="00FE0ABB" w:rsidRDefault="005D413F" w:rsidP="00AE2F6B">
            <w:pPr>
              <w:spacing w:after="0" w:line="240" w:lineRule="auto"/>
              <w:jc w:val="center"/>
              <w:rPr>
                <w:rFonts w:eastAsia="Times New Roman" w:cstheme="minorHAnsi"/>
                <w:lang w:eastAsia="en-AU"/>
              </w:rPr>
            </w:pPr>
            <w:r w:rsidRPr="00FE0ABB">
              <w:rPr>
                <w:rFonts w:cstheme="minorHAnsi"/>
              </w:rPr>
              <w:t>2.5</w:t>
            </w:r>
          </w:p>
        </w:tc>
        <w:tc>
          <w:tcPr>
            <w:tcW w:w="1236" w:type="dxa"/>
            <w:tcBorders>
              <w:top w:val="single" w:sz="4" w:space="0" w:color="auto"/>
              <w:left w:val="nil"/>
              <w:bottom w:val="single" w:sz="4" w:space="0" w:color="auto"/>
              <w:right w:val="single" w:sz="4" w:space="0" w:color="auto"/>
            </w:tcBorders>
            <w:shd w:val="clear" w:color="auto" w:fill="auto"/>
            <w:vAlign w:val="bottom"/>
          </w:tcPr>
          <w:p w14:paraId="15B632E5" w14:textId="77777777" w:rsidR="005D413F" w:rsidRPr="00FE0ABB" w:rsidRDefault="005D413F" w:rsidP="00AE2F6B">
            <w:pPr>
              <w:spacing w:after="0" w:line="240" w:lineRule="auto"/>
              <w:jc w:val="center"/>
              <w:rPr>
                <w:rFonts w:cstheme="minorHAnsi"/>
              </w:rPr>
            </w:pPr>
            <w:r w:rsidRPr="00FE0ABB">
              <w:rPr>
                <w:rFonts w:cstheme="minorHAnsi"/>
              </w:rPr>
              <w:t>71 (14.7)</w:t>
            </w:r>
          </w:p>
        </w:tc>
        <w:tc>
          <w:tcPr>
            <w:tcW w:w="983" w:type="dxa"/>
            <w:tcBorders>
              <w:top w:val="single" w:sz="4" w:space="0" w:color="auto"/>
              <w:left w:val="single" w:sz="4" w:space="0" w:color="auto"/>
              <w:bottom w:val="single" w:sz="4" w:space="0" w:color="auto"/>
              <w:right w:val="single" w:sz="4" w:space="0" w:color="auto"/>
            </w:tcBorders>
          </w:tcPr>
          <w:p w14:paraId="09CB3663" w14:textId="77777777" w:rsidR="00C45E7A" w:rsidRPr="00FE0ABB" w:rsidRDefault="00C45E7A" w:rsidP="00AE2F6B">
            <w:pPr>
              <w:spacing w:after="0" w:line="240" w:lineRule="auto"/>
              <w:jc w:val="center"/>
              <w:rPr>
                <w:rFonts w:cstheme="minorHAnsi"/>
              </w:rPr>
            </w:pPr>
            <w:r w:rsidRPr="00FE0ABB">
              <w:rPr>
                <w:rFonts w:cstheme="minorHAnsi"/>
              </w:rPr>
              <w:t>41.0%</w:t>
            </w:r>
          </w:p>
        </w:tc>
        <w:tc>
          <w:tcPr>
            <w:tcW w:w="1608" w:type="dxa"/>
            <w:tcBorders>
              <w:top w:val="single" w:sz="4" w:space="0" w:color="auto"/>
              <w:left w:val="nil"/>
              <w:bottom w:val="single" w:sz="4" w:space="0" w:color="auto"/>
              <w:right w:val="single" w:sz="4" w:space="0" w:color="auto"/>
            </w:tcBorders>
          </w:tcPr>
          <w:p w14:paraId="53F23A79" w14:textId="77777777" w:rsidR="005D413F" w:rsidRPr="00FE0ABB" w:rsidRDefault="003C32F1" w:rsidP="00AE2F6B">
            <w:pPr>
              <w:spacing w:after="0" w:line="240" w:lineRule="auto"/>
              <w:jc w:val="center"/>
              <w:rPr>
                <w:rFonts w:cstheme="minorHAnsi"/>
              </w:rPr>
            </w:pPr>
            <w:r w:rsidRPr="00FE0ABB">
              <w:rPr>
                <w:rFonts w:cstheme="minorHAnsi"/>
              </w:rPr>
              <w:t>3.2 (2.5)</w:t>
            </w:r>
          </w:p>
        </w:tc>
      </w:tr>
      <w:tr w:rsidR="005D413F" w:rsidRPr="00FE0ABB" w14:paraId="76768F9A" w14:textId="77777777" w:rsidTr="00570F9D">
        <w:trPr>
          <w:trHeight w:val="264"/>
        </w:trPr>
        <w:tc>
          <w:tcPr>
            <w:tcW w:w="960" w:type="dxa"/>
            <w:shd w:val="clear" w:color="auto" w:fill="auto"/>
            <w:noWrap/>
            <w:vAlign w:val="bottom"/>
            <w:hideMark/>
          </w:tcPr>
          <w:p w14:paraId="124001D4" w14:textId="77777777" w:rsidR="005D413F" w:rsidRPr="00FE0ABB" w:rsidRDefault="005D413F" w:rsidP="005D413F">
            <w:pPr>
              <w:spacing w:after="0" w:line="240" w:lineRule="auto"/>
              <w:jc w:val="right"/>
              <w:rPr>
                <w:rFonts w:eastAsia="Times New Roman" w:cstheme="minorHAnsi"/>
                <w:lang w:eastAsia="en-AU"/>
              </w:rPr>
            </w:pPr>
            <w:r w:rsidRPr="00FE0ABB">
              <w:rPr>
                <w:rFonts w:eastAsia="Times New Roman" w:cstheme="minorHAnsi"/>
                <w:lang w:eastAsia="en-AU"/>
              </w:rPr>
              <w:t>2022</w:t>
            </w:r>
          </w:p>
        </w:tc>
        <w:tc>
          <w:tcPr>
            <w:tcW w:w="1445" w:type="dxa"/>
            <w:tcBorders>
              <w:top w:val="single" w:sz="4" w:space="0" w:color="auto"/>
              <w:left w:val="nil"/>
              <w:bottom w:val="single" w:sz="4" w:space="0" w:color="auto"/>
              <w:right w:val="nil"/>
            </w:tcBorders>
            <w:shd w:val="clear" w:color="auto" w:fill="auto"/>
            <w:noWrap/>
            <w:vAlign w:val="bottom"/>
            <w:hideMark/>
          </w:tcPr>
          <w:p w14:paraId="3C92DC4F" w14:textId="31D05536" w:rsidR="005D413F" w:rsidRPr="00FE0ABB" w:rsidRDefault="005D413F" w:rsidP="00AE2F6B">
            <w:pPr>
              <w:spacing w:after="0" w:line="240" w:lineRule="auto"/>
              <w:jc w:val="center"/>
              <w:rPr>
                <w:rFonts w:eastAsia="Times New Roman" w:cstheme="minorHAnsi"/>
                <w:lang w:eastAsia="en-AU"/>
              </w:rPr>
            </w:pPr>
            <w:r w:rsidRPr="00FE0ABB">
              <w:rPr>
                <w:rFonts w:cstheme="minorHAnsi"/>
              </w:rPr>
              <w:t>81</w:t>
            </w:r>
            <w:r w:rsidR="009468AB">
              <w:rPr>
                <w:rFonts w:cstheme="minorHAnsi"/>
              </w:rPr>
              <w:t>,</w:t>
            </w:r>
            <w:r w:rsidRPr="00FE0ABB">
              <w:rPr>
                <w:rFonts w:cstheme="minorHAnsi"/>
              </w:rPr>
              <w:t>343</w:t>
            </w:r>
          </w:p>
        </w:tc>
        <w:tc>
          <w:tcPr>
            <w:tcW w:w="1559" w:type="dxa"/>
            <w:shd w:val="clear" w:color="auto" w:fill="auto"/>
            <w:noWrap/>
            <w:vAlign w:val="bottom"/>
            <w:hideMark/>
          </w:tcPr>
          <w:p w14:paraId="691AA8AD" w14:textId="4CE57620" w:rsidR="005D413F" w:rsidRPr="00FE0ABB" w:rsidRDefault="005D413F" w:rsidP="00AE2F6B">
            <w:pPr>
              <w:spacing w:after="0" w:line="240" w:lineRule="auto"/>
              <w:jc w:val="center"/>
              <w:rPr>
                <w:rFonts w:eastAsia="Times New Roman" w:cstheme="minorHAnsi"/>
                <w:lang w:eastAsia="en-AU"/>
              </w:rPr>
            </w:pPr>
            <w:r w:rsidRPr="00FE0ABB">
              <w:rPr>
                <w:rFonts w:eastAsia="Times New Roman" w:cstheme="minorHAnsi"/>
                <w:lang w:eastAsia="en-AU"/>
              </w:rPr>
              <w:t>25</w:t>
            </w:r>
            <w:r w:rsidR="009468AB">
              <w:rPr>
                <w:rFonts w:eastAsia="Times New Roman" w:cstheme="minorHAnsi"/>
                <w:lang w:eastAsia="en-AU"/>
              </w:rPr>
              <w:t>,</w:t>
            </w:r>
            <w:r w:rsidRPr="00FE0ABB">
              <w:rPr>
                <w:rFonts w:eastAsia="Times New Roman" w:cstheme="minorHAnsi"/>
                <w:lang w:eastAsia="en-AU"/>
              </w:rPr>
              <w:t>996</w:t>
            </w:r>
            <w:r w:rsidR="009468AB">
              <w:rPr>
                <w:rFonts w:eastAsia="Times New Roman" w:cstheme="minorHAnsi"/>
                <w:lang w:eastAsia="en-AU"/>
              </w:rPr>
              <w:t>,</w:t>
            </w:r>
            <w:r w:rsidRPr="00FE0ABB">
              <w:rPr>
                <w:rFonts w:eastAsia="Times New Roman" w:cstheme="minorHAnsi"/>
                <w:lang w:eastAsia="en-AU"/>
              </w:rPr>
              <w:t>144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3EC5D6DB" w14:textId="77777777" w:rsidR="005D413F" w:rsidRPr="00FE0ABB" w:rsidRDefault="005D413F" w:rsidP="00AE2F6B">
            <w:pPr>
              <w:spacing w:after="0" w:line="240" w:lineRule="auto"/>
              <w:jc w:val="center"/>
              <w:rPr>
                <w:rFonts w:eastAsia="Times New Roman" w:cstheme="minorHAnsi"/>
                <w:lang w:eastAsia="en-AU"/>
              </w:rPr>
            </w:pPr>
            <w:r w:rsidRPr="00FE0ABB">
              <w:rPr>
                <w:rFonts w:cstheme="minorHAnsi"/>
              </w:rPr>
              <w:t>3.1</w:t>
            </w:r>
          </w:p>
        </w:tc>
        <w:tc>
          <w:tcPr>
            <w:tcW w:w="1236" w:type="dxa"/>
            <w:tcBorders>
              <w:top w:val="single" w:sz="4" w:space="0" w:color="auto"/>
              <w:left w:val="nil"/>
              <w:bottom w:val="single" w:sz="4" w:space="0" w:color="auto"/>
              <w:right w:val="single" w:sz="4" w:space="0" w:color="auto"/>
            </w:tcBorders>
            <w:shd w:val="clear" w:color="auto" w:fill="auto"/>
            <w:vAlign w:val="bottom"/>
          </w:tcPr>
          <w:p w14:paraId="46D05983" w14:textId="77777777" w:rsidR="005D413F" w:rsidRPr="00FE0ABB" w:rsidRDefault="005D413F" w:rsidP="00AE2F6B">
            <w:pPr>
              <w:spacing w:after="0" w:line="240" w:lineRule="auto"/>
              <w:jc w:val="center"/>
              <w:rPr>
                <w:rFonts w:cstheme="minorHAnsi"/>
              </w:rPr>
            </w:pPr>
            <w:r w:rsidRPr="00FE0ABB">
              <w:rPr>
                <w:rFonts w:cstheme="minorHAnsi"/>
              </w:rPr>
              <w:t>70</w:t>
            </w:r>
            <w:r w:rsidR="003C32F1" w:rsidRPr="00FE0ABB">
              <w:rPr>
                <w:rFonts w:cstheme="minorHAnsi"/>
              </w:rPr>
              <w:t xml:space="preserve"> (</w:t>
            </w:r>
            <w:r w:rsidRPr="00FE0ABB">
              <w:rPr>
                <w:rFonts w:cstheme="minorHAnsi"/>
              </w:rPr>
              <w:t>14.3)</w:t>
            </w:r>
          </w:p>
        </w:tc>
        <w:tc>
          <w:tcPr>
            <w:tcW w:w="983" w:type="dxa"/>
            <w:tcBorders>
              <w:top w:val="single" w:sz="4" w:space="0" w:color="auto"/>
              <w:left w:val="single" w:sz="4" w:space="0" w:color="auto"/>
              <w:bottom w:val="single" w:sz="4" w:space="0" w:color="auto"/>
              <w:right w:val="single" w:sz="4" w:space="0" w:color="auto"/>
            </w:tcBorders>
          </w:tcPr>
          <w:p w14:paraId="4206DB25" w14:textId="77777777" w:rsidR="005D413F" w:rsidRPr="00FE0ABB" w:rsidRDefault="00C45E7A" w:rsidP="00AE2F6B">
            <w:pPr>
              <w:spacing w:after="0" w:line="240" w:lineRule="auto"/>
              <w:jc w:val="center"/>
              <w:rPr>
                <w:rFonts w:cstheme="minorHAnsi"/>
              </w:rPr>
            </w:pPr>
            <w:r w:rsidRPr="00FE0ABB">
              <w:rPr>
                <w:rFonts w:cstheme="minorHAnsi"/>
              </w:rPr>
              <w:t>41.6%</w:t>
            </w:r>
          </w:p>
        </w:tc>
        <w:tc>
          <w:tcPr>
            <w:tcW w:w="1608" w:type="dxa"/>
            <w:tcBorders>
              <w:top w:val="single" w:sz="4" w:space="0" w:color="auto"/>
              <w:left w:val="nil"/>
              <w:bottom w:val="single" w:sz="4" w:space="0" w:color="auto"/>
              <w:right w:val="single" w:sz="4" w:space="0" w:color="auto"/>
            </w:tcBorders>
          </w:tcPr>
          <w:p w14:paraId="1C11EB24" w14:textId="77777777" w:rsidR="005D413F" w:rsidRPr="00FE0ABB" w:rsidRDefault="003C32F1" w:rsidP="00AE2F6B">
            <w:pPr>
              <w:spacing w:after="0" w:line="240" w:lineRule="auto"/>
              <w:jc w:val="center"/>
              <w:rPr>
                <w:rFonts w:cstheme="minorHAnsi"/>
              </w:rPr>
            </w:pPr>
            <w:r w:rsidRPr="00FE0ABB">
              <w:rPr>
                <w:rFonts w:cstheme="minorHAnsi"/>
              </w:rPr>
              <w:t>3.2 (2.4)</w:t>
            </w:r>
          </w:p>
        </w:tc>
      </w:tr>
    </w:tbl>
    <w:p w14:paraId="3D700ABF" w14:textId="10D04DE1" w:rsidR="00993E7B" w:rsidRDefault="00993E7B" w:rsidP="00993E7B">
      <w:r>
        <w:t xml:space="preserve">Note: Year 2023 is not presented as only data to </w:t>
      </w:r>
      <w:r w:rsidR="007A59FE">
        <w:t xml:space="preserve">30 </w:t>
      </w:r>
      <w:r>
        <w:t>Jun</w:t>
      </w:r>
      <w:r w:rsidR="00575377">
        <w:t>e</w:t>
      </w:r>
      <w:r w:rsidR="007A59FE">
        <w:t xml:space="preserve"> 2023</w:t>
      </w:r>
      <w:r>
        <w:t xml:space="preserve"> was available</w:t>
      </w:r>
      <w:r w:rsidR="00D13208">
        <w:t>; Year 2017 was used as baseline year</w:t>
      </w:r>
    </w:p>
    <w:p w14:paraId="7C12CD51" w14:textId="77777777" w:rsidR="00661285" w:rsidRDefault="00661285">
      <w:r>
        <w:br w:type="page"/>
      </w:r>
    </w:p>
    <w:p w14:paraId="0E590859" w14:textId="70ADB3DE" w:rsidR="00B25E15" w:rsidRDefault="00B25E15" w:rsidP="00745FEF">
      <w:pPr>
        <w:jc w:val="both"/>
      </w:pPr>
      <w:r>
        <w:t xml:space="preserve">The monthly numbers of the incident HF population (defined as people who had no dispensing of </w:t>
      </w:r>
      <w:r w:rsidR="00661285" w:rsidRPr="00661285">
        <w:t>PBS restricted HF medicines</w:t>
      </w:r>
      <w:r w:rsidR="00661285">
        <w:t xml:space="preserve"> </w:t>
      </w:r>
      <w:r>
        <w:t xml:space="preserve">in the previous 12 months) </w:t>
      </w:r>
      <w:r w:rsidR="00575377">
        <w:t>are</w:t>
      </w:r>
      <w:r>
        <w:t xml:space="preserve"> shown in Figure 4. </w:t>
      </w:r>
      <w:r w:rsidR="00661285">
        <w:t>The increase in the incident HF restricted medicine population in 2022 occurs at the time that two SGLT2 inhibitors were listed on the PBS for HF.</w:t>
      </w:r>
    </w:p>
    <w:p w14:paraId="4F6F1F1E" w14:textId="16DA2B03" w:rsidR="00552C55" w:rsidRDefault="00552C55" w:rsidP="0079747D">
      <w:pPr>
        <w:spacing w:after="0"/>
        <w:rPr>
          <w:i/>
          <w:iCs/>
        </w:rPr>
      </w:pPr>
      <w:r>
        <w:rPr>
          <w:noProof/>
          <w:lang w:eastAsia="en-AU"/>
        </w:rPr>
        <w:drawing>
          <wp:inline distT="0" distB="0" distL="0" distR="0" wp14:anchorId="4AB0D3A7" wp14:editId="639861A1">
            <wp:extent cx="5676900" cy="4387850"/>
            <wp:effectExtent l="0" t="0" r="0" b="12700"/>
            <wp:docPr id="42" name="Chart 42" descr="Graph showing an increasing incidence of people being prescribed their first heart failure specific medicine (3,000 to 8,000) between January 2018 to May 2023.">
              <a:extLst xmlns:a="http://schemas.openxmlformats.org/drawingml/2006/main">
                <a:ext uri="{FF2B5EF4-FFF2-40B4-BE49-F238E27FC236}">
                  <a16:creationId xmlns:a16="http://schemas.microsoft.com/office/drawing/2014/main" id="{A55B987E-C63F-42E3-8E89-E29D39BCAD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7DA82F7" w14:textId="6686B3E7" w:rsidR="002043BE" w:rsidRPr="00661285" w:rsidRDefault="002043BE" w:rsidP="00017F20">
      <w:pPr>
        <w:rPr>
          <w:b/>
          <w:bCs/>
        </w:rPr>
      </w:pPr>
      <w:r w:rsidRPr="00661285">
        <w:rPr>
          <w:b/>
          <w:bCs/>
        </w:rPr>
        <w:t xml:space="preserve">Figure 4. </w:t>
      </w:r>
      <w:r w:rsidR="00AE2F6B" w:rsidRPr="00661285">
        <w:rPr>
          <w:b/>
          <w:bCs/>
        </w:rPr>
        <w:t xml:space="preserve"> Population i</w:t>
      </w:r>
      <w:r w:rsidRPr="00661285">
        <w:rPr>
          <w:b/>
          <w:bCs/>
        </w:rPr>
        <w:t xml:space="preserve">ncident </w:t>
      </w:r>
      <w:r w:rsidR="00AE2F6B" w:rsidRPr="00661285">
        <w:rPr>
          <w:b/>
          <w:bCs/>
        </w:rPr>
        <w:t xml:space="preserve">to </w:t>
      </w:r>
      <w:r w:rsidR="00C33159" w:rsidRPr="00661285">
        <w:rPr>
          <w:b/>
          <w:bCs/>
        </w:rPr>
        <w:t xml:space="preserve">PBS </w:t>
      </w:r>
      <w:r w:rsidR="00AE2F6B" w:rsidRPr="00661285">
        <w:rPr>
          <w:b/>
          <w:bCs/>
        </w:rPr>
        <w:t xml:space="preserve">restricted </w:t>
      </w:r>
      <w:r w:rsidR="00C33159" w:rsidRPr="00661285">
        <w:rPr>
          <w:b/>
          <w:bCs/>
        </w:rPr>
        <w:t xml:space="preserve">HF </w:t>
      </w:r>
      <w:r w:rsidR="00AE2F6B" w:rsidRPr="00661285">
        <w:rPr>
          <w:b/>
          <w:bCs/>
        </w:rPr>
        <w:t>medicines</w:t>
      </w:r>
      <w:r w:rsidR="00E90B05" w:rsidRPr="00661285">
        <w:rPr>
          <w:b/>
          <w:bCs/>
        </w:rPr>
        <w:t xml:space="preserve"> by month</w:t>
      </w:r>
    </w:p>
    <w:p w14:paraId="262DB518" w14:textId="77777777" w:rsidR="00575377" w:rsidRDefault="00575377">
      <w:bookmarkStart w:id="21" w:name="_Toc25146407"/>
      <w:bookmarkStart w:id="22" w:name="_Toc43980767"/>
      <w:r>
        <w:br w:type="page"/>
      </w:r>
    </w:p>
    <w:p w14:paraId="0FED4197" w14:textId="19F34F16" w:rsidR="00661285" w:rsidRDefault="00661285" w:rsidP="00661285">
      <w:pPr>
        <w:jc w:val="both"/>
        <w:rPr>
          <w:lang w:val="en-US"/>
        </w:rPr>
      </w:pPr>
      <w:r>
        <w:t xml:space="preserve">Figures 5a and 5b show the </w:t>
      </w:r>
      <w:r w:rsidRPr="00143668">
        <w:t xml:space="preserve">incident HF population by the type of medicine (at the level of class) of initiation.  Figure 5a shows </w:t>
      </w:r>
      <w:r w:rsidR="00FE0ABB" w:rsidRPr="00143668">
        <w:t xml:space="preserve">that </w:t>
      </w:r>
      <w:proofErr w:type="gramStart"/>
      <w:r w:rsidR="00FE0ABB" w:rsidRPr="00143668">
        <w:t>the</w:t>
      </w:r>
      <w:r w:rsidR="00FE0ABB">
        <w:t xml:space="preserve"> majority of</w:t>
      </w:r>
      <w:proofErr w:type="gramEnd"/>
      <w:r w:rsidR="00FE0ABB">
        <w:t xml:space="preserve"> people were initiated on BB.</w:t>
      </w:r>
      <w:r w:rsidR="00AE2F6B">
        <w:t xml:space="preserve"> </w:t>
      </w:r>
    </w:p>
    <w:p w14:paraId="1EF3DE11" w14:textId="1BF9F83A" w:rsidR="002B3106" w:rsidRDefault="002B3106" w:rsidP="00B51CDA">
      <w:pPr>
        <w:jc w:val="both"/>
        <w:rPr>
          <w:lang w:val="en-US"/>
        </w:rPr>
      </w:pPr>
    </w:p>
    <w:p w14:paraId="0C9AE548" w14:textId="77777777" w:rsidR="002043BE" w:rsidRDefault="002043BE" w:rsidP="0079747D">
      <w:pPr>
        <w:spacing w:after="0"/>
        <w:rPr>
          <w:lang w:val="en-US"/>
        </w:rPr>
      </w:pPr>
      <w:r>
        <w:rPr>
          <w:noProof/>
          <w:lang w:eastAsia="en-AU"/>
        </w:rPr>
        <w:drawing>
          <wp:inline distT="0" distB="0" distL="0" distR="0" wp14:anchorId="0417D2DB" wp14:editId="54562693">
            <wp:extent cx="5829300" cy="6292850"/>
            <wp:effectExtent l="0" t="0" r="0" b="12700"/>
            <wp:docPr id="9" name="Chart 9" descr="Graph showing that a majority of incident heart failure cases are prescribed a heart failure specific beta blocker medicine.">
              <a:extLst xmlns:a="http://schemas.openxmlformats.org/drawingml/2006/main">
                <a:ext uri="{FF2B5EF4-FFF2-40B4-BE49-F238E27FC236}">
                  <a16:creationId xmlns:a16="http://schemas.microsoft.com/office/drawing/2014/main" id="{C6F3C25A-AD62-FAC3-9E26-FCE2B747D5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5AA9FD" w14:textId="27CF1A4C" w:rsidR="00FE0ABB" w:rsidRPr="00143668" w:rsidRDefault="00FE0ABB" w:rsidP="00FE0ABB">
      <w:pPr>
        <w:spacing w:after="0" w:line="240" w:lineRule="auto"/>
        <w:rPr>
          <w:b/>
          <w:bCs/>
        </w:rPr>
      </w:pPr>
      <w:r w:rsidRPr="00143668">
        <w:rPr>
          <w:b/>
          <w:bCs/>
        </w:rPr>
        <w:t>Figure 5</w:t>
      </w:r>
      <w:r w:rsidR="00460DD8" w:rsidRPr="00143668">
        <w:rPr>
          <w:b/>
          <w:bCs/>
        </w:rPr>
        <w:t>a</w:t>
      </w:r>
      <w:r w:rsidRPr="00143668">
        <w:rPr>
          <w:b/>
          <w:bCs/>
        </w:rPr>
        <w:t xml:space="preserve">. Count of </w:t>
      </w:r>
      <w:r w:rsidR="00AE2F6B" w:rsidRPr="00143668">
        <w:rPr>
          <w:b/>
          <w:bCs/>
        </w:rPr>
        <w:t xml:space="preserve">population </w:t>
      </w:r>
      <w:r w:rsidRPr="00143668">
        <w:rPr>
          <w:b/>
          <w:bCs/>
        </w:rPr>
        <w:t xml:space="preserve">incident </w:t>
      </w:r>
      <w:r w:rsidR="00AE2F6B" w:rsidRPr="00143668">
        <w:rPr>
          <w:b/>
          <w:bCs/>
        </w:rPr>
        <w:t xml:space="preserve">to </w:t>
      </w:r>
      <w:r w:rsidR="00143668" w:rsidRPr="00143668">
        <w:rPr>
          <w:b/>
          <w:bCs/>
        </w:rPr>
        <w:t xml:space="preserve">PBS restricted HF medicines </w:t>
      </w:r>
      <w:r w:rsidRPr="00143668">
        <w:rPr>
          <w:b/>
          <w:bCs/>
        </w:rPr>
        <w:t>by month and class</w:t>
      </w:r>
    </w:p>
    <w:p w14:paraId="0A38168C" w14:textId="77777777" w:rsidR="00FE0ABB" w:rsidRPr="008B0243" w:rsidRDefault="00FE0ABB" w:rsidP="00FE0ABB">
      <w:pPr>
        <w:spacing w:after="0" w:line="240" w:lineRule="auto"/>
        <w:rPr>
          <w:rFonts w:cstheme="minorHAnsi"/>
          <w:i/>
          <w:iCs/>
          <w:sz w:val="18"/>
          <w:szCs w:val="18"/>
        </w:rPr>
      </w:pPr>
      <w:r w:rsidRPr="008B0243">
        <w:rPr>
          <w:rFonts w:cstheme="minorHAnsi"/>
          <w:i/>
          <w:iCs/>
          <w:sz w:val="18"/>
          <w:szCs w:val="18"/>
        </w:rPr>
        <w:t xml:space="preserve">Legend: </w:t>
      </w:r>
    </w:p>
    <w:p w14:paraId="24C59EDA" w14:textId="77777777" w:rsidR="00FE0ABB" w:rsidRPr="008B0243" w:rsidRDefault="00FE0ABB" w:rsidP="00FE0ABB">
      <w:pPr>
        <w:spacing w:after="0"/>
        <w:rPr>
          <w:rFonts w:cstheme="minorHAnsi"/>
          <w:i/>
          <w:iCs/>
          <w:sz w:val="18"/>
          <w:szCs w:val="18"/>
        </w:rPr>
      </w:pPr>
      <w:r w:rsidRPr="008B0243">
        <w:rPr>
          <w:rFonts w:cstheme="minorHAnsi"/>
          <w:i/>
          <w:iCs/>
          <w:sz w:val="18"/>
          <w:szCs w:val="18"/>
        </w:rPr>
        <w:t xml:space="preserve">“+” denotes initiation on combination </w:t>
      </w:r>
    </w:p>
    <w:p w14:paraId="4C6BC831" w14:textId="77777777" w:rsidR="00FE0ABB" w:rsidRPr="008B0243" w:rsidRDefault="00FE0ABB" w:rsidP="00FE0ABB">
      <w:pPr>
        <w:spacing w:after="0"/>
        <w:rPr>
          <w:rFonts w:cstheme="minorHAnsi"/>
          <w:i/>
          <w:iCs/>
          <w:sz w:val="18"/>
          <w:szCs w:val="18"/>
        </w:rPr>
      </w:pPr>
      <w:r w:rsidRPr="008B0243">
        <w:rPr>
          <w:rFonts w:cstheme="minorHAnsi"/>
          <w:i/>
          <w:iCs/>
          <w:sz w:val="18"/>
          <w:szCs w:val="18"/>
        </w:rPr>
        <w:t>BB – Beta-Blockers</w:t>
      </w:r>
    </w:p>
    <w:p w14:paraId="5DEBE614" w14:textId="77777777" w:rsidR="00FE0ABB" w:rsidRPr="008B0243" w:rsidRDefault="00FE0ABB" w:rsidP="00FE0ABB">
      <w:pPr>
        <w:spacing w:after="0"/>
        <w:rPr>
          <w:rFonts w:cstheme="minorHAnsi"/>
          <w:i/>
          <w:iCs/>
          <w:sz w:val="18"/>
          <w:szCs w:val="18"/>
        </w:rPr>
      </w:pPr>
      <w:r w:rsidRPr="008B0243">
        <w:rPr>
          <w:rFonts w:cstheme="minorHAnsi"/>
          <w:i/>
          <w:iCs/>
          <w:sz w:val="18"/>
          <w:szCs w:val="18"/>
        </w:rPr>
        <w:t>MRA - Mineralocorticoid receptor antagonist</w:t>
      </w:r>
    </w:p>
    <w:p w14:paraId="3DE664C8" w14:textId="77777777" w:rsidR="00FE0ABB" w:rsidRPr="008B0243" w:rsidRDefault="00FE0ABB" w:rsidP="00FE0ABB">
      <w:pPr>
        <w:spacing w:after="0"/>
        <w:rPr>
          <w:rFonts w:cstheme="minorHAnsi"/>
          <w:i/>
          <w:iCs/>
          <w:sz w:val="18"/>
          <w:szCs w:val="18"/>
        </w:rPr>
      </w:pPr>
      <w:r w:rsidRPr="008B0243">
        <w:rPr>
          <w:rFonts w:cstheme="minorHAnsi"/>
          <w:i/>
          <w:iCs/>
          <w:sz w:val="18"/>
          <w:szCs w:val="18"/>
        </w:rPr>
        <w:t>SGLT2 – Sodium-glucose co-transporter 2 inhibitors</w:t>
      </w:r>
    </w:p>
    <w:p w14:paraId="4AB52C7D" w14:textId="77777777" w:rsidR="00FE0ABB" w:rsidRPr="008B0243" w:rsidRDefault="00FE0ABB" w:rsidP="00FE0ABB">
      <w:pPr>
        <w:spacing w:after="0"/>
        <w:rPr>
          <w:rFonts w:cstheme="minorHAnsi"/>
          <w:i/>
          <w:iCs/>
          <w:sz w:val="18"/>
          <w:szCs w:val="18"/>
        </w:rPr>
      </w:pPr>
      <w:r w:rsidRPr="008B0243">
        <w:rPr>
          <w:rFonts w:cstheme="minorHAnsi"/>
          <w:i/>
          <w:iCs/>
          <w:sz w:val="18"/>
          <w:szCs w:val="18"/>
        </w:rPr>
        <w:t xml:space="preserve">ARNI – angiotensin receptor neprilysin inhibitor </w:t>
      </w:r>
    </w:p>
    <w:p w14:paraId="23789D77" w14:textId="77777777" w:rsidR="00FE0ABB" w:rsidRPr="008B0243" w:rsidRDefault="00FE0ABB" w:rsidP="00FE0ABB">
      <w:pPr>
        <w:spacing w:after="0"/>
        <w:rPr>
          <w:rFonts w:cstheme="minorHAnsi"/>
          <w:i/>
          <w:iCs/>
          <w:color w:val="4D5156"/>
          <w:sz w:val="18"/>
          <w:szCs w:val="18"/>
          <w:shd w:val="clear" w:color="auto" w:fill="FFFFFF"/>
        </w:rPr>
      </w:pPr>
      <w:r w:rsidRPr="008B0243">
        <w:rPr>
          <w:rFonts w:cstheme="minorHAnsi"/>
          <w:i/>
          <w:iCs/>
          <w:sz w:val="18"/>
          <w:szCs w:val="18"/>
        </w:rPr>
        <w:t>HCN</w:t>
      </w:r>
      <w:r w:rsidRPr="008B0243">
        <w:rPr>
          <w:rFonts w:cstheme="minorHAnsi"/>
          <w:i/>
          <w:iCs/>
          <w:color w:val="4D5156"/>
          <w:sz w:val="18"/>
          <w:szCs w:val="18"/>
          <w:shd w:val="clear" w:color="auto" w:fill="FFFFFF"/>
        </w:rPr>
        <w:t xml:space="preserve"> - </w:t>
      </w:r>
      <w:r w:rsidRPr="008B0243">
        <w:rPr>
          <w:rFonts w:cstheme="minorHAnsi"/>
          <w:i/>
          <w:iCs/>
          <w:sz w:val="18"/>
          <w:szCs w:val="18"/>
          <w:shd w:val="clear" w:color="auto" w:fill="FFFFFF"/>
        </w:rPr>
        <w:t>Hyperpolarization-activated Cyclic Nucleotide-gated</w:t>
      </w:r>
    </w:p>
    <w:p w14:paraId="653DA0D7" w14:textId="77777777" w:rsidR="00FE0ABB" w:rsidRDefault="00FE0ABB" w:rsidP="00FE0ABB">
      <w:pPr>
        <w:spacing w:after="0"/>
        <w:rPr>
          <w:rFonts w:cstheme="minorHAnsi"/>
          <w:i/>
          <w:iCs/>
          <w:sz w:val="18"/>
          <w:szCs w:val="18"/>
        </w:rPr>
      </w:pPr>
      <w:r w:rsidRPr="008B0243">
        <w:rPr>
          <w:rFonts w:cstheme="minorHAnsi"/>
          <w:i/>
          <w:iCs/>
          <w:sz w:val="18"/>
          <w:szCs w:val="18"/>
        </w:rPr>
        <w:t>SGC – Soluble Guanylate Cyclase</w:t>
      </w:r>
    </w:p>
    <w:p w14:paraId="1C787A66" w14:textId="2F3CA9A2" w:rsidR="00143668" w:rsidRDefault="00143668" w:rsidP="00143668">
      <w:pPr>
        <w:jc w:val="both"/>
        <w:rPr>
          <w:lang w:val="en-US"/>
        </w:rPr>
      </w:pPr>
      <w:r>
        <w:t xml:space="preserve">Figure 5b shows the same data as Figure 5a, without the BB monotherapy initiators. SGLT2 monotherapy initiation accounts for the second most frequent initiation schedule by the end of the data period, with ARNI the third, while ARNI with SGLT2 is the fourth most frequent initiation schedule by the end of the data period. </w:t>
      </w:r>
    </w:p>
    <w:p w14:paraId="0850444E" w14:textId="77777777" w:rsidR="00FE0ABB" w:rsidRDefault="00FE0ABB" w:rsidP="002043BE">
      <w:pPr>
        <w:rPr>
          <w:lang w:val="en-US"/>
        </w:rPr>
      </w:pPr>
    </w:p>
    <w:p w14:paraId="0A5922E8" w14:textId="17DAA1A1" w:rsidR="00FE0ABB" w:rsidRDefault="00661285" w:rsidP="008B0243">
      <w:pPr>
        <w:spacing w:after="0" w:line="240" w:lineRule="auto"/>
        <w:rPr>
          <w:b/>
          <w:bCs/>
        </w:rPr>
      </w:pPr>
      <w:r>
        <w:rPr>
          <w:noProof/>
          <w:lang w:eastAsia="en-AU"/>
        </w:rPr>
        <w:drawing>
          <wp:inline distT="0" distB="0" distL="0" distR="0" wp14:anchorId="397748F3" wp14:editId="2AD54743">
            <wp:extent cx="5731510" cy="5457825"/>
            <wp:effectExtent l="0" t="0" r="2540" b="9525"/>
            <wp:docPr id="4" name="Chart 4" descr="Graph showing that since March 2022, SGLT2 monotherapy is the second most initiated drug regimen, followed by ARNI in third and ARNI combined with an SGLT2 the fourth most common drug regimen initiated for heart failure.">
              <a:extLst xmlns:a="http://schemas.openxmlformats.org/drawingml/2006/main">
                <a:ext uri="{FF2B5EF4-FFF2-40B4-BE49-F238E27FC236}">
                  <a16:creationId xmlns:a16="http://schemas.microsoft.com/office/drawing/2014/main" id="{C6F3C25A-AD62-FAC3-9E26-FCE2B747D5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E1B4DCA" w14:textId="469C5711" w:rsidR="00143668" w:rsidRPr="00143668" w:rsidRDefault="002043BE" w:rsidP="00143668">
      <w:pPr>
        <w:spacing w:after="0" w:line="240" w:lineRule="auto"/>
        <w:rPr>
          <w:b/>
          <w:bCs/>
        </w:rPr>
      </w:pPr>
      <w:r w:rsidRPr="002043BE">
        <w:rPr>
          <w:b/>
          <w:bCs/>
        </w:rPr>
        <w:t xml:space="preserve">Figure </w:t>
      </w:r>
      <w:r>
        <w:rPr>
          <w:b/>
          <w:bCs/>
        </w:rPr>
        <w:t>5</w:t>
      </w:r>
      <w:r w:rsidR="00FE0ABB">
        <w:rPr>
          <w:b/>
          <w:bCs/>
        </w:rPr>
        <w:t>b</w:t>
      </w:r>
      <w:r w:rsidRPr="002043BE">
        <w:t xml:space="preserve">. </w:t>
      </w:r>
      <w:r w:rsidR="00143668" w:rsidRPr="00143668">
        <w:rPr>
          <w:b/>
          <w:bCs/>
        </w:rPr>
        <w:t>Count of population incident to PBS restricted HF medicines by month and class</w:t>
      </w:r>
      <w:r w:rsidR="00143668">
        <w:rPr>
          <w:b/>
          <w:bCs/>
        </w:rPr>
        <w:t xml:space="preserve"> (excluding BB monotherapy initiators) </w:t>
      </w:r>
    </w:p>
    <w:p w14:paraId="6D1390AB" w14:textId="38841873" w:rsidR="00F338C0" w:rsidRPr="008B0243" w:rsidRDefault="00F338C0" w:rsidP="00AE2F6B">
      <w:pPr>
        <w:spacing w:after="0" w:line="240" w:lineRule="auto"/>
        <w:rPr>
          <w:rFonts w:cstheme="minorHAnsi"/>
          <w:i/>
          <w:iCs/>
          <w:sz w:val="18"/>
          <w:szCs w:val="18"/>
        </w:rPr>
      </w:pPr>
      <w:r w:rsidRPr="008B0243">
        <w:rPr>
          <w:rFonts w:cstheme="minorHAnsi"/>
          <w:i/>
          <w:iCs/>
          <w:sz w:val="18"/>
          <w:szCs w:val="18"/>
        </w:rPr>
        <w:t xml:space="preserve">Legend: “+” denotes initiation on combination </w:t>
      </w:r>
    </w:p>
    <w:p w14:paraId="22A1F220" w14:textId="77777777" w:rsidR="00F338C0" w:rsidRPr="008B0243" w:rsidRDefault="00F338C0" w:rsidP="00F338C0">
      <w:pPr>
        <w:spacing w:after="0"/>
        <w:rPr>
          <w:rFonts w:cstheme="minorHAnsi"/>
          <w:i/>
          <w:iCs/>
          <w:sz w:val="18"/>
          <w:szCs w:val="18"/>
        </w:rPr>
      </w:pPr>
      <w:r w:rsidRPr="008B0243">
        <w:rPr>
          <w:rFonts w:cstheme="minorHAnsi"/>
          <w:i/>
          <w:iCs/>
          <w:sz w:val="18"/>
          <w:szCs w:val="18"/>
        </w:rPr>
        <w:t>BB – Beta-Blockers</w:t>
      </w:r>
    </w:p>
    <w:p w14:paraId="39D26ECC" w14:textId="77777777" w:rsidR="00F338C0" w:rsidRPr="008B0243" w:rsidRDefault="00F338C0" w:rsidP="00F338C0">
      <w:pPr>
        <w:spacing w:after="0"/>
        <w:rPr>
          <w:rFonts w:cstheme="minorHAnsi"/>
          <w:i/>
          <w:iCs/>
          <w:sz w:val="18"/>
          <w:szCs w:val="18"/>
        </w:rPr>
      </w:pPr>
      <w:r w:rsidRPr="008B0243">
        <w:rPr>
          <w:rFonts w:cstheme="minorHAnsi"/>
          <w:i/>
          <w:iCs/>
          <w:sz w:val="18"/>
          <w:szCs w:val="18"/>
        </w:rPr>
        <w:t>MRA - Mineralocorticoid receptor antagonist</w:t>
      </w:r>
    </w:p>
    <w:p w14:paraId="58F1524A" w14:textId="77777777" w:rsidR="00F338C0" w:rsidRPr="008B0243" w:rsidRDefault="00F338C0" w:rsidP="00F338C0">
      <w:pPr>
        <w:spacing w:after="0"/>
        <w:rPr>
          <w:rFonts w:cstheme="minorHAnsi"/>
          <w:i/>
          <w:iCs/>
          <w:sz w:val="18"/>
          <w:szCs w:val="18"/>
        </w:rPr>
      </w:pPr>
      <w:r w:rsidRPr="008B0243">
        <w:rPr>
          <w:rFonts w:cstheme="minorHAnsi"/>
          <w:i/>
          <w:iCs/>
          <w:sz w:val="18"/>
          <w:szCs w:val="18"/>
        </w:rPr>
        <w:t>SGLT2 – Sodium-glucose co-transporter 2 inhibitors</w:t>
      </w:r>
    </w:p>
    <w:p w14:paraId="3CEEB3FB" w14:textId="77777777" w:rsidR="00F338C0" w:rsidRPr="008B0243" w:rsidRDefault="00F338C0" w:rsidP="00F338C0">
      <w:pPr>
        <w:spacing w:after="0"/>
        <w:rPr>
          <w:rFonts w:cstheme="minorHAnsi"/>
          <w:i/>
          <w:iCs/>
          <w:sz w:val="18"/>
          <w:szCs w:val="18"/>
        </w:rPr>
      </w:pPr>
      <w:r w:rsidRPr="008B0243">
        <w:rPr>
          <w:rFonts w:cstheme="minorHAnsi"/>
          <w:i/>
          <w:iCs/>
          <w:sz w:val="18"/>
          <w:szCs w:val="18"/>
        </w:rPr>
        <w:t xml:space="preserve">ARNI – angiotensin receptor neprilysin inhibitor </w:t>
      </w:r>
    </w:p>
    <w:p w14:paraId="2C7B6885" w14:textId="77777777" w:rsidR="00F338C0" w:rsidRPr="008B0243" w:rsidRDefault="00F338C0" w:rsidP="00F338C0">
      <w:pPr>
        <w:spacing w:after="0"/>
        <w:rPr>
          <w:rFonts w:cstheme="minorHAnsi"/>
          <w:i/>
          <w:iCs/>
          <w:color w:val="4D5156"/>
          <w:sz w:val="18"/>
          <w:szCs w:val="18"/>
          <w:shd w:val="clear" w:color="auto" w:fill="FFFFFF"/>
        </w:rPr>
      </w:pPr>
      <w:r w:rsidRPr="008B0243">
        <w:rPr>
          <w:rFonts w:cstheme="minorHAnsi"/>
          <w:i/>
          <w:iCs/>
          <w:sz w:val="18"/>
          <w:szCs w:val="18"/>
        </w:rPr>
        <w:t>HCN</w:t>
      </w:r>
      <w:r w:rsidRPr="008B0243">
        <w:rPr>
          <w:rFonts w:cstheme="minorHAnsi"/>
          <w:i/>
          <w:iCs/>
          <w:color w:val="4D5156"/>
          <w:sz w:val="18"/>
          <w:szCs w:val="18"/>
          <w:shd w:val="clear" w:color="auto" w:fill="FFFFFF"/>
        </w:rPr>
        <w:t xml:space="preserve"> - </w:t>
      </w:r>
      <w:r w:rsidRPr="008B0243">
        <w:rPr>
          <w:rFonts w:cstheme="minorHAnsi"/>
          <w:i/>
          <w:iCs/>
          <w:sz w:val="18"/>
          <w:szCs w:val="18"/>
          <w:shd w:val="clear" w:color="auto" w:fill="FFFFFF"/>
        </w:rPr>
        <w:t>Hyperpolarization-activated Cyclic Nucleotide-gated</w:t>
      </w:r>
    </w:p>
    <w:p w14:paraId="156582F9" w14:textId="77777777" w:rsidR="00F338C0" w:rsidRDefault="00F338C0" w:rsidP="00F338C0">
      <w:pPr>
        <w:spacing w:after="0"/>
        <w:rPr>
          <w:rFonts w:cstheme="minorHAnsi"/>
          <w:i/>
          <w:iCs/>
          <w:sz w:val="18"/>
          <w:szCs w:val="18"/>
        </w:rPr>
      </w:pPr>
      <w:r w:rsidRPr="008B0243">
        <w:rPr>
          <w:rFonts w:cstheme="minorHAnsi"/>
          <w:i/>
          <w:iCs/>
          <w:sz w:val="18"/>
          <w:szCs w:val="18"/>
        </w:rPr>
        <w:t>SGC – Soluble Guanylate Cyclase</w:t>
      </w:r>
    </w:p>
    <w:p w14:paraId="7FD8BBB5" w14:textId="77777777" w:rsidR="00143668" w:rsidRDefault="00143668">
      <w:r>
        <w:br w:type="page"/>
      </w:r>
    </w:p>
    <w:p w14:paraId="725E36F6" w14:textId="0C8142CE" w:rsidR="00B25E15" w:rsidRPr="00D13208" w:rsidRDefault="00B25E15" w:rsidP="00B51CDA">
      <w:pPr>
        <w:jc w:val="both"/>
      </w:pPr>
      <w:r>
        <w:t xml:space="preserve">Figure 6 shows the </w:t>
      </w:r>
      <w:r w:rsidR="00143668">
        <w:t xml:space="preserve">counts of people initiating </w:t>
      </w:r>
      <w:r>
        <w:t xml:space="preserve">to a class of HF medicine defined as initiation of a given class after no dispensing for that class in the previous 12 months. </w:t>
      </w:r>
      <w:r w:rsidR="00143668">
        <w:t xml:space="preserve">(Note, in this analysis people may have had a prior different PBS restricted HF medicine).  </w:t>
      </w:r>
      <w:r>
        <w:t xml:space="preserve">BB was the </w:t>
      </w:r>
      <w:proofErr w:type="gramStart"/>
      <w:r>
        <w:t>most commonly initiated</w:t>
      </w:r>
      <w:proofErr w:type="gramEnd"/>
      <w:r>
        <w:t xml:space="preserve"> class.</w:t>
      </w:r>
      <w:r w:rsidR="00143668">
        <w:t xml:space="preserve"> </w:t>
      </w:r>
      <w:r w:rsidR="00FE77E6">
        <w:t>While speculative, t</w:t>
      </w:r>
      <w:r w:rsidR="00143668">
        <w:t xml:space="preserve">here does appear to be a slight fall in BB initiations in 2021 which may represent the influence of the COVID pandemic, and the slight rise in late 2022 may represent “catch up” prescribing. </w:t>
      </w:r>
      <w:r w:rsidR="00556973">
        <w:t>The slight rise in late 2022 may also be influenced by the reduction in the concessional safety net prescription threshold by 12 prescri</w:t>
      </w:r>
      <w:r w:rsidR="0079747D">
        <w:t>ptions</w:t>
      </w:r>
      <w:r w:rsidR="00556973">
        <w:t xml:space="preserve"> in July 2022. </w:t>
      </w:r>
    </w:p>
    <w:p w14:paraId="69F96EA9" w14:textId="297DA177" w:rsidR="00D72EEE" w:rsidRDefault="00D72EEE" w:rsidP="0079747D">
      <w:pPr>
        <w:spacing w:after="0"/>
        <w:rPr>
          <w:lang w:val="en-US"/>
        </w:rPr>
      </w:pPr>
      <w:r>
        <w:rPr>
          <w:noProof/>
          <w:lang w:eastAsia="en-AU"/>
        </w:rPr>
        <w:drawing>
          <wp:inline distT="0" distB="0" distL="0" distR="0" wp14:anchorId="53A82912" wp14:editId="42792405">
            <wp:extent cx="5816600" cy="5191125"/>
            <wp:effectExtent l="0" t="0" r="12700" b="9525"/>
            <wp:docPr id="48" name="Chart 48" descr="Graph showing that beta blockers are the most commonly initiated class of medicines for heart failure.">
              <a:extLst xmlns:a="http://schemas.openxmlformats.org/drawingml/2006/main">
                <a:ext uri="{FF2B5EF4-FFF2-40B4-BE49-F238E27FC236}">
                  <a16:creationId xmlns:a16="http://schemas.microsoft.com/office/drawing/2014/main" id="{375DC5D8-1AAB-4739-B6C5-C9B558AC20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64928C6" w14:textId="5E3010C1" w:rsidR="00E90B05" w:rsidRPr="00143668" w:rsidRDefault="00E90B05" w:rsidP="00F47F92">
      <w:pPr>
        <w:spacing w:after="0" w:line="240" w:lineRule="auto"/>
        <w:rPr>
          <w:b/>
          <w:bCs/>
        </w:rPr>
      </w:pPr>
      <w:r w:rsidRPr="00143668">
        <w:rPr>
          <w:b/>
          <w:bCs/>
        </w:rPr>
        <w:t xml:space="preserve">Figure 6. </w:t>
      </w:r>
      <w:r w:rsidR="00AE2F6B" w:rsidRPr="00143668">
        <w:rPr>
          <w:b/>
          <w:bCs/>
        </w:rPr>
        <w:t>Population i</w:t>
      </w:r>
      <w:r w:rsidRPr="00143668">
        <w:rPr>
          <w:b/>
          <w:bCs/>
        </w:rPr>
        <w:t>nciden</w:t>
      </w:r>
      <w:r w:rsidR="00AE2F6B" w:rsidRPr="00143668">
        <w:rPr>
          <w:b/>
          <w:bCs/>
        </w:rPr>
        <w:t>t</w:t>
      </w:r>
      <w:r w:rsidR="00FE0ABB" w:rsidRPr="00143668">
        <w:rPr>
          <w:b/>
          <w:bCs/>
        </w:rPr>
        <w:t xml:space="preserve"> (count)</w:t>
      </w:r>
      <w:r w:rsidRPr="00143668">
        <w:rPr>
          <w:b/>
          <w:bCs/>
        </w:rPr>
        <w:t xml:space="preserve"> </w:t>
      </w:r>
      <w:r w:rsidR="00026636" w:rsidRPr="00143668">
        <w:rPr>
          <w:b/>
          <w:bCs/>
        </w:rPr>
        <w:t>to a</w:t>
      </w:r>
      <w:r w:rsidRPr="00143668">
        <w:rPr>
          <w:b/>
          <w:bCs/>
        </w:rPr>
        <w:t xml:space="preserve"> class</w:t>
      </w:r>
      <w:r w:rsidR="00026636" w:rsidRPr="00143668">
        <w:rPr>
          <w:b/>
          <w:bCs/>
        </w:rPr>
        <w:t xml:space="preserve"> of </w:t>
      </w:r>
      <w:r w:rsidR="00143668" w:rsidRPr="00143668">
        <w:rPr>
          <w:b/>
          <w:bCs/>
        </w:rPr>
        <w:t xml:space="preserve">PBS </w:t>
      </w:r>
      <w:r w:rsidR="00026636" w:rsidRPr="00143668">
        <w:rPr>
          <w:b/>
          <w:bCs/>
        </w:rPr>
        <w:t>medicines restricted to HF</w:t>
      </w:r>
    </w:p>
    <w:p w14:paraId="3FADE648" w14:textId="77777777" w:rsidR="00026636" w:rsidRPr="008B0243" w:rsidRDefault="00026636" w:rsidP="008B0243">
      <w:pPr>
        <w:spacing w:after="0" w:line="240" w:lineRule="auto"/>
        <w:rPr>
          <w:rFonts w:cstheme="minorHAnsi"/>
          <w:i/>
          <w:iCs/>
          <w:color w:val="4D5156"/>
          <w:sz w:val="18"/>
          <w:szCs w:val="18"/>
          <w:shd w:val="clear" w:color="auto" w:fill="FFFFFF"/>
        </w:rPr>
      </w:pPr>
      <w:r w:rsidRPr="008B0243">
        <w:rPr>
          <w:rFonts w:cstheme="minorHAnsi"/>
          <w:i/>
          <w:iCs/>
          <w:sz w:val="18"/>
          <w:szCs w:val="18"/>
        </w:rPr>
        <w:t>Legend: BB – Beta-Blockers</w:t>
      </w:r>
      <w:r w:rsidR="00DD474A">
        <w:rPr>
          <w:rFonts w:cstheme="minorHAnsi"/>
          <w:i/>
          <w:iCs/>
          <w:sz w:val="18"/>
          <w:szCs w:val="18"/>
        </w:rPr>
        <w:t xml:space="preserve">, </w:t>
      </w:r>
      <w:r w:rsidRPr="008B0243">
        <w:rPr>
          <w:rFonts w:cstheme="minorHAnsi"/>
          <w:i/>
          <w:iCs/>
          <w:sz w:val="18"/>
          <w:szCs w:val="18"/>
        </w:rPr>
        <w:t>MRA - Mineralocorticoid receptor antagonist</w:t>
      </w:r>
      <w:r w:rsidR="00DD474A">
        <w:rPr>
          <w:rFonts w:cstheme="minorHAnsi"/>
          <w:i/>
          <w:iCs/>
          <w:sz w:val="18"/>
          <w:szCs w:val="18"/>
        </w:rPr>
        <w:t xml:space="preserve">, </w:t>
      </w:r>
      <w:r w:rsidRPr="008B0243">
        <w:rPr>
          <w:rFonts w:cstheme="minorHAnsi"/>
          <w:i/>
          <w:iCs/>
          <w:sz w:val="18"/>
          <w:szCs w:val="18"/>
        </w:rPr>
        <w:t>SGLT2 – Sodium-glucose co-transporter 2 inhibitors</w:t>
      </w:r>
      <w:r w:rsidR="00DD474A">
        <w:rPr>
          <w:rFonts w:cstheme="minorHAnsi"/>
          <w:i/>
          <w:iCs/>
          <w:sz w:val="18"/>
          <w:szCs w:val="18"/>
        </w:rPr>
        <w:t xml:space="preserve">, </w:t>
      </w:r>
      <w:r w:rsidRPr="008B0243">
        <w:rPr>
          <w:rFonts w:cstheme="minorHAnsi"/>
          <w:i/>
          <w:iCs/>
          <w:sz w:val="18"/>
          <w:szCs w:val="18"/>
        </w:rPr>
        <w:t>ARNI – angiotensin receptor neprilysin inhibitor</w:t>
      </w:r>
      <w:r w:rsidR="00DD474A">
        <w:rPr>
          <w:rFonts w:cstheme="minorHAnsi"/>
          <w:i/>
          <w:iCs/>
          <w:sz w:val="18"/>
          <w:szCs w:val="18"/>
        </w:rPr>
        <w:t xml:space="preserve">, </w:t>
      </w:r>
      <w:r w:rsidRPr="008B0243">
        <w:rPr>
          <w:rFonts w:cstheme="minorHAnsi"/>
          <w:i/>
          <w:iCs/>
          <w:sz w:val="18"/>
          <w:szCs w:val="18"/>
        </w:rPr>
        <w:t>HCN</w:t>
      </w:r>
      <w:r w:rsidRPr="008B0243">
        <w:rPr>
          <w:rFonts w:cstheme="minorHAnsi"/>
          <w:i/>
          <w:iCs/>
          <w:color w:val="4D5156"/>
          <w:sz w:val="18"/>
          <w:szCs w:val="18"/>
          <w:shd w:val="clear" w:color="auto" w:fill="FFFFFF"/>
        </w:rPr>
        <w:t xml:space="preserve"> - </w:t>
      </w:r>
      <w:r w:rsidRPr="008B0243">
        <w:rPr>
          <w:rFonts w:cstheme="minorHAnsi"/>
          <w:i/>
          <w:iCs/>
          <w:sz w:val="18"/>
          <w:szCs w:val="18"/>
          <w:shd w:val="clear" w:color="auto" w:fill="FFFFFF"/>
        </w:rPr>
        <w:t>Hyperpolarization-activated Cyclic Nucleotide-gated</w:t>
      </w:r>
    </w:p>
    <w:p w14:paraId="0D683465" w14:textId="3AD239C2" w:rsidR="00026636" w:rsidRDefault="0044463B" w:rsidP="008B0243">
      <w:pPr>
        <w:spacing w:after="0" w:line="240" w:lineRule="auto"/>
        <w:rPr>
          <w:rFonts w:cstheme="minorHAnsi"/>
          <w:i/>
          <w:iCs/>
          <w:sz w:val="18"/>
          <w:szCs w:val="18"/>
        </w:rPr>
      </w:pPr>
      <w:r>
        <w:rPr>
          <w:rFonts w:cstheme="minorHAnsi"/>
          <w:i/>
          <w:iCs/>
          <w:sz w:val="18"/>
          <w:szCs w:val="18"/>
        </w:rPr>
        <w:t>s</w:t>
      </w:r>
      <w:r w:rsidR="00026636" w:rsidRPr="008B0243">
        <w:rPr>
          <w:rFonts w:cstheme="minorHAnsi"/>
          <w:i/>
          <w:iCs/>
          <w:sz w:val="18"/>
          <w:szCs w:val="18"/>
        </w:rPr>
        <w:t>GC – Soluble Guanylate Cyclase</w:t>
      </w:r>
    </w:p>
    <w:p w14:paraId="71AED12B" w14:textId="77777777" w:rsidR="00DD474A" w:rsidRDefault="00DD474A" w:rsidP="008B0243">
      <w:pPr>
        <w:spacing w:after="0" w:line="240" w:lineRule="auto"/>
        <w:rPr>
          <w:i/>
          <w:iCs/>
          <w:sz w:val="18"/>
          <w:szCs w:val="18"/>
        </w:rPr>
      </w:pPr>
    </w:p>
    <w:p w14:paraId="30748033" w14:textId="77777777" w:rsidR="00FE77E6" w:rsidRDefault="00FE77E6">
      <w:pPr>
        <w:rPr>
          <w:b/>
          <w:bCs/>
          <w:i/>
          <w:iCs/>
          <w:lang w:val="en-US"/>
        </w:rPr>
      </w:pPr>
      <w:r>
        <w:rPr>
          <w:b/>
          <w:bCs/>
          <w:i/>
          <w:iCs/>
          <w:lang w:val="en-US"/>
        </w:rPr>
        <w:br w:type="page"/>
      </w:r>
    </w:p>
    <w:p w14:paraId="2B892255" w14:textId="020D3FFE" w:rsidR="006E661B" w:rsidRDefault="006E661B" w:rsidP="006E661B">
      <w:pPr>
        <w:pStyle w:val="Heading2"/>
        <w:spacing w:after="240"/>
        <w:rPr>
          <w:b/>
        </w:rPr>
      </w:pPr>
      <w:bookmarkStart w:id="23" w:name="_Toc165448397"/>
      <w:r>
        <w:t>Treatment regimens</w:t>
      </w:r>
      <w:bookmarkEnd w:id="23"/>
      <w:r>
        <w:t xml:space="preserve">  </w:t>
      </w:r>
    </w:p>
    <w:p w14:paraId="68CC7890" w14:textId="5BD0B678" w:rsidR="006E661B" w:rsidRDefault="006E661B" w:rsidP="006E661B">
      <w:pPr>
        <w:pStyle w:val="Heading3"/>
        <w:rPr>
          <w:i/>
          <w:iCs/>
          <w:lang w:val="en-US"/>
        </w:rPr>
      </w:pPr>
      <w:bookmarkStart w:id="24" w:name="_Toc165448398"/>
      <w:r>
        <w:rPr>
          <w:lang w:val="en-US"/>
        </w:rPr>
        <w:t>Treatment regimens for PBS restricted HF medicines</w:t>
      </w:r>
      <w:bookmarkEnd w:id="24"/>
    </w:p>
    <w:p w14:paraId="5A9B4D97" w14:textId="4620F848" w:rsidR="00E90B05" w:rsidRDefault="00EE6862" w:rsidP="00E928FD">
      <w:pPr>
        <w:pStyle w:val="Heading4"/>
        <w:rPr>
          <w:lang w:val="en-US"/>
        </w:rPr>
      </w:pPr>
      <w:r w:rsidRPr="00EE6862">
        <w:rPr>
          <w:lang w:val="en-US"/>
        </w:rPr>
        <w:t xml:space="preserve">Mono, dual, triple and quadruple HF </w:t>
      </w:r>
      <w:r w:rsidR="00E928FD">
        <w:rPr>
          <w:lang w:val="en-US"/>
        </w:rPr>
        <w:t>regimens</w:t>
      </w:r>
      <w:r w:rsidRPr="00EE6862">
        <w:rPr>
          <w:lang w:val="en-US"/>
        </w:rPr>
        <w:t xml:space="preserve"> in prevalent users</w:t>
      </w:r>
      <w:r w:rsidR="000542D3">
        <w:rPr>
          <w:lang w:val="en-US"/>
        </w:rPr>
        <w:t xml:space="preserve"> of </w:t>
      </w:r>
      <w:r w:rsidR="00C33159">
        <w:rPr>
          <w:lang w:val="en-US"/>
        </w:rPr>
        <w:t xml:space="preserve">PBS </w:t>
      </w:r>
      <w:r w:rsidR="000542D3">
        <w:rPr>
          <w:lang w:val="en-US"/>
        </w:rPr>
        <w:t xml:space="preserve">restricted </w:t>
      </w:r>
      <w:r w:rsidR="00C33159">
        <w:rPr>
          <w:lang w:val="en-US"/>
        </w:rPr>
        <w:t xml:space="preserve">HF </w:t>
      </w:r>
      <w:r w:rsidR="000542D3">
        <w:rPr>
          <w:lang w:val="en-US"/>
        </w:rPr>
        <w:t>medicines</w:t>
      </w:r>
    </w:p>
    <w:p w14:paraId="1BE13C41" w14:textId="6CD7A526" w:rsidR="00FE77E6" w:rsidRDefault="00FE77E6" w:rsidP="00B51CDA">
      <w:pPr>
        <w:jc w:val="both"/>
        <w:rPr>
          <w:lang w:val="en-US"/>
        </w:rPr>
      </w:pPr>
      <w:r>
        <w:rPr>
          <w:lang w:val="en-US"/>
        </w:rPr>
        <w:t>The next section of this report examines whether combination therapy is use</w:t>
      </w:r>
      <w:r w:rsidR="00745FEF">
        <w:rPr>
          <w:lang w:val="en-US"/>
        </w:rPr>
        <w:t>d</w:t>
      </w:r>
      <w:r>
        <w:rPr>
          <w:lang w:val="en-US"/>
        </w:rPr>
        <w:t xml:space="preserve"> for heart failure (</w:t>
      </w:r>
      <w:r w:rsidR="001737A4">
        <w:rPr>
          <w:lang w:val="en-US"/>
        </w:rPr>
        <w:t>e.g., monotherapy, dual therapy)</w:t>
      </w:r>
      <w:r>
        <w:rPr>
          <w:lang w:val="en-US"/>
        </w:rPr>
        <w:t xml:space="preserve">. This analysis is in the </w:t>
      </w:r>
      <w:r w:rsidR="002D3037">
        <w:rPr>
          <w:lang w:val="en-US"/>
        </w:rPr>
        <w:t xml:space="preserve">prevalent </w:t>
      </w:r>
      <w:r>
        <w:rPr>
          <w:lang w:val="en-US"/>
        </w:rPr>
        <w:t>population</w:t>
      </w:r>
      <w:r w:rsidR="002D3037">
        <w:rPr>
          <w:lang w:val="en-US"/>
        </w:rPr>
        <w:t xml:space="preserve"> of medicines restricted to HF (listed in Table 1)</w:t>
      </w:r>
      <w:r>
        <w:rPr>
          <w:lang w:val="en-US"/>
        </w:rPr>
        <w:t>.</w:t>
      </w:r>
    </w:p>
    <w:p w14:paraId="12FC7426" w14:textId="3642A5FB" w:rsidR="000126F4" w:rsidRDefault="00FE77E6" w:rsidP="00B51CDA">
      <w:pPr>
        <w:jc w:val="both"/>
        <w:rPr>
          <w:lang w:val="en-US"/>
        </w:rPr>
      </w:pPr>
      <w:r>
        <w:rPr>
          <w:lang w:val="en-US"/>
        </w:rPr>
        <w:t>Figure 7 shows</w:t>
      </w:r>
      <w:r w:rsidR="002D3037">
        <w:rPr>
          <w:lang w:val="en-US"/>
        </w:rPr>
        <w:t xml:space="preserve"> that over 80% of people were treated with a single class</w:t>
      </w:r>
      <w:r w:rsidR="00FE0ABB">
        <w:rPr>
          <w:lang w:val="en-US"/>
        </w:rPr>
        <w:t xml:space="preserve"> of heart failure restricted medicines</w:t>
      </w:r>
      <w:r w:rsidR="002D3037">
        <w:rPr>
          <w:lang w:val="en-US"/>
        </w:rPr>
        <w:t xml:space="preserve"> </w:t>
      </w:r>
      <w:r w:rsidR="002D3037" w:rsidRPr="00FE77E6">
        <w:rPr>
          <w:lang w:val="en-US"/>
        </w:rPr>
        <w:t>in Jun</w:t>
      </w:r>
      <w:r w:rsidR="00A47994" w:rsidRPr="00FE77E6">
        <w:rPr>
          <w:lang w:val="en-US"/>
        </w:rPr>
        <w:t>e</w:t>
      </w:r>
      <w:r w:rsidR="002D3037" w:rsidRPr="00FE77E6">
        <w:rPr>
          <w:lang w:val="en-US"/>
        </w:rPr>
        <w:t xml:space="preserve"> 2023. </w:t>
      </w:r>
      <w:r w:rsidR="00D06319" w:rsidRPr="00FE77E6">
        <w:rPr>
          <w:lang w:val="en-US"/>
        </w:rPr>
        <w:t>T</w:t>
      </w:r>
      <w:r w:rsidR="002D3037" w:rsidRPr="00FE77E6">
        <w:rPr>
          <w:lang w:val="en-US"/>
        </w:rPr>
        <w:t xml:space="preserve">he proportion on dual combinations has increased </w:t>
      </w:r>
      <w:r w:rsidR="00D06319" w:rsidRPr="00FE77E6">
        <w:rPr>
          <w:lang w:val="en-US"/>
        </w:rPr>
        <w:t>from 6% in December 2017</w:t>
      </w:r>
      <w:r w:rsidR="002D3037" w:rsidRPr="00FE77E6">
        <w:rPr>
          <w:lang w:val="en-US"/>
        </w:rPr>
        <w:t xml:space="preserve"> to 15% in Jun</w:t>
      </w:r>
      <w:r w:rsidR="00D72EEE" w:rsidRPr="00FE77E6">
        <w:rPr>
          <w:lang w:val="en-US"/>
        </w:rPr>
        <w:t>e</w:t>
      </w:r>
      <w:r w:rsidR="002D3037" w:rsidRPr="00FE77E6">
        <w:rPr>
          <w:lang w:val="en-US"/>
        </w:rPr>
        <w:t xml:space="preserve"> 2023. </w:t>
      </w:r>
      <w:r w:rsidR="00D06319" w:rsidRPr="00FE77E6">
        <w:rPr>
          <w:lang w:val="en-US"/>
        </w:rPr>
        <w:t xml:space="preserve"> </w:t>
      </w:r>
      <w:r w:rsidRPr="00FE77E6">
        <w:rPr>
          <w:lang w:val="en-US"/>
        </w:rPr>
        <w:t>T</w:t>
      </w:r>
      <w:r w:rsidRPr="00FE77E6">
        <w:rPr>
          <w:rFonts w:cstheme="minorHAnsi"/>
        </w:rPr>
        <w:t xml:space="preserve">he rise in dual use aligns with the increased opportunity for dual therapy for </w:t>
      </w:r>
      <w:r w:rsidRPr="00FE77E6">
        <w:t xml:space="preserve">PBS restricted HF medicines. </w:t>
      </w:r>
      <w:r w:rsidR="00D06319" w:rsidRPr="00FE77E6">
        <w:rPr>
          <w:lang w:val="en-US"/>
        </w:rPr>
        <w:t xml:space="preserve">Among the </w:t>
      </w:r>
      <w:r w:rsidR="00D06319" w:rsidRPr="00FE77E6">
        <w:t>PBS restricted HF medicines</w:t>
      </w:r>
      <w:r w:rsidR="00D06319" w:rsidRPr="00FE77E6">
        <w:rPr>
          <w:lang w:val="en-US"/>
        </w:rPr>
        <w:t xml:space="preserve">, </w:t>
      </w:r>
      <w:r w:rsidR="00D06319" w:rsidRPr="00FE77E6">
        <w:rPr>
          <w:rFonts w:cstheme="minorHAnsi"/>
        </w:rPr>
        <w:t>the medicine classes including ARNI, SGLT2</w:t>
      </w:r>
      <w:r w:rsidR="008D0248">
        <w:rPr>
          <w:rFonts w:cstheme="minorHAnsi"/>
        </w:rPr>
        <w:t xml:space="preserve"> inhibitors</w:t>
      </w:r>
      <w:r w:rsidR="00D06319" w:rsidRPr="00FE77E6">
        <w:rPr>
          <w:rFonts w:cstheme="minorHAnsi"/>
        </w:rPr>
        <w:t xml:space="preserve">, HCN, and SGC, all have restrictions that require they are add on therapy to optimal chronic heart failure treatment which includes a beta-blocker. HCNs were first listed on the PBS in 2013, ARNIs in 2017, and SGLT2 inhibitors and SGCs in 2022. </w:t>
      </w:r>
    </w:p>
    <w:p w14:paraId="7A00848F" w14:textId="77777777" w:rsidR="00EE6862" w:rsidRDefault="002D3037" w:rsidP="0079747D">
      <w:pPr>
        <w:spacing w:after="0"/>
        <w:rPr>
          <w:lang w:val="en-US"/>
        </w:rPr>
      </w:pPr>
      <w:r>
        <w:rPr>
          <w:noProof/>
          <w:lang w:eastAsia="en-AU"/>
        </w:rPr>
        <w:drawing>
          <wp:inline distT="0" distB="0" distL="0" distR="0" wp14:anchorId="3635AD84" wp14:editId="6605A16F">
            <wp:extent cx="5683250" cy="3590925"/>
            <wp:effectExtent l="0" t="0" r="12700" b="9525"/>
            <wp:docPr id="2" name="Chart 2" descr="Graph showing that monotherapy with a single class of heart failure restricted medicines is the most commonly prescribed drug regimen (over 80% of prevalent patients with heart failure).">
              <a:extLst xmlns:a="http://schemas.openxmlformats.org/drawingml/2006/main">
                <a:ext uri="{FF2B5EF4-FFF2-40B4-BE49-F238E27FC236}">
                  <a16:creationId xmlns:a16="http://schemas.microsoft.com/office/drawing/2014/main" id="{30673257-F10A-9476-09FC-E3CF0695A1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0EA48FB" w14:textId="6002B187" w:rsidR="002D3037" w:rsidRDefault="002D3037" w:rsidP="002043BE">
      <w:pPr>
        <w:rPr>
          <w:lang w:val="en-US"/>
        </w:rPr>
      </w:pPr>
      <w:r w:rsidRPr="00B217DA">
        <w:rPr>
          <w:b/>
          <w:bCs/>
          <w:lang w:val="en-US"/>
        </w:rPr>
        <w:t>Figure 7</w:t>
      </w:r>
      <w:r w:rsidRPr="00FE77E6">
        <w:rPr>
          <w:b/>
          <w:bCs/>
          <w:lang w:val="en-US"/>
        </w:rPr>
        <w:t xml:space="preserve">. </w:t>
      </w:r>
      <w:r w:rsidR="00AE2F6B" w:rsidRPr="00FE77E6">
        <w:rPr>
          <w:b/>
          <w:bCs/>
          <w:lang w:val="en-US"/>
        </w:rPr>
        <w:t>Percentage of p</w:t>
      </w:r>
      <w:r w:rsidRPr="00FE77E6">
        <w:rPr>
          <w:b/>
          <w:bCs/>
          <w:lang w:val="en-US"/>
        </w:rPr>
        <w:t>revalent u</w:t>
      </w:r>
      <w:r w:rsidR="00AE2F6B" w:rsidRPr="00FE77E6">
        <w:rPr>
          <w:b/>
          <w:bCs/>
          <w:lang w:val="en-US"/>
        </w:rPr>
        <w:t>s</w:t>
      </w:r>
      <w:r w:rsidRPr="00FE77E6">
        <w:rPr>
          <w:b/>
          <w:bCs/>
          <w:lang w:val="en-US"/>
        </w:rPr>
        <w:t>er</w:t>
      </w:r>
      <w:r w:rsidR="00AE2F6B" w:rsidRPr="00FE77E6">
        <w:rPr>
          <w:b/>
          <w:bCs/>
          <w:lang w:val="en-US"/>
        </w:rPr>
        <w:t>s</w:t>
      </w:r>
      <w:r w:rsidRPr="00FE77E6">
        <w:rPr>
          <w:b/>
          <w:bCs/>
          <w:lang w:val="en-US"/>
        </w:rPr>
        <w:t xml:space="preserve"> </w:t>
      </w:r>
      <w:r w:rsidR="00AE2F6B" w:rsidRPr="00FE77E6">
        <w:rPr>
          <w:b/>
          <w:bCs/>
          <w:lang w:val="en-US"/>
        </w:rPr>
        <w:t xml:space="preserve">of </w:t>
      </w:r>
      <w:r w:rsidR="008A64AF">
        <w:rPr>
          <w:b/>
          <w:bCs/>
          <w:lang w:val="en-US"/>
        </w:rPr>
        <w:t xml:space="preserve">PBS restricted HF </w:t>
      </w:r>
      <w:r w:rsidR="00AE2F6B" w:rsidRPr="00FE77E6">
        <w:rPr>
          <w:b/>
          <w:bCs/>
          <w:lang w:val="en-US"/>
        </w:rPr>
        <w:t xml:space="preserve">medicines </w:t>
      </w:r>
      <w:r w:rsidRPr="00FE77E6">
        <w:rPr>
          <w:b/>
          <w:bCs/>
          <w:lang w:val="en-US"/>
        </w:rPr>
        <w:t>on mono, dual, triple and quadruple therapies</w:t>
      </w:r>
    </w:p>
    <w:p w14:paraId="2A071783" w14:textId="77777777" w:rsidR="00FE77E6" w:rsidRDefault="00FE77E6">
      <w:pPr>
        <w:rPr>
          <w:lang w:val="en-US"/>
        </w:rPr>
      </w:pPr>
      <w:r>
        <w:rPr>
          <w:lang w:val="en-US"/>
        </w:rPr>
        <w:br w:type="page"/>
      </w:r>
    </w:p>
    <w:p w14:paraId="5A3722D0" w14:textId="343D6795" w:rsidR="00FE77E6" w:rsidRDefault="00FE77E6" w:rsidP="00B51CDA">
      <w:pPr>
        <w:jc w:val="both"/>
        <w:rPr>
          <w:lang w:val="en-US"/>
        </w:rPr>
      </w:pPr>
      <w:r>
        <w:rPr>
          <w:lang w:val="en-US"/>
        </w:rPr>
        <w:t xml:space="preserve">When considering the combination of classes of PBS restricted HF medicines used by the prevalent </w:t>
      </w:r>
      <w:r w:rsidR="006A7717">
        <w:rPr>
          <w:lang w:val="en-US"/>
        </w:rPr>
        <w:t xml:space="preserve">population, </w:t>
      </w:r>
      <w:r>
        <w:rPr>
          <w:lang w:val="en-US"/>
        </w:rPr>
        <w:t xml:space="preserve">monotherapy with </w:t>
      </w:r>
      <w:r w:rsidR="006A7717">
        <w:rPr>
          <w:lang w:val="en-US"/>
        </w:rPr>
        <w:t>beta blockers</w:t>
      </w:r>
      <w:r>
        <w:rPr>
          <w:lang w:val="en-US"/>
        </w:rPr>
        <w:t xml:space="preserve"> was </w:t>
      </w:r>
      <w:r w:rsidR="006A7717">
        <w:rPr>
          <w:lang w:val="en-US"/>
        </w:rPr>
        <w:t xml:space="preserve">most </w:t>
      </w:r>
      <w:r>
        <w:rPr>
          <w:lang w:val="en-US"/>
        </w:rPr>
        <w:t>frequently</w:t>
      </w:r>
      <w:r w:rsidR="006A7717">
        <w:rPr>
          <w:lang w:val="en-US"/>
        </w:rPr>
        <w:t xml:space="preserve"> used, while BB plus ARNI was the </w:t>
      </w:r>
      <w:proofErr w:type="gramStart"/>
      <w:r w:rsidR="006A7717">
        <w:rPr>
          <w:lang w:val="en-US"/>
        </w:rPr>
        <w:t>most commonly used</w:t>
      </w:r>
      <w:proofErr w:type="gramEnd"/>
      <w:r w:rsidR="006A7717">
        <w:rPr>
          <w:lang w:val="en-US"/>
        </w:rPr>
        <w:t xml:space="preserve"> dual combination (Figure 8</w:t>
      </w:r>
      <w:r>
        <w:rPr>
          <w:lang w:val="en-US"/>
        </w:rPr>
        <w:t>a</w:t>
      </w:r>
      <w:r w:rsidR="006A7717">
        <w:rPr>
          <w:lang w:val="en-US"/>
        </w:rPr>
        <w:t>).</w:t>
      </w:r>
      <w:r w:rsidR="001D6D29">
        <w:rPr>
          <w:lang w:val="en-US"/>
        </w:rPr>
        <w:t xml:space="preserve"> </w:t>
      </w:r>
      <w:r>
        <w:rPr>
          <w:lang w:val="en-US"/>
        </w:rPr>
        <w:t xml:space="preserve">Figure 8b shows the same data with the BB monotherapy class excluded. </w:t>
      </w:r>
    </w:p>
    <w:p w14:paraId="5A034D1A" w14:textId="77777777" w:rsidR="00E90B05" w:rsidRDefault="006F79CE" w:rsidP="0079747D">
      <w:pPr>
        <w:spacing w:after="0"/>
        <w:rPr>
          <w:lang w:val="en-US"/>
        </w:rPr>
      </w:pPr>
      <w:r>
        <w:rPr>
          <w:noProof/>
          <w:lang w:eastAsia="en-AU"/>
        </w:rPr>
        <w:drawing>
          <wp:inline distT="0" distB="0" distL="0" distR="0" wp14:anchorId="0DD2DD13" wp14:editId="0EFA7043">
            <wp:extent cx="5791200" cy="5943600"/>
            <wp:effectExtent l="0" t="0" r="0" b="0"/>
            <wp:docPr id="20" name="Chart 20" descr="Graph showing that monotherapy with beta blockers restricted for heart failure is easily the most prescribed drug therapy in prevalent users, followed by beta-blockers with ARNI (dual therapy)">
              <a:extLst xmlns:a="http://schemas.openxmlformats.org/drawingml/2006/main">
                <a:ext uri="{FF2B5EF4-FFF2-40B4-BE49-F238E27FC236}">
                  <a16:creationId xmlns:a16="http://schemas.microsoft.com/office/drawing/2014/main" id="{77EF5AB4-044C-DEE1-021C-1A25CD8201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BB1CF96" w14:textId="4A8A86C1" w:rsidR="00D41DA1" w:rsidRPr="00FE77E6" w:rsidRDefault="00D41DA1" w:rsidP="00B51CDA">
      <w:pPr>
        <w:spacing w:after="0" w:line="240" w:lineRule="auto"/>
        <w:jc w:val="both"/>
        <w:rPr>
          <w:lang w:val="en-US"/>
        </w:rPr>
      </w:pPr>
      <w:r w:rsidRPr="00B217DA">
        <w:rPr>
          <w:b/>
          <w:bCs/>
          <w:lang w:val="en-US"/>
        </w:rPr>
        <w:t xml:space="preserve">Figure </w:t>
      </w:r>
      <w:r>
        <w:rPr>
          <w:b/>
          <w:bCs/>
          <w:lang w:val="en-US"/>
        </w:rPr>
        <w:t>8</w:t>
      </w:r>
      <w:r w:rsidR="00FE77E6">
        <w:rPr>
          <w:b/>
          <w:bCs/>
          <w:lang w:val="en-US"/>
        </w:rPr>
        <w:t>a</w:t>
      </w:r>
      <w:r w:rsidRPr="00FE77E6">
        <w:rPr>
          <w:b/>
          <w:bCs/>
          <w:lang w:val="en-US"/>
        </w:rPr>
        <w:t xml:space="preserve">. </w:t>
      </w:r>
      <w:r w:rsidR="00E4333F" w:rsidRPr="00FE77E6">
        <w:rPr>
          <w:b/>
          <w:bCs/>
          <w:lang w:val="en-US"/>
        </w:rPr>
        <w:t xml:space="preserve">Most common </w:t>
      </w:r>
      <w:r w:rsidRPr="00FE77E6">
        <w:rPr>
          <w:b/>
          <w:bCs/>
          <w:lang w:val="en-US"/>
        </w:rPr>
        <w:t>mono, dual</w:t>
      </w:r>
      <w:r w:rsidR="00E4333F" w:rsidRPr="00FE77E6">
        <w:rPr>
          <w:b/>
          <w:bCs/>
          <w:lang w:val="en-US"/>
        </w:rPr>
        <w:t xml:space="preserve"> and</w:t>
      </w:r>
      <w:r w:rsidRPr="00FE77E6">
        <w:rPr>
          <w:b/>
          <w:bCs/>
          <w:lang w:val="en-US"/>
        </w:rPr>
        <w:t xml:space="preserve"> triple therapies restricted to HF </w:t>
      </w:r>
      <w:r w:rsidR="00E4333F" w:rsidRPr="00FE77E6">
        <w:rPr>
          <w:b/>
          <w:bCs/>
          <w:lang w:val="en-US"/>
        </w:rPr>
        <w:t xml:space="preserve">in prevalent users of HF </w:t>
      </w:r>
      <w:r w:rsidR="000126F4" w:rsidRPr="00FE77E6">
        <w:rPr>
          <w:b/>
          <w:bCs/>
          <w:lang w:val="en-US"/>
        </w:rPr>
        <w:t xml:space="preserve">restricted </w:t>
      </w:r>
      <w:r w:rsidR="00E4333F" w:rsidRPr="00FE77E6">
        <w:rPr>
          <w:b/>
          <w:bCs/>
          <w:lang w:val="en-US"/>
        </w:rPr>
        <w:t xml:space="preserve">medicines, </w:t>
      </w:r>
      <w:r w:rsidRPr="00FE77E6">
        <w:rPr>
          <w:b/>
          <w:bCs/>
          <w:lang w:val="en-US"/>
        </w:rPr>
        <w:t>by type of class</w:t>
      </w:r>
      <w:r w:rsidR="000126F4" w:rsidRPr="00FE77E6">
        <w:rPr>
          <w:b/>
          <w:bCs/>
          <w:lang w:val="en-US"/>
        </w:rPr>
        <w:t xml:space="preserve"> </w:t>
      </w:r>
      <w:r w:rsidR="000126F4" w:rsidRPr="00FE77E6">
        <w:rPr>
          <w:lang w:val="en-US"/>
        </w:rPr>
        <w:t>(the presented therapies contribute to over 96% of all therapies in each given month)</w:t>
      </w:r>
    </w:p>
    <w:p w14:paraId="7F7591F8" w14:textId="77777777" w:rsidR="00D41DA1" w:rsidRPr="00F47F92" w:rsidRDefault="00D41DA1" w:rsidP="00F86775">
      <w:pPr>
        <w:spacing w:after="0" w:line="240" w:lineRule="auto"/>
        <w:rPr>
          <w:rFonts w:cstheme="minorHAnsi"/>
          <w:i/>
          <w:iCs/>
          <w:sz w:val="18"/>
          <w:szCs w:val="18"/>
        </w:rPr>
      </w:pPr>
      <w:r w:rsidRPr="00F47F92">
        <w:rPr>
          <w:rFonts w:cstheme="minorHAnsi"/>
          <w:i/>
          <w:iCs/>
          <w:sz w:val="18"/>
          <w:szCs w:val="18"/>
        </w:rPr>
        <w:t xml:space="preserve">Legend: </w:t>
      </w:r>
    </w:p>
    <w:p w14:paraId="5C6DC72F" w14:textId="77777777" w:rsidR="00D41DA1" w:rsidRPr="00F47F92" w:rsidRDefault="00D41DA1" w:rsidP="00D41DA1">
      <w:pPr>
        <w:spacing w:after="0"/>
        <w:rPr>
          <w:rFonts w:cstheme="minorHAnsi"/>
          <w:i/>
          <w:iCs/>
          <w:sz w:val="18"/>
          <w:szCs w:val="18"/>
        </w:rPr>
      </w:pPr>
      <w:r w:rsidRPr="00F47F92">
        <w:rPr>
          <w:rFonts w:cstheme="minorHAnsi"/>
          <w:i/>
          <w:iCs/>
          <w:sz w:val="18"/>
          <w:szCs w:val="18"/>
        </w:rPr>
        <w:t>BB – Beta-Blockers</w:t>
      </w:r>
    </w:p>
    <w:p w14:paraId="7A7F4C15" w14:textId="77777777" w:rsidR="00D41DA1" w:rsidRPr="00F47F92" w:rsidRDefault="00D41DA1" w:rsidP="00D41DA1">
      <w:pPr>
        <w:spacing w:after="0"/>
        <w:rPr>
          <w:rFonts w:cstheme="minorHAnsi"/>
          <w:i/>
          <w:iCs/>
          <w:sz w:val="18"/>
          <w:szCs w:val="18"/>
        </w:rPr>
      </w:pPr>
      <w:r w:rsidRPr="00F47F92">
        <w:rPr>
          <w:rFonts w:cstheme="minorHAnsi"/>
          <w:i/>
          <w:iCs/>
          <w:sz w:val="18"/>
          <w:szCs w:val="18"/>
        </w:rPr>
        <w:t xml:space="preserve">MRA </w:t>
      </w:r>
      <w:r w:rsidR="006F79CE">
        <w:rPr>
          <w:rFonts w:cstheme="minorHAnsi"/>
          <w:i/>
          <w:iCs/>
          <w:sz w:val="18"/>
          <w:szCs w:val="18"/>
        </w:rPr>
        <w:t>(for HF)</w:t>
      </w:r>
      <w:r w:rsidRPr="00F47F92">
        <w:rPr>
          <w:rFonts w:cstheme="minorHAnsi"/>
          <w:i/>
          <w:iCs/>
          <w:sz w:val="18"/>
          <w:szCs w:val="18"/>
        </w:rPr>
        <w:t>- Mineralocorticoid receptor antagonist</w:t>
      </w:r>
      <w:r w:rsidR="006F79CE">
        <w:rPr>
          <w:rFonts w:cstheme="minorHAnsi"/>
          <w:i/>
          <w:iCs/>
          <w:sz w:val="18"/>
          <w:szCs w:val="18"/>
        </w:rPr>
        <w:t xml:space="preserve"> for HF (Eplerenone)</w:t>
      </w:r>
    </w:p>
    <w:p w14:paraId="0096C50F" w14:textId="77777777" w:rsidR="0046352D" w:rsidRPr="00F47F92" w:rsidRDefault="0046352D" w:rsidP="0046352D">
      <w:pPr>
        <w:spacing w:after="0"/>
        <w:rPr>
          <w:rFonts w:cstheme="minorHAnsi"/>
          <w:i/>
          <w:iCs/>
          <w:sz w:val="18"/>
          <w:szCs w:val="18"/>
        </w:rPr>
      </w:pPr>
      <w:r w:rsidRPr="00F47F92">
        <w:rPr>
          <w:rFonts w:cstheme="minorHAnsi"/>
          <w:i/>
          <w:iCs/>
          <w:sz w:val="18"/>
          <w:szCs w:val="18"/>
        </w:rPr>
        <w:t xml:space="preserve">SGLT2 </w:t>
      </w:r>
      <w:r w:rsidR="006F79CE">
        <w:rPr>
          <w:rFonts w:cstheme="minorHAnsi"/>
          <w:i/>
          <w:iCs/>
          <w:sz w:val="18"/>
          <w:szCs w:val="18"/>
        </w:rPr>
        <w:t>(for HF)</w:t>
      </w:r>
      <w:r w:rsidRPr="00F47F92">
        <w:rPr>
          <w:rFonts w:cstheme="minorHAnsi"/>
          <w:i/>
          <w:iCs/>
          <w:sz w:val="18"/>
          <w:szCs w:val="18"/>
        </w:rPr>
        <w:t>– Sodium-glucose co-transporter 2 inhibitors</w:t>
      </w:r>
      <w:r w:rsidR="008E2AAA" w:rsidRPr="00F47F92">
        <w:rPr>
          <w:rFonts w:cstheme="minorHAnsi"/>
          <w:i/>
          <w:iCs/>
          <w:sz w:val="18"/>
          <w:szCs w:val="18"/>
        </w:rPr>
        <w:t xml:space="preserve"> for HF</w:t>
      </w:r>
      <w:r w:rsidR="006F79CE">
        <w:rPr>
          <w:rFonts w:cstheme="minorHAnsi"/>
          <w:i/>
          <w:iCs/>
          <w:sz w:val="18"/>
          <w:szCs w:val="18"/>
        </w:rPr>
        <w:t xml:space="preserve"> </w:t>
      </w:r>
    </w:p>
    <w:p w14:paraId="331274A4" w14:textId="63A60338" w:rsidR="00D41DA1" w:rsidRPr="00F47F92" w:rsidRDefault="00D41DA1" w:rsidP="00D41DA1">
      <w:pPr>
        <w:spacing w:after="0"/>
        <w:rPr>
          <w:rFonts w:cstheme="minorHAnsi"/>
          <w:i/>
          <w:iCs/>
          <w:sz w:val="18"/>
          <w:szCs w:val="18"/>
        </w:rPr>
      </w:pPr>
      <w:r w:rsidRPr="00F47F92">
        <w:rPr>
          <w:rFonts w:cstheme="minorHAnsi"/>
          <w:i/>
          <w:iCs/>
          <w:sz w:val="18"/>
          <w:szCs w:val="18"/>
        </w:rPr>
        <w:t xml:space="preserve">ARNI – angiotensin receptor neprilysin inhibitor </w:t>
      </w:r>
      <w:r w:rsidR="00425AF8">
        <w:rPr>
          <w:rFonts w:cstheme="minorHAnsi"/>
          <w:i/>
          <w:iCs/>
          <w:sz w:val="18"/>
          <w:szCs w:val="18"/>
        </w:rPr>
        <w:t>(sacubitril+valsartan)</w:t>
      </w:r>
    </w:p>
    <w:p w14:paraId="66118727" w14:textId="77777777" w:rsidR="00D41DA1" w:rsidRDefault="00D41DA1" w:rsidP="00D41DA1">
      <w:pPr>
        <w:spacing w:after="0"/>
        <w:rPr>
          <w:rFonts w:cstheme="minorHAnsi"/>
          <w:i/>
          <w:iCs/>
          <w:sz w:val="18"/>
          <w:szCs w:val="18"/>
          <w:shd w:val="clear" w:color="auto" w:fill="FFFFFF"/>
        </w:rPr>
      </w:pPr>
      <w:r w:rsidRPr="00F47F92">
        <w:rPr>
          <w:rFonts w:cstheme="minorHAnsi"/>
          <w:i/>
          <w:iCs/>
          <w:sz w:val="18"/>
          <w:szCs w:val="18"/>
        </w:rPr>
        <w:t>HCN</w:t>
      </w:r>
      <w:r w:rsidRPr="00F47F92">
        <w:rPr>
          <w:rFonts w:cstheme="minorHAnsi"/>
          <w:i/>
          <w:iCs/>
          <w:color w:val="4D5156"/>
          <w:sz w:val="18"/>
          <w:szCs w:val="18"/>
          <w:shd w:val="clear" w:color="auto" w:fill="FFFFFF"/>
        </w:rPr>
        <w:t xml:space="preserve"> - </w:t>
      </w:r>
      <w:r w:rsidRPr="00F47F92">
        <w:rPr>
          <w:rFonts w:cstheme="minorHAnsi"/>
          <w:i/>
          <w:iCs/>
          <w:sz w:val="18"/>
          <w:szCs w:val="18"/>
          <w:shd w:val="clear" w:color="auto" w:fill="FFFFFF"/>
        </w:rPr>
        <w:t>Hyperpolarization-activated Cyclic Nucleotide-gated</w:t>
      </w:r>
    </w:p>
    <w:p w14:paraId="497AC4C3" w14:textId="39F9CC7D" w:rsidR="00A85CBC" w:rsidRDefault="00A85CBC" w:rsidP="00D41DA1">
      <w:pPr>
        <w:spacing w:after="0"/>
        <w:rPr>
          <w:rFonts w:cstheme="minorHAnsi"/>
          <w:i/>
          <w:iCs/>
          <w:sz w:val="18"/>
          <w:szCs w:val="18"/>
          <w:shd w:val="clear" w:color="auto" w:fill="FFFFFF"/>
        </w:rPr>
      </w:pPr>
    </w:p>
    <w:p w14:paraId="10E96C37" w14:textId="77777777" w:rsidR="00FE77E6" w:rsidRDefault="00FE77E6" w:rsidP="00FE77E6">
      <w:pPr>
        <w:jc w:val="both"/>
        <w:rPr>
          <w:lang w:val="en-US"/>
        </w:rPr>
      </w:pPr>
    </w:p>
    <w:p w14:paraId="6C51E06F" w14:textId="77777777" w:rsidR="0011164F" w:rsidRDefault="00FE77E6" w:rsidP="00FE77E6">
      <w:pPr>
        <w:jc w:val="both"/>
        <w:rPr>
          <w:lang w:val="en-US"/>
        </w:rPr>
      </w:pPr>
      <w:r>
        <w:rPr>
          <w:lang w:val="en-US"/>
        </w:rPr>
        <w:t xml:space="preserve">Figure 8b shows the same data as Figure 8a </w:t>
      </w:r>
      <w:r w:rsidR="0011164F">
        <w:rPr>
          <w:lang w:val="en-US"/>
        </w:rPr>
        <w:t xml:space="preserve">for combination therapies of PBS restricted HF medicines in the prevalent population </w:t>
      </w:r>
      <w:r>
        <w:rPr>
          <w:lang w:val="en-US"/>
        </w:rPr>
        <w:t xml:space="preserve">with the BB monotherapy class excluded.  </w:t>
      </w:r>
    </w:p>
    <w:p w14:paraId="4BE0651C" w14:textId="20A0DCCD" w:rsidR="00FE77E6" w:rsidRDefault="00FE77E6" w:rsidP="00FE77E6">
      <w:pPr>
        <w:jc w:val="both"/>
        <w:rPr>
          <w:lang w:val="en-US"/>
        </w:rPr>
      </w:pPr>
      <w:r>
        <w:rPr>
          <w:lang w:val="en-US"/>
        </w:rPr>
        <w:t xml:space="preserve">ARNI </w:t>
      </w:r>
      <w:r w:rsidR="0011164F">
        <w:rPr>
          <w:lang w:val="en-US"/>
        </w:rPr>
        <w:t>in combination</w:t>
      </w:r>
      <w:r>
        <w:rPr>
          <w:lang w:val="en-US"/>
        </w:rPr>
        <w:t xml:space="preserve"> BB is the most frequent regimen after BB monotherapy, followed by ARNI monotherapy</w:t>
      </w:r>
      <w:r w:rsidR="00D86481">
        <w:rPr>
          <w:lang w:val="en-US"/>
        </w:rPr>
        <w:t xml:space="preserve"> (ARNI was considered a monotherapy as sacubitril is only available in combination with valsartan)</w:t>
      </w:r>
      <w:r>
        <w:rPr>
          <w:lang w:val="en-US"/>
        </w:rPr>
        <w:t xml:space="preserve">, </w:t>
      </w:r>
      <w:r w:rsidR="0011164F">
        <w:rPr>
          <w:lang w:val="en-US"/>
        </w:rPr>
        <w:t xml:space="preserve">SGLT2 monotherapy, BB in combination with SGLT2, and then ARNI in combination with SGLT2. </w:t>
      </w:r>
    </w:p>
    <w:p w14:paraId="3F26BAFD" w14:textId="77777777" w:rsidR="00FE77E6" w:rsidRDefault="00FE77E6" w:rsidP="00D41DA1">
      <w:pPr>
        <w:spacing w:after="0"/>
        <w:rPr>
          <w:rFonts w:cstheme="minorHAnsi"/>
          <w:i/>
          <w:iCs/>
          <w:sz w:val="18"/>
          <w:szCs w:val="18"/>
          <w:shd w:val="clear" w:color="auto" w:fill="FFFFFF"/>
        </w:rPr>
      </w:pPr>
    </w:p>
    <w:p w14:paraId="4F7EAB23" w14:textId="77777777" w:rsidR="00FE77E6" w:rsidRDefault="00FE77E6" w:rsidP="0079747D">
      <w:pPr>
        <w:spacing w:after="0"/>
        <w:rPr>
          <w:lang w:val="en-US"/>
        </w:rPr>
      </w:pPr>
      <w:r>
        <w:rPr>
          <w:noProof/>
          <w:lang w:eastAsia="en-AU"/>
        </w:rPr>
        <w:drawing>
          <wp:inline distT="0" distB="0" distL="0" distR="0" wp14:anchorId="140574B0" wp14:editId="6AD70064">
            <wp:extent cx="5791200" cy="5943600"/>
            <wp:effectExtent l="0" t="0" r="0" b="0"/>
            <wp:docPr id="13" name="Chart 13" descr="Graph like the one before, but with beta blocker monotherapy removed. It shows that after beta blockers + ARNI dual therapy, ARNI monotherapy is the next most prescribed therapy, followed by SGLT2 monotherapy and then beta blockers with an SGLT2. Other therapies are shown by lines that are much lower on the graph.">
              <a:extLst xmlns:a="http://schemas.openxmlformats.org/drawingml/2006/main">
                <a:ext uri="{FF2B5EF4-FFF2-40B4-BE49-F238E27FC236}">
                  <a16:creationId xmlns:a16="http://schemas.microsoft.com/office/drawing/2014/main" id="{77EF5AB4-044C-DEE1-021C-1A25CD8201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9783275" w14:textId="3BA2BC60" w:rsidR="00FE77E6" w:rsidRDefault="00FE77E6" w:rsidP="00FE77E6">
      <w:pPr>
        <w:spacing w:after="0" w:line="240" w:lineRule="auto"/>
        <w:jc w:val="both"/>
        <w:rPr>
          <w:lang w:val="en-US"/>
        </w:rPr>
      </w:pPr>
      <w:r w:rsidRPr="00B217DA">
        <w:rPr>
          <w:b/>
          <w:bCs/>
          <w:lang w:val="en-US"/>
        </w:rPr>
        <w:t xml:space="preserve">Figure </w:t>
      </w:r>
      <w:r>
        <w:rPr>
          <w:b/>
          <w:bCs/>
          <w:lang w:val="en-US"/>
        </w:rPr>
        <w:t>8b</w:t>
      </w:r>
      <w:r w:rsidRPr="00B217DA">
        <w:rPr>
          <w:b/>
          <w:bCs/>
          <w:lang w:val="en-US"/>
        </w:rPr>
        <w:t>.</w:t>
      </w:r>
      <w:r>
        <w:rPr>
          <w:lang w:val="en-US"/>
        </w:rPr>
        <w:t xml:space="preserve"> </w:t>
      </w:r>
      <w:r w:rsidRPr="00FE77E6">
        <w:rPr>
          <w:b/>
          <w:bCs/>
          <w:lang w:val="en-US"/>
        </w:rPr>
        <w:t>Most common mono, dual and triple therapies restricted to HF in prevalent users of HF restricted medicines, by type of class (excluding monotherapy BB)</w:t>
      </w:r>
      <w:r>
        <w:rPr>
          <w:lang w:val="en-US"/>
        </w:rPr>
        <w:t xml:space="preserve"> </w:t>
      </w:r>
    </w:p>
    <w:p w14:paraId="23349D0E" w14:textId="77777777" w:rsidR="00FE77E6" w:rsidRPr="00F47F92" w:rsidRDefault="00FE77E6" w:rsidP="00FE77E6">
      <w:pPr>
        <w:spacing w:after="0" w:line="240" w:lineRule="auto"/>
        <w:rPr>
          <w:rFonts w:cstheme="minorHAnsi"/>
          <w:i/>
          <w:iCs/>
          <w:sz w:val="18"/>
          <w:szCs w:val="18"/>
        </w:rPr>
      </w:pPr>
      <w:r w:rsidRPr="00F47F92">
        <w:rPr>
          <w:rFonts w:cstheme="minorHAnsi"/>
          <w:i/>
          <w:iCs/>
          <w:sz w:val="18"/>
          <w:szCs w:val="18"/>
        </w:rPr>
        <w:t xml:space="preserve">Legend: </w:t>
      </w:r>
    </w:p>
    <w:p w14:paraId="3479E0CD" w14:textId="77777777" w:rsidR="00FE77E6" w:rsidRPr="00F47F92" w:rsidRDefault="00FE77E6" w:rsidP="00FE77E6">
      <w:pPr>
        <w:spacing w:after="0"/>
        <w:rPr>
          <w:rFonts w:cstheme="minorHAnsi"/>
          <w:i/>
          <w:iCs/>
          <w:sz w:val="18"/>
          <w:szCs w:val="18"/>
        </w:rPr>
      </w:pPr>
      <w:r w:rsidRPr="00F47F92">
        <w:rPr>
          <w:rFonts w:cstheme="minorHAnsi"/>
          <w:i/>
          <w:iCs/>
          <w:sz w:val="18"/>
          <w:szCs w:val="18"/>
        </w:rPr>
        <w:t>BB – Beta-Blockers</w:t>
      </w:r>
    </w:p>
    <w:p w14:paraId="42B1F396" w14:textId="77777777" w:rsidR="00FE77E6" w:rsidRPr="00F47F92" w:rsidRDefault="00FE77E6" w:rsidP="00FE77E6">
      <w:pPr>
        <w:spacing w:after="0"/>
        <w:rPr>
          <w:rFonts w:cstheme="minorHAnsi"/>
          <w:i/>
          <w:iCs/>
          <w:sz w:val="18"/>
          <w:szCs w:val="18"/>
        </w:rPr>
      </w:pPr>
      <w:r w:rsidRPr="00F47F92">
        <w:rPr>
          <w:rFonts w:cstheme="minorHAnsi"/>
          <w:i/>
          <w:iCs/>
          <w:sz w:val="18"/>
          <w:szCs w:val="18"/>
        </w:rPr>
        <w:t xml:space="preserve">MRA </w:t>
      </w:r>
      <w:r>
        <w:rPr>
          <w:rFonts w:cstheme="minorHAnsi"/>
          <w:i/>
          <w:iCs/>
          <w:sz w:val="18"/>
          <w:szCs w:val="18"/>
        </w:rPr>
        <w:t>(for HF)</w:t>
      </w:r>
      <w:r w:rsidRPr="00F47F92">
        <w:rPr>
          <w:rFonts w:cstheme="minorHAnsi"/>
          <w:i/>
          <w:iCs/>
          <w:sz w:val="18"/>
          <w:szCs w:val="18"/>
        </w:rPr>
        <w:t>- Mineralocorticoid receptor antagonist</w:t>
      </w:r>
      <w:r>
        <w:rPr>
          <w:rFonts w:cstheme="minorHAnsi"/>
          <w:i/>
          <w:iCs/>
          <w:sz w:val="18"/>
          <w:szCs w:val="18"/>
        </w:rPr>
        <w:t xml:space="preserve"> for HF (Eplerenone)</w:t>
      </w:r>
    </w:p>
    <w:p w14:paraId="3FDA9689" w14:textId="77777777" w:rsidR="00FE77E6" w:rsidRPr="00F47F92" w:rsidRDefault="00FE77E6" w:rsidP="00FE77E6">
      <w:pPr>
        <w:spacing w:after="0"/>
        <w:rPr>
          <w:rFonts w:cstheme="minorHAnsi"/>
          <w:i/>
          <w:iCs/>
          <w:sz w:val="18"/>
          <w:szCs w:val="18"/>
        </w:rPr>
      </w:pPr>
      <w:r w:rsidRPr="00F47F92">
        <w:rPr>
          <w:rFonts w:cstheme="minorHAnsi"/>
          <w:i/>
          <w:iCs/>
          <w:sz w:val="18"/>
          <w:szCs w:val="18"/>
        </w:rPr>
        <w:t xml:space="preserve">SGLT2 </w:t>
      </w:r>
      <w:r>
        <w:rPr>
          <w:rFonts w:cstheme="minorHAnsi"/>
          <w:i/>
          <w:iCs/>
          <w:sz w:val="18"/>
          <w:szCs w:val="18"/>
        </w:rPr>
        <w:t>(for HF)</w:t>
      </w:r>
      <w:r w:rsidRPr="00F47F92">
        <w:rPr>
          <w:rFonts w:cstheme="minorHAnsi"/>
          <w:i/>
          <w:iCs/>
          <w:sz w:val="18"/>
          <w:szCs w:val="18"/>
        </w:rPr>
        <w:t>– Sodium-glucose co-transporter 2 inhibitors for HF</w:t>
      </w:r>
      <w:r>
        <w:rPr>
          <w:rFonts w:cstheme="minorHAnsi"/>
          <w:i/>
          <w:iCs/>
          <w:sz w:val="18"/>
          <w:szCs w:val="18"/>
        </w:rPr>
        <w:t xml:space="preserve"> </w:t>
      </w:r>
    </w:p>
    <w:p w14:paraId="3FCDE5D4" w14:textId="77777777" w:rsidR="00FE77E6" w:rsidRPr="00F47F92" w:rsidRDefault="00FE77E6" w:rsidP="00FE77E6">
      <w:pPr>
        <w:spacing w:after="0"/>
        <w:rPr>
          <w:rFonts w:cstheme="minorHAnsi"/>
          <w:i/>
          <w:iCs/>
          <w:sz w:val="18"/>
          <w:szCs w:val="18"/>
        </w:rPr>
      </w:pPr>
      <w:r w:rsidRPr="00F47F92">
        <w:rPr>
          <w:rFonts w:cstheme="minorHAnsi"/>
          <w:i/>
          <w:iCs/>
          <w:sz w:val="18"/>
          <w:szCs w:val="18"/>
        </w:rPr>
        <w:t xml:space="preserve">ARNI – angiotensin receptor neprilysin inhibitor </w:t>
      </w:r>
      <w:r>
        <w:rPr>
          <w:rFonts w:cstheme="minorHAnsi"/>
          <w:i/>
          <w:iCs/>
          <w:sz w:val="18"/>
          <w:szCs w:val="18"/>
        </w:rPr>
        <w:t>(sacubitril+valsartan)</w:t>
      </w:r>
    </w:p>
    <w:p w14:paraId="58F6CA9C" w14:textId="77777777" w:rsidR="00FE77E6" w:rsidRDefault="00FE77E6" w:rsidP="00FE77E6">
      <w:pPr>
        <w:spacing w:after="0"/>
        <w:rPr>
          <w:rFonts w:cstheme="minorHAnsi"/>
          <w:i/>
          <w:iCs/>
          <w:sz w:val="18"/>
          <w:szCs w:val="18"/>
          <w:shd w:val="clear" w:color="auto" w:fill="FFFFFF"/>
        </w:rPr>
      </w:pPr>
      <w:r w:rsidRPr="00F47F92">
        <w:rPr>
          <w:rFonts w:cstheme="minorHAnsi"/>
          <w:i/>
          <w:iCs/>
          <w:sz w:val="18"/>
          <w:szCs w:val="18"/>
        </w:rPr>
        <w:t>HCN</w:t>
      </w:r>
      <w:r w:rsidRPr="00F47F92">
        <w:rPr>
          <w:rFonts w:cstheme="minorHAnsi"/>
          <w:i/>
          <w:iCs/>
          <w:color w:val="4D5156"/>
          <w:sz w:val="18"/>
          <w:szCs w:val="18"/>
          <w:shd w:val="clear" w:color="auto" w:fill="FFFFFF"/>
        </w:rPr>
        <w:t xml:space="preserve"> - </w:t>
      </w:r>
      <w:r w:rsidRPr="00F47F92">
        <w:rPr>
          <w:rFonts w:cstheme="minorHAnsi"/>
          <w:i/>
          <w:iCs/>
          <w:sz w:val="18"/>
          <w:szCs w:val="18"/>
          <w:shd w:val="clear" w:color="auto" w:fill="FFFFFF"/>
        </w:rPr>
        <w:t>Hyperpolarization-activated Cyclic Nucleotide-gated</w:t>
      </w:r>
    </w:p>
    <w:p w14:paraId="202D3389" w14:textId="4E8861F0" w:rsidR="0011164F" w:rsidRDefault="0011164F" w:rsidP="0011164F">
      <w:pPr>
        <w:jc w:val="both"/>
      </w:pPr>
      <w:r w:rsidRPr="00A30D49">
        <w:t>We establish</w:t>
      </w:r>
      <w:r>
        <w:t>ed</w:t>
      </w:r>
      <w:r w:rsidRPr="00A30D49">
        <w:t xml:space="preserve"> the point prevalence </w:t>
      </w:r>
      <w:r>
        <w:t xml:space="preserve">of </w:t>
      </w:r>
      <w:r w:rsidRPr="00A30D49">
        <w:t xml:space="preserve">therapies </w:t>
      </w:r>
      <w:r>
        <w:t xml:space="preserve">restricted for HF </w:t>
      </w:r>
      <w:r w:rsidRPr="00A30D49">
        <w:t xml:space="preserve">in April 2023. </w:t>
      </w:r>
      <w:r>
        <w:t xml:space="preserve">Table </w:t>
      </w:r>
      <w:r w:rsidR="00993CA5">
        <w:t>4</w:t>
      </w:r>
      <w:r>
        <w:t xml:space="preserve">.1 captures the therapies of 99.8% of all prevalent users of HF restricted medicines (N=216,039). Overall, </w:t>
      </w:r>
      <w:r w:rsidRPr="00594392">
        <w:rPr>
          <w:lang w:val="en-US"/>
        </w:rPr>
        <w:t xml:space="preserve">81% of people were treated with a single class of heart failure restricted medicines in </w:t>
      </w:r>
      <w:r>
        <w:rPr>
          <w:lang w:val="en-US"/>
        </w:rPr>
        <w:t>April</w:t>
      </w:r>
      <w:r w:rsidRPr="00594392">
        <w:rPr>
          <w:lang w:val="en-US"/>
        </w:rPr>
        <w:t xml:space="preserve"> 2023.</w:t>
      </w:r>
      <w:r>
        <w:rPr>
          <w:lang w:val="en-US"/>
        </w:rPr>
        <w:t>T</w:t>
      </w:r>
      <w:r>
        <w:t xml:space="preserve">he most frequently prescribed combinations were ARNI + BB (9.3%) and ARNI + BB +SGLT2 (2.4%). </w:t>
      </w:r>
    </w:p>
    <w:p w14:paraId="011EDA4D" w14:textId="3FA66BEC" w:rsidR="0011164F" w:rsidRPr="0011164F" w:rsidRDefault="0011164F" w:rsidP="0079747D">
      <w:pPr>
        <w:spacing w:after="0"/>
        <w:jc w:val="both"/>
        <w:rPr>
          <w:b/>
          <w:bCs/>
        </w:rPr>
      </w:pPr>
      <w:r w:rsidRPr="0011164F">
        <w:rPr>
          <w:b/>
          <w:bCs/>
        </w:rPr>
        <w:t xml:space="preserve">Table </w:t>
      </w:r>
      <w:r w:rsidR="00993CA5">
        <w:rPr>
          <w:b/>
          <w:bCs/>
        </w:rPr>
        <w:t>4</w:t>
      </w:r>
      <w:r w:rsidRPr="0011164F">
        <w:rPr>
          <w:b/>
          <w:bCs/>
        </w:rPr>
        <w:t>.1. Point prevalence of PBS restricted HF medicines in April 2023</w:t>
      </w:r>
    </w:p>
    <w:tbl>
      <w:tblPr>
        <w:tblW w:w="6941" w:type="dxa"/>
        <w:tblLook w:val="04A0" w:firstRow="1" w:lastRow="0" w:firstColumn="1" w:lastColumn="0" w:noHBand="0" w:noVBand="1"/>
      </w:tblPr>
      <w:tblGrid>
        <w:gridCol w:w="2520"/>
        <w:gridCol w:w="1444"/>
        <w:gridCol w:w="2977"/>
      </w:tblGrid>
      <w:tr w:rsidR="0011164F" w:rsidRPr="0011164F" w14:paraId="0B5F86C5" w14:textId="77777777" w:rsidTr="00FE375A">
        <w:trPr>
          <w:trHeight w:val="288"/>
          <w:tblHeader/>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9730C" w14:textId="77777777" w:rsidR="0011164F" w:rsidRPr="0011164F" w:rsidRDefault="0011164F" w:rsidP="00FE375A">
            <w:pPr>
              <w:spacing w:after="0" w:line="240" w:lineRule="auto"/>
              <w:rPr>
                <w:rFonts w:ascii="Calibri" w:eastAsia="Times New Roman" w:hAnsi="Calibri" w:cs="Calibri"/>
                <w:b/>
                <w:bCs/>
                <w:color w:val="000000"/>
                <w:lang w:eastAsia="en-AU"/>
              </w:rPr>
            </w:pPr>
            <w:r w:rsidRPr="0011164F">
              <w:rPr>
                <w:rFonts w:ascii="Calibri" w:eastAsia="Times New Roman" w:hAnsi="Calibri" w:cs="Calibri"/>
                <w:b/>
                <w:bCs/>
                <w:color w:val="000000"/>
                <w:lang w:eastAsia="en-AU"/>
              </w:rPr>
              <w:t>Therapy</w:t>
            </w:r>
          </w:p>
        </w:tc>
        <w:tc>
          <w:tcPr>
            <w:tcW w:w="1444" w:type="dxa"/>
            <w:tcBorders>
              <w:top w:val="single" w:sz="4" w:space="0" w:color="auto"/>
              <w:left w:val="nil"/>
              <w:bottom w:val="single" w:sz="4" w:space="0" w:color="auto"/>
              <w:right w:val="single" w:sz="4" w:space="0" w:color="auto"/>
            </w:tcBorders>
            <w:shd w:val="clear" w:color="auto" w:fill="auto"/>
            <w:noWrap/>
            <w:vAlign w:val="bottom"/>
            <w:hideMark/>
          </w:tcPr>
          <w:p w14:paraId="5AAF5A3E" w14:textId="77777777" w:rsidR="0011164F" w:rsidRPr="0011164F" w:rsidRDefault="0011164F" w:rsidP="00FE375A">
            <w:pPr>
              <w:spacing w:after="0" w:line="240" w:lineRule="auto"/>
              <w:rPr>
                <w:rFonts w:ascii="Calibri" w:eastAsia="Times New Roman" w:hAnsi="Calibri" w:cs="Calibri"/>
                <w:b/>
                <w:bCs/>
                <w:color w:val="000000"/>
                <w:lang w:eastAsia="en-AU"/>
              </w:rPr>
            </w:pPr>
            <w:r w:rsidRPr="0011164F">
              <w:rPr>
                <w:rFonts w:ascii="Calibri" w:eastAsia="Times New Roman" w:hAnsi="Calibri" w:cs="Calibri"/>
                <w:b/>
                <w:bCs/>
                <w:color w:val="000000"/>
                <w:lang w:eastAsia="en-AU"/>
              </w:rPr>
              <w:t>Number of people</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1425DB6C" w14:textId="77777777" w:rsidR="0011164F" w:rsidRPr="0011164F" w:rsidRDefault="0011164F" w:rsidP="00FE375A">
            <w:pPr>
              <w:spacing w:after="0" w:line="240" w:lineRule="auto"/>
              <w:rPr>
                <w:rFonts w:ascii="Calibri" w:eastAsia="Times New Roman" w:hAnsi="Calibri" w:cs="Calibri"/>
                <w:b/>
                <w:bCs/>
                <w:color w:val="000000"/>
                <w:lang w:eastAsia="en-AU"/>
              </w:rPr>
            </w:pPr>
            <w:r w:rsidRPr="0011164F">
              <w:rPr>
                <w:rFonts w:ascii="Calibri" w:eastAsia="Times New Roman" w:hAnsi="Calibri" w:cs="Calibri"/>
                <w:b/>
                <w:bCs/>
                <w:color w:val="000000"/>
                <w:lang w:eastAsia="en-AU"/>
              </w:rPr>
              <w:t>Percent of all prevalent users of HF medicine in April 2023</w:t>
            </w:r>
          </w:p>
        </w:tc>
      </w:tr>
      <w:tr w:rsidR="0011164F" w:rsidRPr="00EE7768" w14:paraId="384CC4F9" w14:textId="77777777" w:rsidTr="00FE375A">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6AC1E072" w14:textId="39439656" w:rsidR="0011164F" w:rsidRPr="00EE7768" w:rsidRDefault="0011164F" w:rsidP="00FE375A">
            <w:pPr>
              <w:spacing w:after="0" w:line="240" w:lineRule="auto"/>
              <w:rPr>
                <w:rFonts w:ascii="Calibri" w:eastAsia="Times New Roman" w:hAnsi="Calibri" w:cs="Calibri"/>
                <w:color w:val="000000"/>
                <w:lang w:eastAsia="en-AU"/>
              </w:rPr>
            </w:pPr>
            <w:r w:rsidRPr="00EE7768">
              <w:rPr>
                <w:rFonts w:ascii="Calibri" w:eastAsia="Times New Roman" w:hAnsi="Calibri" w:cs="Calibri"/>
                <w:color w:val="000000"/>
                <w:lang w:eastAsia="en-AU"/>
              </w:rPr>
              <w:t>BB</w:t>
            </w:r>
            <w:r>
              <w:rPr>
                <w:rFonts w:ascii="Calibri" w:eastAsia="Times New Roman" w:hAnsi="Calibri" w:cs="Calibri"/>
                <w:color w:val="000000"/>
                <w:lang w:eastAsia="en-AU"/>
              </w:rPr>
              <w:t xml:space="preserve"> mon</w:t>
            </w:r>
            <w:r w:rsidR="002178FB">
              <w:rPr>
                <w:rFonts w:ascii="Calibri" w:eastAsia="Times New Roman" w:hAnsi="Calibri" w:cs="Calibri"/>
                <w:color w:val="000000"/>
                <w:lang w:eastAsia="en-AU"/>
              </w:rPr>
              <w:t>o</w:t>
            </w:r>
            <w:r>
              <w:rPr>
                <w:rFonts w:ascii="Calibri" w:eastAsia="Times New Roman" w:hAnsi="Calibri" w:cs="Calibri"/>
                <w:color w:val="000000"/>
                <w:lang w:eastAsia="en-AU"/>
              </w:rPr>
              <w:t>therapy</w:t>
            </w:r>
          </w:p>
        </w:tc>
        <w:tc>
          <w:tcPr>
            <w:tcW w:w="1444" w:type="dxa"/>
            <w:tcBorders>
              <w:top w:val="nil"/>
              <w:left w:val="nil"/>
              <w:bottom w:val="single" w:sz="4" w:space="0" w:color="auto"/>
              <w:right w:val="single" w:sz="4" w:space="0" w:color="auto"/>
            </w:tcBorders>
            <w:shd w:val="clear" w:color="auto" w:fill="auto"/>
            <w:noWrap/>
            <w:vAlign w:val="bottom"/>
            <w:hideMark/>
          </w:tcPr>
          <w:p w14:paraId="2ACC6E0D" w14:textId="77777777"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147723</w:t>
            </w:r>
          </w:p>
        </w:tc>
        <w:tc>
          <w:tcPr>
            <w:tcW w:w="2977" w:type="dxa"/>
            <w:tcBorders>
              <w:top w:val="nil"/>
              <w:left w:val="nil"/>
              <w:bottom w:val="single" w:sz="4" w:space="0" w:color="auto"/>
              <w:right w:val="single" w:sz="4" w:space="0" w:color="auto"/>
            </w:tcBorders>
            <w:shd w:val="clear" w:color="auto" w:fill="auto"/>
            <w:noWrap/>
            <w:vAlign w:val="bottom"/>
            <w:hideMark/>
          </w:tcPr>
          <w:p w14:paraId="7FA6AD21" w14:textId="6D0318F5"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68.4</w:t>
            </w:r>
            <w:r>
              <w:rPr>
                <w:rFonts w:ascii="Calibri" w:eastAsia="Times New Roman" w:hAnsi="Calibri" w:cs="Calibri"/>
                <w:color w:val="000000"/>
                <w:lang w:eastAsia="en-AU"/>
              </w:rPr>
              <w:t>%</w:t>
            </w:r>
          </w:p>
        </w:tc>
      </w:tr>
      <w:tr w:rsidR="0011164F" w:rsidRPr="00EE7768" w14:paraId="6D46D4D0" w14:textId="77777777" w:rsidTr="00FE375A">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742D5334" w14:textId="77777777" w:rsidR="0011164F" w:rsidRPr="00EE7768" w:rsidRDefault="0011164F" w:rsidP="00FE375A">
            <w:pPr>
              <w:spacing w:after="0" w:line="240" w:lineRule="auto"/>
              <w:rPr>
                <w:rFonts w:ascii="Calibri" w:eastAsia="Times New Roman" w:hAnsi="Calibri" w:cs="Calibri"/>
                <w:color w:val="000000"/>
                <w:lang w:eastAsia="en-AU"/>
              </w:rPr>
            </w:pPr>
            <w:r w:rsidRPr="00EE7768">
              <w:rPr>
                <w:rFonts w:ascii="Calibri" w:eastAsia="Times New Roman" w:hAnsi="Calibri" w:cs="Calibri"/>
                <w:color w:val="000000"/>
                <w:lang w:eastAsia="en-AU"/>
              </w:rPr>
              <w:t>ARNI + BB</w:t>
            </w:r>
          </w:p>
        </w:tc>
        <w:tc>
          <w:tcPr>
            <w:tcW w:w="1444" w:type="dxa"/>
            <w:tcBorders>
              <w:top w:val="nil"/>
              <w:left w:val="nil"/>
              <w:bottom w:val="single" w:sz="4" w:space="0" w:color="auto"/>
              <w:right w:val="single" w:sz="4" w:space="0" w:color="auto"/>
            </w:tcBorders>
            <w:shd w:val="clear" w:color="auto" w:fill="auto"/>
            <w:noWrap/>
            <w:vAlign w:val="bottom"/>
            <w:hideMark/>
          </w:tcPr>
          <w:p w14:paraId="09DDEE6D" w14:textId="77777777"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20115</w:t>
            </w:r>
          </w:p>
        </w:tc>
        <w:tc>
          <w:tcPr>
            <w:tcW w:w="2977" w:type="dxa"/>
            <w:tcBorders>
              <w:top w:val="nil"/>
              <w:left w:val="nil"/>
              <w:bottom w:val="single" w:sz="4" w:space="0" w:color="auto"/>
              <w:right w:val="single" w:sz="4" w:space="0" w:color="auto"/>
            </w:tcBorders>
            <w:shd w:val="clear" w:color="auto" w:fill="auto"/>
            <w:noWrap/>
            <w:vAlign w:val="bottom"/>
            <w:hideMark/>
          </w:tcPr>
          <w:p w14:paraId="22107AE1" w14:textId="2AE15E33"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9.3</w:t>
            </w:r>
            <w:r>
              <w:rPr>
                <w:rFonts w:ascii="Calibri" w:eastAsia="Times New Roman" w:hAnsi="Calibri" w:cs="Calibri"/>
                <w:color w:val="000000"/>
                <w:lang w:eastAsia="en-AU"/>
              </w:rPr>
              <w:t>%</w:t>
            </w:r>
          </w:p>
        </w:tc>
      </w:tr>
      <w:tr w:rsidR="0011164F" w:rsidRPr="00EE7768" w14:paraId="4DC554B9" w14:textId="77777777" w:rsidTr="00FE375A">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515F2FEA" w14:textId="7D8462FF" w:rsidR="0011164F" w:rsidRPr="00EE7768" w:rsidRDefault="0011164F" w:rsidP="00FE375A">
            <w:pPr>
              <w:spacing w:after="0" w:line="240" w:lineRule="auto"/>
              <w:rPr>
                <w:rFonts w:ascii="Calibri" w:eastAsia="Times New Roman" w:hAnsi="Calibri" w:cs="Calibri"/>
                <w:color w:val="000000"/>
                <w:lang w:eastAsia="en-AU"/>
              </w:rPr>
            </w:pPr>
            <w:r w:rsidRPr="00EE7768">
              <w:rPr>
                <w:rFonts w:ascii="Calibri" w:eastAsia="Times New Roman" w:hAnsi="Calibri" w:cs="Calibri"/>
                <w:color w:val="000000"/>
                <w:lang w:eastAsia="en-AU"/>
              </w:rPr>
              <w:t>ARNI</w:t>
            </w:r>
            <w:r>
              <w:rPr>
                <w:rFonts w:ascii="Calibri" w:eastAsia="Times New Roman" w:hAnsi="Calibri" w:cs="Calibri"/>
                <w:color w:val="000000"/>
                <w:lang w:eastAsia="en-AU"/>
              </w:rPr>
              <w:t xml:space="preserve"> </w:t>
            </w:r>
            <w:r w:rsidR="00D86481">
              <w:rPr>
                <w:rFonts w:ascii="Calibri" w:eastAsia="Times New Roman" w:hAnsi="Calibri" w:cs="Calibri"/>
                <w:color w:val="000000"/>
                <w:lang w:eastAsia="en-AU"/>
              </w:rPr>
              <w:t>mono</w:t>
            </w:r>
            <w:r>
              <w:rPr>
                <w:rFonts w:ascii="Calibri" w:eastAsia="Times New Roman" w:hAnsi="Calibri" w:cs="Calibri"/>
                <w:color w:val="000000"/>
                <w:lang w:eastAsia="en-AU"/>
              </w:rPr>
              <w:t>therapy</w:t>
            </w:r>
            <w:r w:rsidR="00AA70C1">
              <w:rPr>
                <w:rFonts w:ascii="Calibri" w:eastAsia="Times New Roman" w:hAnsi="Calibri" w:cs="Calibri"/>
                <w:color w:val="000000"/>
                <w:lang w:eastAsia="en-AU"/>
              </w:rPr>
              <w:t xml:space="preserve"> </w:t>
            </w:r>
          </w:p>
        </w:tc>
        <w:tc>
          <w:tcPr>
            <w:tcW w:w="1444" w:type="dxa"/>
            <w:tcBorders>
              <w:top w:val="nil"/>
              <w:left w:val="nil"/>
              <w:bottom w:val="single" w:sz="4" w:space="0" w:color="auto"/>
              <w:right w:val="single" w:sz="4" w:space="0" w:color="auto"/>
            </w:tcBorders>
            <w:shd w:val="clear" w:color="auto" w:fill="auto"/>
            <w:noWrap/>
            <w:vAlign w:val="bottom"/>
            <w:hideMark/>
          </w:tcPr>
          <w:p w14:paraId="4BBE03B1" w14:textId="77777777"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14998</w:t>
            </w:r>
          </w:p>
        </w:tc>
        <w:tc>
          <w:tcPr>
            <w:tcW w:w="2977" w:type="dxa"/>
            <w:tcBorders>
              <w:top w:val="nil"/>
              <w:left w:val="nil"/>
              <w:bottom w:val="single" w:sz="4" w:space="0" w:color="auto"/>
              <w:right w:val="single" w:sz="4" w:space="0" w:color="auto"/>
            </w:tcBorders>
            <w:shd w:val="clear" w:color="auto" w:fill="auto"/>
            <w:noWrap/>
            <w:vAlign w:val="bottom"/>
            <w:hideMark/>
          </w:tcPr>
          <w:p w14:paraId="53A0756A" w14:textId="22E79349"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6.9</w:t>
            </w:r>
            <w:r>
              <w:rPr>
                <w:rFonts w:ascii="Calibri" w:eastAsia="Times New Roman" w:hAnsi="Calibri" w:cs="Calibri"/>
                <w:color w:val="000000"/>
                <w:lang w:eastAsia="en-AU"/>
              </w:rPr>
              <w:t>%</w:t>
            </w:r>
          </w:p>
        </w:tc>
      </w:tr>
      <w:tr w:rsidR="0011164F" w:rsidRPr="00EE7768" w14:paraId="3DB0AE7C" w14:textId="77777777" w:rsidTr="00FE375A">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265028A8" w14:textId="40FFBF26" w:rsidR="0011164F" w:rsidRPr="00EE7768" w:rsidRDefault="0011164F" w:rsidP="00FE375A">
            <w:pPr>
              <w:spacing w:after="0" w:line="240" w:lineRule="auto"/>
              <w:rPr>
                <w:rFonts w:ascii="Calibri" w:eastAsia="Times New Roman" w:hAnsi="Calibri" w:cs="Calibri"/>
                <w:color w:val="000000"/>
                <w:lang w:eastAsia="en-AU"/>
              </w:rPr>
            </w:pPr>
            <w:r w:rsidRPr="00EE7768">
              <w:rPr>
                <w:rFonts w:ascii="Calibri" w:eastAsia="Times New Roman" w:hAnsi="Calibri" w:cs="Calibri"/>
                <w:color w:val="000000"/>
                <w:lang w:eastAsia="en-AU"/>
              </w:rPr>
              <w:t>SGLT</w:t>
            </w:r>
            <w:r>
              <w:rPr>
                <w:rFonts w:ascii="Calibri" w:eastAsia="Times New Roman" w:hAnsi="Calibri" w:cs="Calibri"/>
                <w:color w:val="000000"/>
                <w:lang w:eastAsia="en-AU"/>
              </w:rPr>
              <w:t>2 monotherapy</w:t>
            </w:r>
          </w:p>
        </w:tc>
        <w:tc>
          <w:tcPr>
            <w:tcW w:w="1444" w:type="dxa"/>
            <w:tcBorders>
              <w:top w:val="nil"/>
              <w:left w:val="nil"/>
              <w:bottom w:val="single" w:sz="4" w:space="0" w:color="auto"/>
              <w:right w:val="single" w:sz="4" w:space="0" w:color="auto"/>
            </w:tcBorders>
            <w:shd w:val="clear" w:color="auto" w:fill="auto"/>
            <w:noWrap/>
            <w:vAlign w:val="bottom"/>
            <w:hideMark/>
          </w:tcPr>
          <w:p w14:paraId="6C347AA3" w14:textId="77777777"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8785</w:t>
            </w:r>
          </w:p>
        </w:tc>
        <w:tc>
          <w:tcPr>
            <w:tcW w:w="2977" w:type="dxa"/>
            <w:tcBorders>
              <w:top w:val="nil"/>
              <w:left w:val="nil"/>
              <w:bottom w:val="single" w:sz="4" w:space="0" w:color="auto"/>
              <w:right w:val="single" w:sz="4" w:space="0" w:color="auto"/>
            </w:tcBorders>
            <w:shd w:val="clear" w:color="auto" w:fill="auto"/>
            <w:noWrap/>
            <w:vAlign w:val="bottom"/>
            <w:hideMark/>
          </w:tcPr>
          <w:p w14:paraId="3451B59A" w14:textId="290A194F"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4.1</w:t>
            </w:r>
            <w:r>
              <w:rPr>
                <w:rFonts w:ascii="Calibri" w:eastAsia="Times New Roman" w:hAnsi="Calibri" w:cs="Calibri"/>
                <w:color w:val="000000"/>
                <w:lang w:eastAsia="en-AU"/>
              </w:rPr>
              <w:t>%</w:t>
            </w:r>
          </w:p>
        </w:tc>
      </w:tr>
      <w:tr w:rsidR="0011164F" w:rsidRPr="00EE7768" w14:paraId="0F028253" w14:textId="77777777" w:rsidTr="00FE375A">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3E22A736" w14:textId="77777777" w:rsidR="0011164F" w:rsidRPr="00EE7768" w:rsidRDefault="0011164F" w:rsidP="00FE375A">
            <w:pPr>
              <w:spacing w:after="0" w:line="240" w:lineRule="auto"/>
              <w:rPr>
                <w:rFonts w:ascii="Calibri" w:eastAsia="Times New Roman" w:hAnsi="Calibri" w:cs="Calibri"/>
                <w:color w:val="000000"/>
                <w:lang w:eastAsia="en-AU"/>
              </w:rPr>
            </w:pPr>
            <w:r w:rsidRPr="00EE7768">
              <w:rPr>
                <w:rFonts w:ascii="Calibri" w:eastAsia="Times New Roman" w:hAnsi="Calibri" w:cs="Calibri"/>
                <w:color w:val="000000"/>
                <w:lang w:eastAsia="en-AU"/>
              </w:rPr>
              <w:t>ARNI + BB + SGLT</w:t>
            </w:r>
            <w:r>
              <w:rPr>
                <w:rFonts w:ascii="Calibri" w:eastAsia="Times New Roman" w:hAnsi="Calibri" w:cs="Calibri"/>
                <w:color w:val="000000"/>
                <w:lang w:eastAsia="en-AU"/>
              </w:rPr>
              <w:t>2</w:t>
            </w:r>
          </w:p>
        </w:tc>
        <w:tc>
          <w:tcPr>
            <w:tcW w:w="1444" w:type="dxa"/>
            <w:tcBorders>
              <w:top w:val="nil"/>
              <w:left w:val="nil"/>
              <w:bottom w:val="single" w:sz="4" w:space="0" w:color="auto"/>
              <w:right w:val="single" w:sz="4" w:space="0" w:color="auto"/>
            </w:tcBorders>
            <w:shd w:val="clear" w:color="auto" w:fill="auto"/>
            <w:noWrap/>
            <w:vAlign w:val="bottom"/>
            <w:hideMark/>
          </w:tcPr>
          <w:p w14:paraId="52758620" w14:textId="77777777"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5261</w:t>
            </w:r>
          </w:p>
        </w:tc>
        <w:tc>
          <w:tcPr>
            <w:tcW w:w="2977" w:type="dxa"/>
            <w:tcBorders>
              <w:top w:val="nil"/>
              <w:left w:val="nil"/>
              <w:bottom w:val="single" w:sz="4" w:space="0" w:color="auto"/>
              <w:right w:val="single" w:sz="4" w:space="0" w:color="auto"/>
            </w:tcBorders>
            <w:shd w:val="clear" w:color="auto" w:fill="auto"/>
            <w:noWrap/>
            <w:vAlign w:val="bottom"/>
            <w:hideMark/>
          </w:tcPr>
          <w:p w14:paraId="01A76CB8" w14:textId="0379B19D"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2.4</w:t>
            </w:r>
            <w:r>
              <w:rPr>
                <w:rFonts w:ascii="Calibri" w:eastAsia="Times New Roman" w:hAnsi="Calibri" w:cs="Calibri"/>
                <w:color w:val="000000"/>
                <w:lang w:eastAsia="en-AU"/>
              </w:rPr>
              <w:t>%</w:t>
            </w:r>
          </w:p>
        </w:tc>
      </w:tr>
      <w:tr w:rsidR="0011164F" w:rsidRPr="00EE7768" w14:paraId="264C7FAB" w14:textId="77777777" w:rsidTr="00FE375A">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6E4E5576" w14:textId="77777777" w:rsidR="0011164F" w:rsidRPr="00EE7768" w:rsidRDefault="0011164F" w:rsidP="00FE375A">
            <w:pPr>
              <w:spacing w:after="0" w:line="240" w:lineRule="auto"/>
              <w:rPr>
                <w:rFonts w:ascii="Calibri" w:eastAsia="Times New Roman" w:hAnsi="Calibri" w:cs="Calibri"/>
                <w:color w:val="000000"/>
                <w:lang w:eastAsia="en-AU"/>
              </w:rPr>
            </w:pPr>
            <w:r w:rsidRPr="00EE7768">
              <w:rPr>
                <w:rFonts w:ascii="Calibri" w:eastAsia="Times New Roman" w:hAnsi="Calibri" w:cs="Calibri"/>
                <w:color w:val="000000"/>
                <w:lang w:eastAsia="en-AU"/>
              </w:rPr>
              <w:t>BB + SGLT</w:t>
            </w:r>
            <w:r>
              <w:rPr>
                <w:rFonts w:ascii="Calibri" w:eastAsia="Times New Roman" w:hAnsi="Calibri" w:cs="Calibri"/>
                <w:color w:val="000000"/>
                <w:lang w:eastAsia="en-AU"/>
              </w:rPr>
              <w:t>2</w:t>
            </w:r>
          </w:p>
        </w:tc>
        <w:tc>
          <w:tcPr>
            <w:tcW w:w="1444" w:type="dxa"/>
            <w:tcBorders>
              <w:top w:val="nil"/>
              <w:left w:val="nil"/>
              <w:bottom w:val="single" w:sz="4" w:space="0" w:color="auto"/>
              <w:right w:val="single" w:sz="4" w:space="0" w:color="auto"/>
            </w:tcBorders>
            <w:shd w:val="clear" w:color="auto" w:fill="auto"/>
            <w:noWrap/>
            <w:vAlign w:val="bottom"/>
            <w:hideMark/>
          </w:tcPr>
          <w:p w14:paraId="4E3174C2" w14:textId="77777777"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4322</w:t>
            </w:r>
          </w:p>
        </w:tc>
        <w:tc>
          <w:tcPr>
            <w:tcW w:w="2977" w:type="dxa"/>
            <w:tcBorders>
              <w:top w:val="nil"/>
              <w:left w:val="nil"/>
              <w:bottom w:val="single" w:sz="4" w:space="0" w:color="auto"/>
              <w:right w:val="single" w:sz="4" w:space="0" w:color="auto"/>
            </w:tcBorders>
            <w:shd w:val="clear" w:color="auto" w:fill="auto"/>
            <w:noWrap/>
            <w:vAlign w:val="bottom"/>
            <w:hideMark/>
          </w:tcPr>
          <w:p w14:paraId="5A591376" w14:textId="6E9F7334"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2</w:t>
            </w:r>
            <w:r>
              <w:rPr>
                <w:rFonts w:ascii="Calibri" w:eastAsia="Times New Roman" w:hAnsi="Calibri" w:cs="Calibri"/>
                <w:color w:val="000000"/>
                <w:lang w:eastAsia="en-AU"/>
              </w:rPr>
              <w:t>%</w:t>
            </w:r>
          </w:p>
        </w:tc>
      </w:tr>
      <w:tr w:rsidR="0011164F" w:rsidRPr="00EE7768" w14:paraId="72A08623" w14:textId="77777777" w:rsidTr="00FE375A">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5FCA88E1" w14:textId="77777777" w:rsidR="0011164F" w:rsidRPr="00EE7768" w:rsidRDefault="0011164F" w:rsidP="00FE375A">
            <w:pPr>
              <w:spacing w:after="0" w:line="240" w:lineRule="auto"/>
              <w:rPr>
                <w:rFonts w:ascii="Calibri" w:eastAsia="Times New Roman" w:hAnsi="Calibri" w:cs="Calibri"/>
                <w:color w:val="000000"/>
                <w:lang w:eastAsia="en-AU"/>
              </w:rPr>
            </w:pPr>
            <w:r w:rsidRPr="00EE7768">
              <w:rPr>
                <w:rFonts w:ascii="Calibri" w:eastAsia="Times New Roman" w:hAnsi="Calibri" w:cs="Calibri"/>
                <w:color w:val="000000"/>
                <w:lang w:eastAsia="en-AU"/>
              </w:rPr>
              <w:t>ARNI + SGLT</w:t>
            </w:r>
            <w:r>
              <w:rPr>
                <w:rFonts w:ascii="Calibri" w:eastAsia="Times New Roman" w:hAnsi="Calibri" w:cs="Calibri"/>
                <w:color w:val="000000"/>
                <w:lang w:eastAsia="en-AU"/>
              </w:rPr>
              <w:t>2</w:t>
            </w:r>
          </w:p>
        </w:tc>
        <w:tc>
          <w:tcPr>
            <w:tcW w:w="1444" w:type="dxa"/>
            <w:tcBorders>
              <w:top w:val="nil"/>
              <w:left w:val="nil"/>
              <w:bottom w:val="single" w:sz="4" w:space="0" w:color="auto"/>
              <w:right w:val="single" w:sz="4" w:space="0" w:color="auto"/>
            </w:tcBorders>
            <w:shd w:val="clear" w:color="auto" w:fill="auto"/>
            <w:noWrap/>
            <w:vAlign w:val="bottom"/>
            <w:hideMark/>
          </w:tcPr>
          <w:p w14:paraId="77F1FDB2" w14:textId="77777777"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3306</w:t>
            </w:r>
          </w:p>
        </w:tc>
        <w:tc>
          <w:tcPr>
            <w:tcW w:w="2977" w:type="dxa"/>
            <w:tcBorders>
              <w:top w:val="nil"/>
              <w:left w:val="nil"/>
              <w:bottom w:val="single" w:sz="4" w:space="0" w:color="auto"/>
              <w:right w:val="single" w:sz="4" w:space="0" w:color="auto"/>
            </w:tcBorders>
            <w:shd w:val="clear" w:color="auto" w:fill="auto"/>
            <w:noWrap/>
            <w:vAlign w:val="bottom"/>
            <w:hideMark/>
          </w:tcPr>
          <w:p w14:paraId="199E8D54" w14:textId="7613814E"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1.5</w:t>
            </w:r>
            <w:r>
              <w:rPr>
                <w:rFonts w:ascii="Calibri" w:eastAsia="Times New Roman" w:hAnsi="Calibri" w:cs="Calibri"/>
                <w:color w:val="000000"/>
                <w:lang w:eastAsia="en-AU"/>
              </w:rPr>
              <w:t>%</w:t>
            </w:r>
          </w:p>
        </w:tc>
      </w:tr>
      <w:tr w:rsidR="0011164F" w:rsidRPr="00EE7768" w14:paraId="0F36C791" w14:textId="77777777" w:rsidTr="00FE375A">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1346D684" w14:textId="79B85FB2" w:rsidR="0011164F" w:rsidRPr="00EE7768" w:rsidRDefault="0011164F" w:rsidP="00FE375A">
            <w:pPr>
              <w:spacing w:after="0" w:line="240" w:lineRule="auto"/>
              <w:rPr>
                <w:rFonts w:ascii="Calibri" w:eastAsia="Times New Roman" w:hAnsi="Calibri" w:cs="Calibri"/>
                <w:color w:val="000000"/>
                <w:lang w:eastAsia="en-AU"/>
              </w:rPr>
            </w:pPr>
            <w:r w:rsidRPr="00EE7768">
              <w:rPr>
                <w:rFonts w:ascii="Calibri" w:eastAsia="Times New Roman" w:hAnsi="Calibri" w:cs="Calibri"/>
                <w:color w:val="000000"/>
                <w:lang w:eastAsia="en-AU"/>
              </w:rPr>
              <w:t>HCN</w:t>
            </w:r>
            <w:r w:rsidR="00993CA5">
              <w:rPr>
                <w:rFonts w:ascii="Calibri" w:eastAsia="Times New Roman" w:hAnsi="Calibri" w:cs="Calibri"/>
                <w:color w:val="000000"/>
                <w:lang w:eastAsia="en-AU"/>
              </w:rPr>
              <w:t xml:space="preserve"> monotherapy</w:t>
            </w:r>
          </w:p>
        </w:tc>
        <w:tc>
          <w:tcPr>
            <w:tcW w:w="1444" w:type="dxa"/>
            <w:tcBorders>
              <w:top w:val="nil"/>
              <w:left w:val="nil"/>
              <w:bottom w:val="single" w:sz="4" w:space="0" w:color="auto"/>
              <w:right w:val="single" w:sz="4" w:space="0" w:color="auto"/>
            </w:tcBorders>
            <w:shd w:val="clear" w:color="auto" w:fill="auto"/>
            <w:noWrap/>
            <w:vAlign w:val="bottom"/>
            <w:hideMark/>
          </w:tcPr>
          <w:p w14:paraId="1FA04BB7" w14:textId="77777777"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2925</w:t>
            </w:r>
          </w:p>
        </w:tc>
        <w:tc>
          <w:tcPr>
            <w:tcW w:w="2977" w:type="dxa"/>
            <w:tcBorders>
              <w:top w:val="nil"/>
              <w:left w:val="nil"/>
              <w:bottom w:val="single" w:sz="4" w:space="0" w:color="auto"/>
              <w:right w:val="single" w:sz="4" w:space="0" w:color="auto"/>
            </w:tcBorders>
            <w:shd w:val="clear" w:color="auto" w:fill="auto"/>
            <w:noWrap/>
            <w:vAlign w:val="bottom"/>
            <w:hideMark/>
          </w:tcPr>
          <w:p w14:paraId="63856313" w14:textId="6554916F"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1.4</w:t>
            </w:r>
            <w:r>
              <w:rPr>
                <w:rFonts w:ascii="Calibri" w:eastAsia="Times New Roman" w:hAnsi="Calibri" w:cs="Calibri"/>
                <w:color w:val="000000"/>
                <w:lang w:eastAsia="en-AU"/>
              </w:rPr>
              <w:t>%</w:t>
            </w:r>
          </w:p>
        </w:tc>
      </w:tr>
      <w:tr w:rsidR="0011164F" w:rsidRPr="00EE7768" w14:paraId="3F0F29D3" w14:textId="77777777" w:rsidTr="00FE375A">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4392BC39" w14:textId="574DF599" w:rsidR="0011164F" w:rsidRPr="00EE7768" w:rsidRDefault="0011164F" w:rsidP="00FE375A">
            <w:pPr>
              <w:spacing w:after="0" w:line="240" w:lineRule="auto"/>
              <w:rPr>
                <w:rFonts w:ascii="Calibri" w:eastAsia="Times New Roman" w:hAnsi="Calibri" w:cs="Calibri"/>
                <w:color w:val="000000"/>
                <w:lang w:eastAsia="en-AU"/>
              </w:rPr>
            </w:pPr>
            <w:r w:rsidRPr="00EE7768">
              <w:rPr>
                <w:rFonts w:ascii="Calibri" w:eastAsia="Times New Roman" w:hAnsi="Calibri" w:cs="Calibri"/>
                <w:color w:val="000000"/>
                <w:lang w:eastAsia="en-AU"/>
              </w:rPr>
              <w:t>MRA</w:t>
            </w:r>
            <w:r w:rsidR="00993CA5">
              <w:rPr>
                <w:rFonts w:ascii="Calibri" w:eastAsia="Times New Roman" w:hAnsi="Calibri" w:cs="Calibri"/>
                <w:color w:val="000000"/>
                <w:lang w:eastAsia="en-AU"/>
              </w:rPr>
              <w:t xml:space="preserve"> monotherapy</w:t>
            </w:r>
          </w:p>
        </w:tc>
        <w:tc>
          <w:tcPr>
            <w:tcW w:w="1444" w:type="dxa"/>
            <w:tcBorders>
              <w:top w:val="nil"/>
              <w:left w:val="nil"/>
              <w:bottom w:val="single" w:sz="4" w:space="0" w:color="auto"/>
              <w:right w:val="single" w:sz="4" w:space="0" w:color="auto"/>
            </w:tcBorders>
            <w:shd w:val="clear" w:color="auto" w:fill="auto"/>
            <w:noWrap/>
            <w:vAlign w:val="bottom"/>
            <w:hideMark/>
          </w:tcPr>
          <w:p w14:paraId="6F4BB989" w14:textId="77777777"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2138</w:t>
            </w:r>
          </w:p>
        </w:tc>
        <w:tc>
          <w:tcPr>
            <w:tcW w:w="2977" w:type="dxa"/>
            <w:tcBorders>
              <w:top w:val="nil"/>
              <w:left w:val="nil"/>
              <w:bottom w:val="single" w:sz="4" w:space="0" w:color="auto"/>
              <w:right w:val="single" w:sz="4" w:space="0" w:color="auto"/>
            </w:tcBorders>
            <w:shd w:val="clear" w:color="auto" w:fill="auto"/>
            <w:noWrap/>
            <w:vAlign w:val="bottom"/>
            <w:hideMark/>
          </w:tcPr>
          <w:p w14:paraId="4719AD03" w14:textId="785C3227"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1</w:t>
            </w:r>
            <w:r>
              <w:rPr>
                <w:rFonts w:ascii="Calibri" w:eastAsia="Times New Roman" w:hAnsi="Calibri" w:cs="Calibri"/>
                <w:color w:val="000000"/>
                <w:lang w:eastAsia="en-AU"/>
              </w:rPr>
              <w:t>%</w:t>
            </w:r>
          </w:p>
        </w:tc>
      </w:tr>
      <w:tr w:rsidR="0011164F" w:rsidRPr="00EE7768" w14:paraId="1160C732" w14:textId="77777777" w:rsidTr="00FE375A">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43C46668" w14:textId="77777777" w:rsidR="0011164F" w:rsidRPr="00EE7768" w:rsidRDefault="0011164F" w:rsidP="00FE375A">
            <w:pPr>
              <w:spacing w:after="0" w:line="240" w:lineRule="auto"/>
              <w:rPr>
                <w:rFonts w:ascii="Calibri" w:eastAsia="Times New Roman" w:hAnsi="Calibri" w:cs="Calibri"/>
                <w:color w:val="000000"/>
                <w:lang w:eastAsia="en-AU"/>
              </w:rPr>
            </w:pPr>
            <w:r w:rsidRPr="00EE7768">
              <w:rPr>
                <w:rFonts w:ascii="Calibri" w:eastAsia="Times New Roman" w:hAnsi="Calibri" w:cs="Calibri"/>
                <w:color w:val="000000"/>
                <w:lang w:eastAsia="en-AU"/>
              </w:rPr>
              <w:t>BB + MRA</w:t>
            </w:r>
          </w:p>
        </w:tc>
        <w:tc>
          <w:tcPr>
            <w:tcW w:w="1444" w:type="dxa"/>
            <w:tcBorders>
              <w:top w:val="nil"/>
              <w:left w:val="nil"/>
              <w:bottom w:val="single" w:sz="4" w:space="0" w:color="auto"/>
              <w:right w:val="single" w:sz="4" w:space="0" w:color="auto"/>
            </w:tcBorders>
            <w:shd w:val="clear" w:color="auto" w:fill="auto"/>
            <w:noWrap/>
            <w:vAlign w:val="bottom"/>
            <w:hideMark/>
          </w:tcPr>
          <w:p w14:paraId="60998D0E" w14:textId="77777777"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1567</w:t>
            </w:r>
          </w:p>
        </w:tc>
        <w:tc>
          <w:tcPr>
            <w:tcW w:w="2977" w:type="dxa"/>
            <w:tcBorders>
              <w:top w:val="nil"/>
              <w:left w:val="nil"/>
              <w:bottom w:val="single" w:sz="4" w:space="0" w:color="auto"/>
              <w:right w:val="single" w:sz="4" w:space="0" w:color="auto"/>
            </w:tcBorders>
            <w:shd w:val="clear" w:color="auto" w:fill="auto"/>
            <w:noWrap/>
            <w:vAlign w:val="bottom"/>
            <w:hideMark/>
          </w:tcPr>
          <w:p w14:paraId="7DC533CA" w14:textId="03FCF26A"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0.7</w:t>
            </w:r>
            <w:r>
              <w:rPr>
                <w:rFonts w:ascii="Calibri" w:eastAsia="Times New Roman" w:hAnsi="Calibri" w:cs="Calibri"/>
                <w:color w:val="000000"/>
                <w:lang w:eastAsia="en-AU"/>
              </w:rPr>
              <w:t>%</w:t>
            </w:r>
          </w:p>
        </w:tc>
      </w:tr>
      <w:tr w:rsidR="0011164F" w:rsidRPr="00EE7768" w14:paraId="567B6CDE" w14:textId="77777777" w:rsidTr="00FE375A">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48C6718D" w14:textId="77777777" w:rsidR="0011164F" w:rsidRPr="00EE7768" w:rsidRDefault="0011164F" w:rsidP="00FE375A">
            <w:pPr>
              <w:spacing w:after="0" w:line="240" w:lineRule="auto"/>
              <w:rPr>
                <w:rFonts w:ascii="Calibri" w:eastAsia="Times New Roman" w:hAnsi="Calibri" w:cs="Calibri"/>
                <w:color w:val="000000"/>
                <w:lang w:eastAsia="en-AU"/>
              </w:rPr>
            </w:pPr>
            <w:r w:rsidRPr="00EE7768">
              <w:rPr>
                <w:rFonts w:ascii="Calibri" w:eastAsia="Times New Roman" w:hAnsi="Calibri" w:cs="Calibri"/>
                <w:color w:val="000000"/>
                <w:lang w:eastAsia="en-AU"/>
              </w:rPr>
              <w:t>BB + HCN</w:t>
            </w:r>
          </w:p>
        </w:tc>
        <w:tc>
          <w:tcPr>
            <w:tcW w:w="1444" w:type="dxa"/>
            <w:tcBorders>
              <w:top w:val="nil"/>
              <w:left w:val="nil"/>
              <w:bottom w:val="single" w:sz="4" w:space="0" w:color="auto"/>
              <w:right w:val="single" w:sz="4" w:space="0" w:color="auto"/>
            </w:tcBorders>
            <w:shd w:val="clear" w:color="auto" w:fill="auto"/>
            <w:noWrap/>
            <w:vAlign w:val="bottom"/>
            <w:hideMark/>
          </w:tcPr>
          <w:p w14:paraId="7FFF0463" w14:textId="77777777"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858</w:t>
            </w:r>
          </w:p>
        </w:tc>
        <w:tc>
          <w:tcPr>
            <w:tcW w:w="2977" w:type="dxa"/>
            <w:tcBorders>
              <w:top w:val="nil"/>
              <w:left w:val="nil"/>
              <w:bottom w:val="single" w:sz="4" w:space="0" w:color="auto"/>
              <w:right w:val="single" w:sz="4" w:space="0" w:color="auto"/>
            </w:tcBorders>
            <w:shd w:val="clear" w:color="auto" w:fill="auto"/>
            <w:noWrap/>
            <w:vAlign w:val="bottom"/>
            <w:hideMark/>
          </w:tcPr>
          <w:p w14:paraId="755845D2" w14:textId="19EC83E2"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0.4</w:t>
            </w:r>
            <w:r>
              <w:rPr>
                <w:rFonts w:ascii="Calibri" w:eastAsia="Times New Roman" w:hAnsi="Calibri" w:cs="Calibri"/>
                <w:color w:val="000000"/>
                <w:lang w:eastAsia="en-AU"/>
              </w:rPr>
              <w:t>%</w:t>
            </w:r>
          </w:p>
        </w:tc>
      </w:tr>
      <w:tr w:rsidR="0011164F" w:rsidRPr="00EE7768" w14:paraId="4D8C31E3" w14:textId="77777777" w:rsidTr="00FE375A">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580C69EC" w14:textId="77777777" w:rsidR="0011164F" w:rsidRPr="00EE7768" w:rsidRDefault="0011164F" w:rsidP="00FE375A">
            <w:pPr>
              <w:spacing w:after="0" w:line="240" w:lineRule="auto"/>
              <w:rPr>
                <w:rFonts w:ascii="Calibri" w:eastAsia="Times New Roman" w:hAnsi="Calibri" w:cs="Calibri"/>
                <w:color w:val="000000"/>
                <w:lang w:eastAsia="en-AU"/>
              </w:rPr>
            </w:pPr>
            <w:r w:rsidRPr="00EE7768">
              <w:rPr>
                <w:rFonts w:ascii="Calibri" w:eastAsia="Times New Roman" w:hAnsi="Calibri" w:cs="Calibri"/>
                <w:color w:val="000000"/>
                <w:lang w:eastAsia="en-AU"/>
              </w:rPr>
              <w:t>ARNI + BB + MRA</w:t>
            </w:r>
          </w:p>
        </w:tc>
        <w:tc>
          <w:tcPr>
            <w:tcW w:w="1444" w:type="dxa"/>
            <w:tcBorders>
              <w:top w:val="nil"/>
              <w:left w:val="nil"/>
              <w:bottom w:val="single" w:sz="4" w:space="0" w:color="auto"/>
              <w:right w:val="single" w:sz="4" w:space="0" w:color="auto"/>
            </w:tcBorders>
            <w:shd w:val="clear" w:color="auto" w:fill="auto"/>
            <w:noWrap/>
            <w:vAlign w:val="bottom"/>
            <w:hideMark/>
          </w:tcPr>
          <w:p w14:paraId="6F486470" w14:textId="77777777"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730</w:t>
            </w:r>
          </w:p>
        </w:tc>
        <w:tc>
          <w:tcPr>
            <w:tcW w:w="2977" w:type="dxa"/>
            <w:tcBorders>
              <w:top w:val="nil"/>
              <w:left w:val="nil"/>
              <w:bottom w:val="single" w:sz="4" w:space="0" w:color="auto"/>
              <w:right w:val="single" w:sz="4" w:space="0" w:color="auto"/>
            </w:tcBorders>
            <w:shd w:val="clear" w:color="auto" w:fill="auto"/>
            <w:noWrap/>
            <w:vAlign w:val="bottom"/>
            <w:hideMark/>
          </w:tcPr>
          <w:p w14:paraId="4742177F" w14:textId="218C317F"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0.3</w:t>
            </w:r>
            <w:r>
              <w:rPr>
                <w:rFonts w:ascii="Calibri" w:eastAsia="Times New Roman" w:hAnsi="Calibri" w:cs="Calibri"/>
                <w:color w:val="000000"/>
                <w:lang w:eastAsia="en-AU"/>
              </w:rPr>
              <w:t>%</w:t>
            </w:r>
          </w:p>
        </w:tc>
      </w:tr>
      <w:tr w:rsidR="0011164F" w:rsidRPr="00EE7768" w14:paraId="139E2A31" w14:textId="77777777" w:rsidTr="00FE375A">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1662A7A3" w14:textId="77777777" w:rsidR="0011164F" w:rsidRPr="00EE7768" w:rsidRDefault="0011164F" w:rsidP="00FE375A">
            <w:pPr>
              <w:spacing w:after="0" w:line="240" w:lineRule="auto"/>
              <w:rPr>
                <w:rFonts w:ascii="Calibri" w:eastAsia="Times New Roman" w:hAnsi="Calibri" w:cs="Calibri"/>
                <w:color w:val="000000"/>
                <w:lang w:eastAsia="en-AU"/>
              </w:rPr>
            </w:pPr>
            <w:r w:rsidRPr="00EE7768">
              <w:rPr>
                <w:rFonts w:ascii="Calibri" w:eastAsia="Times New Roman" w:hAnsi="Calibri" w:cs="Calibri"/>
                <w:color w:val="000000"/>
                <w:lang w:eastAsia="en-AU"/>
              </w:rPr>
              <w:t>ARNI + BB + HCN</w:t>
            </w:r>
          </w:p>
        </w:tc>
        <w:tc>
          <w:tcPr>
            <w:tcW w:w="1444" w:type="dxa"/>
            <w:tcBorders>
              <w:top w:val="nil"/>
              <w:left w:val="nil"/>
              <w:bottom w:val="single" w:sz="4" w:space="0" w:color="auto"/>
              <w:right w:val="single" w:sz="4" w:space="0" w:color="auto"/>
            </w:tcBorders>
            <w:shd w:val="clear" w:color="auto" w:fill="auto"/>
            <w:noWrap/>
            <w:vAlign w:val="bottom"/>
            <w:hideMark/>
          </w:tcPr>
          <w:p w14:paraId="61C5C758" w14:textId="77777777"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669</w:t>
            </w:r>
          </w:p>
        </w:tc>
        <w:tc>
          <w:tcPr>
            <w:tcW w:w="2977" w:type="dxa"/>
            <w:tcBorders>
              <w:top w:val="nil"/>
              <w:left w:val="nil"/>
              <w:bottom w:val="single" w:sz="4" w:space="0" w:color="auto"/>
              <w:right w:val="single" w:sz="4" w:space="0" w:color="auto"/>
            </w:tcBorders>
            <w:shd w:val="clear" w:color="auto" w:fill="auto"/>
            <w:noWrap/>
            <w:vAlign w:val="bottom"/>
            <w:hideMark/>
          </w:tcPr>
          <w:p w14:paraId="7B7D5E78" w14:textId="1A53980D"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0.3</w:t>
            </w:r>
            <w:r>
              <w:rPr>
                <w:rFonts w:ascii="Calibri" w:eastAsia="Times New Roman" w:hAnsi="Calibri" w:cs="Calibri"/>
                <w:color w:val="000000"/>
                <w:lang w:eastAsia="en-AU"/>
              </w:rPr>
              <w:t>%</w:t>
            </w:r>
          </w:p>
        </w:tc>
      </w:tr>
      <w:tr w:rsidR="0011164F" w:rsidRPr="00EE7768" w14:paraId="6D3183D9" w14:textId="77777777" w:rsidTr="00FE375A">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35C5525F" w14:textId="77777777" w:rsidR="0011164F" w:rsidRPr="00EE7768" w:rsidRDefault="0011164F" w:rsidP="00FE375A">
            <w:pPr>
              <w:spacing w:after="0" w:line="240" w:lineRule="auto"/>
              <w:rPr>
                <w:rFonts w:ascii="Calibri" w:eastAsia="Times New Roman" w:hAnsi="Calibri" w:cs="Calibri"/>
                <w:color w:val="000000"/>
                <w:lang w:eastAsia="en-AU"/>
              </w:rPr>
            </w:pPr>
            <w:r w:rsidRPr="00EE7768">
              <w:rPr>
                <w:rFonts w:ascii="Calibri" w:eastAsia="Times New Roman" w:hAnsi="Calibri" w:cs="Calibri"/>
                <w:color w:val="000000"/>
                <w:lang w:eastAsia="en-AU"/>
              </w:rPr>
              <w:t>ARNI + HCN</w:t>
            </w:r>
          </w:p>
        </w:tc>
        <w:tc>
          <w:tcPr>
            <w:tcW w:w="1444" w:type="dxa"/>
            <w:tcBorders>
              <w:top w:val="nil"/>
              <w:left w:val="nil"/>
              <w:bottom w:val="single" w:sz="4" w:space="0" w:color="auto"/>
              <w:right w:val="single" w:sz="4" w:space="0" w:color="auto"/>
            </w:tcBorders>
            <w:shd w:val="clear" w:color="auto" w:fill="auto"/>
            <w:noWrap/>
            <w:vAlign w:val="bottom"/>
            <w:hideMark/>
          </w:tcPr>
          <w:p w14:paraId="6DF5E5AB" w14:textId="77777777"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548</w:t>
            </w:r>
          </w:p>
        </w:tc>
        <w:tc>
          <w:tcPr>
            <w:tcW w:w="2977" w:type="dxa"/>
            <w:tcBorders>
              <w:top w:val="nil"/>
              <w:left w:val="nil"/>
              <w:bottom w:val="single" w:sz="4" w:space="0" w:color="auto"/>
              <w:right w:val="single" w:sz="4" w:space="0" w:color="auto"/>
            </w:tcBorders>
            <w:shd w:val="clear" w:color="auto" w:fill="auto"/>
            <w:noWrap/>
            <w:vAlign w:val="bottom"/>
            <w:hideMark/>
          </w:tcPr>
          <w:p w14:paraId="0D78C530" w14:textId="13FCE612"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0.3</w:t>
            </w:r>
            <w:r>
              <w:rPr>
                <w:rFonts w:ascii="Calibri" w:eastAsia="Times New Roman" w:hAnsi="Calibri" w:cs="Calibri"/>
                <w:color w:val="000000"/>
                <w:lang w:eastAsia="en-AU"/>
              </w:rPr>
              <w:t>%</w:t>
            </w:r>
          </w:p>
        </w:tc>
      </w:tr>
      <w:tr w:rsidR="0011164F" w:rsidRPr="00EE7768" w14:paraId="1F43335F" w14:textId="77777777" w:rsidTr="00FE375A">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1F9C0BA1" w14:textId="77777777" w:rsidR="0011164F" w:rsidRPr="00EE7768" w:rsidRDefault="0011164F" w:rsidP="00FE375A">
            <w:pPr>
              <w:spacing w:after="0" w:line="240" w:lineRule="auto"/>
              <w:rPr>
                <w:rFonts w:ascii="Calibri" w:eastAsia="Times New Roman" w:hAnsi="Calibri" w:cs="Calibri"/>
                <w:color w:val="000000"/>
                <w:lang w:eastAsia="en-AU"/>
              </w:rPr>
            </w:pPr>
            <w:r w:rsidRPr="00EE7768">
              <w:rPr>
                <w:rFonts w:ascii="Calibri" w:eastAsia="Times New Roman" w:hAnsi="Calibri" w:cs="Calibri"/>
                <w:color w:val="000000"/>
                <w:lang w:eastAsia="en-AU"/>
              </w:rPr>
              <w:t>ARNI + MRA</w:t>
            </w:r>
          </w:p>
        </w:tc>
        <w:tc>
          <w:tcPr>
            <w:tcW w:w="1444" w:type="dxa"/>
            <w:tcBorders>
              <w:top w:val="nil"/>
              <w:left w:val="nil"/>
              <w:bottom w:val="single" w:sz="4" w:space="0" w:color="auto"/>
              <w:right w:val="single" w:sz="4" w:space="0" w:color="auto"/>
            </w:tcBorders>
            <w:shd w:val="clear" w:color="auto" w:fill="auto"/>
            <w:noWrap/>
            <w:vAlign w:val="bottom"/>
            <w:hideMark/>
          </w:tcPr>
          <w:p w14:paraId="4076D344" w14:textId="77777777"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453</w:t>
            </w:r>
          </w:p>
        </w:tc>
        <w:tc>
          <w:tcPr>
            <w:tcW w:w="2977" w:type="dxa"/>
            <w:tcBorders>
              <w:top w:val="nil"/>
              <w:left w:val="nil"/>
              <w:bottom w:val="single" w:sz="4" w:space="0" w:color="auto"/>
              <w:right w:val="single" w:sz="4" w:space="0" w:color="auto"/>
            </w:tcBorders>
            <w:shd w:val="clear" w:color="auto" w:fill="auto"/>
            <w:noWrap/>
            <w:vAlign w:val="bottom"/>
            <w:hideMark/>
          </w:tcPr>
          <w:p w14:paraId="29939EE3" w14:textId="6812EE9E"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0.2</w:t>
            </w:r>
            <w:r>
              <w:rPr>
                <w:rFonts w:ascii="Calibri" w:eastAsia="Times New Roman" w:hAnsi="Calibri" w:cs="Calibri"/>
                <w:color w:val="000000"/>
                <w:lang w:eastAsia="en-AU"/>
              </w:rPr>
              <w:t>%</w:t>
            </w:r>
          </w:p>
        </w:tc>
      </w:tr>
      <w:tr w:rsidR="0011164F" w:rsidRPr="00EE7768" w14:paraId="5D7F32DB" w14:textId="77777777" w:rsidTr="00FE375A">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7016933C" w14:textId="77777777" w:rsidR="0011164F" w:rsidRPr="00EE7768" w:rsidRDefault="0011164F" w:rsidP="00FE375A">
            <w:pPr>
              <w:spacing w:after="0" w:line="240" w:lineRule="auto"/>
              <w:rPr>
                <w:rFonts w:ascii="Calibri" w:eastAsia="Times New Roman" w:hAnsi="Calibri" w:cs="Calibri"/>
                <w:color w:val="000000"/>
                <w:lang w:eastAsia="en-AU"/>
              </w:rPr>
            </w:pPr>
            <w:r w:rsidRPr="00EE7768">
              <w:rPr>
                <w:rFonts w:ascii="Calibri" w:eastAsia="Times New Roman" w:hAnsi="Calibri" w:cs="Calibri"/>
                <w:color w:val="000000"/>
                <w:lang w:eastAsia="en-AU"/>
              </w:rPr>
              <w:t>ARNI + BB + MRA + SGLT</w:t>
            </w:r>
            <w:r>
              <w:rPr>
                <w:rFonts w:ascii="Calibri" w:eastAsia="Times New Roman" w:hAnsi="Calibri" w:cs="Calibri"/>
                <w:color w:val="000000"/>
                <w:lang w:eastAsia="en-AU"/>
              </w:rPr>
              <w:t>2</w:t>
            </w:r>
          </w:p>
        </w:tc>
        <w:tc>
          <w:tcPr>
            <w:tcW w:w="1444" w:type="dxa"/>
            <w:tcBorders>
              <w:top w:val="nil"/>
              <w:left w:val="nil"/>
              <w:bottom w:val="single" w:sz="4" w:space="0" w:color="auto"/>
              <w:right w:val="single" w:sz="4" w:space="0" w:color="auto"/>
            </w:tcBorders>
            <w:shd w:val="clear" w:color="auto" w:fill="auto"/>
            <w:noWrap/>
            <w:vAlign w:val="bottom"/>
            <w:hideMark/>
          </w:tcPr>
          <w:p w14:paraId="2D1B48D4" w14:textId="77777777"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228</w:t>
            </w:r>
          </w:p>
        </w:tc>
        <w:tc>
          <w:tcPr>
            <w:tcW w:w="2977" w:type="dxa"/>
            <w:tcBorders>
              <w:top w:val="nil"/>
              <w:left w:val="nil"/>
              <w:bottom w:val="single" w:sz="4" w:space="0" w:color="auto"/>
              <w:right w:val="single" w:sz="4" w:space="0" w:color="auto"/>
            </w:tcBorders>
            <w:shd w:val="clear" w:color="auto" w:fill="auto"/>
            <w:noWrap/>
            <w:vAlign w:val="bottom"/>
            <w:hideMark/>
          </w:tcPr>
          <w:p w14:paraId="0AC5B360" w14:textId="39591870"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0.1</w:t>
            </w:r>
            <w:r>
              <w:rPr>
                <w:rFonts w:ascii="Calibri" w:eastAsia="Times New Roman" w:hAnsi="Calibri" w:cs="Calibri"/>
                <w:color w:val="000000"/>
                <w:lang w:eastAsia="en-AU"/>
              </w:rPr>
              <w:t>%</w:t>
            </w:r>
          </w:p>
        </w:tc>
      </w:tr>
      <w:tr w:rsidR="0011164F" w:rsidRPr="00EE7768" w14:paraId="507BEE13" w14:textId="77777777" w:rsidTr="00FE375A">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73CED23F" w14:textId="77777777" w:rsidR="0011164F" w:rsidRPr="00EE7768" w:rsidRDefault="0011164F" w:rsidP="00FE375A">
            <w:pPr>
              <w:spacing w:after="0" w:line="240" w:lineRule="auto"/>
              <w:rPr>
                <w:rFonts w:ascii="Calibri" w:eastAsia="Times New Roman" w:hAnsi="Calibri" w:cs="Calibri"/>
                <w:color w:val="000000"/>
                <w:lang w:eastAsia="en-AU"/>
              </w:rPr>
            </w:pPr>
            <w:r w:rsidRPr="00EE7768">
              <w:rPr>
                <w:rFonts w:ascii="Calibri" w:eastAsia="Times New Roman" w:hAnsi="Calibri" w:cs="Calibri"/>
                <w:color w:val="000000"/>
                <w:lang w:eastAsia="en-AU"/>
              </w:rPr>
              <w:t>ARNI + MRA + SGLT</w:t>
            </w:r>
            <w:r>
              <w:rPr>
                <w:rFonts w:ascii="Calibri" w:eastAsia="Times New Roman" w:hAnsi="Calibri" w:cs="Calibri"/>
                <w:color w:val="000000"/>
                <w:lang w:eastAsia="en-AU"/>
              </w:rPr>
              <w:t>2</w:t>
            </w:r>
          </w:p>
        </w:tc>
        <w:tc>
          <w:tcPr>
            <w:tcW w:w="1444" w:type="dxa"/>
            <w:tcBorders>
              <w:top w:val="nil"/>
              <w:left w:val="nil"/>
              <w:bottom w:val="single" w:sz="4" w:space="0" w:color="auto"/>
              <w:right w:val="single" w:sz="4" w:space="0" w:color="auto"/>
            </w:tcBorders>
            <w:shd w:val="clear" w:color="auto" w:fill="auto"/>
            <w:noWrap/>
            <w:vAlign w:val="bottom"/>
            <w:hideMark/>
          </w:tcPr>
          <w:p w14:paraId="6064C128" w14:textId="77777777"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196</w:t>
            </w:r>
          </w:p>
        </w:tc>
        <w:tc>
          <w:tcPr>
            <w:tcW w:w="2977" w:type="dxa"/>
            <w:tcBorders>
              <w:top w:val="nil"/>
              <w:left w:val="nil"/>
              <w:bottom w:val="single" w:sz="4" w:space="0" w:color="auto"/>
              <w:right w:val="single" w:sz="4" w:space="0" w:color="auto"/>
            </w:tcBorders>
            <w:shd w:val="clear" w:color="auto" w:fill="auto"/>
            <w:noWrap/>
            <w:vAlign w:val="bottom"/>
            <w:hideMark/>
          </w:tcPr>
          <w:p w14:paraId="1453088E" w14:textId="2A0B4FE3"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0.1</w:t>
            </w:r>
            <w:r>
              <w:rPr>
                <w:rFonts w:ascii="Calibri" w:eastAsia="Times New Roman" w:hAnsi="Calibri" w:cs="Calibri"/>
                <w:color w:val="000000"/>
                <w:lang w:eastAsia="en-AU"/>
              </w:rPr>
              <w:t>%</w:t>
            </w:r>
          </w:p>
        </w:tc>
      </w:tr>
      <w:tr w:rsidR="0011164F" w:rsidRPr="00EE7768" w14:paraId="662FCA00" w14:textId="77777777" w:rsidTr="00FE375A">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3D693B79" w14:textId="77777777" w:rsidR="0011164F" w:rsidRPr="00EE7768" w:rsidRDefault="0011164F" w:rsidP="00FE375A">
            <w:pPr>
              <w:spacing w:after="0" w:line="240" w:lineRule="auto"/>
              <w:rPr>
                <w:rFonts w:ascii="Calibri" w:eastAsia="Times New Roman" w:hAnsi="Calibri" w:cs="Calibri"/>
                <w:color w:val="000000"/>
                <w:lang w:eastAsia="en-AU"/>
              </w:rPr>
            </w:pPr>
            <w:r w:rsidRPr="00EE7768">
              <w:rPr>
                <w:rFonts w:ascii="Calibri" w:eastAsia="Times New Roman" w:hAnsi="Calibri" w:cs="Calibri"/>
                <w:color w:val="000000"/>
                <w:lang w:eastAsia="en-AU"/>
              </w:rPr>
              <w:t>ARNI + BB + HCN + SGLT</w:t>
            </w:r>
            <w:r>
              <w:rPr>
                <w:rFonts w:ascii="Calibri" w:eastAsia="Times New Roman" w:hAnsi="Calibri" w:cs="Calibri"/>
                <w:color w:val="000000"/>
                <w:lang w:eastAsia="en-AU"/>
              </w:rPr>
              <w:t>2</w:t>
            </w:r>
          </w:p>
        </w:tc>
        <w:tc>
          <w:tcPr>
            <w:tcW w:w="1444" w:type="dxa"/>
            <w:tcBorders>
              <w:top w:val="nil"/>
              <w:left w:val="nil"/>
              <w:bottom w:val="single" w:sz="4" w:space="0" w:color="auto"/>
              <w:right w:val="single" w:sz="4" w:space="0" w:color="auto"/>
            </w:tcBorders>
            <w:shd w:val="clear" w:color="auto" w:fill="auto"/>
            <w:noWrap/>
            <w:vAlign w:val="bottom"/>
            <w:hideMark/>
          </w:tcPr>
          <w:p w14:paraId="091B725E" w14:textId="77777777"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193</w:t>
            </w:r>
          </w:p>
        </w:tc>
        <w:tc>
          <w:tcPr>
            <w:tcW w:w="2977" w:type="dxa"/>
            <w:tcBorders>
              <w:top w:val="nil"/>
              <w:left w:val="nil"/>
              <w:bottom w:val="single" w:sz="4" w:space="0" w:color="auto"/>
              <w:right w:val="single" w:sz="4" w:space="0" w:color="auto"/>
            </w:tcBorders>
            <w:shd w:val="clear" w:color="auto" w:fill="auto"/>
            <w:noWrap/>
            <w:vAlign w:val="bottom"/>
            <w:hideMark/>
          </w:tcPr>
          <w:p w14:paraId="7CFF38B7" w14:textId="0F049115"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0.1</w:t>
            </w:r>
            <w:r>
              <w:rPr>
                <w:rFonts w:ascii="Calibri" w:eastAsia="Times New Roman" w:hAnsi="Calibri" w:cs="Calibri"/>
                <w:color w:val="000000"/>
                <w:lang w:eastAsia="en-AU"/>
              </w:rPr>
              <w:t>%</w:t>
            </w:r>
          </w:p>
        </w:tc>
      </w:tr>
      <w:tr w:rsidR="0011164F" w:rsidRPr="00EE7768" w14:paraId="780AA62C" w14:textId="77777777" w:rsidTr="00FE375A">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52655637" w14:textId="77777777" w:rsidR="0011164F" w:rsidRPr="00EE7768" w:rsidRDefault="0011164F" w:rsidP="00FE375A">
            <w:pPr>
              <w:spacing w:after="0" w:line="240" w:lineRule="auto"/>
              <w:rPr>
                <w:rFonts w:ascii="Calibri" w:eastAsia="Times New Roman" w:hAnsi="Calibri" w:cs="Calibri"/>
                <w:color w:val="000000"/>
                <w:lang w:eastAsia="en-AU"/>
              </w:rPr>
            </w:pPr>
            <w:r w:rsidRPr="00EE7768">
              <w:rPr>
                <w:rFonts w:ascii="Calibri" w:eastAsia="Times New Roman" w:hAnsi="Calibri" w:cs="Calibri"/>
                <w:color w:val="000000"/>
                <w:lang w:eastAsia="en-AU"/>
              </w:rPr>
              <w:t>BB + MRA + SGLT</w:t>
            </w:r>
            <w:r>
              <w:rPr>
                <w:rFonts w:ascii="Calibri" w:eastAsia="Times New Roman" w:hAnsi="Calibri" w:cs="Calibri"/>
                <w:color w:val="000000"/>
                <w:lang w:eastAsia="en-AU"/>
              </w:rPr>
              <w:t>2</w:t>
            </w:r>
          </w:p>
        </w:tc>
        <w:tc>
          <w:tcPr>
            <w:tcW w:w="1444" w:type="dxa"/>
            <w:tcBorders>
              <w:top w:val="nil"/>
              <w:left w:val="nil"/>
              <w:bottom w:val="single" w:sz="4" w:space="0" w:color="auto"/>
              <w:right w:val="single" w:sz="4" w:space="0" w:color="auto"/>
            </w:tcBorders>
            <w:shd w:val="clear" w:color="auto" w:fill="auto"/>
            <w:noWrap/>
            <w:vAlign w:val="bottom"/>
            <w:hideMark/>
          </w:tcPr>
          <w:p w14:paraId="14A94B42" w14:textId="77777777"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157</w:t>
            </w:r>
          </w:p>
        </w:tc>
        <w:tc>
          <w:tcPr>
            <w:tcW w:w="2977" w:type="dxa"/>
            <w:tcBorders>
              <w:top w:val="nil"/>
              <w:left w:val="nil"/>
              <w:bottom w:val="single" w:sz="4" w:space="0" w:color="auto"/>
              <w:right w:val="single" w:sz="4" w:space="0" w:color="auto"/>
            </w:tcBorders>
            <w:shd w:val="clear" w:color="auto" w:fill="auto"/>
            <w:noWrap/>
            <w:vAlign w:val="bottom"/>
            <w:hideMark/>
          </w:tcPr>
          <w:p w14:paraId="3DB8DD32" w14:textId="3D3E8F65"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0.1</w:t>
            </w:r>
            <w:r>
              <w:rPr>
                <w:rFonts w:ascii="Calibri" w:eastAsia="Times New Roman" w:hAnsi="Calibri" w:cs="Calibri"/>
                <w:color w:val="000000"/>
                <w:lang w:eastAsia="en-AU"/>
              </w:rPr>
              <w:t>%</w:t>
            </w:r>
          </w:p>
        </w:tc>
      </w:tr>
      <w:tr w:rsidR="0011164F" w:rsidRPr="00EE7768" w14:paraId="58099DDD" w14:textId="77777777" w:rsidTr="00FE375A">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4B95CC1C" w14:textId="77777777" w:rsidR="0011164F" w:rsidRPr="00EE7768" w:rsidRDefault="0011164F" w:rsidP="00FE375A">
            <w:pPr>
              <w:spacing w:after="0" w:line="240" w:lineRule="auto"/>
              <w:rPr>
                <w:rFonts w:ascii="Calibri" w:eastAsia="Times New Roman" w:hAnsi="Calibri" w:cs="Calibri"/>
                <w:color w:val="000000"/>
                <w:lang w:eastAsia="en-AU"/>
              </w:rPr>
            </w:pPr>
            <w:r w:rsidRPr="00EE7768">
              <w:rPr>
                <w:rFonts w:ascii="Calibri" w:eastAsia="Times New Roman" w:hAnsi="Calibri" w:cs="Calibri"/>
                <w:color w:val="000000"/>
                <w:lang w:eastAsia="en-AU"/>
              </w:rPr>
              <w:t>MRA + SGLT</w:t>
            </w:r>
            <w:r>
              <w:rPr>
                <w:rFonts w:ascii="Calibri" w:eastAsia="Times New Roman" w:hAnsi="Calibri" w:cs="Calibri"/>
                <w:color w:val="000000"/>
                <w:lang w:eastAsia="en-AU"/>
              </w:rPr>
              <w:t>2</w:t>
            </w:r>
          </w:p>
        </w:tc>
        <w:tc>
          <w:tcPr>
            <w:tcW w:w="1444" w:type="dxa"/>
            <w:tcBorders>
              <w:top w:val="nil"/>
              <w:left w:val="nil"/>
              <w:bottom w:val="single" w:sz="4" w:space="0" w:color="auto"/>
              <w:right w:val="single" w:sz="4" w:space="0" w:color="auto"/>
            </w:tcBorders>
            <w:shd w:val="clear" w:color="auto" w:fill="auto"/>
            <w:noWrap/>
            <w:vAlign w:val="bottom"/>
            <w:hideMark/>
          </w:tcPr>
          <w:p w14:paraId="4CC43E30" w14:textId="77777777"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152</w:t>
            </w:r>
          </w:p>
        </w:tc>
        <w:tc>
          <w:tcPr>
            <w:tcW w:w="2977" w:type="dxa"/>
            <w:tcBorders>
              <w:top w:val="nil"/>
              <w:left w:val="nil"/>
              <w:bottom w:val="single" w:sz="4" w:space="0" w:color="auto"/>
              <w:right w:val="single" w:sz="4" w:space="0" w:color="auto"/>
            </w:tcBorders>
            <w:shd w:val="clear" w:color="auto" w:fill="auto"/>
            <w:noWrap/>
            <w:vAlign w:val="bottom"/>
            <w:hideMark/>
          </w:tcPr>
          <w:p w14:paraId="1F92A67C" w14:textId="240FFB72"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0.1</w:t>
            </w:r>
            <w:r>
              <w:rPr>
                <w:rFonts w:ascii="Calibri" w:eastAsia="Times New Roman" w:hAnsi="Calibri" w:cs="Calibri"/>
                <w:color w:val="000000"/>
                <w:lang w:eastAsia="en-AU"/>
              </w:rPr>
              <w:t>%</w:t>
            </w:r>
          </w:p>
        </w:tc>
      </w:tr>
      <w:tr w:rsidR="0011164F" w:rsidRPr="00EE7768" w14:paraId="090A8E43" w14:textId="77777777" w:rsidTr="00FE375A">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A17AE" w14:textId="77777777" w:rsidR="0011164F" w:rsidRPr="00EE7768" w:rsidRDefault="0011164F" w:rsidP="00FE375A">
            <w:pPr>
              <w:spacing w:after="0" w:line="240" w:lineRule="auto"/>
              <w:rPr>
                <w:rFonts w:ascii="Calibri" w:eastAsia="Times New Roman" w:hAnsi="Calibri" w:cs="Calibri"/>
                <w:color w:val="000000"/>
                <w:lang w:eastAsia="en-AU"/>
              </w:rPr>
            </w:pPr>
            <w:r w:rsidRPr="00EE7768">
              <w:rPr>
                <w:rFonts w:ascii="Calibri" w:eastAsia="Times New Roman" w:hAnsi="Calibri" w:cs="Calibri"/>
                <w:color w:val="000000"/>
                <w:lang w:eastAsia="en-AU"/>
              </w:rPr>
              <w:t>ARNI + HCN + SGLT</w:t>
            </w:r>
            <w:r>
              <w:rPr>
                <w:rFonts w:ascii="Calibri" w:eastAsia="Times New Roman" w:hAnsi="Calibri" w:cs="Calibri"/>
                <w:color w:val="000000"/>
                <w:lang w:eastAsia="en-AU"/>
              </w:rPr>
              <w:t>2</w:t>
            </w:r>
          </w:p>
        </w:tc>
        <w:tc>
          <w:tcPr>
            <w:tcW w:w="1444" w:type="dxa"/>
            <w:tcBorders>
              <w:top w:val="single" w:sz="4" w:space="0" w:color="auto"/>
              <w:left w:val="nil"/>
              <w:bottom w:val="single" w:sz="4" w:space="0" w:color="auto"/>
              <w:right w:val="single" w:sz="4" w:space="0" w:color="auto"/>
            </w:tcBorders>
            <w:shd w:val="clear" w:color="auto" w:fill="auto"/>
            <w:noWrap/>
            <w:vAlign w:val="bottom"/>
            <w:hideMark/>
          </w:tcPr>
          <w:p w14:paraId="2C6B335F" w14:textId="77777777"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151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279E9017" w14:textId="142E1185" w:rsidR="0011164F" w:rsidRPr="00EE7768" w:rsidRDefault="0011164F" w:rsidP="0011164F">
            <w:pPr>
              <w:spacing w:after="0" w:line="240" w:lineRule="auto"/>
              <w:jc w:val="center"/>
              <w:rPr>
                <w:rFonts w:ascii="Calibri" w:eastAsia="Times New Roman" w:hAnsi="Calibri" w:cs="Calibri"/>
                <w:color w:val="000000"/>
                <w:lang w:eastAsia="en-AU"/>
              </w:rPr>
            </w:pPr>
            <w:r w:rsidRPr="00EE7768">
              <w:rPr>
                <w:rFonts w:ascii="Calibri" w:eastAsia="Times New Roman" w:hAnsi="Calibri" w:cs="Calibri"/>
                <w:color w:val="000000"/>
                <w:lang w:eastAsia="en-AU"/>
              </w:rPr>
              <w:t>0.1</w:t>
            </w:r>
            <w:r>
              <w:rPr>
                <w:rFonts w:ascii="Calibri" w:eastAsia="Times New Roman" w:hAnsi="Calibri" w:cs="Calibri"/>
                <w:color w:val="000000"/>
                <w:lang w:eastAsia="en-AU"/>
              </w:rPr>
              <w:t>%</w:t>
            </w:r>
          </w:p>
        </w:tc>
      </w:tr>
      <w:tr w:rsidR="0011164F" w:rsidRPr="00EE7768" w14:paraId="453C56C1" w14:textId="77777777" w:rsidTr="00FE375A">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0053E3" w14:textId="77777777" w:rsidR="0011164F" w:rsidRPr="00EE7768" w:rsidRDefault="0011164F" w:rsidP="00FE375A">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Total</w:t>
            </w:r>
          </w:p>
        </w:tc>
        <w:tc>
          <w:tcPr>
            <w:tcW w:w="1444" w:type="dxa"/>
            <w:tcBorders>
              <w:top w:val="single" w:sz="4" w:space="0" w:color="auto"/>
              <w:left w:val="nil"/>
              <w:bottom w:val="single" w:sz="4" w:space="0" w:color="auto"/>
              <w:right w:val="single" w:sz="4" w:space="0" w:color="auto"/>
            </w:tcBorders>
            <w:shd w:val="clear" w:color="auto" w:fill="auto"/>
            <w:noWrap/>
            <w:vAlign w:val="bottom"/>
          </w:tcPr>
          <w:p w14:paraId="289F2A78" w14:textId="77777777" w:rsidR="0011164F" w:rsidRPr="00EE7768" w:rsidRDefault="0011164F" w:rsidP="0011164F">
            <w:pPr>
              <w:spacing w:after="0" w:line="240" w:lineRule="auto"/>
              <w:jc w:val="center"/>
              <w:rPr>
                <w:rFonts w:ascii="Calibri" w:eastAsia="Times New Roman" w:hAnsi="Calibri" w:cs="Calibri"/>
                <w:color w:val="000000"/>
                <w:lang w:eastAsia="en-AU"/>
              </w:rPr>
            </w:pPr>
            <w:r>
              <w:rPr>
                <w:rFonts w:ascii="Calibri" w:eastAsia="Times New Roman" w:hAnsi="Calibri" w:cs="Calibri"/>
                <w:color w:val="000000"/>
                <w:lang w:eastAsia="en-AU"/>
              </w:rPr>
              <w:t>215475</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7D2D12EF" w14:textId="77777777" w:rsidR="0011164F" w:rsidRPr="00EE7768" w:rsidRDefault="0011164F" w:rsidP="0011164F">
            <w:pPr>
              <w:spacing w:after="0" w:line="240" w:lineRule="auto"/>
              <w:jc w:val="center"/>
              <w:rPr>
                <w:rFonts w:ascii="Calibri" w:eastAsia="Times New Roman" w:hAnsi="Calibri" w:cs="Calibri"/>
                <w:color w:val="000000"/>
                <w:lang w:eastAsia="en-AU"/>
              </w:rPr>
            </w:pPr>
            <w:r>
              <w:rPr>
                <w:rFonts w:ascii="Calibri" w:eastAsia="Times New Roman" w:hAnsi="Calibri" w:cs="Calibri"/>
                <w:color w:val="000000"/>
                <w:lang w:eastAsia="en-AU"/>
              </w:rPr>
              <w:t>99.8%</w:t>
            </w:r>
          </w:p>
        </w:tc>
      </w:tr>
    </w:tbl>
    <w:p w14:paraId="36D914BD" w14:textId="77777777" w:rsidR="0011164F" w:rsidRPr="00EE4C03" w:rsidRDefault="0011164F" w:rsidP="0011164F">
      <w:pPr>
        <w:rPr>
          <w:i/>
          <w:iCs/>
          <w:lang w:val="en-US"/>
        </w:rPr>
      </w:pPr>
      <w:r w:rsidRPr="00EE4C03">
        <w:rPr>
          <w:i/>
          <w:iCs/>
          <w:lang w:val="en-US"/>
        </w:rPr>
        <w:t>Note: BB, MRA and SGLT2 are for HF indication</w:t>
      </w:r>
    </w:p>
    <w:p w14:paraId="56601E92" w14:textId="77777777" w:rsidR="00A85CBC" w:rsidRPr="00F47F92" w:rsidRDefault="00A85CBC" w:rsidP="00A85CBC">
      <w:pPr>
        <w:spacing w:after="0" w:line="240" w:lineRule="auto"/>
        <w:rPr>
          <w:rFonts w:cstheme="minorHAnsi"/>
          <w:i/>
          <w:iCs/>
          <w:sz w:val="18"/>
          <w:szCs w:val="18"/>
        </w:rPr>
      </w:pPr>
      <w:r w:rsidRPr="00F47F92">
        <w:rPr>
          <w:rFonts w:cstheme="minorHAnsi"/>
          <w:i/>
          <w:iCs/>
          <w:sz w:val="18"/>
          <w:szCs w:val="18"/>
        </w:rPr>
        <w:t xml:space="preserve">Legend: </w:t>
      </w:r>
    </w:p>
    <w:p w14:paraId="4081A620" w14:textId="77777777" w:rsidR="00A85CBC" w:rsidRPr="00F47F92" w:rsidRDefault="00A85CBC" w:rsidP="00A85CBC">
      <w:pPr>
        <w:spacing w:after="0"/>
        <w:rPr>
          <w:rFonts w:cstheme="minorHAnsi"/>
          <w:i/>
          <w:iCs/>
          <w:sz w:val="18"/>
          <w:szCs w:val="18"/>
        </w:rPr>
      </w:pPr>
      <w:r w:rsidRPr="00F47F92">
        <w:rPr>
          <w:rFonts w:cstheme="minorHAnsi"/>
          <w:i/>
          <w:iCs/>
          <w:sz w:val="18"/>
          <w:szCs w:val="18"/>
        </w:rPr>
        <w:t>BB – Beta-Blockers</w:t>
      </w:r>
    </w:p>
    <w:p w14:paraId="48CEE05B" w14:textId="77777777" w:rsidR="00A85CBC" w:rsidRPr="00F47F92" w:rsidRDefault="00A85CBC" w:rsidP="00A85CBC">
      <w:pPr>
        <w:spacing w:after="0"/>
        <w:rPr>
          <w:rFonts w:cstheme="minorHAnsi"/>
          <w:i/>
          <w:iCs/>
          <w:sz w:val="18"/>
          <w:szCs w:val="18"/>
        </w:rPr>
      </w:pPr>
      <w:r w:rsidRPr="00F47F92">
        <w:rPr>
          <w:rFonts w:cstheme="minorHAnsi"/>
          <w:i/>
          <w:iCs/>
          <w:sz w:val="18"/>
          <w:szCs w:val="18"/>
        </w:rPr>
        <w:t xml:space="preserve">MRA </w:t>
      </w:r>
      <w:r>
        <w:rPr>
          <w:rFonts w:cstheme="minorHAnsi"/>
          <w:i/>
          <w:iCs/>
          <w:sz w:val="18"/>
          <w:szCs w:val="18"/>
        </w:rPr>
        <w:t>(for HF)</w:t>
      </w:r>
      <w:r w:rsidRPr="00F47F92">
        <w:rPr>
          <w:rFonts w:cstheme="minorHAnsi"/>
          <w:i/>
          <w:iCs/>
          <w:sz w:val="18"/>
          <w:szCs w:val="18"/>
        </w:rPr>
        <w:t>- Mineralocorticoid receptor antagonist</w:t>
      </w:r>
      <w:r>
        <w:rPr>
          <w:rFonts w:cstheme="minorHAnsi"/>
          <w:i/>
          <w:iCs/>
          <w:sz w:val="18"/>
          <w:szCs w:val="18"/>
        </w:rPr>
        <w:t xml:space="preserve"> for HF (Eplerenone)</w:t>
      </w:r>
    </w:p>
    <w:p w14:paraId="4381EEE1" w14:textId="77777777" w:rsidR="00A85CBC" w:rsidRPr="00F47F92" w:rsidRDefault="00A85CBC" w:rsidP="00A85CBC">
      <w:pPr>
        <w:spacing w:after="0"/>
        <w:rPr>
          <w:rFonts w:cstheme="minorHAnsi"/>
          <w:i/>
          <w:iCs/>
          <w:sz w:val="18"/>
          <w:szCs w:val="18"/>
        </w:rPr>
      </w:pPr>
      <w:r w:rsidRPr="00F47F92">
        <w:rPr>
          <w:rFonts w:cstheme="minorHAnsi"/>
          <w:i/>
          <w:iCs/>
          <w:sz w:val="18"/>
          <w:szCs w:val="18"/>
        </w:rPr>
        <w:t xml:space="preserve">SGLT2 </w:t>
      </w:r>
      <w:r>
        <w:rPr>
          <w:rFonts w:cstheme="minorHAnsi"/>
          <w:i/>
          <w:iCs/>
          <w:sz w:val="18"/>
          <w:szCs w:val="18"/>
        </w:rPr>
        <w:t>(for HF)</w:t>
      </w:r>
      <w:r w:rsidRPr="00F47F92">
        <w:rPr>
          <w:rFonts w:cstheme="minorHAnsi"/>
          <w:i/>
          <w:iCs/>
          <w:sz w:val="18"/>
          <w:szCs w:val="18"/>
        </w:rPr>
        <w:t>– Sodium-glucose co-transporter 2 inhibitors for HF</w:t>
      </w:r>
      <w:r>
        <w:rPr>
          <w:rFonts w:cstheme="minorHAnsi"/>
          <w:i/>
          <w:iCs/>
          <w:sz w:val="18"/>
          <w:szCs w:val="18"/>
        </w:rPr>
        <w:t xml:space="preserve"> </w:t>
      </w:r>
    </w:p>
    <w:p w14:paraId="6AB61630" w14:textId="4B8730ED" w:rsidR="00A85CBC" w:rsidRPr="00F47F92" w:rsidRDefault="00A85CBC" w:rsidP="00A85CBC">
      <w:pPr>
        <w:spacing w:after="0"/>
        <w:rPr>
          <w:rFonts w:cstheme="minorHAnsi"/>
          <w:i/>
          <w:iCs/>
          <w:sz w:val="18"/>
          <w:szCs w:val="18"/>
        </w:rPr>
      </w:pPr>
      <w:r w:rsidRPr="00F47F92">
        <w:rPr>
          <w:rFonts w:cstheme="minorHAnsi"/>
          <w:i/>
          <w:iCs/>
          <w:sz w:val="18"/>
          <w:szCs w:val="18"/>
        </w:rPr>
        <w:t xml:space="preserve">ARNI – angiotensin receptor neprilysin inhibitor </w:t>
      </w:r>
      <w:r w:rsidR="00425AF8">
        <w:rPr>
          <w:rFonts w:cstheme="minorHAnsi"/>
          <w:i/>
          <w:iCs/>
          <w:sz w:val="18"/>
          <w:szCs w:val="18"/>
        </w:rPr>
        <w:t>(sacubitril+valsartan)</w:t>
      </w:r>
    </w:p>
    <w:p w14:paraId="667E1138" w14:textId="77777777" w:rsidR="00A85CBC" w:rsidRDefault="00A85CBC" w:rsidP="00A85CBC">
      <w:pPr>
        <w:spacing w:after="0"/>
        <w:rPr>
          <w:rFonts w:cstheme="minorHAnsi"/>
          <w:i/>
          <w:iCs/>
          <w:sz w:val="18"/>
          <w:szCs w:val="18"/>
          <w:shd w:val="clear" w:color="auto" w:fill="FFFFFF"/>
        </w:rPr>
      </w:pPr>
      <w:r w:rsidRPr="00F47F92">
        <w:rPr>
          <w:rFonts w:cstheme="minorHAnsi"/>
          <w:i/>
          <w:iCs/>
          <w:sz w:val="18"/>
          <w:szCs w:val="18"/>
        </w:rPr>
        <w:t>HCN</w:t>
      </w:r>
      <w:r w:rsidRPr="00F47F92">
        <w:rPr>
          <w:rFonts w:cstheme="minorHAnsi"/>
          <w:i/>
          <w:iCs/>
          <w:color w:val="4D5156"/>
          <w:sz w:val="18"/>
          <w:szCs w:val="18"/>
          <w:shd w:val="clear" w:color="auto" w:fill="FFFFFF"/>
        </w:rPr>
        <w:t xml:space="preserve"> - </w:t>
      </w:r>
      <w:r w:rsidRPr="00F47F92">
        <w:rPr>
          <w:rFonts w:cstheme="minorHAnsi"/>
          <w:i/>
          <w:iCs/>
          <w:sz w:val="18"/>
          <w:szCs w:val="18"/>
          <w:shd w:val="clear" w:color="auto" w:fill="FFFFFF"/>
        </w:rPr>
        <w:t>Hyperpolarization-activated Cyclic Nucleotide-gated</w:t>
      </w:r>
    </w:p>
    <w:p w14:paraId="0D676CC2" w14:textId="77777777" w:rsidR="00A85CBC" w:rsidRDefault="00A85CBC" w:rsidP="000542D3">
      <w:pPr>
        <w:rPr>
          <w:lang w:val="en-US"/>
        </w:rPr>
      </w:pPr>
    </w:p>
    <w:p w14:paraId="53C41908" w14:textId="77777777" w:rsidR="006E5B1A" w:rsidRDefault="006E5B1A" w:rsidP="002043BE">
      <w:pPr>
        <w:rPr>
          <w:lang w:val="en-US"/>
        </w:rPr>
      </w:pPr>
    </w:p>
    <w:p w14:paraId="2501177B" w14:textId="571CF97F" w:rsidR="003845CB" w:rsidRDefault="006A7717" w:rsidP="000126F4">
      <w:pPr>
        <w:rPr>
          <w:rFonts w:cstheme="minorHAnsi"/>
          <w:i/>
          <w:iCs/>
          <w:sz w:val="18"/>
          <w:szCs w:val="18"/>
        </w:rPr>
      </w:pPr>
      <w:r>
        <w:rPr>
          <w:rFonts w:cstheme="minorHAnsi"/>
          <w:i/>
          <w:iCs/>
          <w:sz w:val="18"/>
          <w:szCs w:val="18"/>
        </w:rPr>
        <w:br w:type="page"/>
      </w:r>
    </w:p>
    <w:p w14:paraId="64E63255" w14:textId="50D0C2B6" w:rsidR="0011164F" w:rsidRDefault="00E928FD" w:rsidP="006C6C8A">
      <w:pPr>
        <w:pStyle w:val="Heading3"/>
        <w:rPr>
          <w:i/>
          <w:iCs/>
          <w:lang w:val="en-US"/>
        </w:rPr>
      </w:pPr>
      <w:bookmarkStart w:id="25" w:name="_Toc165448399"/>
      <w:r>
        <w:rPr>
          <w:lang w:val="en-US"/>
        </w:rPr>
        <w:t>Treatment regimens for restricted and unrestricted PBS listings for HF</w:t>
      </w:r>
      <w:bookmarkEnd w:id="25"/>
    </w:p>
    <w:p w14:paraId="41F82409" w14:textId="52B787F8" w:rsidR="0011164F" w:rsidRDefault="0011164F" w:rsidP="0011164F">
      <w:pPr>
        <w:jc w:val="both"/>
        <w:rPr>
          <w:lang w:val="en-US"/>
        </w:rPr>
      </w:pPr>
      <w:r>
        <w:rPr>
          <w:lang w:val="en-US"/>
        </w:rPr>
        <w:t>The next section of this report examines whether combination therapy is use</w:t>
      </w:r>
      <w:r w:rsidR="008D0248">
        <w:rPr>
          <w:lang w:val="en-US"/>
        </w:rPr>
        <w:t>d</w:t>
      </w:r>
      <w:r>
        <w:rPr>
          <w:lang w:val="en-US"/>
        </w:rPr>
        <w:t xml:space="preserve"> for heart failure (e.g., monotherapy, dual therapy)</w:t>
      </w:r>
      <w:r w:rsidR="002E4FC6">
        <w:rPr>
          <w:lang w:val="en-US"/>
        </w:rPr>
        <w:t xml:space="preserve"> </w:t>
      </w:r>
      <w:r w:rsidR="008D0248">
        <w:rPr>
          <w:lang w:val="en-US"/>
        </w:rPr>
        <w:t xml:space="preserve">when </w:t>
      </w:r>
      <w:r w:rsidR="002E4FC6">
        <w:rPr>
          <w:lang w:val="en-US"/>
        </w:rPr>
        <w:t>the analysis</w:t>
      </w:r>
      <w:r w:rsidR="008D0248">
        <w:rPr>
          <w:lang w:val="en-US"/>
        </w:rPr>
        <w:t xml:space="preserve"> is</w:t>
      </w:r>
      <w:r w:rsidR="002E4FC6">
        <w:rPr>
          <w:lang w:val="en-US"/>
        </w:rPr>
        <w:t xml:space="preserve"> extended to include PBS restricted HF medicines and PBS listed unrestricted medicines that are recommended in HF (excluding calcium channel blockers).</w:t>
      </w:r>
      <w:r>
        <w:rPr>
          <w:lang w:val="en-US"/>
        </w:rPr>
        <w:t xml:space="preserve"> This </w:t>
      </w:r>
      <w:r w:rsidR="002E4FC6">
        <w:rPr>
          <w:lang w:val="en-US"/>
        </w:rPr>
        <w:t xml:space="preserve">population for this </w:t>
      </w:r>
      <w:r>
        <w:rPr>
          <w:lang w:val="en-US"/>
        </w:rPr>
        <w:t xml:space="preserve">analysis is in the prevalent </w:t>
      </w:r>
      <w:r w:rsidR="002E4FC6">
        <w:rPr>
          <w:lang w:val="en-US"/>
        </w:rPr>
        <w:t xml:space="preserve">HF </w:t>
      </w:r>
      <w:r>
        <w:rPr>
          <w:lang w:val="en-US"/>
        </w:rPr>
        <w:t xml:space="preserve">population </w:t>
      </w:r>
      <w:r w:rsidR="002E4FC6">
        <w:rPr>
          <w:lang w:val="en-US"/>
        </w:rPr>
        <w:t xml:space="preserve">(defined as supplied at least one PBS restricted HF </w:t>
      </w:r>
      <w:r>
        <w:rPr>
          <w:lang w:val="en-US"/>
        </w:rPr>
        <w:t>medicine</w:t>
      </w:r>
      <w:r w:rsidR="002E4FC6">
        <w:rPr>
          <w:lang w:val="en-US"/>
        </w:rPr>
        <w:t>)</w:t>
      </w:r>
      <w:r>
        <w:rPr>
          <w:lang w:val="en-US"/>
        </w:rPr>
        <w:t>.</w:t>
      </w:r>
    </w:p>
    <w:p w14:paraId="35EE9FC7" w14:textId="03E6F317" w:rsidR="00C40135" w:rsidRDefault="002E4FC6" w:rsidP="00B51CDA">
      <w:pPr>
        <w:jc w:val="both"/>
        <w:rPr>
          <w:lang w:val="en-US"/>
        </w:rPr>
      </w:pPr>
      <w:r>
        <w:rPr>
          <w:lang w:val="en-US"/>
        </w:rPr>
        <w:t xml:space="preserve">Dual or triple therapy combinations of heart failure treatments were the most frequent HF regimens (Figure 9). </w:t>
      </w:r>
      <w:r w:rsidR="00C40135">
        <w:rPr>
          <w:lang w:val="en-US"/>
        </w:rPr>
        <w:t xml:space="preserve">In June 2023, </w:t>
      </w:r>
      <w:r>
        <w:rPr>
          <w:lang w:val="en-US"/>
        </w:rPr>
        <w:t>among the prevalent HF population (defined as supplied at least one PBS restricted HF medicine)</w:t>
      </w:r>
      <w:r w:rsidR="00C40135">
        <w:rPr>
          <w:lang w:val="en-US"/>
        </w:rPr>
        <w:t xml:space="preserve"> 34% </w:t>
      </w:r>
      <w:r>
        <w:rPr>
          <w:lang w:val="en-US"/>
        </w:rPr>
        <w:t xml:space="preserve">were </w:t>
      </w:r>
      <w:r w:rsidR="00C40135">
        <w:rPr>
          <w:lang w:val="en-US"/>
        </w:rPr>
        <w:t>on dual therapy, 28% on triple therapy</w:t>
      </w:r>
      <w:r>
        <w:rPr>
          <w:lang w:val="en-US"/>
        </w:rPr>
        <w:t>, 22% on monotherapy</w:t>
      </w:r>
      <w:r w:rsidR="00C40135">
        <w:rPr>
          <w:lang w:val="en-US"/>
        </w:rPr>
        <w:t xml:space="preserve"> and 17% on four or more therapies. </w:t>
      </w:r>
    </w:p>
    <w:p w14:paraId="0B4F5620" w14:textId="4191E2EF" w:rsidR="0033767C" w:rsidRDefault="0033767C" w:rsidP="0079747D">
      <w:pPr>
        <w:spacing w:after="0"/>
        <w:rPr>
          <w:lang w:val="en-US"/>
        </w:rPr>
      </w:pPr>
      <w:r>
        <w:rPr>
          <w:noProof/>
          <w:lang w:eastAsia="en-AU"/>
        </w:rPr>
        <w:drawing>
          <wp:inline distT="0" distB="0" distL="0" distR="0" wp14:anchorId="14BBC2B8" wp14:editId="136FFE95">
            <wp:extent cx="5600700" cy="5209309"/>
            <wp:effectExtent l="0" t="0" r="0" b="10795"/>
            <wp:docPr id="24" name="Chart 24" descr="Graph showing that dual or triple therapy combinations were the most frequent heart failure drug regimens when considering restricted and unrestricted HF medicines. The dual therapy line (about 35%) is higher than the triple therapy line (about 30%).  Approximately 20% of people are on monotherapy. Even less people are on 4 or more therapies (about 15%).">
              <a:extLst xmlns:a="http://schemas.openxmlformats.org/drawingml/2006/main">
                <a:ext uri="{FF2B5EF4-FFF2-40B4-BE49-F238E27FC236}">
                  <a16:creationId xmlns:a16="http://schemas.microsoft.com/office/drawing/2014/main" id="{1B114117-F58E-4317-A4CB-BB0A2BD2BB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226308D" w14:textId="0EFFCEEC" w:rsidR="003B1691" w:rsidRDefault="003B1691" w:rsidP="00B51CDA">
      <w:pPr>
        <w:jc w:val="both"/>
        <w:rPr>
          <w:lang w:val="en-US"/>
        </w:rPr>
      </w:pPr>
      <w:r w:rsidRPr="00B217DA">
        <w:rPr>
          <w:b/>
          <w:bCs/>
          <w:lang w:val="en-US"/>
        </w:rPr>
        <w:t xml:space="preserve">Figure </w:t>
      </w:r>
      <w:r w:rsidR="002E4FC6">
        <w:rPr>
          <w:b/>
          <w:bCs/>
          <w:lang w:val="en-US"/>
        </w:rPr>
        <w:t>9</w:t>
      </w:r>
      <w:r w:rsidRPr="00B217DA">
        <w:rPr>
          <w:b/>
          <w:bCs/>
          <w:lang w:val="en-US"/>
        </w:rPr>
        <w:t>.</w:t>
      </w:r>
      <w:r>
        <w:rPr>
          <w:lang w:val="en-US"/>
        </w:rPr>
        <w:t xml:space="preserve"> </w:t>
      </w:r>
      <w:r w:rsidRPr="002E4FC6">
        <w:rPr>
          <w:b/>
          <w:bCs/>
          <w:lang w:val="en-US"/>
        </w:rPr>
        <w:t xml:space="preserve">Prevalent users of </w:t>
      </w:r>
      <w:r w:rsidR="00687B71" w:rsidRPr="002E4FC6">
        <w:rPr>
          <w:b/>
          <w:bCs/>
          <w:lang w:val="en-US"/>
        </w:rPr>
        <w:t xml:space="preserve">PBS </w:t>
      </w:r>
      <w:r w:rsidRPr="002E4FC6">
        <w:rPr>
          <w:b/>
          <w:bCs/>
          <w:lang w:val="en-US"/>
        </w:rPr>
        <w:t xml:space="preserve">restricted </w:t>
      </w:r>
      <w:r w:rsidR="00687B71" w:rsidRPr="002E4FC6">
        <w:rPr>
          <w:b/>
          <w:bCs/>
          <w:lang w:val="en-US"/>
        </w:rPr>
        <w:t xml:space="preserve">HF </w:t>
      </w:r>
      <w:r w:rsidRPr="002E4FC6">
        <w:rPr>
          <w:b/>
          <w:bCs/>
          <w:lang w:val="en-US"/>
        </w:rPr>
        <w:t xml:space="preserve">medicines on mono, dual, triple and quadruple </w:t>
      </w:r>
      <w:r w:rsidR="002E4FC6">
        <w:rPr>
          <w:b/>
          <w:bCs/>
          <w:lang w:val="en-US"/>
        </w:rPr>
        <w:t xml:space="preserve">HF </w:t>
      </w:r>
      <w:r w:rsidRPr="002E4FC6">
        <w:rPr>
          <w:b/>
          <w:bCs/>
          <w:lang w:val="en-US"/>
        </w:rPr>
        <w:t xml:space="preserve">therapies </w:t>
      </w:r>
      <w:r w:rsidR="00687B71" w:rsidRPr="002E4FC6">
        <w:rPr>
          <w:b/>
          <w:bCs/>
          <w:lang w:val="en-US"/>
        </w:rPr>
        <w:t>(</w:t>
      </w:r>
      <w:r w:rsidRPr="002E4FC6">
        <w:rPr>
          <w:b/>
          <w:bCs/>
          <w:lang w:val="en-US"/>
        </w:rPr>
        <w:t>medicines restricted and unrestricted to HF</w:t>
      </w:r>
      <w:r w:rsidR="00687B71" w:rsidRPr="002E4FC6">
        <w:rPr>
          <w:b/>
          <w:bCs/>
          <w:lang w:val="en-US"/>
        </w:rPr>
        <w:t>)</w:t>
      </w:r>
      <w:r w:rsidR="00064CD6">
        <w:rPr>
          <w:lang w:val="en-US"/>
        </w:rPr>
        <w:t xml:space="preserve"> </w:t>
      </w:r>
    </w:p>
    <w:p w14:paraId="23EB3578" w14:textId="1BDE3B29" w:rsidR="00BA5D20" w:rsidRDefault="00BA5D20" w:rsidP="00C40135">
      <w:pPr>
        <w:rPr>
          <w:lang w:val="en-US"/>
        </w:rPr>
      </w:pPr>
    </w:p>
    <w:p w14:paraId="37905A67" w14:textId="37E8F856" w:rsidR="00BA5D20" w:rsidRDefault="00BA5D20" w:rsidP="00C40135">
      <w:pPr>
        <w:rPr>
          <w:lang w:val="en-US"/>
        </w:rPr>
      </w:pPr>
    </w:p>
    <w:p w14:paraId="40F890D4" w14:textId="77777777" w:rsidR="00B1565A" w:rsidRDefault="002E4FC6" w:rsidP="002E4FC6">
      <w:pPr>
        <w:rPr>
          <w:lang w:val="en-US"/>
        </w:rPr>
      </w:pPr>
      <w:r>
        <w:rPr>
          <w:lang w:val="en-US"/>
        </w:rPr>
        <w:t xml:space="preserve">Given the range of PBS listed medicines for HF, both restricted and unrestricted, there are numerous </w:t>
      </w:r>
      <w:r w:rsidR="00B1565A">
        <w:rPr>
          <w:lang w:val="en-US"/>
        </w:rPr>
        <w:t xml:space="preserve">possible </w:t>
      </w:r>
      <w:r>
        <w:rPr>
          <w:lang w:val="en-US"/>
        </w:rPr>
        <w:t>combinations of therapies</w:t>
      </w:r>
      <w:r w:rsidR="00B1565A">
        <w:rPr>
          <w:lang w:val="en-US"/>
        </w:rPr>
        <w:t xml:space="preserve">.  In this section of the </w:t>
      </w:r>
      <w:proofErr w:type="gramStart"/>
      <w:r w:rsidR="00B1565A">
        <w:rPr>
          <w:lang w:val="en-US"/>
        </w:rPr>
        <w:t>report</w:t>
      </w:r>
      <w:proofErr w:type="gramEnd"/>
      <w:r w:rsidR="00B1565A">
        <w:rPr>
          <w:lang w:val="en-US"/>
        </w:rPr>
        <w:t xml:space="preserve"> we show the market share of each regimen in three separate graphs, representing the monotherapy, dual therapy and triple therapy cohorts.  </w:t>
      </w:r>
    </w:p>
    <w:p w14:paraId="3E217314" w14:textId="65E81E11" w:rsidR="00C40135" w:rsidRDefault="00B1565A" w:rsidP="002E4FC6">
      <w:pPr>
        <w:rPr>
          <w:lang w:val="en-US"/>
        </w:rPr>
      </w:pPr>
      <w:r>
        <w:rPr>
          <w:lang w:val="en-US"/>
        </w:rPr>
        <w:t xml:space="preserve">Figure 10.1 shows the treatment regimen in the monotherapy cohort. </w:t>
      </w:r>
      <w:proofErr w:type="gramStart"/>
      <w:r>
        <w:rPr>
          <w:lang w:val="en-US"/>
        </w:rPr>
        <w:t>By definition</w:t>
      </w:r>
      <w:r w:rsidR="00570F9D">
        <w:rPr>
          <w:lang w:val="en-US"/>
        </w:rPr>
        <w:t>,</w:t>
      </w:r>
      <w:r>
        <w:rPr>
          <w:lang w:val="en-US"/>
        </w:rPr>
        <w:t xml:space="preserve"> this</w:t>
      </w:r>
      <w:proofErr w:type="gramEnd"/>
      <w:r>
        <w:rPr>
          <w:lang w:val="en-US"/>
        </w:rPr>
        <w:t xml:space="preserve"> cohort can </w:t>
      </w:r>
      <w:r w:rsidRPr="00575377">
        <w:rPr>
          <w:lang w:val="en-US"/>
        </w:rPr>
        <w:t>only be on PBS restricted HF medicines (which represents 22% of the overall HF prevalent population</w:t>
      </w:r>
      <w:r w:rsidR="0006499C" w:rsidRPr="00575377">
        <w:rPr>
          <w:lang w:val="en-US"/>
        </w:rPr>
        <w:t xml:space="preserve"> in June 2023</w:t>
      </w:r>
      <w:r w:rsidRPr="00575377">
        <w:rPr>
          <w:lang w:val="en-US"/>
        </w:rPr>
        <w:t>).  Consistent</w:t>
      </w:r>
      <w:r>
        <w:rPr>
          <w:lang w:val="en-US"/>
        </w:rPr>
        <w:t xml:space="preserve"> with the previous analyses, the </w:t>
      </w:r>
      <w:r w:rsidR="00C40135">
        <w:rPr>
          <w:lang w:val="en-US"/>
        </w:rPr>
        <w:t xml:space="preserve">most </w:t>
      </w:r>
      <w:r w:rsidR="002E4FC6">
        <w:rPr>
          <w:lang w:val="en-US"/>
        </w:rPr>
        <w:t>frequently supplied</w:t>
      </w:r>
      <w:r w:rsidR="00C40135">
        <w:rPr>
          <w:lang w:val="en-US"/>
        </w:rPr>
        <w:t xml:space="preserve"> mono therapies were with BB, followed by ARNI (Figure 10.1). </w:t>
      </w:r>
    </w:p>
    <w:p w14:paraId="2448A8CC" w14:textId="74FE1934" w:rsidR="00FA6892" w:rsidRDefault="00232F9A" w:rsidP="0079747D">
      <w:pPr>
        <w:spacing w:after="0"/>
        <w:rPr>
          <w:lang w:val="en-US"/>
        </w:rPr>
      </w:pPr>
      <w:r>
        <w:rPr>
          <w:noProof/>
          <w:lang w:eastAsia="en-AU"/>
        </w:rPr>
        <w:drawing>
          <wp:inline distT="0" distB="0" distL="0" distR="0" wp14:anchorId="5319E496" wp14:editId="454BDF81">
            <wp:extent cx="5731510" cy="4619625"/>
            <wp:effectExtent l="0" t="0" r="2540" b="9525"/>
            <wp:docPr id="15" name="Chart 15" descr="Graph showing that of those on monotherapy, most (about 70%) are on a beta-blocker, while about 20% are on an ARNI.  ">
              <a:extLst xmlns:a="http://schemas.openxmlformats.org/drawingml/2006/main">
                <a:ext uri="{FF2B5EF4-FFF2-40B4-BE49-F238E27FC236}">
                  <a16:creationId xmlns:a16="http://schemas.microsoft.com/office/drawing/2014/main" id="{8BD23D1D-511C-4B6F-B7A4-7A798EFD2F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2806E7B" w14:textId="0041BEC5" w:rsidR="00064CD6" w:rsidRPr="00575377" w:rsidRDefault="00064CD6" w:rsidP="00DC3DED">
      <w:pPr>
        <w:spacing w:after="0" w:line="240" w:lineRule="auto"/>
        <w:rPr>
          <w:b/>
          <w:bCs/>
          <w:lang w:val="en-US"/>
        </w:rPr>
      </w:pPr>
      <w:r w:rsidRPr="00B1565A">
        <w:rPr>
          <w:b/>
          <w:bCs/>
          <w:lang w:val="en-US"/>
        </w:rPr>
        <w:t xml:space="preserve">Figure 10.1. </w:t>
      </w:r>
      <w:r w:rsidR="00B1565A" w:rsidRPr="00B1565A">
        <w:rPr>
          <w:b/>
          <w:bCs/>
          <w:lang w:val="en-US"/>
        </w:rPr>
        <w:t xml:space="preserve">Market share </w:t>
      </w:r>
      <w:r w:rsidR="00B1565A" w:rsidRPr="00575377">
        <w:rPr>
          <w:b/>
          <w:bCs/>
          <w:lang w:val="en-US"/>
        </w:rPr>
        <w:t>of treatment regimens in the monotherapy cohort, which represents 22% of the overall HF prevalent population</w:t>
      </w:r>
      <w:r w:rsidR="00F46E29" w:rsidRPr="00575377">
        <w:rPr>
          <w:b/>
          <w:bCs/>
          <w:lang w:val="en-US"/>
        </w:rPr>
        <w:t xml:space="preserve"> in June 2023</w:t>
      </w:r>
      <w:r w:rsidR="00B1565A" w:rsidRPr="00575377">
        <w:rPr>
          <w:b/>
          <w:bCs/>
          <w:lang w:val="en-US"/>
        </w:rPr>
        <w:t>)</w:t>
      </w:r>
    </w:p>
    <w:p w14:paraId="6E670CF6" w14:textId="77777777" w:rsidR="00575377" w:rsidRDefault="00064CD6" w:rsidP="003D4223">
      <w:pPr>
        <w:spacing w:after="0" w:line="240" w:lineRule="auto"/>
        <w:rPr>
          <w:rFonts w:cstheme="minorHAnsi"/>
          <w:i/>
          <w:iCs/>
          <w:sz w:val="18"/>
          <w:szCs w:val="18"/>
        </w:rPr>
      </w:pPr>
      <w:r w:rsidRPr="00575377">
        <w:rPr>
          <w:rFonts w:cstheme="minorHAnsi"/>
          <w:i/>
          <w:iCs/>
          <w:sz w:val="18"/>
          <w:szCs w:val="18"/>
        </w:rPr>
        <w:t xml:space="preserve">Legend: </w:t>
      </w:r>
    </w:p>
    <w:p w14:paraId="616EBC94" w14:textId="2974517E" w:rsidR="00575377" w:rsidRDefault="00064CD6" w:rsidP="003D4223">
      <w:pPr>
        <w:spacing w:after="0" w:line="240" w:lineRule="auto"/>
        <w:rPr>
          <w:rFonts w:cstheme="minorHAnsi"/>
          <w:i/>
          <w:iCs/>
          <w:sz w:val="18"/>
          <w:szCs w:val="18"/>
        </w:rPr>
      </w:pPr>
      <w:r w:rsidRPr="00575377">
        <w:rPr>
          <w:rFonts w:cstheme="minorHAnsi"/>
          <w:i/>
          <w:iCs/>
          <w:sz w:val="18"/>
          <w:szCs w:val="18"/>
        </w:rPr>
        <w:t>BB – Beta-Blockers</w:t>
      </w:r>
      <w:r w:rsidR="003D4223" w:rsidRPr="00575377">
        <w:rPr>
          <w:rFonts w:cstheme="minorHAnsi"/>
          <w:i/>
          <w:iCs/>
          <w:sz w:val="18"/>
          <w:szCs w:val="18"/>
        </w:rPr>
        <w:t xml:space="preserve">, </w:t>
      </w:r>
    </w:p>
    <w:p w14:paraId="641B2C63" w14:textId="74D66F0A" w:rsidR="00064CD6" w:rsidRPr="008B0243" w:rsidRDefault="00064CD6" w:rsidP="003D4223">
      <w:pPr>
        <w:spacing w:after="0" w:line="240" w:lineRule="auto"/>
        <w:rPr>
          <w:rFonts w:cstheme="minorHAnsi"/>
          <w:i/>
          <w:iCs/>
          <w:sz w:val="18"/>
          <w:szCs w:val="18"/>
        </w:rPr>
      </w:pPr>
      <w:r w:rsidRPr="00575377">
        <w:rPr>
          <w:rFonts w:cstheme="minorHAnsi"/>
          <w:i/>
          <w:iCs/>
          <w:sz w:val="18"/>
          <w:szCs w:val="18"/>
        </w:rPr>
        <w:t>MRA (for HF) - Mineralocorticoid receptor antagonist for HF</w:t>
      </w:r>
      <w:r>
        <w:rPr>
          <w:rFonts w:cstheme="minorHAnsi"/>
          <w:i/>
          <w:iCs/>
          <w:sz w:val="18"/>
          <w:szCs w:val="18"/>
        </w:rPr>
        <w:t xml:space="preserve"> (Eplerenone)</w:t>
      </w:r>
    </w:p>
    <w:p w14:paraId="337EFB1D" w14:textId="77777777" w:rsidR="00575377" w:rsidRDefault="00064CD6" w:rsidP="00064CD6">
      <w:pPr>
        <w:spacing w:after="0"/>
        <w:rPr>
          <w:rFonts w:cstheme="minorHAnsi"/>
          <w:i/>
          <w:iCs/>
          <w:sz w:val="18"/>
          <w:szCs w:val="18"/>
        </w:rPr>
      </w:pPr>
      <w:r w:rsidRPr="008B0243">
        <w:rPr>
          <w:rFonts w:cstheme="minorHAnsi"/>
          <w:i/>
          <w:iCs/>
          <w:sz w:val="18"/>
          <w:szCs w:val="18"/>
        </w:rPr>
        <w:t xml:space="preserve">SGLT2 </w:t>
      </w:r>
      <w:r>
        <w:rPr>
          <w:rFonts w:cstheme="minorHAnsi"/>
          <w:i/>
          <w:iCs/>
          <w:sz w:val="18"/>
          <w:szCs w:val="18"/>
        </w:rPr>
        <w:t xml:space="preserve">(for HF) </w:t>
      </w:r>
      <w:r w:rsidRPr="008B0243">
        <w:rPr>
          <w:rFonts w:cstheme="minorHAnsi"/>
          <w:i/>
          <w:iCs/>
          <w:sz w:val="18"/>
          <w:szCs w:val="18"/>
        </w:rPr>
        <w:t>– Sodium-glucose co-transporter 2 inhibitors for HF</w:t>
      </w:r>
      <w:r w:rsidR="003D4223">
        <w:rPr>
          <w:rFonts w:cstheme="minorHAnsi"/>
          <w:i/>
          <w:iCs/>
          <w:sz w:val="18"/>
          <w:szCs w:val="18"/>
        </w:rPr>
        <w:t>,</w:t>
      </w:r>
    </w:p>
    <w:p w14:paraId="0182CBA7" w14:textId="0269306F" w:rsidR="00064CD6" w:rsidRDefault="00064CD6" w:rsidP="00064CD6">
      <w:pPr>
        <w:spacing w:after="0"/>
        <w:rPr>
          <w:rFonts w:cstheme="minorHAnsi"/>
          <w:i/>
          <w:iCs/>
          <w:sz w:val="18"/>
          <w:szCs w:val="18"/>
        </w:rPr>
      </w:pPr>
      <w:r w:rsidRPr="008B0243">
        <w:rPr>
          <w:rFonts w:cstheme="minorHAnsi"/>
          <w:i/>
          <w:iCs/>
          <w:sz w:val="18"/>
          <w:szCs w:val="18"/>
        </w:rPr>
        <w:t>ARNI – angiotensin receptor neprilysin inhibitor</w:t>
      </w:r>
      <w:r w:rsidR="00594392">
        <w:rPr>
          <w:rFonts w:cstheme="minorHAnsi"/>
          <w:i/>
          <w:iCs/>
          <w:sz w:val="18"/>
          <w:szCs w:val="18"/>
        </w:rPr>
        <w:t xml:space="preserve"> ((sacubitril+valsartan)</w:t>
      </w:r>
      <w:r w:rsidRPr="008B0243">
        <w:rPr>
          <w:rFonts w:cstheme="minorHAnsi"/>
          <w:i/>
          <w:iCs/>
          <w:sz w:val="18"/>
          <w:szCs w:val="18"/>
        </w:rPr>
        <w:t xml:space="preserve"> </w:t>
      </w:r>
    </w:p>
    <w:p w14:paraId="1FA0BF45" w14:textId="77777777" w:rsidR="00575377" w:rsidRDefault="00575377">
      <w:pPr>
        <w:rPr>
          <w:lang w:val="en-US"/>
        </w:rPr>
      </w:pPr>
      <w:r>
        <w:rPr>
          <w:lang w:val="en-US"/>
        </w:rPr>
        <w:br w:type="page"/>
      </w:r>
    </w:p>
    <w:p w14:paraId="790CDA63" w14:textId="5E9175AE" w:rsidR="00B406B3" w:rsidRDefault="00B1565A" w:rsidP="009046F4">
      <w:pPr>
        <w:spacing w:after="0"/>
        <w:jc w:val="both"/>
        <w:rPr>
          <w:lang w:val="en-US"/>
        </w:rPr>
      </w:pPr>
      <w:r>
        <w:rPr>
          <w:lang w:val="en-US"/>
        </w:rPr>
        <w:t>Figure 10.2 shows the treatment regimen in the dual therapy cohort (which represents 3</w:t>
      </w:r>
      <w:r w:rsidR="0057165D">
        <w:rPr>
          <w:lang w:val="en-US"/>
        </w:rPr>
        <w:t>4</w:t>
      </w:r>
      <w:r>
        <w:rPr>
          <w:lang w:val="en-US"/>
        </w:rPr>
        <w:t xml:space="preserve">% of the overall HF prevalent </w:t>
      </w:r>
      <w:r w:rsidRPr="00575377">
        <w:rPr>
          <w:lang w:val="en-US"/>
        </w:rPr>
        <w:t>population</w:t>
      </w:r>
      <w:r w:rsidR="0006499C" w:rsidRPr="00575377">
        <w:rPr>
          <w:lang w:val="en-US"/>
        </w:rPr>
        <w:t xml:space="preserve"> in June 2023</w:t>
      </w:r>
      <w:r w:rsidRPr="00575377">
        <w:rPr>
          <w:lang w:val="en-US"/>
        </w:rPr>
        <w:t>). Consistent with guideline</w:t>
      </w:r>
      <w:r>
        <w:rPr>
          <w:lang w:val="en-US"/>
        </w:rPr>
        <w:t xml:space="preserve"> recommendations, HF restricted </w:t>
      </w:r>
      <w:r w:rsidR="00B406B3">
        <w:rPr>
          <w:lang w:val="en-US"/>
        </w:rPr>
        <w:t xml:space="preserve">BB in combination with ACEi and </w:t>
      </w:r>
      <w:r>
        <w:rPr>
          <w:lang w:val="en-US"/>
        </w:rPr>
        <w:t xml:space="preserve">HF restricted </w:t>
      </w:r>
      <w:r w:rsidR="00B406B3">
        <w:rPr>
          <w:lang w:val="en-US"/>
        </w:rPr>
        <w:t xml:space="preserve">BB in combination with ARB </w:t>
      </w:r>
      <w:r>
        <w:rPr>
          <w:lang w:val="en-US"/>
        </w:rPr>
        <w:t xml:space="preserve">represented </w:t>
      </w:r>
      <w:proofErr w:type="gramStart"/>
      <w:r>
        <w:rPr>
          <w:lang w:val="en-US"/>
        </w:rPr>
        <w:t>the majority of</w:t>
      </w:r>
      <w:proofErr w:type="gramEnd"/>
      <w:r w:rsidR="00B406B3">
        <w:rPr>
          <w:lang w:val="en-US"/>
        </w:rPr>
        <w:t xml:space="preserve"> dual therapies (Figure 10.2).</w:t>
      </w:r>
      <w:r w:rsidR="0057165D">
        <w:rPr>
          <w:lang w:val="en-US"/>
        </w:rPr>
        <w:t xml:space="preserve"> There is an increase over time in ARNI in combination with BB and a decrease over time in BB in combination with loop diuretics.</w:t>
      </w:r>
    </w:p>
    <w:p w14:paraId="5FD1E2E8" w14:textId="77777777" w:rsidR="00B1565A" w:rsidRDefault="00B1565A" w:rsidP="00064CD6">
      <w:pPr>
        <w:spacing w:after="0"/>
        <w:rPr>
          <w:rFonts w:cstheme="minorHAnsi"/>
          <w:i/>
          <w:iCs/>
          <w:sz w:val="18"/>
          <w:szCs w:val="18"/>
        </w:rPr>
      </w:pPr>
    </w:p>
    <w:p w14:paraId="3B040A16" w14:textId="093B20F0" w:rsidR="00232F9A" w:rsidRDefault="00232F9A" w:rsidP="0079747D">
      <w:pPr>
        <w:spacing w:after="0"/>
        <w:rPr>
          <w:noProof/>
          <w:lang w:eastAsia="en-AU"/>
        </w:rPr>
      </w:pPr>
      <w:r>
        <w:rPr>
          <w:noProof/>
          <w:lang w:eastAsia="en-AU"/>
        </w:rPr>
        <w:drawing>
          <wp:inline distT="0" distB="0" distL="0" distR="0" wp14:anchorId="3C6B3C0E" wp14:editId="21F83670">
            <wp:extent cx="5731510" cy="5248275"/>
            <wp:effectExtent l="0" t="0" r="2540" b="9525"/>
            <wp:docPr id="14" name="Chart 14" descr="Graph showing the breakdown (in percentage) of what people on dual therapy are being prescribed. About 70% of dual therapy is either a beta blocker combined with an ACEi or ARB.">
              <a:extLst xmlns:a="http://schemas.openxmlformats.org/drawingml/2006/main">
                <a:ext uri="{FF2B5EF4-FFF2-40B4-BE49-F238E27FC236}">
                  <a16:creationId xmlns:a16="http://schemas.microsoft.com/office/drawing/2014/main" id="{CD27672E-8798-4243-9645-3499ED96E0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B8457CB" w14:textId="66716D25" w:rsidR="0057165D" w:rsidRPr="00B1565A" w:rsidRDefault="00190039" w:rsidP="0057165D">
      <w:pPr>
        <w:spacing w:after="0" w:line="240" w:lineRule="auto"/>
        <w:rPr>
          <w:b/>
          <w:bCs/>
          <w:lang w:val="en-US"/>
        </w:rPr>
      </w:pPr>
      <w:r w:rsidRPr="00B217DA">
        <w:rPr>
          <w:b/>
          <w:bCs/>
          <w:lang w:val="en-US"/>
        </w:rPr>
        <w:t xml:space="preserve">Figure </w:t>
      </w:r>
      <w:r>
        <w:rPr>
          <w:b/>
          <w:bCs/>
          <w:lang w:val="en-US"/>
        </w:rPr>
        <w:t>10</w:t>
      </w:r>
      <w:r w:rsidRPr="00B217DA">
        <w:rPr>
          <w:b/>
          <w:bCs/>
          <w:lang w:val="en-US"/>
        </w:rPr>
        <w:t>.</w:t>
      </w:r>
      <w:r>
        <w:rPr>
          <w:b/>
          <w:bCs/>
          <w:lang w:val="en-US"/>
        </w:rPr>
        <w:t>2</w:t>
      </w:r>
      <w:r>
        <w:rPr>
          <w:lang w:val="en-US"/>
        </w:rPr>
        <w:t xml:space="preserve">. </w:t>
      </w:r>
      <w:r w:rsidR="0057165D" w:rsidRPr="00B1565A">
        <w:rPr>
          <w:b/>
          <w:bCs/>
          <w:lang w:val="en-US"/>
        </w:rPr>
        <w:t xml:space="preserve">Market share of </w:t>
      </w:r>
      <w:r w:rsidR="0057165D" w:rsidRPr="00575377">
        <w:rPr>
          <w:b/>
          <w:bCs/>
          <w:lang w:val="en-US"/>
        </w:rPr>
        <w:t>treatment regimens in the dual therapy cohort, which represents 34% of the overall HF prevalent population</w:t>
      </w:r>
      <w:r w:rsidR="00F46E29" w:rsidRPr="00575377">
        <w:rPr>
          <w:b/>
          <w:bCs/>
          <w:lang w:val="en-US"/>
        </w:rPr>
        <w:t xml:space="preserve"> in June 2023</w:t>
      </w:r>
    </w:p>
    <w:p w14:paraId="0236E7EC" w14:textId="77777777" w:rsidR="0057165D" w:rsidRDefault="0057165D" w:rsidP="0057165D">
      <w:pPr>
        <w:jc w:val="both"/>
        <w:rPr>
          <w:rFonts w:cstheme="minorHAnsi"/>
          <w:i/>
          <w:iCs/>
          <w:sz w:val="18"/>
          <w:szCs w:val="18"/>
        </w:rPr>
      </w:pPr>
    </w:p>
    <w:p w14:paraId="3E73B39C" w14:textId="77777777" w:rsidR="00575377" w:rsidRDefault="0057165D" w:rsidP="00575377">
      <w:pPr>
        <w:spacing w:after="0"/>
        <w:jc w:val="both"/>
        <w:rPr>
          <w:rFonts w:cstheme="minorHAnsi"/>
          <w:i/>
          <w:iCs/>
          <w:sz w:val="18"/>
          <w:szCs w:val="18"/>
        </w:rPr>
      </w:pPr>
      <w:r w:rsidRPr="008B0243">
        <w:rPr>
          <w:rFonts w:cstheme="minorHAnsi"/>
          <w:i/>
          <w:iCs/>
          <w:sz w:val="18"/>
          <w:szCs w:val="18"/>
        </w:rPr>
        <w:t xml:space="preserve">Legend: </w:t>
      </w:r>
    </w:p>
    <w:p w14:paraId="22A13BE4" w14:textId="2A55F3B8" w:rsidR="00BB703C" w:rsidRPr="008E2AAA" w:rsidRDefault="00BB703C" w:rsidP="00575377">
      <w:pPr>
        <w:spacing w:after="0"/>
        <w:jc w:val="both"/>
        <w:rPr>
          <w:rFonts w:cstheme="minorHAnsi"/>
          <w:i/>
          <w:iCs/>
          <w:sz w:val="18"/>
          <w:szCs w:val="18"/>
        </w:rPr>
      </w:pPr>
      <w:r w:rsidRPr="008E2AAA">
        <w:rPr>
          <w:rFonts w:cstheme="minorHAnsi"/>
          <w:i/>
          <w:iCs/>
          <w:sz w:val="18"/>
          <w:szCs w:val="18"/>
        </w:rPr>
        <w:t>BB – Beta-Blockers</w:t>
      </w:r>
    </w:p>
    <w:p w14:paraId="1E834C1B" w14:textId="77777777" w:rsidR="00BB703C" w:rsidRPr="008E2AAA" w:rsidRDefault="00BB703C" w:rsidP="00BB703C">
      <w:pPr>
        <w:spacing w:after="0" w:line="240" w:lineRule="auto"/>
        <w:rPr>
          <w:rFonts w:cstheme="minorHAnsi"/>
          <w:i/>
          <w:iCs/>
          <w:sz w:val="18"/>
          <w:szCs w:val="18"/>
        </w:rPr>
      </w:pPr>
      <w:r w:rsidRPr="008E2AAA">
        <w:rPr>
          <w:rFonts w:cstheme="minorHAnsi"/>
          <w:i/>
          <w:iCs/>
          <w:sz w:val="18"/>
          <w:szCs w:val="18"/>
        </w:rPr>
        <w:t>SGLT2 – Sodium-glucose co-transporter 2 inhibitors for HF</w:t>
      </w:r>
    </w:p>
    <w:p w14:paraId="2E0B7D14" w14:textId="0C8AD42E" w:rsidR="00BB703C" w:rsidRDefault="00BB703C" w:rsidP="00BB703C">
      <w:pPr>
        <w:spacing w:after="0" w:line="240" w:lineRule="auto"/>
        <w:rPr>
          <w:rFonts w:cstheme="minorHAnsi"/>
          <w:i/>
          <w:iCs/>
          <w:sz w:val="18"/>
          <w:szCs w:val="18"/>
        </w:rPr>
      </w:pPr>
      <w:r w:rsidRPr="008E2AAA">
        <w:rPr>
          <w:rFonts w:cstheme="minorHAnsi"/>
          <w:i/>
          <w:iCs/>
          <w:sz w:val="18"/>
          <w:szCs w:val="18"/>
        </w:rPr>
        <w:t xml:space="preserve">ARNI – angiotensin receptor neprilysin inhibitor </w:t>
      </w:r>
      <w:r w:rsidR="00425AF8">
        <w:rPr>
          <w:rFonts w:cstheme="minorHAnsi"/>
          <w:i/>
          <w:iCs/>
          <w:sz w:val="18"/>
          <w:szCs w:val="18"/>
        </w:rPr>
        <w:t>(sacubitril+valsartan)</w:t>
      </w:r>
    </w:p>
    <w:p w14:paraId="09CA36DE" w14:textId="77777777" w:rsidR="00BB703C" w:rsidRPr="008B0243" w:rsidRDefault="00BB703C" w:rsidP="00BB703C">
      <w:pPr>
        <w:spacing w:after="0" w:line="240" w:lineRule="auto"/>
        <w:rPr>
          <w:rFonts w:cstheme="minorHAnsi"/>
          <w:i/>
          <w:iCs/>
          <w:sz w:val="18"/>
          <w:szCs w:val="18"/>
        </w:rPr>
      </w:pPr>
      <w:r>
        <w:rPr>
          <w:rFonts w:cstheme="minorHAnsi"/>
          <w:i/>
          <w:iCs/>
          <w:sz w:val="18"/>
          <w:szCs w:val="18"/>
        </w:rPr>
        <w:t xml:space="preserve">MRA (Spiro)- </w:t>
      </w:r>
      <w:r w:rsidRPr="008B0243">
        <w:rPr>
          <w:rFonts w:cstheme="minorHAnsi"/>
          <w:i/>
          <w:iCs/>
          <w:sz w:val="18"/>
          <w:szCs w:val="18"/>
        </w:rPr>
        <w:t>Mineralocorticoid receptor antagonist</w:t>
      </w:r>
      <w:r>
        <w:rPr>
          <w:rFonts w:cstheme="minorHAnsi"/>
          <w:i/>
          <w:iCs/>
          <w:sz w:val="18"/>
          <w:szCs w:val="18"/>
        </w:rPr>
        <w:t xml:space="preserve"> not for HF (Spironolactone)</w:t>
      </w:r>
    </w:p>
    <w:p w14:paraId="2DA7AAE1" w14:textId="77777777" w:rsidR="00BB703C" w:rsidRPr="008E2AAA" w:rsidRDefault="00BB703C" w:rsidP="00BB703C">
      <w:pPr>
        <w:spacing w:after="0" w:line="240" w:lineRule="auto"/>
        <w:rPr>
          <w:rFonts w:cstheme="minorHAnsi"/>
          <w:i/>
          <w:iCs/>
          <w:sz w:val="18"/>
          <w:szCs w:val="18"/>
        </w:rPr>
      </w:pPr>
      <w:r w:rsidRPr="008E2AAA">
        <w:rPr>
          <w:rFonts w:cstheme="minorHAnsi"/>
          <w:i/>
          <w:iCs/>
          <w:sz w:val="18"/>
          <w:szCs w:val="18"/>
        </w:rPr>
        <w:t>ACE – Angiotensin-converting enzyme inhibitor</w:t>
      </w:r>
    </w:p>
    <w:p w14:paraId="1453577A" w14:textId="77777777" w:rsidR="00BB703C" w:rsidRPr="008E2AAA" w:rsidRDefault="00BB703C" w:rsidP="00BB703C">
      <w:pPr>
        <w:spacing w:after="0" w:line="240" w:lineRule="auto"/>
        <w:rPr>
          <w:rFonts w:cstheme="minorHAnsi"/>
          <w:i/>
          <w:iCs/>
          <w:sz w:val="18"/>
          <w:szCs w:val="18"/>
        </w:rPr>
      </w:pPr>
      <w:r w:rsidRPr="008E2AAA">
        <w:rPr>
          <w:rFonts w:cstheme="minorHAnsi"/>
          <w:i/>
          <w:iCs/>
          <w:sz w:val="18"/>
          <w:szCs w:val="18"/>
        </w:rPr>
        <w:t>ARB – Angiotensin receptor blocker</w:t>
      </w:r>
    </w:p>
    <w:p w14:paraId="5C4F9FB6" w14:textId="77777777" w:rsidR="00BB703C" w:rsidRPr="008E2AAA" w:rsidRDefault="00BB703C" w:rsidP="00BB703C">
      <w:pPr>
        <w:spacing w:after="0" w:line="240" w:lineRule="auto"/>
        <w:rPr>
          <w:rFonts w:cstheme="minorHAnsi"/>
          <w:i/>
          <w:iCs/>
          <w:sz w:val="18"/>
          <w:szCs w:val="18"/>
        </w:rPr>
      </w:pPr>
      <w:r w:rsidRPr="008E2AAA">
        <w:rPr>
          <w:rFonts w:cstheme="minorHAnsi"/>
          <w:i/>
          <w:iCs/>
          <w:sz w:val="18"/>
          <w:szCs w:val="18"/>
        </w:rPr>
        <w:t>CCB – Calcium channel blocker</w:t>
      </w:r>
    </w:p>
    <w:p w14:paraId="6B4CC42E" w14:textId="0A811A1C" w:rsidR="00B406B3" w:rsidRDefault="00BB703C" w:rsidP="00C40135">
      <w:pPr>
        <w:spacing w:after="0" w:line="240" w:lineRule="auto"/>
        <w:rPr>
          <w:rFonts w:cstheme="minorHAnsi"/>
          <w:i/>
          <w:iCs/>
          <w:sz w:val="18"/>
          <w:szCs w:val="18"/>
        </w:rPr>
      </w:pPr>
      <w:r w:rsidRPr="008E2AAA">
        <w:rPr>
          <w:rFonts w:cstheme="minorHAnsi"/>
          <w:i/>
          <w:iCs/>
          <w:sz w:val="18"/>
          <w:szCs w:val="18"/>
        </w:rPr>
        <w:t>Loop – Loop diuret</w:t>
      </w:r>
      <w:r>
        <w:rPr>
          <w:rFonts w:cstheme="minorHAnsi"/>
          <w:i/>
          <w:iCs/>
          <w:sz w:val="18"/>
          <w:szCs w:val="18"/>
        </w:rPr>
        <w:t>i</w:t>
      </w:r>
      <w:r w:rsidRPr="008E2AAA">
        <w:rPr>
          <w:rFonts w:cstheme="minorHAnsi"/>
          <w:i/>
          <w:iCs/>
          <w:sz w:val="18"/>
          <w:szCs w:val="18"/>
        </w:rPr>
        <w:t>c</w:t>
      </w:r>
    </w:p>
    <w:p w14:paraId="15D35B3F" w14:textId="459AEA64" w:rsidR="00B406B3" w:rsidRDefault="00B406B3" w:rsidP="00C40135">
      <w:pPr>
        <w:spacing w:after="0" w:line="240" w:lineRule="auto"/>
        <w:rPr>
          <w:rFonts w:cstheme="minorHAnsi"/>
          <w:i/>
          <w:iCs/>
          <w:sz w:val="18"/>
          <w:szCs w:val="18"/>
        </w:rPr>
      </w:pPr>
    </w:p>
    <w:p w14:paraId="631ECD4B" w14:textId="2FB69209" w:rsidR="00BA5D20" w:rsidRDefault="00BA5D20" w:rsidP="00C40135">
      <w:pPr>
        <w:spacing w:after="0" w:line="240" w:lineRule="auto"/>
        <w:rPr>
          <w:rFonts w:cstheme="minorHAnsi"/>
          <w:i/>
          <w:iCs/>
          <w:sz w:val="18"/>
          <w:szCs w:val="18"/>
        </w:rPr>
      </w:pPr>
    </w:p>
    <w:p w14:paraId="5395C809" w14:textId="4858DA99" w:rsidR="00BB703C" w:rsidRDefault="0057165D" w:rsidP="0057165D">
      <w:pPr>
        <w:spacing w:after="0" w:line="240" w:lineRule="auto"/>
        <w:rPr>
          <w:lang w:val="en-US"/>
        </w:rPr>
      </w:pPr>
      <w:r>
        <w:rPr>
          <w:lang w:val="en-US"/>
        </w:rPr>
        <w:t xml:space="preserve">Figure 10.3 shows the </w:t>
      </w:r>
      <w:r w:rsidRPr="00575377">
        <w:rPr>
          <w:lang w:val="en-US"/>
        </w:rPr>
        <w:t>treatment regimen in the triple therapy cohort (which represents 28% of the overall HF prevalent population</w:t>
      </w:r>
      <w:r w:rsidR="00F46E29" w:rsidRPr="00575377">
        <w:rPr>
          <w:lang w:val="en-US"/>
        </w:rPr>
        <w:t xml:space="preserve"> in June 2023</w:t>
      </w:r>
      <w:r w:rsidRPr="00575377">
        <w:rPr>
          <w:lang w:val="en-US"/>
        </w:rPr>
        <w:t xml:space="preserve">).  </w:t>
      </w:r>
      <w:r w:rsidR="00B406B3" w:rsidRPr="00575377">
        <w:rPr>
          <w:lang w:val="en-US"/>
        </w:rPr>
        <w:t>BB plus ACEi</w:t>
      </w:r>
      <w:r w:rsidR="00B406B3">
        <w:rPr>
          <w:lang w:val="en-US"/>
        </w:rPr>
        <w:t xml:space="preserve"> plus loop diuretic and BB plus ARB plus loop diuretics </w:t>
      </w:r>
      <w:r>
        <w:rPr>
          <w:lang w:val="en-US"/>
        </w:rPr>
        <w:t>followed by BB plus ACE</w:t>
      </w:r>
      <w:r w:rsidR="00E27482">
        <w:rPr>
          <w:lang w:val="en-US"/>
        </w:rPr>
        <w:t>i</w:t>
      </w:r>
      <w:r>
        <w:rPr>
          <w:lang w:val="en-US"/>
        </w:rPr>
        <w:t xml:space="preserve"> plus spironolactone represent the three most frequent regimens</w:t>
      </w:r>
      <w:r w:rsidR="00B406B3">
        <w:rPr>
          <w:lang w:val="en-US"/>
        </w:rPr>
        <w:t xml:space="preserve"> (Figure 10.3).</w:t>
      </w:r>
    </w:p>
    <w:p w14:paraId="268C00C3" w14:textId="77777777" w:rsidR="0057165D" w:rsidRDefault="0057165D" w:rsidP="0057165D">
      <w:pPr>
        <w:spacing w:after="0" w:line="240" w:lineRule="auto"/>
        <w:rPr>
          <w:lang w:val="en-US"/>
        </w:rPr>
      </w:pPr>
    </w:p>
    <w:p w14:paraId="3427D5B7" w14:textId="228C64C6" w:rsidR="00B87206" w:rsidRDefault="00232F9A" w:rsidP="0079747D">
      <w:pPr>
        <w:spacing w:after="0"/>
        <w:rPr>
          <w:lang w:val="en-US"/>
        </w:rPr>
      </w:pPr>
      <w:r>
        <w:rPr>
          <w:noProof/>
          <w:lang w:eastAsia="en-AU"/>
        </w:rPr>
        <w:drawing>
          <wp:inline distT="0" distB="0" distL="0" distR="0" wp14:anchorId="7F02D173" wp14:editId="25A7F888">
            <wp:extent cx="5731510" cy="4895850"/>
            <wp:effectExtent l="0" t="0" r="2540" b="0"/>
            <wp:docPr id="21" name="Chart 21" descr="Graph showing the percentage break down of triple therapy combinations.  Beta blocker plus loop diuretic plus ACEi or ARB account for approximately half the triple therapies.">
              <a:extLst xmlns:a="http://schemas.openxmlformats.org/drawingml/2006/main">
                <a:ext uri="{FF2B5EF4-FFF2-40B4-BE49-F238E27FC236}">
                  <a16:creationId xmlns:a16="http://schemas.microsoft.com/office/drawing/2014/main" id="{1B119492-BC04-4F0E-A62B-7EDC581AE8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1FDC80F" w14:textId="476BA9EF" w:rsidR="0057165D" w:rsidRPr="00B1565A" w:rsidRDefault="0089049F" w:rsidP="0057165D">
      <w:pPr>
        <w:spacing w:after="0" w:line="240" w:lineRule="auto"/>
        <w:rPr>
          <w:b/>
          <w:bCs/>
          <w:lang w:val="en-US"/>
        </w:rPr>
      </w:pPr>
      <w:r w:rsidRPr="00B217DA">
        <w:rPr>
          <w:b/>
          <w:bCs/>
          <w:lang w:val="en-US"/>
        </w:rPr>
        <w:t xml:space="preserve">Figure </w:t>
      </w:r>
      <w:r>
        <w:rPr>
          <w:b/>
          <w:bCs/>
          <w:lang w:val="en-US"/>
        </w:rPr>
        <w:t>10</w:t>
      </w:r>
      <w:r w:rsidRPr="00B217DA">
        <w:rPr>
          <w:b/>
          <w:bCs/>
          <w:lang w:val="en-US"/>
        </w:rPr>
        <w:t>.</w:t>
      </w:r>
      <w:r>
        <w:rPr>
          <w:b/>
          <w:bCs/>
          <w:lang w:val="en-US"/>
        </w:rPr>
        <w:t>3</w:t>
      </w:r>
      <w:r>
        <w:rPr>
          <w:lang w:val="en-US"/>
        </w:rPr>
        <w:t xml:space="preserve">. </w:t>
      </w:r>
      <w:r w:rsidR="0057165D" w:rsidRPr="00B1565A">
        <w:rPr>
          <w:b/>
          <w:bCs/>
          <w:lang w:val="en-US"/>
        </w:rPr>
        <w:t xml:space="preserve">Market share of treatment </w:t>
      </w:r>
      <w:r w:rsidR="0057165D" w:rsidRPr="00575377">
        <w:rPr>
          <w:b/>
          <w:bCs/>
          <w:lang w:val="en-US"/>
        </w:rPr>
        <w:t>regimens in the triple therapy cohort, which represents 28% of the overall HF prevalent population</w:t>
      </w:r>
      <w:r w:rsidR="00F46E29" w:rsidRPr="00575377">
        <w:rPr>
          <w:b/>
          <w:bCs/>
          <w:lang w:val="en-US"/>
        </w:rPr>
        <w:t xml:space="preserve"> in June 2023</w:t>
      </w:r>
      <w:r w:rsidR="0057165D" w:rsidRPr="00575377">
        <w:rPr>
          <w:b/>
          <w:bCs/>
          <w:lang w:val="en-US"/>
        </w:rPr>
        <w:t>)</w:t>
      </w:r>
    </w:p>
    <w:p w14:paraId="6B98CA2D" w14:textId="77777777" w:rsidR="0057165D" w:rsidRDefault="0057165D" w:rsidP="0089049F">
      <w:pPr>
        <w:spacing w:after="0" w:line="240" w:lineRule="auto"/>
        <w:rPr>
          <w:rFonts w:cstheme="minorHAnsi"/>
          <w:i/>
          <w:iCs/>
          <w:sz w:val="18"/>
          <w:szCs w:val="18"/>
        </w:rPr>
      </w:pPr>
    </w:p>
    <w:p w14:paraId="37F979BB" w14:textId="76530FF9" w:rsidR="0089049F" w:rsidRDefault="0089049F" w:rsidP="0089049F">
      <w:pPr>
        <w:spacing w:after="0" w:line="240" w:lineRule="auto"/>
        <w:rPr>
          <w:rFonts w:cstheme="minorHAnsi"/>
          <w:i/>
          <w:iCs/>
          <w:sz w:val="18"/>
          <w:szCs w:val="18"/>
        </w:rPr>
      </w:pPr>
      <w:r w:rsidRPr="008E2AAA">
        <w:rPr>
          <w:rFonts w:cstheme="minorHAnsi"/>
          <w:i/>
          <w:iCs/>
          <w:sz w:val="18"/>
          <w:szCs w:val="18"/>
        </w:rPr>
        <w:t xml:space="preserve">Legend: </w:t>
      </w:r>
    </w:p>
    <w:p w14:paraId="78BFD49F" w14:textId="77777777" w:rsidR="0089049F" w:rsidRDefault="0089049F" w:rsidP="0089049F">
      <w:pPr>
        <w:spacing w:after="0" w:line="240" w:lineRule="auto"/>
        <w:rPr>
          <w:rFonts w:cstheme="minorHAnsi"/>
          <w:i/>
          <w:iCs/>
          <w:sz w:val="18"/>
          <w:szCs w:val="18"/>
        </w:rPr>
      </w:pPr>
      <w:r w:rsidRPr="008E2AAA">
        <w:rPr>
          <w:rFonts w:cstheme="minorHAnsi"/>
          <w:i/>
          <w:iCs/>
          <w:sz w:val="18"/>
          <w:szCs w:val="18"/>
        </w:rPr>
        <w:t xml:space="preserve">BB – </w:t>
      </w:r>
      <w:proofErr w:type="gramStart"/>
      <w:r w:rsidRPr="008E2AAA">
        <w:rPr>
          <w:rFonts w:cstheme="minorHAnsi"/>
          <w:i/>
          <w:iCs/>
          <w:sz w:val="18"/>
          <w:szCs w:val="18"/>
        </w:rPr>
        <w:t>Beta-Blockers</w:t>
      </w:r>
      <w:r w:rsidR="006C6763">
        <w:rPr>
          <w:rFonts w:cstheme="minorHAnsi"/>
          <w:i/>
          <w:iCs/>
          <w:sz w:val="18"/>
          <w:szCs w:val="18"/>
        </w:rPr>
        <w:t>;</w:t>
      </w:r>
      <w:proofErr w:type="gramEnd"/>
      <w:r w:rsidR="006C6763">
        <w:rPr>
          <w:rFonts w:cstheme="minorHAnsi"/>
          <w:i/>
          <w:iCs/>
          <w:sz w:val="18"/>
          <w:szCs w:val="18"/>
        </w:rPr>
        <w:t xml:space="preserve"> </w:t>
      </w:r>
    </w:p>
    <w:p w14:paraId="724CC1DC" w14:textId="77777777" w:rsidR="00DA3DE9" w:rsidRPr="008E2AAA" w:rsidRDefault="00DA3DE9" w:rsidP="00DA3DE9">
      <w:pPr>
        <w:spacing w:after="0" w:line="240" w:lineRule="auto"/>
        <w:rPr>
          <w:rFonts w:cstheme="minorHAnsi"/>
          <w:i/>
          <w:iCs/>
          <w:sz w:val="18"/>
          <w:szCs w:val="18"/>
        </w:rPr>
      </w:pPr>
      <w:r w:rsidRPr="008E2AAA">
        <w:rPr>
          <w:rFonts w:cstheme="minorHAnsi"/>
          <w:i/>
          <w:iCs/>
          <w:sz w:val="18"/>
          <w:szCs w:val="18"/>
        </w:rPr>
        <w:t>SGLT2</w:t>
      </w:r>
      <w:r>
        <w:rPr>
          <w:rFonts w:cstheme="minorHAnsi"/>
          <w:i/>
          <w:iCs/>
          <w:sz w:val="18"/>
          <w:szCs w:val="18"/>
        </w:rPr>
        <w:t xml:space="preserve"> (for HF)</w:t>
      </w:r>
      <w:r w:rsidRPr="008E2AAA">
        <w:rPr>
          <w:rFonts w:cstheme="minorHAnsi"/>
          <w:i/>
          <w:iCs/>
          <w:sz w:val="18"/>
          <w:szCs w:val="18"/>
        </w:rPr>
        <w:t xml:space="preserve"> – Sodium-glucose co-transporter 2 inhibitors</w:t>
      </w:r>
      <w:r>
        <w:rPr>
          <w:rFonts w:cstheme="minorHAnsi"/>
          <w:i/>
          <w:iCs/>
          <w:sz w:val="18"/>
          <w:szCs w:val="18"/>
        </w:rPr>
        <w:t xml:space="preserve"> </w:t>
      </w:r>
      <w:r w:rsidRPr="008E2AAA">
        <w:rPr>
          <w:rFonts w:cstheme="minorHAnsi"/>
          <w:i/>
          <w:iCs/>
          <w:sz w:val="18"/>
          <w:szCs w:val="18"/>
        </w:rPr>
        <w:t>for HF</w:t>
      </w:r>
    </w:p>
    <w:p w14:paraId="05B5F68F" w14:textId="77777777" w:rsidR="0089049F" w:rsidRPr="008E2AAA" w:rsidRDefault="0089049F" w:rsidP="0089049F">
      <w:pPr>
        <w:spacing w:after="0" w:line="240" w:lineRule="auto"/>
        <w:rPr>
          <w:rFonts w:cstheme="minorHAnsi"/>
          <w:i/>
          <w:iCs/>
          <w:sz w:val="18"/>
          <w:szCs w:val="18"/>
        </w:rPr>
      </w:pPr>
      <w:r w:rsidRPr="008E2AAA">
        <w:rPr>
          <w:rFonts w:cstheme="minorHAnsi"/>
          <w:i/>
          <w:iCs/>
          <w:sz w:val="18"/>
          <w:szCs w:val="18"/>
        </w:rPr>
        <w:t>SGLT2</w:t>
      </w:r>
      <w:r>
        <w:rPr>
          <w:rFonts w:cstheme="minorHAnsi"/>
          <w:i/>
          <w:iCs/>
          <w:sz w:val="18"/>
          <w:szCs w:val="18"/>
        </w:rPr>
        <w:t xml:space="preserve"> (not for HF)</w:t>
      </w:r>
      <w:r w:rsidRPr="008E2AAA">
        <w:rPr>
          <w:rFonts w:cstheme="minorHAnsi"/>
          <w:i/>
          <w:iCs/>
          <w:sz w:val="18"/>
          <w:szCs w:val="18"/>
        </w:rPr>
        <w:t xml:space="preserve"> – Sodium-glucose co-transporter 2 inhibitors </w:t>
      </w:r>
      <w:r>
        <w:rPr>
          <w:rFonts w:cstheme="minorHAnsi"/>
          <w:i/>
          <w:iCs/>
          <w:sz w:val="18"/>
          <w:szCs w:val="18"/>
        </w:rPr>
        <w:t xml:space="preserve">not </w:t>
      </w:r>
      <w:r w:rsidRPr="008E2AAA">
        <w:rPr>
          <w:rFonts w:cstheme="minorHAnsi"/>
          <w:i/>
          <w:iCs/>
          <w:sz w:val="18"/>
          <w:szCs w:val="18"/>
        </w:rPr>
        <w:t>for HF</w:t>
      </w:r>
    </w:p>
    <w:p w14:paraId="30C07323" w14:textId="77777777" w:rsidR="0089049F" w:rsidRDefault="0089049F" w:rsidP="0089049F">
      <w:pPr>
        <w:spacing w:after="0" w:line="240" w:lineRule="auto"/>
        <w:rPr>
          <w:rFonts w:cstheme="minorHAnsi"/>
          <w:i/>
          <w:iCs/>
          <w:sz w:val="18"/>
          <w:szCs w:val="18"/>
        </w:rPr>
      </w:pPr>
      <w:r w:rsidRPr="008E2AAA">
        <w:rPr>
          <w:rFonts w:cstheme="minorHAnsi"/>
          <w:i/>
          <w:iCs/>
          <w:sz w:val="18"/>
          <w:szCs w:val="18"/>
        </w:rPr>
        <w:t xml:space="preserve">ARNI – angiotensin receptor neprilysin inhibitor </w:t>
      </w:r>
    </w:p>
    <w:p w14:paraId="620DDF7A" w14:textId="77777777" w:rsidR="0089049F" w:rsidRPr="008B0243" w:rsidRDefault="0089049F" w:rsidP="0089049F">
      <w:pPr>
        <w:spacing w:after="0" w:line="240" w:lineRule="auto"/>
        <w:rPr>
          <w:rFonts w:cstheme="minorHAnsi"/>
          <w:i/>
          <w:iCs/>
          <w:sz w:val="18"/>
          <w:szCs w:val="18"/>
        </w:rPr>
      </w:pPr>
      <w:r>
        <w:rPr>
          <w:rFonts w:cstheme="minorHAnsi"/>
          <w:i/>
          <w:iCs/>
          <w:sz w:val="18"/>
          <w:szCs w:val="18"/>
        </w:rPr>
        <w:t xml:space="preserve">MRA (Spiro)- </w:t>
      </w:r>
      <w:r w:rsidRPr="008B0243">
        <w:rPr>
          <w:rFonts w:cstheme="minorHAnsi"/>
          <w:i/>
          <w:iCs/>
          <w:sz w:val="18"/>
          <w:szCs w:val="18"/>
        </w:rPr>
        <w:t>Mineralocorticoid receptor antagonist</w:t>
      </w:r>
      <w:r>
        <w:rPr>
          <w:rFonts w:cstheme="minorHAnsi"/>
          <w:i/>
          <w:iCs/>
          <w:sz w:val="18"/>
          <w:szCs w:val="18"/>
        </w:rPr>
        <w:t xml:space="preserve"> not for HF (Spironolactone)</w:t>
      </w:r>
    </w:p>
    <w:p w14:paraId="49433C63" w14:textId="77777777" w:rsidR="006C6763" w:rsidRDefault="0089049F" w:rsidP="0089049F">
      <w:pPr>
        <w:spacing w:after="0" w:line="240" w:lineRule="auto"/>
        <w:rPr>
          <w:rFonts w:cstheme="minorHAnsi"/>
          <w:i/>
          <w:iCs/>
          <w:sz w:val="18"/>
          <w:szCs w:val="18"/>
        </w:rPr>
      </w:pPr>
      <w:r w:rsidRPr="008E2AAA">
        <w:rPr>
          <w:rFonts w:cstheme="minorHAnsi"/>
          <w:i/>
          <w:iCs/>
          <w:sz w:val="18"/>
          <w:szCs w:val="18"/>
        </w:rPr>
        <w:t xml:space="preserve">ACE – Angiotensin-converting enzyme </w:t>
      </w:r>
      <w:proofErr w:type="gramStart"/>
      <w:r w:rsidRPr="008E2AAA">
        <w:rPr>
          <w:rFonts w:cstheme="minorHAnsi"/>
          <w:i/>
          <w:iCs/>
          <w:sz w:val="18"/>
          <w:szCs w:val="18"/>
        </w:rPr>
        <w:t>inhibitor</w:t>
      </w:r>
      <w:r w:rsidR="006C6763">
        <w:rPr>
          <w:rFonts w:cstheme="minorHAnsi"/>
          <w:i/>
          <w:iCs/>
          <w:sz w:val="18"/>
          <w:szCs w:val="18"/>
        </w:rPr>
        <w:t>;</w:t>
      </w:r>
      <w:proofErr w:type="gramEnd"/>
      <w:r w:rsidR="006C6763">
        <w:rPr>
          <w:rFonts w:cstheme="minorHAnsi"/>
          <w:i/>
          <w:iCs/>
          <w:sz w:val="18"/>
          <w:szCs w:val="18"/>
        </w:rPr>
        <w:t xml:space="preserve"> </w:t>
      </w:r>
    </w:p>
    <w:p w14:paraId="33707F7A" w14:textId="77777777" w:rsidR="0089049F" w:rsidRPr="008E2AAA" w:rsidRDefault="0089049F" w:rsidP="0089049F">
      <w:pPr>
        <w:spacing w:after="0" w:line="240" w:lineRule="auto"/>
        <w:rPr>
          <w:rFonts w:cstheme="minorHAnsi"/>
          <w:i/>
          <w:iCs/>
          <w:sz w:val="18"/>
          <w:szCs w:val="18"/>
        </w:rPr>
      </w:pPr>
      <w:r w:rsidRPr="008E2AAA">
        <w:rPr>
          <w:rFonts w:cstheme="minorHAnsi"/>
          <w:i/>
          <w:iCs/>
          <w:sz w:val="18"/>
          <w:szCs w:val="18"/>
        </w:rPr>
        <w:t>ARB – Angiotensin receptor blocker</w:t>
      </w:r>
    </w:p>
    <w:p w14:paraId="7DD7392B" w14:textId="77777777" w:rsidR="0089049F" w:rsidRDefault="0089049F" w:rsidP="0089049F">
      <w:pPr>
        <w:spacing w:after="0" w:line="240" w:lineRule="auto"/>
        <w:rPr>
          <w:rFonts w:cstheme="minorHAnsi"/>
          <w:i/>
          <w:iCs/>
          <w:sz w:val="18"/>
          <w:szCs w:val="18"/>
        </w:rPr>
      </w:pPr>
      <w:r w:rsidRPr="008E2AAA">
        <w:rPr>
          <w:rFonts w:cstheme="minorHAnsi"/>
          <w:i/>
          <w:iCs/>
          <w:sz w:val="18"/>
          <w:szCs w:val="18"/>
        </w:rPr>
        <w:t>Loop – Loop diuret</w:t>
      </w:r>
      <w:r>
        <w:rPr>
          <w:rFonts w:cstheme="minorHAnsi"/>
          <w:i/>
          <w:iCs/>
          <w:sz w:val="18"/>
          <w:szCs w:val="18"/>
        </w:rPr>
        <w:t>i</w:t>
      </w:r>
      <w:r w:rsidRPr="008E2AAA">
        <w:rPr>
          <w:rFonts w:cstheme="minorHAnsi"/>
          <w:i/>
          <w:iCs/>
          <w:sz w:val="18"/>
          <w:szCs w:val="18"/>
        </w:rPr>
        <w:t>c</w:t>
      </w:r>
    </w:p>
    <w:p w14:paraId="44B91C42" w14:textId="77777777" w:rsidR="00CF1459" w:rsidRDefault="00CF1459" w:rsidP="00CF1459">
      <w:pPr>
        <w:spacing w:after="0" w:line="240" w:lineRule="auto"/>
        <w:rPr>
          <w:rFonts w:cstheme="minorHAnsi"/>
          <w:i/>
          <w:iCs/>
          <w:sz w:val="18"/>
          <w:szCs w:val="18"/>
        </w:rPr>
      </w:pPr>
      <w:r>
        <w:rPr>
          <w:rFonts w:cstheme="minorHAnsi"/>
          <w:i/>
          <w:iCs/>
          <w:sz w:val="18"/>
          <w:szCs w:val="18"/>
        </w:rPr>
        <w:t>ACE_CCB – fixed dose combination of ACE with CCB</w:t>
      </w:r>
    </w:p>
    <w:p w14:paraId="0C7DF0B6" w14:textId="77777777" w:rsidR="00CF1459" w:rsidRDefault="00CF1459" w:rsidP="00CF1459">
      <w:pPr>
        <w:spacing w:after="0" w:line="240" w:lineRule="auto"/>
        <w:rPr>
          <w:rFonts w:cstheme="minorHAnsi"/>
          <w:i/>
          <w:iCs/>
          <w:sz w:val="18"/>
          <w:szCs w:val="18"/>
        </w:rPr>
      </w:pPr>
      <w:r>
        <w:rPr>
          <w:rFonts w:cstheme="minorHAnsi"/>
          <w:i/>
          <w:iCs/>
          <w:sz w:val="18"/>
          <w:szCs w:val="18"/>
        </w:rPr>
        <w:t xml:space="preserve">ARB_CCB – fixed dose combination of ARB with CCB </w:t>
      </w:r>
    </w:p>
    <w:p w14:paraId="56883CB3" w14:textId="77777777" w:rsidR="00CF1459" w:rsidRPr="008E2AAA" w:rsidRDefault="00CF1459" w:rsidP="00CF1459">
      <w:pPr>
        <w:spacing w:after="0" w:line="240" w:lineRule="auto"/>
        <w:rPr>
          <w:rFonts w:cstheme="minorHAnsi"/>
          <w:i/>
          <w:iCs/>
          <w:sz w:val="18"/>
          <w:szCs w:val="18"/>
        </w:rPr>
      </w:pPr>
      <w:r>
        <w:rPr>
          <w:rFonts w:cstheme="minorHAnsi"/>
          <w:i/>
          <w:iCs/>
          <w:sz w:val="18"/>
          <w:szCs w:val="18"/>
        </w:rPr>
        <w:t>ARB_Thiaz – fixed dose combination of ARB with thiazide diuretic</w:t>
      </w:r>
    </w:p>
    <w:p w14:paraId="438D7CEA" w14:textId="77777777" w:rsidR="00CF1459" w:rsidRPr="008E2AAA" w:rsidRDefault="00CF1459" w:rsidP="0089049F">
      <w:pPr>
        <w:spacing w:after="0" w:line="240" w:lineRule="auto"/>
        <w:rPr>
          <w:rFonts w:cstheme="minorHAnsi"/>
          <w:i/>
          <w:iCs/>
          <w:sz w:val="18"/>
          <w:szCs w:val="18"/>
        </w:rPr>
      </w:pPr>
    </w:p>
    <w:p w14:paraId="25FDE757" w14:textId="1AC310D4" w:rsidR="003D4223" w:rsidRDefault="004B2386">
      <w:pPr>
        <w:rPr>
          <w:b/>
          <w:bCs/>
          <w:i/>
          <w:iCs/>
          <w:lang w:val="en-US"/>
        </w:rPr>
      </w:pPr>
      <w:r>
        <w:rPr>
          <w:lang w:val="en-US"/>
        </w:rPr>
        <w:t>Due to the large number of combinations of quadruple therapy, the quadruple therapy market is not shown.</w:t>
      </w:r>
      <w:r w:rsidR="003D4223">
        <w:rPr>
          <w:b/>
          <w:bCs/>
          <w:i/>
          <w:iCs/>
          <w:lang w:val="en-US"/>
        </w:rPr>
        <w:br w:type="page"/>
      </w:r>
    </w:p>
    <w:p w14:paraId="7B7C23D7" w14:textId="15DDA024" w:rsidR="004563D2" w:rsidRDefault="004563D2" w:rsidP="007F6330">
      <w:pPr>
        <w:pStyle w:val="Heading2"/>
        <w:spacing w:after="240"/>
      </w:pPr>
      <w:bookmarkStart w:id="26" w:name="_Toc165448400"/>
      <w:r>
        <w:t>Standard of care in prevalent users of HF restricted medicines</w:t>
      </w:r>
      <w:bookmarkEnd w:id="26"/>
    </w:p>
    <w:p w14:paraId="2188E457" w14:textId="6F117338" w:rsidR="004B2386" w:rsidRDefault="004B2386" w:rsidP="002B5A0A">
      <w:pPr>
        <w:spacing w:after="0"/>
        <w:jc w:val="both"/>
        <w:rPr>
          <w:lang w:val="en-US"/>
        </w:rPr>
      </w:pPr>
      <w:r>
        <w:rPr>
          <w:lang w:val="en-US"/>
        </w:rPr>
        <w:t>In this section of report, analysis is undertaken to determine the proportion of the HF population (as defined by PBS restricted HF medicines) on standard of care</w:t>
      </w:r>
      <w:r w:rsidR="00035B28">
        <w:rPr>
          <w:lang w:val="en-US"/>
        </w:rPr>
        <w:t xml:space="preserve"> in the prevalent </w:t>
      </w:r>
      <w:r w:rsidR="002B5A0A">
        <w:rPr>
          <w:lang w:val="en-US"/>
        </w:rPr>
        <w:t xml:space="preserve">HF </w:t>
      </w:r>
      <w:r w:rsidR="00035B28">
        <w:rPr>
          <w:lang w:val="en-US"/>
        </w:rPr>
        <w:t>population</w:t>
      </w:r>
      <w:r w:rsidR="002B5A0A">
        <w:rPr>
          <w:lang w:val="en-US"/>
        </w:rPr>
        <w:t xml:space="preserve"> </w:t>
      </w:r>
      <w:r>
        <w:rPr>
          <w:lang w:val="en-US"/>
        </w:rPr>
        <w:t>(PBS restricted HF medicines)</w:t>
      </w:r>
      <w:r w:rsidR="002B5A0A">
        <w:rPr>
          <w:lang w:val="en-US"/>
        </w:rPr>
        <w:t>.</w:t>
      </w:r>
    </w:p>
    <w:p w14:paraId="6770F2E2" w14:textId="7D9564A3" w:rsidR="002366BD" w:rsidRPr="003D4223" w:rsidRDefault="004B2386" w:rsidP="003D4223">
      <w:pPr>
        <w:spacing w:after="0"/>
        <w:rPr>
          <w:rFonts w:cstheme="minorHAnsi"/>
          <w:lang w:val="en-US"/>
        </w:rPr>
      </w:pPr>
      <w:r>
        <w:rPr>
          <w:lang w:val="en-US"/>
        </w:rPr>
        <w:t xml:space="preserve">For the purposes of this analysis </w:t>
      </w:r>
      <w:r w:rsidR="002366BD">
        <w:rPr>
          <w:lang w:val="en-US"/>
        </w:rPr>
        <w:t xml:space="preserve">standard </w:t>
      </w:r>
      <w:r w:rsidR="002366BD" w:rsidRPr="003D4223">
        <w:rPr>
          <w:rFonts w:cstheme="minorHAnsi"/>
          <w:lang w:val="en-US"/>
        </w:rPr>
        <w:t xml:space="preserve">of care </w:t>
      </w:r>
      <w:r>
        <w:rPr>
          <w:rFonts w:cstheme="minorHAnsi"/>
          <w:lang w:val="en-US"/>
        </w:rPr>
        <w:t>was defined to i</w:t>
      </w:r>
      <w:r w:rsidR="00962163" w:rsidRPr="003D4223">
        <w:rPr>
          <w:rFonts w:cstheme="minorHAnsi"/>
          <w:lang w:val="en-US"/>
        </w:rPr>
        <w:t>nclude people on</w:t>
      </w:r>
      <w:r w:rsidR="002366BD" w:rsidRPr="003D4223">
        <w:rPr>
          <w:rFonts w:cstheme="minorHAnsi"/>
          <w:lang w:val="en-US"/>
        </w:rPr>
        <w:t>:</w:t>
      </w:r>
    </w:p>
    <w:p w14:paraId="7322BBDD" w14:textId="0D5C77CB" w:rsidR="002366BD" w:rsidRPr="003D4223" w:rsidRDefault="002366BD" w:rsidP="003D4223">
      <w:pPr>
        <w:pStyle w:val="ListParagraph"/>
        <w:numPr>
          <w:ilvl w:val="0"/>
          <w:numId w:val="32"/>
        </w:numPr>
        <w:rPr>
          <w:rFonts w:asciiTheme="minorHAnsi" w:hAnsiTheme="minorHAnsi" w:cstheme="minorHAnsi"/>
          <w:sz w:val="22"/>
          <w:szCs w:val="22"/>
          <w:lang w:val="en-US"/>
        </w:rPr>
      </w:pPr>
      <w:r w:rsidRPr="003D4223">
        <w:rPr>
          <w:rFonts w:asciiTheme="minorHAnsi" w:hAnsiTheme="minorHAnsi" w:cstheme="minorHAnsi"/>
          <w:sz w:val="22"/>
          <w:szCs w:val="22"/>
          <w:lang w:val="en-US"/>
        </w:rPr>
        <w:t>Heart failure specific BB and ACE</w:t>
      </w:r>
      <w:r w:rsidR="003A0616">
        <w:rPr>
          <w:rFonts w:asciiTheme="minorHAnsi" w:hAnsiTheme="minorHAnsi" w:cstheme="minorHAnsi"/>
          <w:sz w:val="22"/>
          <w:szCs w:val="22"/>
          <w:lang w:val="en-US"/>
        </w:rPr>
        <w:t>i</w:t>
      </w:r>
      <w:r w:rsidR="005E0EEA">
        <w:rPr>
          <w:rFonts w:asciiTheme="minorHAnsi" w:hAnsiTheme="minorHAnsi" w:cstheme="minorHAnsi"/>
          <w:sz w:val="22"/>
          <w:szCs w:val="22"/>
          <w:lang w:val="en-US"/>
        </w:rPr>
        <w:t xml:space="preserve"> (including in FDC)</w:t>
      </w:r>
      <w:r w:rsidRPr="003D4223">
        <w:rPr>
          <w:rFonts w:asciiTheme="minorHAnsi" w:hAnsiTheme="minorHAnsi" w:cstheme="minorHAnsi"/>
          <w:sz w:val="22"/>
          <w:szCs w:val="22"/>
          <w:lang w:val="en-US"/>
        </w:rPr>
        <w:t xml:space="preserve"> </w:t>
      </w:r>
      <w:r w:rsidR="00962163" w:rsidRPr="003D4223">
        <w:rPr>
          <w:rFonts w:asciiTheme="minorHAnsi" w:hAnsiTheme="minorHAnsi" w:cstheme="minorHAnsi"/>
          <w:sz w:val="22"/>
          <w:szCs w:val="22"/>
          <w:lang w:val="en-US"/>
        </w:rPr>
        <w:t>(+/</w:t>
      </w:r>
      <w:r w:rsidR="00BD36A3">
        <w:rPr>
          <w:rFonts w:asciiTheme="minorHAnsi" w:hAnsiTheme="minorHAnsi" w:cstheme="minorHAnsi"/>
          <w:sz w:val="22"/>
          <w:szCs w:val="22"/>
          <w:lang w:val="en-US"/>
        </w:rPr>
        <w:t xml:space="preserve">- </w:t>
      </w:r>
      <w:r w:rsidR="00962163" w:rsidRPr="003D4223">
        <w:rPr>
          <w:rFonts w:asciiTheme="minorHAnsi" w:hAnsiTheme="minorHAnsi" w:cstheme="minorHAnsi"/>
          <w:sz w:val="22"/>
          <w:szCs w:val="22"/>
          <w:lang w:val="en-US"/>
        </w:rPr>
        <w:t xml:space="preserve">SGLT2 for HF) </w:t>
      </w:r>
      <w:r w:rsidRPr="003D4223">
        <w:rPr>
          <w:rFonts w:asciiTheme="minorHAnsi" w:hAnsiTheme="minorHAnsi" w:cstheme="minorHAnsi"/>
          <w:sz w:val="22"/>
          <w:szCs w:val="22"/>
          <w:lang w:val="en-US"/>
        </w:rPr>
        <w:t xml:space="preserve">or </w:t>
      </w:r>
    </w:p>
    <w:p w14:paraId="168DFF7B" w14:textId="77777777" w:rsidR="002366BD" w:rsidRPr="003D4223" w:rsidRDefault="002366BD" w:rsidP="003D4223">
      <w:pPr>
        <w:pStyle w:val="ListParagraph"/>
        <w:numPr>
          <w:ilvl w:val="0"/>
          <w:numId w:val="32"/>
        </w:numPr>
        <w:rPr>
          <w:rFonts w:asciiTheme="minorHAnsi" w:hAnsiTheme="minorHAnsi" w:cstheme="minorHAnsi"/>
          <w:sz w:val="22"/>
          <w:szCs w:val="22"/>
          <w:lang w:val="en-US"/>
        </w:rPr>
      </w:pPr>
      <w:r w:rsidRPr="003D4223">
        <w:rPr>
          <w:rFonts w:asciiTheme="minorHAnsi" w:hAnsiTheme="minorHAnsi" w:cstheme="minorHAnsi"/>
          <w:sz w:val="22"/>
          <w:szCs w:val="22"/>
          <w:lang w:val="en-US"/>
        </w:rPr>
        <w:t>Heart failure specific BB and ARB</w:t>
      </w:r>
      <w:r w:rsidR="005E0EEA">
        <w:rPr>
          <w:rFonts w:asciiTheme="minorHAnsi" w:hAnsiTheme="minorHAnsi" w:cstheme="minorHAnsi"/>
          <w:sz w:val="22"/>
          <w:szCs w:val="22"/>
          <w:lang w:val="en-US"/>
        </w:rPr>
        <w:t xml:space="preserve"> (including in FDC)</w:t>
      </w:r>
      <w:r w:rsidRPr="003D4223">
        <w:rPr>
          <w:rFonts w:asciiTheme="minorHAnsi" w:hAnsiTheme="minorHAnsi" w:cstheme="minorHAnsi"/>
          <w:sz w:val="22"/>
          <w:szCs w:val="22"/>
          <w:lang w:val="en-US"/>
        </w:rPr>
        <w:t xml:space="preserve"> </w:t>
      </w:r>
      <w:r w:rsidR="00962163" w:rsidRPr="003D4223">
        <w:rPr>
          <w:rFonts w:asciiTheme="minorHAnsi" w:hAnsiTheme="minorHAnsi" w:cstheme="minorHAnsi"/>
          <w:sz w:val="22"/>
          <w:szCs w:val="22"/>
          <w:lang w:val="en-US"/>
        </w:rPr>
        <w:t xml:space="preserve">(+/- SGLT2 for HF) </w:t>
      </w:r>
      <w:r w:rsidRPr="003D4223">
        <w:rPr>
          <w:rFonts w:asciiTheme="minorHAnsi" w:hAnsiTheme="minorHAnsi" w:cstheme="minorHAnsi"/>
          <w:sz w:val="22"/>
          <w:szCs w:val="22"/>
          <w:lang w:val="en-US"/>
        </w:rPr>
        <w:t>or</w:t>
      </w:r>
    </w:p>
    <w:p w14:paraId="608EBE44" w14:textId="77777777" w:rsidR="002366BD" w:rsidRPr="003D4223" w:rsidRDefault="002366BD" w:rsidP="003D4223">
      <w:pPr>
        <w:pStyle w:val="ListParagraph"/>
        <w:numPr>
          <w:ilvl w:val="0"/>
          <w:numId w:val="32"/>
        </w:numPr>
        <w:rPr>
          <w:rFonts w:asciiTheme="minorHAnsi" w:hAnsiTheme="minorHAnsi" w:cstheme="minorHAnsi"/>
          <w:sz w:val="22"/>
          <w:szCs w:val="22"/>
          <w:lang w:val="en-US"/>
        </w:rPr>
      </w:pPr>
      <w:r w:rsidRPr="003D4223">
        <w:rPr>
          <w:rFonts w:asciiTheme="minorHAnsi" w:hAnsiTheme="minorHAnsi" w:cstheme="minorHAnsi"/>
          <w:sz w:val="22"/>
          <w:szCs w:val="22"/>
          <w:lang w:val="en-US"/>
        </w:rPr>
        <w:t xml:space="preserve">Heart failure specific BB and ARNI </w:t>
      </w:r>
      <w:r w:rsidR="00962163" w:rsidRPr="003D4223">
        <w:rPr>
          <w:rFonts w:asciiTheme="minorHAnsi" w:hAnsiTheme="minorHAnsi" w:cstheme="minorHAnsi"/>
          <w:sz w:val="22"/>
          <w:szCs w:val="22"/>
          <w:lang w:val="en-US"/>
        </w:rPr>
        <w:t xml:space="preserve">(+/-SGLT2 for HF) </w:t>
      </w:r>
      <w:r w:rsidRPr="003D4223">
        <w:rPr>
          <w:rFonts w:asciiTheme="minorHAnsi" w:hAnsiTheme="minorHAnsi" w:cstheme="minorHAnsi"/>
          <w:sz w:val="22"/>
          <w:szCs w:val="22"/>
          <w:lang w:val="en-US"/>
        </w:rPr>
        <w:t>or</w:t>
      </w:r>
    </w:p>
    <w:p w14:paraId="5F261376" w14:textId="2F6C6995" w:rsidR="002366BD" w:rsidRPr="003D4223" w:rsidRDefault="002366BD" w:rsidP="003D4223">
      <w:pPr>
        <w:pStyle w:val="ListParagraph"/>
        <w:numPr>
          <w:ilvl w:val="0"/>
          <w:numId w:val="32"/>
        </w:numPr>
        <w:rPr>
          <w:rFonts w:asciiTheme="minorHAnsi" w:hAnsiTheme="minorHAnsi" w:cstheme="minorHAnsi"/>
          <w:sz w:val="22"/>
          <w:szCs w:val="22"/>
          <w:lang w:val="en-US"/>
        </w:rPr>
      </w:pPr>
      <w:r w:rsidRPr="003D4223">
        <w:rPr>
          <w:rFonts w:asciiTheme="minorHAnsi" w:hAnsiTheme="minorHAnsi" w:cstheme="minorHAnsi"/>
          <w:sz w:val="22"/>
          <w:szCs w:val="22"/>
          <w:lang w:val="en-US"/>
        </w:rPr>
        <w:t>Heart failure specific BB and ACE</w:t>
      </w:r>
      <w:r w:rsidR="003A0616">
        <w:rPr>
          <w:rFonts w:asciiTheme="minorHAnsi" w:hAnsiTheme="minorHAnsi" w:cstheme="minorHAnsi"/>
          <w:sz w:val="22"/>
          <w:szCs w:val="22"/>
          <w:lang w:val="en-US"/>
        </w:rPr>
        <w:t>i</w:t>
      </w:r>
      <w:r w:rsidRPr="003D4223">
        <w:rPr>
          <w:rFonts w:asciiTheme="minorHAnsi" w:hAnsiTheme="minorHAnsi" w:cstheme="minorHAnsi"/>
          <w:sz w:val="22"/>
          <w:szCs w:val="22"/>
          <w:lang w:val="en-US"/>
        </w:rPr>
        <w:t xml:space="preserve"> </w:t>
      </w:r>
      <w:r w:rsidR="005E0EEA">
        <w:rPr>
          <w:rFonts w:asciiTheme="minorHAnsi" w:hAnsiTheme="minorHAnsi" w:cstheme="minorHAnsi"/>
          <w:sz w:val="22"/>
          <w:szCs w:val="22"/>
          <w:lang w:val="en-US"/>
        </w:rPr>
        <w:t xml:space="preserve">(including in FDC) </w:t>
      </w:r>
      <w:r w:rsidRPr="003D4223">
        <w:rPr>
          <w:rFonts w:asciiTheme="minorHAnsi" w:hAnsiTheme="minorHAnsi" w:cstheme="minorHAnsi"/>
          <w:sz w:val="22"/>
          <w:szCs w:val="22"/>
          <w:lang w:val="en-US"/>
        </w:rPr>
        <w:t>and MRA (Eplerenone</w:t>
      </w:r>
      <w:r w:rsidR="004F3360">
        <w:rPr>
          <w:rFonts w:asciiTheme="minorHAnsi" w:hAnsiTheme="minorHAnsi" w:cstheme="minorHAnsi"/>
          <w:sz w:val="22"/>
          <w:szCs w:val="22"/>
          <w:lang w:val="en-US"/>
        </w:rPr>
        <w:t>/Spironolactone</w:t>
      </w:r>
      <w:r w:rsidRPr="003D4223">
        <w:rPr>
          <w:rFonts w:asciiTheme="minorHAnsi" w:hAnsiTheme="minorHAnsi" w:cstheme="minorHAnsi"/>
          <w:sz w:val="22"/>
          <w:szCs w:val="22"/>
          <w:lang w:val="en-US"/>
        </w:rPr>
        <w:t>)</w:t>
      </w:r>
      <w:r w:rsidR="00962163" w:rsidRPr="003D4223">
        <w:rPr>
          <w:rFonts w:asciiTheme="minorHAnsi" w:hAnsiTheme="minorHAnsi" w:cstheme="minorHAnsi"/>
          <w:sz w:val="22"/>
          <w:szCs w:val="22"/>
          <w:lang w:val="en-US"/>
        </w:rPr>
        <w:t xml:space="preserve"> (+/- SGLT2 for HF) </w:t>
      </w:r>
      <w:r w:rsidRPr="003D4223">
        <w:rPr>
          <w:rFonts w:asciiTheme="minorHAnsi" w:hAnsiTheme="minorHAnsi" w:cstheme="minorHAnsi"/>
          <w:sz w:val="22"/>
          <w:szCs w:val="22"/>
          <w:lang w:val="en-US"/>
        </w:rPr>
        <w:t>or</w:t>
      </w:r>
    </w:p>
    <w:p w14:paraId="52C59120" w14:textId="77777777" w:rsidR="002366BD" w:rsidRDefault="002366BD" w:rsidP="003D4223">
      <w:pPr>
        <w:pStyle w:val="ListParagraph"/>
        <w:numPr>
          <w:ilvl w:val="0"/>
          <w:numId w:val="32"/>
        </w:numPr>
        <w:rPr>
          <w:rFonts w:asciiTheme="minorHAnsi" w:hAnsiTheme="minorHAnsi" w:cstheme="minorHAnsi"/>
          <w:sz w:val="22"/>
          <w:szCs w:val="22"/>
          <w:lang w:val="en-US"/>
        </w:rPr>
      </w:pPr>
      <w:r w:rsidRPr="003D4223">
        <w:rPr>
          <w:rFonts w:asciiTheme="minorHAnsi" w:hAnsiTheme="minorHAnsi" w:cstheme="minorHAnsi"/>
          <w:sz w:val="22"/>
          <w:szCs w:val="22"/>
          <w:lang w:val="en-US"/>
        </w:rPr>
        <w:t>Heart failure specific BB and ARB</w:t>
      </w:r>
      <w:r w:rsidR="005E0EEA">
        <w:rPr>
          <w:rFonts w:asciiTheme="minorHAnsi" w:hAnsiTheme="minorHAnsi" w:cstheme="minorHAnsi"/>
          <w:sz w:val="22"/>
          <w:szCs w:val="22"/>
          <w:lang w:val="en-US"/>
        </w:rPr>
        <w:t xml:space="preserve"> (including in FDC)</w:t>
      </w:r>
      <w:r w:rsidRPr="003D4223">
        <w:rPr>
          <w:rFonts w:asciiTheme="minorHAnsi" w:hAnsiTheme="minorHAnsi" w:cstheme="minorHAnsi"/>
          <w:sz w:val="22"/>
          <w:szCs w:val="22"/>
          <w:lang w:val="en-US"/>
        </w:rPr>
        <w:t xml:space="preserve"> and MRA (Eplerenone</w:t>
      </w:r>
      <w:r w:rsidR="004F3360">
        <w:rPr>
          <w:rFonts w:asciiTheme="minorHAnsi" w:hAnsiTheme="minorHAnsi" w:cstheme="minorHAnsi"/>
          <w:sz w:val="22"/>
          <w:szCs w:val="22"/>
          <w:lang w:val="en-US"/>
        </w:rPr>
        <w:t>/Spironolactone</w:t>
      </w:r>
      <w:r w:rsidRPr="003D4223">
        <w:rPr>
          <w:rFonts w:asciiTheme="minorHAnsi" w:hAnsiTheme="minorHAnsi" w:cstheme="minorHAnsi"/>
          <w:sz w:val="22"/>
          <w:szCs w:val="22"/>
          <w:lang w:val="en-US"/>
        </w:rPr>
        <w:t xml:space="preserve">) </w:t>
      </w:r>
      <w:r w:rsidR="00962163" w:rsidRPr="003D4223">
        <w:rPr>
          <w:rFonts w:asciiTheme="minorHAnsi" w:hAnsiTheme="minorHAnsi" w:cstheme="minorHAnsi"/>
          <w:sz w:val="22"/>
          <w:szCs w:val="22"/>
          <w:lang w:val="en-US"/>
        </w:rPr>
        <w:t>(+/- SGLT2 for HF)</w:t>
      </w:r>
    </w:p>
    <w:p w14:paraId="005D4AC0" w14:textId="59736B43" w:rsidR="001D1021" w:rsidRPr="003D4223" w:rsidRDefault="001D1021" w:rsidP="007F6330">
      <w:pPr>
        <w:pStyle w:val="ListParagraph"/>
        <w:numPr>
          <w:ilvl w:val="0"/>
          <w:numId w:val="32"/>
        </w:numPr>
        <w:spacing w:after="240"/>
        <w:rPr>
          <w:rFonts w:asciiTheme="minorHAnsi" w:hAnsiTheme="minorHAnsi" w:cstheme="minorHAnsi"/>
          <w:sz w:val="22"/>
          <w:szCs w:val="22"/>
          <w:lang w:val="en-US"/>
        </w:rPr>
      </w:pPr>
      <w:r w:rsidRPr="003D4223">
        <w:rPr>
          <w:rFonts w:asciiTheme="minorHAnsi" w:hAnsiTheme="minorHAnsi" w:cstheme="minorHAnsi"/>
          <w:sz w:val="22"/>
          <w:szCs w:val="22"/>
          <w:lang w:val="en-US"/>
        </w:rPr>
        <w:t xml:space="preserve">Heart failure specific BB and ARNI </w:t>
      </w:r>
      <w:r>
        <w:rPr>
          <w:rFonts w:asciiTheme="minorHAnsi" w:hAnsiTheme="minorHAnsi" w:cstheme="minorHAnsi"/>
          <w:sz w:val="22"/>
          <w:szCs w:val="22"/>
          <w:lang w:val="en-US"/>
        </w:rPr>
        <w:t xml:space="preserve">and MRA (Eplerenone/Spironolactone) </w:t>
      </w:r>
      <w:r w:rsidRPr="003D4223">
        <w:rPr>
          <w:rFonts w:asciiTheme="minorHAnsi" w:hAnsiTheme="minorHAnsi" w:cstheme="minorHAnsi"/>
          <w:sz w:val="22"/>
          <w:szCs w:val="22"/>
          <w:lang w:val="en-US"/>
        </w:rPr>
        <w:t>(+/-SGLT2 for HF)</w:t>
      </w:r>
      <w:r w:rsidR="007F6330">
        <w:rPr>
          <w:rFonts w:asciiTheme="minorHAnsi" w:hAnsiTheme="minorHAnsi" w:cstheme="minorHAnsi"/>
          <w:sz w:val="22"/>
          <w:szCs w:val="22"/>
          <w:lang w:val="en-US"/>
        </w:rPr>
        <w:t>.</w:t>
      </w:r>
    </w:p>
    <w:p w14:paraId="16095E3A" w14:textId="0B7E2CE6" w:rsidR="00C40135" w:rsidRDefault="004B2386" w:rsidP="002366BD">
      <w:pPr>
        <w:rPr>
          <w:lang w:val="en-US"/>
        </w:rPr>
      </w:pPr>
      <w:r>
        <w:rPr>
          <w:lang w:val="en-US"/>
        </w:rPr>
        <w:t xml:space="preserve">This definition was used as it aligns with the PBS restrictions. </w:t>
      </w:r>
    </w:p>
    <w:p w14:paraId="4BB6A0C3" w14:textId="47F48C1F" w:rsidR="00070522" w:rsidRPr="002366BD" w:rsidRDefault="00070522" w:rsidP="002B5A0A">
      <w:pPr>
        <w:jc w:val="both"/>
        <w:rPr>
          <w:lang w:val="en-US"/>
        </w:rPr>
      </w:pPr>
      <w:r>
        <w:rPr>
          <w:lang w:val="en-US"/>
        </w:rPr>
        <w:t>F</w:t>
      </w:r>
      <w:r w:rsidR="00962163">
        <w:rPr>
          <w:lang w:val="en-US"/>
        </w:rPr>
        <w:t xml:space="preserve">igure </w:t>
      </w:r>
      <w:r>
        <w:rPr>
          <w:lang w:val="en-US"/>
        </w:rPr>
        <w:t xml:space="preserve">11 </w:t>
      </w:r>
      <w:r w:rsidR="00962163">
        <w:rPr>
          <w:lang w:val="en-US"/>
        </w:rPr>
        <w:t xml:space="preserve">shows that </w:t>
      </w:r>
      <w:r w:rsidR="002874D8" w:rsidRPr="009A4994">
        <w:rPr>
          <w:lang w:val="en-US"/>
        </w:rPr>
        <w:t xml:space="preserve">in June 2023, </w:t>
      </w:r>
      <w:r w:rsidR="004A7C00" w:rsidRPr="009A4994">
        <w:rPr>
          <w:lang w:val="en-US"/>
        </w:rPr>
        <w:t>33% prevalent users were on standard of care</w:t>
      </w:r>
      <w:r w:rsidR="004B2386">
        <w:rPr>
          <w:lang w:val="en-US"/>
        </w:rPr>
        <w:t>. By the end of the study period</w:t>
      </w:r>
      <w:r w:rsidR="00664161">
        <w:rPr>
          <w:lang w:val="en-US"/>
        </w:rPr>
        <w:t xml:space="preserve"> (Jun</w:t>
      </w:r>
      <w:r w:rsidR="001C649F">
        <w:rPr>
          <w:lang w:val="en-US"/>
        </w:rPr>
        <w:t>e 20</w:t>
      </w:r>
      <w:r w:rsidR="00664161">
        <w:rPr>
          <w:lang w:val="en-US"/>
        </w:rPr>
        <w:t>23) 7% of standard of care regimens included SGLT2 inhibitors, 14% of standard of care regimens involved MRA</w:t>
      </w:r>
      <w:r w:rsidR="00035B28">
        <w:rPr>
          <w:lang w:val="en-US"/>
        </w:rPr>
        <w:t>, and 18% involved an ARNI</w:t>
      </w:r>
      <w:r w:rsidR="00664161">
        <w:rPr>
          <w:lang w:val="en-US"/>
        </w:rPr>
        <w:t xml:space="preserve">. </w:t>
      </w:r>
      <w:r w:rsidR="007256CF">
        <w:rPr>
          <w:lang w:val="en-US"/>
        </w:rPr>
        <w:t xml:space="preserve"> For a full breakdown of the standard of care combinations, refer to </w:t>
      </w:r>
      <w:r w:rsidR="00A669FE">
        <w:rPr>
          <w:lang w:val="en-US"/>
        </w:rPr>
        <w:t>attachment 1</w:t>
      </w:r>
      <w:r w:rsidR="007256CF">
        <w:rPr>
          <w:lang w:val="en-US"/>
        </w:rPr>
        <w:t xml:space="preserve">: </w:t>
      </w:r>
      <w:r w:rsidR="007256CF" w:rsidRPr="007256CF">
        <w:rPr>
          <w:lang w:val="en-US"/>
        </w:rPr>
        <w:t>Standard_Care_Prevalent population results</w:t>
      </w:r>
      <w:r w:rsidR="007256CF">
        <w:rPr>
          <w:lang w:val="en-US"/>
        </w:rPr>
        <w:t>.xls</w:t>
      </w:r>
    </w:p>
    <w:p w14:paraId="78CD9967" w14:textId="44CB506C" w:rsidR="004F3360" w:rsidRDefault="004B2386" w:rsidP="0079747D">
      <w:pPr>
        <w:spacing w:after="0"/>
        <w:rPr>
          <w:lang w:val="en-US"/>
        </w:rPr>
      </w:pPr>
      <w:r>
        <w:rPr>
          <w:noProof/>
          <w:lang w:eastAsia="en-AU"/>
        </w:rPr>
        <w:drawing>
          <wp:inline distT="0" distB="0" distL="0" distR="0" wp14:anchorId="46D92390" wp14:editId="77EF1405">
            <wp:extent cx="5734050" cy="3752850"/>
            <wp:effectExtent l="0" t="0" r="0" b="0"/>
            <wp:docPr id="16" name="Chart 16" descr="Graph showing that from January 2018 to June 2023, the percentage of HF patients on standard of care was consistently around the 33% level.">
              <a:extLst xmlns:a="http://schemas.openxmlformats.org/drawingml/2006/main">
                <a:ext uri="{FF2B5EF4-FFF2-40B4-BE49-F238E27FC236}">
                  <a16:creationId xmlns:a16="http://schemas.microsoft.com/office/drawing/2014/main" id="{B0BB6053-79B1-4794-BE90-B69450323F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2830B0D" w14:textId="7E628137" w:rsidR="002366BD" w:rsidRPr="009D697E" w:rsidRDefault="002366BD" w:rsidP="002043BE">
      <w:pPr>
        <w:rPr>
          <w:b/>
          <w:bCs/>
          <w:lang w:val="en-US"/>
        </w:rPr>
      </w:pPr>
      <w:r w:rsidRPr="009D697E">
        <w:rPr>
          <w:b/>
          <w:bCs/>
          <w:lang w:val="en-US"/>
        </w:rPr>
        <w:t xml:space="preserve">Figure 11. Proportion of people on </w:t>
      </w:r>
      <w:r w:rsidR="00DC7FE6" w:rsidRPr="009D697E">
        <w:rPr>
          <w:b/>
          <w:bCs/>
          <w:lang w:val="en-US"/>
        </w:rPr>
        <w:t>PBS</w:t>
      </w:r>
      <w:r w:rsidRPr="009D697E">
        <w:rPr>
          <w:b/>
          <w:bCs/>
          <w:lang w:val="en-US"/>
        </w:rPr>
        <w:t xml:space="preserve"> restricted </w:t>
      </w:r>
      <w:r w:rsidR="00DC7FE6" w:rsidRPr="009D697E">
        <w:rPr>
          <w:b/>
          <w:bCs/>
          <w:lang w:val="en-US"/>
        </w:rPr>
        <w:t xml:space="preserve">HF </w:t>
      </w:r>
      <w:r w:rsidRPr="009D697E">
        <w:rPr>
          <w:b/>
          <w:bCs/>
          <w:lang w:val="en-US"/>
        </w:rPr>
        <w:t>medicine on standard of care</w:t>
      </w:r>
      <w:r w:rsidR="00BD36A3" w:rsidRPr="009D697E">
        <w:rPr>
          <w:b/>
          <w:bCs/>
          <w:lang w:val="en-US"/>
        </w:rPr>
        <w:t xml:space="preserve"> </w:t>
      </w:r>
    </w:p>
    <w:p w14:paraId="24040741" w14:textId="499719C3" w:rsidR="00575377" w:rsidRDefault="00575377">
      <w:pPr>
        <w:rPr>
          <w:lang w:val="en-US"/>
        </w:rPr>
      </w:pPr>
      <w:r>
        <w:rPr>
          <w:lang w:val="en-US"/>
        </w:rPr>
        <w:br w:type="page"/>
      </w:r>
    </w:p>
    <w:p w14:paraId="329242A3" w14:textId="37D4F621" w:rsidR="00575377" w:rsidRPr="002366BD" w:rsidRDefault="00575377" w:rsidP="001B74C6">
      <w:pPr>
        <w:jc w:val="both"/>
        <w:rPr>
          <w:lang w:val="en-US"/>
        </w:rPr>
      </w:pPr>
      <w:r w:rsidRPr="00A669FE">
        <w:rPr>
          <w:lang w:val="en-US"/>
        </w:rPr>
        <w:t xml:space="preserve">The proportion on standard of care was highest amongst people aged 65 to 84 years </w:t>
      </w:r>
      <w:r w:rsidR="00896B3A">
        <w:rPr>
          <w:lang w:val="en-US"/>
        </w:rPr>
        <w:t xml:space="preserve">(37% in June 2023) </w:t>
      </w:r>
      <w:r w:rsidRPr="00A669FE">
        <w:rPr>
          <w:lang w:val="en-US"/>
        </w:rPr>
        <w:t>and lowest amongst people aged 85 years and above</w:t>
      </w:r>
      <w:r w:rsidR="00896B3A">
        <w:rPr>
          <w:lang w:val="en-US"/>
        </w:rPr>
        <w:t xml:space="preserve"> (25% in June 2023)</w:t>
      </w:r>
      <w:r w:rsidRPr="00A669FE">
        <w:rPr>
          <w:lang w:val="en-US"/>
        </w:rPr>
        <w:t xml:space="preserve"> (Figure 12).  Th</w:t>
      </w:r>
      <w:r w:rsidR="00A669FE" w:rsidRPr="00A669FE">
        <w:rPr>
          <w:lang w:val="en-US"/>
        </w:rPr>
        <w:t>e</w:t>
      </w:r>
      <w:r w:rsidRPr="00A669FE">
        <w:rPr>
          <w:lang w:val="en-US"/>
        </w:rPr>
        <w:t xml:space="preserve"> lower rates of standard of care amongst the elderly may reflect challenges of managing competing health risks in a frail elderly population. For example, there may be a need to reduce some therapies </w:t>
      </w:r>
      <w:proofErr w:type="gramStart"/>
      <w:r w:rsidRPr="00A669FE">
        <w:rPr>
          <w:lang w:val="en-US"/>
        </w:rPr>
        <w:t>in order to</w:t>
      </w:r>
      <w:proofErr w:type="gramEnd"/>
      <w:r w:rsidRPr="00A669FE">
        <w:rPr>
          <w:lang w:val="en-US"/>
        </w:rPr>
        <w:t xml:space="preserve"> maintain blood pressure while at the same time trying to optimise heart failure therapy.</w:t>
      </w:r>
      <w:r>
        <w:rPr>
          <w:lang w:val="en-US"/>
        </w:rPr>
        <w:t xml:space="preserve"> </w:t>
      </w:r>
    </w:p>
    <w:p w14:paraId="44C41CD0" w14:textId="77777777" w:rsidR="00575377" w:rsidRDefault="00575377" w:rsidP="002043BE">
      <w:pPr>
        <w:rPr>
          <w:lang w:val="en-US"/>
        </w:rPr>
      </w:pPr>
    </w:p>
    <w:p w14:paraId="20635E44" w14:textId="12FD2A33" w:rsidR="00070522" w:rsidRDefault="00B86D40" w:rsidP="0079747D">
      <w:pPr>
        <w:spacing w:after="0"/>
        <w:rPr>
          <w:lang w:val="en-US"/>
        </w:rPr>
      </w:pPr>
      <w:r>
        <w:rPr>
          <w:noProof/>
          <w:lang w:eastAsia="en-AU"/>
        </w:rPr>
        <w:drawing>
          <wp:inline distT="0" distB="0" distL="0" distR="0" wp14:anchorId="15489091" wp14:editId="23ADE66B">
            <wp:extent cx="5731510" cy="3310255"/>
            <wp:effectExtent l="0" t="0" r="2540" b="4445"/>
            <wp:docPr id="5" name="Chart 5" descr="Graph showing that 65-84 year olds are more likely to be receiving standard of care relative to those under 65 and those greater than 84 years of age.">
              <a:extLst xmlns:a="http://schemas.openxmlformats.org/drawingml/2006/main">
                <a:ext uri="{FF2B5EF4-FFF2-40B4-BE49-F238E27FC236}">
                  <a16:creationId xmlns:a16="http://schemas.microsoft.com/office/drawing/2014/main" id="{8C65177C-2659-5994-46F6-7F17E8A6EB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97C5CD8" w14:textId="41A9CA74" w:rsidR="00070522" w:rsidRPr="009D697E" w:rsidRDefault="00070522" w:rsidP="00070522">
      <w:pPr>
        <w:rPr>
          <w:b/>
          <w:bCs/>
          <w:lang w:val="en-US"/>
        </w:rPr>
      </w:pPr>
      <w:r w:rsidRPr="009D697E">
        <w:rPr>
          <w:b/>
          <w:bCs/>
          <w:lang w:val="en-US"/>
        </w:rPr>
        <w:t>Figure 1</w:t>
      </w:r>
      <w:r w:rsidR="00035B28" w:rsidRPr="009D697E">
        <w:rPr>
          <w:b/>
          <w:bCs/>
          <w:lang w:val="en-US"/>
        </w:rPr>
        <w:t>2</w:t>
      </w:r>
      <w:r w:rsidRPr="009D697E">
        <w:rPr>
          <w:b/>
          <w:bCs/>
          <w:lang w:val="en-US"/>
        </w:rPr>
        <w:t xml:space="preserve">. Proportion of people on PBS restricted HF medicine on standard of care, stratified by age </w:t>
      </w:r>
    </w:p>
    <w:p w14:paraId="39B39A91" w14:textId="4E2DA2F9" w:rsidR="00A669FE" w:rsidRDefault="00BA171D" w:rsidP="007F6330">
      <w:pPr>
        <w:pStyle w:val="Heading2"/>
        <w:spacing w:after="240"/>
        <w:rPr>
          <w:lang w:val="en-US"/>
        </w:rPr>
      </w:pPr>
      <w:bookmarkStart w:id="27" w:name="_Toc165448401"/>
      <w:r>
        <w:t>Standard of care at initiation and add-on prescribing to standard care heart failure medicines</w:t>
      </w:r>
      <w:bookmarkEnd w:id="27"/>
    </w:p>
    <w:p w14:paraId="0B3B42AC" w14:textId="0987E65A" w:rsidR="00E928FD" w:rsidRPr="00E928FD" w:rsidRDefault="00E928FD" w:rsidP="00E928FD">
      <w:pPr>
        <w:pStyle w:val="Heading3"/>
        <w:rPr>
          <w:lang w:val="en-US"/>
        </w:rPr>
      </w:pPr>
      <w:bookmarkStart w:id="28" w:name="_Toc165448402"/>
      <w:r>
        <w:rPr>
          <w:lang w:val="en-US"/>
        </w:rPr>
        <w:t>Standard of care at initiation</w:t>
      </w:r>
      <w:bookmarkEnd w:id="28"/>
    </w:p>
    <w:p w14:paraId="2535BED9" w14:textId="2076CBD9" w:rsidR="00035B28" w:rsidRDefault="00035B28" w:rsidP="001B74C6">
      <w:pPr>
        <w:jc w:val="both"/>
        <w:rPr>
          <w:lang w:val="en-US"/>
        </w:rPr>
      </w:pPr>
      <w:r>
        <w:rPr>
          <w:lang w:val="en-US"/>
        </w:rPr>
        <w:t xml:space="preserve">In this section of the report, analysis of treatment pathways was undertaken in the incident HF population. </w:t>
      </w:r>
      <w:r w:rsidR="001B74C6">
        <w:rPr>
          <w:lang w:val="en-US"/>
        </w:rPr>
        <w:t>T</w:t>
      </w:r>
      <w:r>
        <w:rPr>
          <w:lang w:val="en-US"/>
        </w:rPr>
        <w:t>he incident population was restricted to persons incident to PBS restricted HF medicines in 2022 (i.e</w:t>
      </w:r>
      <w:r w:rsidR="000A3E5C">
        <w:rPr>
          <w:lang w:val="en-US"/>
        </w:rPr>
        <w:t>.</w:t>
      </w:r>
      <w:r>
        <w:rPr>
          <w:lang w:val="en-US"/>
        </w:rPr>
        <w:t xml:space="preserve"> no dispensings of PBS restricted HF medicines in the previous 12 months)</w:t>
      </w:r>
      <w:r w:rsidR="001B74C6">
        <w:rPr>
          <w:lang w:val="en-US"/>
        </w:rPr>
        <w:t>.</w:t>
      </w:r>
    </w:p>
    <w:p w14:paraId="5495A20F" w14:textId="77777777" w:rsidR="00035B28" w:rsidRDefault="00035B28" w:rsidP="001B74C6">
      <w:pPr>
        <w:jc w:val="both"/>
      </w:pPr>
      <w:r>
        <w:rPr>
          <w:rFonts w:cstheme="minorHAnsi"/>
          <w:bCs/>
        </w:rPr>
        <w:t xml:space="preserve">There were 81,343 people who initiated </w:t>
      </w:r>
      <w:r w:rsidRPr="005902E6">
        <w:t xml:space="preserve">HF </w:t>
      </w:r>
      <w:r>
        <w:t xml:space="preserve">restricted medicines </w:t>
      </w:r>
      <w:r w:rsidRPr="005902E6">
        <w:t xml:space="preserve">in 2022 </w:t>
      </w:r>
      <w:r>
        <w:t xml:space="preserve">(defined as having no dispensing of any HF restricted medicine in the previous 12 months). </w:t>
      </w:r>
    </w:p>
    <w:p w14:paraId="2859C1D0" w14:textId="77CCD0D4" w:rsidR="005E1FB0" w:rsidRDefault="005E1FB0" w:rsidP="001B74C6">
      <w:pPr>
        <w:spacing w:after="0"/>
        <w:jc w:val="both"/>
      </w:pPr>
      <w:r w:rsidRPr="00A669FE">
        <w:t xml:space="preserve">Overall, there were </w:t>
      </w:r>
      <w:r w:rsidR="00A46642" w:rsidRPr="00A669FE">
        <w:t>3</w:t>
      </w:r>
      <w:r w:rsidR="00035B28" w:rsidRPr="00A669FE">
        <w:t>2,5</w:t>
      </w:r>
      <w:r w:rsidR="00A46642" w:rsidRPr="00A669FE">
        <w:t>2</w:t>
      </w:r>
      <w:r w:rsidR="00035B28" w:rsidRPr="00A669FE">
        <w:t>4 (</w:t>
      </w:r>
      <w:r w:rsidR="00A46642" w:rsidRPr="00A669FE">
        <w:t>40</w:t>
      </w:r>
      <w:r w:rsidR="00035B28" w:rsidRPr="00A669FE">
        <w:t>%) on standard of care at initiation</w:t>
      </w:r>
      <w:r w:rsidRPr="00A669FE">
        <w:t xml:space="preserve"> (this compares with 33% in the prevalent population).</w:t>
      </w:r>
      <w:r w:rsidR="00035B28" w:rsidRPr="00A669FE">
        <w:t xml:space="preserve"> </w:t>
      </w:r>
      <w:r w:rsidRPr="00A669FE">
        <w:t>Standard of care was defined</w:t>
      </w:r>
      <w:r>
        <w:t xml:space="preserve"> as follows: </w:t>
      </w:r>
    </w:p>
    <w:p w14:paraId="166D06E8" w14:textId="068A3260" w:rsidR="005E1FB0" w:rsidRPr="00C61EF3" w:rsidRDefault="005E1FB0" w:rsidP="005E1FB0">
      <w:pPr>
        <w:pStyle w:val="ListParagraph"/>
        <w:numPr>
          <w:ilvl w:val="0"/>
          <w:numId w:val="23"/>
        </w:numPr>
        <w:spacing w:line="276" w:lineRule="auto"/>
        <w:rPr>
          <w:rFonts w:asciiTheme="minorHAnsi" w:hAnsiTheme="minorHAnsi" w:cstheme="minorHAnsi"/>
          <w:sz w:val="22"/>
          <w:szCs w:val="18"/>
        </w:rPr>
      </w:pPr>
      <w:r w:rsidRPr="00C61EF3">
        <w:rPr>
          <w:rFonts w:asciiTheme="minorHAnsi" w:hAnsiTheme="minorHAnsi" w:cstheme="minorHAnsi"/>
          <w:sz w:val="22"/>
          <w:szCs w:val="18"/>
        </w:rPr>
        <w:t>renin-angiotensin system inhibitor (ACEi</w:t>
      </w:r>
      <w:r>
        <w:rPr>
          <w:rFonts w:asciiTheme="minorHAnsi" w:hAnsiTheme="minorHAnsi" w:cstheme="minorHAnsi"/>
          <w:sz w:val="22"/>
          <w:szCs w:val="18"/>
        </w:rPr>
        <w:t xml:space="preserve"> (including in FDC)</w:t>
      </w:r>
      <w:r w:rsidRPr="00C61EF3">
        <w:rPr>
          <w:rFonts w:asciiTheme="minorHAnsi" w:hAnsiTheme="minorHAnsi" w:cstheme="minorHAnsi"/>
          <w:sz w:val="22"/>
          <w:szCs w:val="18"/>
        </w:rPr>
        <w:t>, ARB</w:t>
      </w:r>
      <w:r>
        <w:rPr>
          <w:rFonts w:asciiTheme="minorHAnsi" w:hAnsiTheme="minorHAnsi" w:cstheme="minorHAnsi"/>
          <w:sz w:val="22"/>
          <w:szCs w:val="18"/>
        </w:rPr>
        <w:t xml:space="preserve"> (including in FDC)</w:t>
      </w:r>
      <w:r w:rsidRPr="00C61EF3">
        <w:rPr>
          <w:rFonts w:asciiTheme="minorHAnsi" w:hAnsiTheme="minorHAnsi" w:cstheme="minorHAnsi"/>
          <w:sz w:val="22"/>
          <w:szCs w:val="18"/>
        </w:rPr>
        <w:t xml:space="preserve"> or sacubitril with valsartan (ARNI))</w:t>
      </w:r>
    </w:p>
    <w:p w14:paraId="6FAEAA8D" w14:textId="77777777" w:rsidR="005E1FB0" w:rsidRPr="00C61EF3" w:rsidRDefault="005E1FB0" w:rsidP="005E1FB0">
      <w:pPr>
        <w:pStyle w:val="ListParagraph"/>
        <w:numPr>
          <w:ilvl w:val="0"/>
          <w:numId w:val="23"/>
        </w:numPr>
        <w:spacing w:line="276" w:lineRule="auto"/>
        <w:rPr>
          <w:rFonts w:asciiTheme="minorHAnsi" w:hAnsiTheme="minorHAnsi" w:cstheme="minorHAnsi"/>
          <w:sz w:val="22"/>
          <w:szCs w:val="18"/>
        </w:rPr>
      </w:pPr>
      <w:r w:rsidRPr="00C61EF3">
        <w:rPr>
          <w:rFonts w:asciiTheme="minorHAnsi" w:hAnsiTheme="minorHAnsi" w:cstheme="minorHAnsi"/>
          <w:sz w:val="22"/>
          <w:szCs w:val="18"/>
        </w:rPr>
        <w:t xml:space="preserve">and heart specific beta-blocker </w:t>
      </w:r>
    </w:p>
    <w:p w14:paraId="1AD1CCE0" w14:textId="77777777" w:rsidR="005E1FB0" w:rsidRPr="00D06319" w:rsidRDefault="005E1FB0" w:rsidP="005E1FB0">
      <w:pPr>
        <w:pStyle w:val="ListParagraph"/>
        <w:numPr>
          <w:ilvl w:val="0"/>
          <w:numId w:val="23"/>
        </w:numPr>
        <w:spacing w:line="276" w:lineRule="auto"/>
      </w:pPr>
      <w:r w:rsidRPr="00C61EF3">
        <w:rPr>
          <w:rFonts w:asciiTheme="minorHAnsi" w:hAnsiTheme="minorHAnsi" w:cstheme="minorHAnsi"/>
          <w:sz w:val="22"/>
          <w:szCs w:val="18"/>
        </w:rPr>
        <w:t>+/- Mineralocorticoid Receptor Antagonist (MRA</w:t>
      </w:r>
      <w:r>
        <w:rPr>
          <w:rFonts w:asciiTheme="minorHAnsi" w:hAnsiTheme="minorHAnsi" w:cstheme="minorHAnsi"/>
          <w:sz w:val="22"/>
          <w:szCs w:val="18"/>
        </w:rPr>
        <w:t xml:space="preserve"> – eplerenone/spironolactone</w:t>
      </w:r>
      <w:r w:rsidRPr="00E2517E">
        <w:rPr>
          <w:rFonts w:cstheme="minorHAnsi"/>
          <w:bCs/>
        </w:rPr>
        <w:t>)</w:t>
      </w:r>
    </w:p>
    <w:p w14:paraId="7DAD6558" w14:textId="70F4458A" w:rsidR="005E1FB0" w:rsidRPr="00A669FE" w:rsidRDefault="005E1FB0" w:rsidP="00A669FE">
      <w:pPr>
        <w:pStyle w:val="ListParagraph"/>
        <w:numPr>
          <w:ilvl w:val="0"/>
          <w:numId w:val="23"/>
        </w:numPr>
        <w:spacing w:after="240" w:line="276" w:lineRule="auto"/>
      </w:pPr>
      <w:r>
        <w:rPr>
          <w:rFonts w:cstheme="minorHAnsi"/>
          <w:bCs/>
        </w:rPr>
        <w:t xml:space="preserve">+/- </w:t>
      </w:r>
      <w:r w:rsidRPr="00A669FE">
        <w:rPr>
          <w:rFonts w:asciiTheme="minorHAnsi" w:hAnsiTheme="minorHAnsi" w:cstheme="minorHAnsi"/>
          <w:bCs/>
          <w:sz w:val="22"/>
          <w:szCs w:val="22"/>
        </w:rPr>
        <w:t>Sodium Glucose Co-Transporter 2 Inhibitor (SGLT2)</w:t>
      </w:r>
      <w:r w:rsidR="00A669FE">
        <w:rPr>
          <w:rFonts w:asciiTheme="minorHAnsi" w:hAnsiTheme="minorHAnsi" w:cstheme="minorHAnsi"/>
          <w:bCs/>
          <w:sz w:val="22"/>
          <w:szCs w:val="22"/>
        </w:rPr>
        <w:t>.</w:t>
      </w:r>
    </w:p>
    <w:p w14:paraId="48F35362" w14:textId="7E0A1908" w:rsidR="005E1FB0" w:rsidRPr="00A669FE" w:rsidRDefault="00035B28" w:rsidP="00035B28">
      <w:pPr>
        <w:jc w:val="both"/>
      </w:pPr>
      <w:r w:rsidRPr="00A669FE">
        <w:t xml:space="preserve">Table 5 shows a break-down of all therapies at initiation. </w:t>
      </w:r>
      <w:r w:rsidR="001B74C6">
        <w:t>Thirty-nine</w:t>
      </w:r>
      <w:r w:rsidR="00A46642" w:rsidRPr="00A669FE">
        <w:t xml:space="preserve"> percent (N=12,810)</w:t>
      </w:r>
      <w:r w:rsidRPr="00A669FE">
        <w:t xml:space="preserve"> of those on standard of care were initiated on BB (for HF) + ACEi and </w:t>
      </w:r>
      <w:r w:rsidR="001B74C6">
        <w:t>36%</w:t>
      </w:r>
      <w:r w:rsidR="00A46642" w:rsidRPr="00A669FE">
        <w:t xml:space="preserve"> (N=11,786)</w:t>
      </w:r>
      <w:r w:rsidRPr="00A669FE">
        <w:t xml:space="preserve"> were initiated on BB (for HF) + ARB. </w:t>
      </w:r>
    </w:p>
    <w:p w14:paraId="7BE4790C" w14:textId="2A02B0EB" w:rsidR="005E1FB0" w:rsidRPr="00A46642" w:rsidRDefault="00035B28" w:rsidP="00E928FD">
      <w:pPr>
        <w:jc w:val="both"/>
      </w:pPr>
      <w:r w:rsidRPr="00A669FE">
        <w:t>Of th</w:t>
      </w:r>
      <w:r w:rsidR="00A669FE" w:rsidRPr="00A669FE">
        <w:t>e</w:t>
      </w:r>
      <w:r w:rsidRPr="00A669FE">
        <w:t xml:space="preserve"> </w:t>
      </w:r>
      <w:r w:rsidR="00A46642" w:rsidRPr="00A669FE">
        <w:t>35</w:t>
      </w:r>
      <w:r w:rsidRPr="00A669FE">
        <w:t>,</w:t>
      </w:r>
      <w:r w:rsidR="00A46642" w:rsidRPr="00A669FE">
        <w:t>52</w:t>
      </w:r>
      <w:r w:rsidRPr="00A669FE">
        <w:t>4 people</w:t>
      </w:r>
      <w:r w:rsidR="00A669FE" w:rsidRPr="00A669FE">
        <w:t xml:space="preserve"> on standard of care at initiation</w:t>
      </w:r>
      <w:r w:rsidRPr="00A669FE">
        <w:t xml:space="preserve">, </w:t>
      </w:r>
      <w:r w:rsidR="00FC09A7">
        <w:t>830</w:t>
      </w:r>
      <w:r w:rsidRPr="00A669FE">
        <w:t xml:space="preserve"> (2.</w:t>
      </w:r>
      <w:r w:rsidR="00FC09A7">
        <w:t>3</w:t>
      </w:r>
      <w:r w:rsidRPr="00A669FE">
        <w:t xml:space="preserve">%) had SGLT2 inhibitors </w:t>
      </w:r>
      <w:r w:rsidR="005E1FB0" w:rsidRPr="00A669FE">
        <w:t>as part of</w:t>
      </w:r>
      <w:r w:rsidRPr="00A669FE">
        <w:t xml:space="preserve"> their standard of care at initiation (Table 5). There were no people on standard of care and sCG stimulator at initiation as it was approved for HF in December 2022</w:t>
      </w:r>
      <w:r w:rsidRPr="005E1FB0">
        <w:t>.</w:t>
      </w:r>
      <w:r w:rsidR="00A669FE">
        <w:t xml:space="preserve"> </w:t>
      </w:r>
    </w:p>
    <w:p w14:paraId="6EFBDCCF" w14:textId="6A669163" w:rsidR="00035B28" w:rsidRPr="005E1FB0" w:rsidRDefault="00035B28" w:rsidP="0079747D">
      <w:pPr>
        <w:spacing w:after="0"/>
        <w:jc w:val="both"/>
        <w:rPr>
          <w:b/>
          <w:bCs/>
        </w:rPr>
      </w:pPr>
      <w:r w:rsidRPr="005E1FB0">
        <w:rPr>
          <w:b/>
          <w:bCs/>
        </w:rPr>
        <w:t>Table 5. Number of people on standard of care and type of all other therapies at initiation</w:t>
      </w:r>
    </w:p>
    <w:tbl>
      <w:tblPr>
        <w:tblW w:w="7011" w:type="dxa"/>
        <w:tblLook w:val="04A0" w:firstRow="1" w:lastRow="0" w:firstColumn="1" w:lastColumn="0" w:noHBand="0" w:noVBand="1"/>
      </w:tblPr>
      <w:tblGrid>
        <w:gridCol w:w="4815"/>
        <w:gridCol w:w="1276"/>
        <w:gridCol w:w="920"/>
      </w:tblGrid>
      <w:tr w:rsidR="00035B28" w:rsidRPr="005E1FB0" w14:paraId="03F25621" w14:textId="77777777" w:rsidTr="00A46642">
        <w:trPr>
          <w:trHeight w:val="288"/>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2F200" w14:textId="77777777" w:rsidR="00035B28" w:rsidRPr="005E1FB0" w:rsidRDefault="00035B28" w:rsidP="00FE375A">
            <w:pPr>
              <w:spacing w:after="0" w:line="240" w:lineRule="auto"/>
              <w:rPr>
                <w:rFonts w:ascii="Calibri" w:eastAsia="Times New Roman" w:hAnsi="Calibri" w:cs="Calibri"/>
                <w:b/>
                <w:bCs/>
                <w:color w:val="000000"/>
                <w:lang w:eastAsia="en-AU"/>
              </w:rPr>
            </w:pPr>
            <w:r w:rsidRPr="005E1FB0">
              <w:rPr>
                <w:rFonts w:ascii="Calibri" w:eastAsia="Times New Roman" w:hAnsi="Calibri" w:cs="Calibri"/>
                <w:b/>
                <w:bCs/>
                <w:color w:val="000000"/>
                <w:lang w:eastAsia="en-AU"/>
              </w:rPr>
              <w:t>Therapy at initiation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C1ACD21" w14:textId="77777777" w:rsidR="00035B28" w:rsidRPr="005E1FB0" w:rsidRDefault="00035B28" w:rsidP="005E1FB0">
            <w:pPr>
              <w:spacing w:after="0" w:line="240" w:lineRule="auto"/>
              <w:jc w:val="center"/>
              <w:rPr>
                <w:rFonts w:ascii="Calibri" w:eastAsia="Times New Roman" w:hAnsi="Calibri" w:cs="Calibri"/>
                <w:b/>
                <w:bCs/>
                <w:color w:val="000000"/>
                <w:lang w:eastAsia="en-AU"/>
              </w:rPr>
            </w:pPr>
            <w:r w:rsidRPr="005E1FB0">
              <w:rPr>
                <w:rFonts w:ascii="Calibri" w:eastAsia="Times New Roman" w:hAnsi="Calibri" w:cs="Calibri"/>
                <w:b/>
                <w:bCs/>
                <w:color w:val="000000"/>
                <w:lang w:eastAsia="en-AU"/>
              </w:rPr>
              <w:t>Number of people</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14:paraId="6B3C50BD" w14:textId="77777777" w:rsidR="00035B28" w:rsidRPr="005E1FB0" w:rsidRDefault="00035B28" w:rsidP="005E1FB0">
            <w:pPr>
              <w:spacing w:after="0" w:line="240" w:lineRule="auto"/>
              <w:jc w:val="center"/>
              <w:rPr>
                <w:rFonts w:ascii="Calibri" w:eastAsia="Times New Roman" w:hAnsi="Calibri" w:cs="Calibri"/>
                <w:b/>
                <w:bCs/>
                <w:color w:val="000000"/>
                <w:lang w:eastAsia="en-AU"/>
              </w:rPr>
            </w:pPr>
            <w:r w:rsidRPr="005E1FB0">
              <w:rPr>
                <w:rFonts w:ascii="Calibri" w:eastAsia="Times New Roman" w:hAnsi="Calibri" w:cs="Calibri"/>
                <w:b/>
                <w:bCs/>
                <w:color w:val="000000"/>
                <w:lang w:eastAsia="en-AU"/>
              </w:rPr>
              <w:t>Percent</w:t>
            </w:r>
          </w:p>
        </w:tc>
      </w:tr>
      <w:tr w:rsidR="00A46642" w:rsidRPr="00A1358D" w14:paraId="1EFBC2FD" w14:textId="77777777" w:rsidTr="00A46642">
        <w:trPr>
          <w:trHeight w:val="288"/>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4ABCA92C" w14:textId="646F4C87" w:rsidR="00A46642" w:rsidRPr="00A1358D" w:rsidRDefault="00A46642" w:rsidP="00A46642">
            <w:pPr>
              <w:spacing w:after="0" w:line="240" w:lineRule="auto"/>
              <w:rPr>
                <w:rFonts w:ascii="Calibri" w:eastAsia="Times New Roman" w:hAnsi="Calibri" w:cs="Calibri"/>
                <w:color w:val="000000"/>
                <w:lang w:eastAsia="en-AU"/>
              </w:rPr>
            </w:pPr>
            <w:r w:rsidRPr="00A1358D">
              <w:rPr>
                <w:rFonts w:ascii="Calibri" w:eastAsia="Times New Roman" w:hAnsi="Calibri" w:cs="Calibri"/>
                <w:color w:val="000000"/>
                <w:lang w:eastAsia="en-AU"/>
              </w:rPr>
              <w:t>BB</w:t>
            </w:r>
            <w:r>
              <w:rPr>
                <w:rFonts w:ascii="Calibri" w:eastAsia="Times New Roman" w:hAnsi="Calibri" w:cs="Calibri"/>
                <w:color w:val="000000"/>
                <w:lang w:eastAsia="en-AU"/>
              </w:rPr>
              <w:t xml:space="preserve"> (for HF)</w:t>
            </w:r>
            <w:r w:rsidRPr="00A1358D">
              <w:rPr>
                <w:rFonts w:ascii="Calibri" w:eastAsia="Times New Roman" w:hAnsi="Calibri" w:cs="Calibri"/>
                <w:color w:val="000000"/>
                <w:lang w:eastAsia="en-AU"/>
              </w:rPr>
              <w:t xml:space="preserve"> + ACE</w:t>
            </w:r>
            <w:r w:rsidR="003A0616">
              <w:rPr>
                <w:rFonts w:ascii="Calibri" w:eastAsia="Times New Roman" w:hAnsi="Calibri" w:cs="Calibri"/>
                <w:color w:val="000000"/>
                <w:lang w:eastAsia="en-AU"/>
              </w:rPr>
              <w:t>i</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2B2E4E9" w14:textId="1B388F1F" w:rsidR="00A46642" w:rsidRPr="00A1358D" w:rsidRDefault="00A46642" w:rsidP="00A46642">
            <w:pPr>
              <w:spacing w:after="0" w:line="240" w:lineRule="auto"/>
              <w:jc w:val="right"/>
              <w:rPr>
                <w:rFonts w:ascii="Calibri" w:eastAsia="Times New Roman" w:hAnsi="Calibri" w:cs="Calibri"/>
                <w:color w:val="000000"/>
                <w:lang w:eastAsia="en-AU"/>
              </w:rPr>
            </w:pPr>
            <w:r>
              <w:rPr>
                <w:rFonts w:ascii="Calibri" w:hAnsi="Calibri" w:cs="Calibri"/>
                <w:color w:val="000000"/>
                <w:kern w:val="2"/>
                <w14:ligatures w14:val="standardContextual"/>
              </w:rPr>
              <w:t>12810</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14:paraId="64049602" w14:textId="2BE51DB5" w:rsidR="00A46642" w:rsidRPr="00A1358D" w:rsidRDefault="00A46642" w:rsidP="00A46642">
            <w:pPr>
              <w:spacing w:after="0" w:line="240" w:lineRule="auto"/>
              <w:jc w:val="right"/>
              <w:rPr>
                <w:rFonts w:ascii="Calibri" w:eastAsia="Times New Roman" w:hAnsi="Calibri" w:cs="Calibri"/>
                <w:color w:val="000000"/>
                <w:lang w:eastAsia="en-AU"/>
              </w:rPr>
            </w:pPr>
            <w:r>
              <w:rPr>
                <w:rFonts w:ascii="Calibri" w:hAnsi="Calibri" w:cs="Calibri"/>
                <w:color w:val="000000"/>
              </w:rPr>
              <w:t>15.7%</w:t>
            </w:r>
          </w:p>
        </w:tc>
      </w:tr>
      <w:tr w:rsidR="00A46642" w:rsidRPr="00A1358D" w14:paraId="20B1900B" w14:textId="77777777" w:rsidTr="00A46642">
        <w:trPr>
          <w:trHeight w:val="288"/>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3B742BD8" w14:textId="77777777" w:rsidR="00A46642" w:rsidRPr="00A1358D" w:rsidRDefault="00A46642" w:rsidP="00A46642">
            <w:pPr>
              <w:spacing w:after="0" w:line="240" w:lineRule="auto"/>
              <w:rPr>
                <w:rFonts w:ascii="Calibri" w:eastAsia="Times New Roman" w:hAnsi="Calibri" w:cs="Calibri"/>
                <w:color w:val="000000"/>
                <w:lang w:eastAsia="en-AU"/>
              </w:rPr>
            </w:pPr>
            <w:r w:rsidRPr="00A1358D">
              <w:rPr>
                <w:rFonts w:ascii="Calibri" w:eastAsia="Times New Roman" w:hAnsi="Calibri" w:cs="Calibri"/>
                <w:color w:val="000000"/>
                <w:lang w:eastAsia="en-AU"/>
              </w:rPr>
              <w:t xml:space="preserve">BB </w:t>
            </w:r>
            <w:r>
              <w:rPr>
                <w:rFonts w:ascii="Calibri" w:eastAsia="Times New Roman" w:hAnsi="Calibri" w:cs="Calibri"/>
                <w:color w:val="000000"/>
                <w:lang w:eastAsia="en-AU"/>
              </w:rPr>
              <w:t xml:space="preserve">(for HF) </w:t>
            </w:r>
            <w:r w:rsidRPr="00A1358D">
              <w:rPr>
                <w:rFonts w:ascii="Calibri" w:eastAsia="Times New Roman" w:hAnsi="Calibri" w:cs="Calibri"/>
                <w:color w:val="000000"/>
                <w:lang w:eastAsia="en-AU"/>
              </w:rPr>
              <w:t>+ ARB</w:t>
            </w:r>
          </w:p>
        </w:tc>
        <w:tc>
          <w:tcPr>
            <w:tcW w:w="1276" w:type="dxa"/>
            <w:tcBorders>
              <w:top w:val="nil"/>
              <w:left w:val="single" w:sz="4" w:space="0" w:color="auto"/>
              <w:bottom w:val="single" w:sz="4" w:space="0" w:color="auto"/>
              <w:right w:val="single" w:sz="4" w:space="0" w:color="auto"/>
            </w:tcBorders>
            <w:noWrap/>
            <w:vAlign w:val="bottom"/>
            <w:hideMark/>
          </w:tcPr>
          <w:p w14:paraId="72C2BF54" w14:textId="1241948A" w:rsidR="00A46642" w:rsidRPr="00A1358D" w:rsidRDefault="00A46642" w:rsidP="00A46642">
            <w:pPr>
              <w:spacing w:after="0" w:line="240" w:lineRule="auto"/>
              <w:jc w:val="right"/>
              <w:rPr>
                <w:rFonts w:ascii="Calibri" w:eastAsia="Times New Roman" w:hAnsi="Calibri" w:cs="Calibri"/>
                <w:color w:val="000000"/>
                <w:lang w:eastAsia="en-AU"/>
              </w:rPr>
            </w:pPr>
            <w:r>
              <w:rPr>
                <w:rFonts w:ascii="Calibri" w:hAnsi="Calibri" w:cs="Calibri"/>
                <w:color w:val="000000"/>
                <w:kern w:val="2"/>
                <w14:ligatures w14:val="standardContextual"/>
              </w:rPr>
              <w:t>11786</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14:paraId="3432ECC2" w14:textId="4AB88BD0" w:rsidR="00A46642" w:rsidRPr="00A1358D" w:rsidRDefault="00A46642" w:rsidP="00A46642">
            <w:pPr>
              <w:spacing w:after="0" w:line="240" w:lineRule="auto"/>
              <w:jc w:val="right"/>
              <w:rPr>
                <w:rFonts w:ascii="Calibri" w:eastAsia="Times New Roman" w:hAnsi="Calibri" w:cs="Calibri"/>
                <w:color w:val="000000"/>
                <w:lang w:eastAsia="en-AU"/>
              </w:rPr>
            </w:pPr>
            <w:r>
              <w:rPr>
                <w:rFonts w:ascii="Calibri" w:hAnsi="Calibri" w:cs="Calibri"/>
                <w:color w:val="000000"/>
              </w:rPr>
              <w:t>14.5%</w:t>
            </w:r>
          </w:p>
        </w:tc>
      </w:tr>
      <w:tr w:rsidR="00A46642" w:rsidRPr="00A1358D" w14:paraId="522AB4D2" w14:textId="77777777" w:rsidTr="00A46642">
        <w:trPr>
          <w:trHeight w:val="288"/>
        </w:trPr>
        <w:tc>
          <w:tcPr>
            <w:tcW w:w="4815" w:type="dxa"/>
            <w:tcBorders>
              <w:top w:val="nil"/>
              <w:left w:val="single" w:sz="4" w:space="0" w:color="auto"/>
              <w:bottom w:val="single" w:sz="4" w:space="0" w:color="auto"/>
              <w:right w:val="single" w:sz="4" w:space="0" w:color="auto"/>
            </w:tcBorders>
            <w:shd w:val="clear" w:color="auto" w:fill="auto"/>
            <w:noWrap/>
            <w:vAlign w:val="bottom"/>
          </w:tcPr>
          <w:p w14:paraId="0D460C73" w14:textId="75FB777E" w:rsidR="00A46642" w:rsidRPr="00A1358D" w:rsidRDefault="00A46642" w:rsidP="00A46642">
            <w:pPr>
              <w:spacing w:after="0" w:line="240" w:lineRule="auto"/>
              <w:rPr>
                <w:rFonts w:ascii="Calibri" w:eastAsia="Times New Roman" w:hAnsi="Calibri" w:cs="Calibri"/>
                <w:color w:val="000000"/>
                <w:lang w:eastAsia="en-AU"/>
              </w:rPr>
            </w:pPr>
            <w:r w:rsidRPr="00A1358D">
              <w:rPr>
                <w:rFonts w:ascii="Calibri" w:eastAsia="Times New Roman" w:hAnsi="Calibri" w:cs="Calibri"/>
                <w:color w:val="000000"/>
                <w:lang w:eastAsia="en-AU"/>
              </w:rPr>
              <w:t xml:space="preserve">BB </w:t>
            </w:r>
            <w:r>
              <w:rPr>
                <w:rFonts w:ascii="Calibri" w:eastAsia="Times New Roman" w:hAnsi="Calibri" w:cs="Calibri"/>
                <w:color w:val="000000"/>
                <w:lang w:eastAsia="en-AU"/>
              </w:rPr>
              <w:t xml:space="preserve">(for HF) </w:t>
            </w:r>
            <w:r w:rsidRPr="00A1358D">
              <w:rPr>
                <w:rFonts w:ascii="Calibri" w:eastAsia="Times New Roman" w:hAnsi="Calibri" w:cs="Calibri"/>
                <w:color w:val="000000"/>
                <w:lang w:eastAsia="en-AU"/>
              </w:rPr>
              <w:t>+ ARNI</w:t>
            </w:r>
            <w:r>
              <w:rPr>
                <w:rFonts w:ascii="Calibri" w:eastAsia="Times New Roman" w:hAnsi="Calibri" w:cs="Calibri"/>
                <w:color w:val="000000"/>
                <w:lang w:eastAsia="en-AU"/>
              </w:rPr>
              <w:t xml:space="preserve"> (+/-MRA)</w:t>
            </w:r>
          </w:p>
        </w:tc>
        <w:tc>
          <w:tcPr>
            <w:tcW w:w="1276" w:type="dxa"/>
            <w:tcBorders>
              <w:top w:val="nil"/>
              <w:left w:val="single" w:sz="4" w:space="0" w:color="auto"/>
              <w:bottom w:val="single" w:sz="4" w:space="0" w:color="auto"/>
              <w:right w:val="single" w:sz="4" w:space="0" w:color="auto"/>
            </w:tcBorders>
            <w:noWrap/>
            <w:vAlign w:val="bottom"/>
          </w:tcPr>
          <w:p w14:paraId="53585598" w14:textId="5C550BFA" w:rsidR="00A46642" w:rsidRPr="00A1358D" w:rsidRDefault="00A46642" w:rsidP="00A46642">
            <w:pPr>
              <w:spacing w:after="0" w:line="240" w:lineRule="auto"/>
              <w:jc w:val="right"/>
              <w:rPr>
                <w:rFonts w:ascii="Calibri" w:eastAsia="Times New Roman" w:hAnsi="Calibri" w:cs="Calibri"/>
                <w:color w:val="000000"/>
                <w:lang w:eastAsia="en-AU"/>
              </w:rPr>
            </w:pPr>
            <w:r>
              <w:rPr>
                <w:rFonts w:ascii="Calibri" w:hAnsi="Calibri" w:cs="Calibri"/>
                <w:color w:val="000000"/>
                <w:kern w:val="2"/>
                <w14:ligatures w14:val="standardContextual"/>
              </w:rPr>
              <w:t>2386</w:t>
            </w:r>
          </w:p>
        </w:tc>
        <w:tc>
          <w:tcPr>
            <w:tcW w:w="920" w:type="dxa"/>
            <w:tcBorders>
              <w:top w:val="single" w:sz="4" w:space="0" w:color="auto"/>
              <w:left w:val="nil"/>
              <w:bottom w:val="single" w:sz="4" w:space="0" w:color="auto"/>
              <w:right w:val="single" w:sz="4" w:space="0" w:color="auto"/>
            </w:tcBorders>
            <w:shd w:val="clear" w:color="auto" w:fill="auto"/>
            <w:noWrap/>
            <w:vAlign w:val="bottom"/>
          </w:tcPr>
          <w:p w14:paraId="7ED87C6F" w14:textId="7287E8AD" w:rsidR="00A46642" w:rsidRDefault="00A46642" w:rsidP="00A46642">
            <w:pPr>
              <w:spacing w:after="0" w:line="240" w:lineRule="auto"/>
              <w:jc w:val="right"/>
              <w:rPr>
                <w:rFonts w:ascii="Calibri" w:eastAsia="Times New Roman" w:hAnsi="Calibri" w:cs="Calibri"/>
                <w:color w:val="000000"/>
                <w:lang w:eastAsia="en-AU"/>
              </w:rPr>
            </w:pPr>
            <w:r>
              <w:rPr>
                <w:rFonts w:ascii="Calibri" w:hAnsi="Calibri" w:cs="Calibri"/>
                <w:color w:val="000000"/>
              </w:rPr>
              <w:t>2.9%</w:t>
            </w:r>
          </w:p>
        </w:tc>
      </w:tr>
      <w:tr w:rsidR="00A46642" w:rsidRPr="00A1358D" w14:paraId="06A49ED0" w14:textId="77777777" w:rsidTr="00A46642">
        <w:trPr>
          <w:trHeight w:val="288"/>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666CBB7B" w14:textId="1CD7C45E" w:rsidR="00A46642" w:rsidRPr="00A1358D" w:rsidRDefault="00A46642" w:rsidP="00A46642">
            <w:pPr>
              <w:spacing w:after="0" w:line="240" w:lineRule="auto"/>
              <w:rPr>
                <w:rFonts w:ascii="Calibri" w:eastAsia="Times New Roman" w:hAnsi="Calibri" w:cs="Calibri"/>
                <w:color w:val="000000"/>
                <w:lang w:eastAsia="en-AU"/>
              </w:rPr>
            </w:pPr>
            <w:r w:rsidRPr="00A1358D">
              <w:rPr>
                <w:rFonts w:ascii="Calibri" w:eastAsia="Times New Roman" w:hAnsi="Calibri" w:cs="Calibri"/>
                <w:color w:val="000000"/>
                <w:lang w:eastAsia="en-AU"/>
              </w:rPr>
              <w:t xml:space="preserve">BB </w:t>
            </w:r>
            <w:r>
              <w:rPr>
                <w:rFonts w:ascii="Calibri" w:eastAsia="Times New Roman" w:hAnsi="Calibri" w:cs="Calibri"/>
                <w:color w:val="000000"/>
                <w:lang w:eastAsia="en-AU"/>
              </w:rPr>
              <w:t xml:space="preserve">(for HF) </w:t>
            </w:r>
            <w:r w:rsidRPr="00A1358D">
              <w:rPr>
                <w:rFonts w:ascii="Calibri" w:eastAsia="Times New Roman" w:hAnsi="Calibri" w:cs="Calibri"/>
                <w:color w:val="000000"/>
                <w:lang w:eastAsia="en-AU"/>
              </w:rPr>
              <w:t>+ ACE</w:t>
            </w:r>
            <w:r w:rsidR="003A0616">
              <w:rPr>
                <w:rFonts w:ascii="Calibri" w:eastAsia="Times New Roman" w:hAnsi="Calibri" w:cs="Calibri"/>
                <w:color w:val="000000"/>
                <w:lang w:eastAsia="en-AU"/>
              </w:rPr>
              <w:t>i</w:t>
            </w:r>
            <w:r w:rsidRPr="00A1358D">
              <w:rPr>
                <w:rFonts w:ascii="Calibri" w:eastAsia="Times New Roman" w:hAnsi="Calibri" w:cs="Calibri"/>
                <w:color w:val="000000"/>
                <w:lang w:eastAsia="en-AU"/>
              </w:rPr>
              <w:t xml:space="preserve"> + MRA </w:t>
            </w:r>
          </w:p>
        </w:tc>
        <w:tc>
          <w:tcPr>
            <w:tcW w:w="1276" w:type="dxa"/>
            <w:tcBorders>
              <w:top w:val="nil"/>
              <w:left w:val="single" w:sz="4" w:space="0" w:color="auto"/>
              <w:bottom w:val="single" w:sz="4" w:space="0" w:color="auto"/>
              <w:right w:val="single" w:sz="4" w:space="0" w:color="auto"/>
            </w:tcBorders>
            <w:noWrap/>
            <w:vAlign w:val="bottom"/>
            <w:hideMark/>
          </w:tcPr>
          <w:p w14:paraId="74614B00" w14:textId="51E0EC96" w:rsidR="00A46642" w:rsidRPr="00A1358D" w:rsidRDefault="00A46642" w:rsidP="00A46642">
            <w:pPr>
              <w:spacing w:after="0" w:line="240" w:lineRule="auto"/>
              <w:jc w:val="right"/>
              <w:rPr>
                <w:rFonts w:ascii="Calibri" w:eastAsia="Times New Roman" w:hAnsi="Calibri" w:cs="Calibri"/>
                <w:color w:val="000000"/>
                <w:lang w:eastAsia="en-AU"/>
              </w:rPr>
            </w:pPr>
            <w:r>
              <w:rPr>
                <w:rFonts w:ascii="Calibri" w:hAnsi="Calibri" w:cs="Calibri"/>
                <w:color w:val="000000"/>
                <w:kern w:val="2"/>
                <w14:ligatures w14:val="standardContextual"/>
              </w:rPr>
              <w:t>2660</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14:paraId="53873FBA" w14:textId="5DDEB5AA" w:rsidR="00A46642" w:rsidRPr="00A1358D" w:rsidRDefault="00A46642" w:rsidP="00A46642">
            <w:pPr>
              <w:spacing w:after="0" w:line="240" w:lineRule="auto"/>
              <w:jc w:val="right"/>
              <w:rPr>
                <w:rFonts w:ascii="Calibri" w:eastAsia="Times New Roman" w:hAnsi="Calibri" w:cs="Calibri"/>
                <w:color w:val="000000"/>
                <w:lang w:eastAsia="en-AU"/>
              </w:rPr>
            </w:pPr>
            <w:r>
              <w:rPr>
                <w:rFonts w:ascii="Calibri" w:hAnsi="Calibri" w:cs="Calibri"/>
                <w:color w:val="000000"/>
              </w:rPr>
              <w:t>3.3%</w:t>
            </w:r>
          </w:p>
        </w:tc>
      </w:tr>
      <w:tr w:rsidR="00A46642" w:rsidRPr="00A1358D" w14:paraId="616300D0" w14:textId="77777777" w:rsidTr="00A46642">
        <w:trPr>
          <w:trHeight w:val="288"/>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7011964E" w14:textId="77777777" w:rsidR="00A46642" w:rsidRPr="00A1358D" w:rsidRDefault="00A46642" w:rsidP="00A46642">
            <w:pPr>
              <w:spacing w:after="0" w:line="240" w:lineRule="auto"/>
              <w:rPr>
                <w:rFonts w:ascii="Calibri" w:eastAsia="Times New Roman" w:hAnsi="Calibri" w:cs="Calibri"/>
                <w:color w:val="000000"/>
                <w:lang w:eastAsia="en-AU"/>
              </w:rPr>
            </w:pPr>
            <w:r w:rsidRPr="00A1358D">
              <w:rPr>
                <w:rFonts w:ascii="Calibri" w:eastAsia="Times New Roman" w:hAnsi="Calibri" w:cs="Calibri"/>
                <w:color w:val="000000"/>
                <w:lang w:eastAsia="en-AU"/>
              </w:rPr>
              <w:t>BB</w:t>
            </w:r>
            <w:r>
              <w:rPr>
                <w:rFonts w:ascii="Calibri" w:eastAsia="Times New Roman" w:hAnsi="Calibri" w:cs="Calibri"/>
                <w:color w:val="000000"/>
                <w:lang w:eastAsia="en-AU"/>
              </w:rPr>
              <w:t xml:space="preserve"> (for HF)</w:t>
            </w:r>
            <w:r w:rsidRPr="00A1358D">
              <w:rPr>
                <w:rFonts w:ascii="Calibri" w:eastAsia="Times New Roman" w:hAnsi="Calibri" w:cs="Calibri"/>
                <w:color w:val="000000"/>
                <w:lang w:eastAsia="en-AU"/>
              </w:rPr>
              <w:t xml:space="preserve"> + ARB + MRA </w:t>
            </w:r>
          </w:p>
        </w:tc>
        <w:tc>
          <w:tcPr>
            <w:tcW w:w="1276" w:type="dxa"/>
            <w:tcBorders>
              <w:top w:val="nil"/>
              <w:left w:val="single" w:sz="4" w:space="0" w:color="auto"/>
              <w:bottom w:val="single" w:sz="4" w:space="0" w:color="auto"/>
              <w:right w:val="single" w:sz="4" w:space="0" w:color="auto"/>
            </w:tcBorders>
            <w:noWrap/>
            <w:vAlign w:val="bottom"/>
            <w:hideMark/>
          </w:tcPr>
          <w:p w14:paraId="6DC0161C" w14:textId="228F8F4B" w:rsidR="00A46642" w:rsidRPr="00A1358D" w:rsidRDefault="00A46642" w:rsidP="00A46642">
            <w:pPr>
              <w:spacing w:after="0" w:line="240" w:lineRule="auto"/>
              <w:jc w:val="right"/>
              <w:rPr>
                <w:rFonts w:ascii="Calibri" w:eastAsia="Times New Roman" w:hAnsi="Calibri" w:cs="Calibri"/>
                <w:color w:val="000000"/>
                <w:lang w:eastAsia="en-AU"/>
              </w:rPr>
            </w:pPr>
            <w:r>
              <w:rPr>
                <w:rFonts w:ascii="Calibri" w:hAnsi="Calibri" w:cs="Calibri"/>
                <w:color w:val="000000"/>
                <w:kern w:val="2"/>
                <w14:ligatures w14:val="standardContextual"/>
              </w:rPr>
              <w:t>1790</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14:paraId="7D1D2009" w14:textId="43EC1126" w:rsidR="00A46642" w:rsidRPr="00A1358D" w:rsidRDefault="00A46642" w:rsidP="00A46642">
            <w:pPr>
              <w:spacing w:after="0" w:line="240" w:lineRule="auto"/>
              <w:jc w:val="right"/>
              <w:rPr>
                <w:rFonts w:ascii="Calibri" w:eastAsia="Times New Roman" w:hAnsi="Calibri" w:cs="Calibri"/>
                <w:color w:val="000000"/>
                <w:lang w:eastAsia="en-AU"/>
              </w:rPr>
            </w:pPr>
            <w:r>
              <w:rPr>
                <w:rFonts w:ascii="Calibri" w:hAnsi="Calibri" w:cs="Calibri"/>
                <w:color w:val="000000"/>
              </w:rPr>
              <w:t>2.2%</w:t>
            </w:r>
          </w:p>
        </w:tc>
      </w:tr>
      <w:tr w:rsidR="00A46642" w:rsidRPr="005E1FB0" w14:paraId="45006BD9" w14:textId="77777777" w:rsidTr="00A46642">
        <w:trPr>
          <w:trHeight w:val="288"/>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2E231C08" w14:textId="1C94FE27" w:rsidR="00A46642" w:rsidRPr="005E1FB0" w:rsidRDefault="00A46642" w:rsidP="00A46642">
            <w:pPr>
              <w:spacing w:after="0" w:line="240" w:lineRule="auto"/>
              <w:rPr>
                <w:rFonts w:ascii="Calibri" w:eastAsia="Times New Roman" w:hAnsi="Calibri" w:cs="Calibri"/>
                <w:color w:val="000000"/>
                <w:lang w:eastAsia="en-AU"/>
              </w:rPr>
            </w:pPr>
            <w:r w:rsidRPr="005E1FB0">
              <w:rPr>
                <w:rFonts w:ascii="Calibri" w:eastAsia="Times New Roman" w:hAnsi="Calibri" w:cs="Calibri"/>
                <w:color w:val="000000"/>
                <w:lang w:eastAsia="en-AU"/>
              </w:rPr>
              <w:t>BB (for HF) + ACE</w:t>
            </w:r>
            <w:r w:rsidR="003A0616">
              <w:rPr>
                <w:rFonts w:ascii="Calibri" w:eastAsia="Times New Roman" w:hAnsi="Calibri" w:cs="Calibri"/>
                <w:color w:val="000000"/>
                <w:lang w:eastAsia="en-AU"/>
              </w:rPr>
              <w:t>i</w:t>
            </w:r>
            <w:r w:rsidRPr="005E1FB0">
              <w:rPr>
                <w:rFonts w:ascii="Calibri" w:eastAsia="Times New Roman" w:hAnsi="Calibri" w:cs="Calibri"/>
                <w:color w:val="000000"/>
                <w:lang w:eastAsia="en-AU"/>
              </w:rPr>
              <w:t xml:space="preserve"> + SGLT2 (for HF)</w:t>
            </w:r>
          </w:p>
        </w:tc>
        <w:tc>
          <w:tcPr>
            <w:tcW w:w="1276" w:type="dxa"/>
            <w:tcBorders>
              <w:top w:val="nil"/>
              <w:left w:val="single" w:sz="4" w:space="0" w:color="auto"/>
              <w:bottom w:val="single" w:sz="4" w:space="0" w:color="auto"/>
              <w:right w:val="single" w:sz="4" w:space="0" w:color="auto"/>
            </w:tcBorders>
            <w:noWrap/>
            <w:vAlign w:val="bottom"/>
            <w:hideMark/>
          </w:tcPr>
          <w:p w14:paraId="13F72B09" w14:textId="5290ED30" w:rsidR="00A46642" w:rsidRPr="005E1FB0" w:rsidRDefault="00A46642" w:rsidP="00A46642">
            <w:pPr>
              <w:spacing w:after="0" w:line="240" w:lineRule="auto"/>
              <w:jc w:val="right"/>
              <w:rPr>
                <w:rFonts w:ascii="Calibri" w:eastAsia="Times New Roman" w:hAnsi="Calibri" w:cs="Calibri"/>
                <w:color w:val="000000"/>
                <w:lang w:eastAsia="en-AU"/>
              </w:rPr>
            </w:pPr>
            <w:r>
              <w:rPr>
                <w:rFonts w:ascii="Calibri" w:hAnsi="Calibri" w:cs="Calibri"/>
                <w:color w:val="000000"/>
                <w:kern w:val="2"/>
                <w14:ligatures w14:val="standardContextual"/>
              </w:rPr>
              <w:t>287</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14:paraId="0C3AC0BB" w14:textId="525AC934" w:rsidR="00A46642" w:rsidRPr="005E1FB0" w:rsidRDefault="00A46642" w:rsidP="00A46642">
            <w:pPr>
              <w:spacing w:after="0" w:line="240" w:lineRule="auto"/>
              <w:jc w:val="right"/>
              <w:rPr>
                <w:rFonts w:ascii="Calibri" w:eastAsia="Times New Roman" w:hAnsi="Calibri" w:cs="Calibri"/>
                <w:color w:val="000000"/>
                <w:lang w:eastAsia="en-AU"/>
              </w:rPr>
            </w:pPr>
            <w:r>
              <w:rPr>
                <w:rFonts w:ascii="Calibri" w:hAnsi="Calibri" w:cs="Calibri"/>
                <w:color w:val="000000"/>
              </w:rPr>
              <w:t>0.4%</w:t>
            </w:r>
          </w:p>
        </w:tc>
      </w:tr>
      <w:tr w:rsidR="00A46642" w:rsidRPr="005E1FB0" w14:paraId="307866A2" w14:textId="77777777" w:rsidTr="00A46642">
        <w:trPr>
          <w:trHeight w:val="288"/>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14:paraId="3C363A3A" w14:textId="77777777" w:rsidR="00A46642" w:rsidRPr="005E1FB0" w:rsidRDefault="00A46642" w:rsidP="00A46642">
            <w:pPr>
              <w:spacing w:after="0" w:line="240" w:lineRule="auto"/>
              <w:rPr>
                <w:rFonts w:ascii="Calibri" w:eastAsia="Times New Roman" w:hAnsi="Calibri" w:cs="Calibri"/>
                <w:color w:val="000000"/>
                <w:lang w:eastAsia="en-AU"/>
              </w:rPr>
            </w:pPr>
            <w:r w:rsidRPr="005E1FB0">
              <w:rPr>
                <w:rFonts w:ascii="Calibri" w:eastAsia="Times New Roman" w:hAnsi="Calibri" w:cs="Calibri"/>
                <w:color w:val="000000"/>
                <w:lang w:eastAsia="en-AU"/>
              </w:rPr>
              <w:t>BB (for HF) + ARB + SGLT2 (for HF)</w:t>
            </w:r>
          </w:p>
        </w:tc>
        <w:tc>
          <w:tcPr>
            <w:tcW w:w="1276" w:type="dxa"/>
            <w:tcBorders>
              <w:top w:val="nil"/>
              <w:left w:val="single" w:sz="4" w:space="0" w:color="auto"/>
              <w:bottom w:val="single" w:sz="4" w:space="0" w:color="auto"/>
              <w:right w:val="single" w:sz="4" w:space="0" w:color="auto"/>
            </w:tcBorders>
            <w:noWrap/>
            <w:vAlign w:val="bottom"/>
            <w:hideMark/>
          </w:tcPr>
          <w:p w14:paraId="0764871C" w14:textId="0FA51667" w:rsidR="00A46642" w:rsidRPr="005E1FB0" w:rsidRDefault="00A46642" w:rsidP="00A46642">
            <w:pPr>
              <w:spacing w:after="0" w:line="240" w:lineRule="auto"/>
              <w:jc w:val="right"/>
              <w:rPr>
                <w:rFonts w:ascii="Calibri" w:eastAsia="Times New Roman" w:hAnsi="Calibri" w:cs="Calibri"/>
                <w:color w:val="000000"/>
                <w:lang w:eastAsia="en-AU"/>
              </w:rPr>
            </w:pPr>
            <w:r>
              <w:rPr>
                <w:rFonts w:ascii="Calibri" w:hAnsi="Calibri" w:cs="Calibri"/>
                <w:color w:val="000000"/>
                <w:kern w:val="2"/>
                <w14:ligatures w14:val="standardContextual"/>
              </w:rPr>
              <w:t>241</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14:paraId="369FEDF3" w14:textId="7FE5A707" w:rsidR="00A46642" w:rsidRPr="005E1FB0" w:rsidRDefault="00A46642" w:rsidP="00A46642">
            <w:pPr>
              <w:spacing w:after="0" w:line="240" w:lineRule="auto"/>
              <w:jc w:val="right"/>
              <w:rPr>
                <w:rFonts w:ascii="Calibri" w:eastAsia="Times New Roman" w:hAnsi="Calibri" w:cs="Calibri"/>
                <w:color w:val="000000"/>
                <w:lang w:eastAsia="en-AU"/>
              </w:rPr>
            </w:pPr>
            <w:r>
              <w:rPr>
                <w:rFonts w:ascii="Calibri" w:hAnsi="Calibri" w:cs="Calibri"/>
                <w:color w:val="000000"/>
              </w:rPr>
              <w:t>0.3%</w:t>
            </w:r>
          </w:p>
        </w:tc>
      </w:tr>
      <w:tr w:rsidR="00A46642" w:rsidRPr="005E1FB0" w14:paraId="6C9A3E0D" w14:textId="77777777" w:rsidTr="00A46642">
        <w:trPr>
          <w:trHeight w:val="288"/>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062926" w14:textId="1AE6D3E5" w:rsidR="00A46642" w:rsidRPr="005E1FB0" w:rsidRDefault="00A46642" w:rsidP="00A46642">
            <w:pPr>
              <w:spacing w:after="0" w:line="240" w:lineRule="auto"/>
              <w:rPr>
                <w:rFonts w:ascii="Calibri" w:eastAsia="Times New Roman" w:hAnsi="Calibri" w:cs="Calibri"/>
                <w:color w:val="000000"/>
                <w:lang w:eastAsia="en-AU"/>
              </w:rPr>
            </w:pPr>
            <w:r w:rsidRPr="005E1FB0">
              <w:rPr>
                <w:rFonts w:ascii="Calibri" w:eastAsia="Times New Roman" w:hAnsi="Calibri" w:cs="Calibri"/>
                <w:color w:val="000000"/>
                <w:lang w:eastAsia="en-AU"/>
              </w:rPr>
              <w:t>BB (for HF) + ACE</w:t>
            </w:r>
            <w:r w:rsidR="003A0616">
              <w:rPr>
                <w:rFonts w:ascii="Calibri" w:eastAsia="Times New Roman" w:hAnsi="Calibri" w:cs="Calibri"/>
                <w:color w:val="000000"/>
                <w:lang w:eastAsia="en-AU"/>
              </w:rPr>
              <w:t>i</w:t>
            </w:r>
            <w:r w:rsidRPr="005E1FB0">
              <w:rPr>
                <w:rFonts w:ascii="Calibri" w:eastAsia="Times New Roman" w:hAnsi="Calibri" w:cs="Calibri"/>
                <w:color w:val="000000"/>
                <w:lang w:eastAsia="en-AU"/>
              </w:rPr>
              <w:t xml:space="preserve">/ARB + HCN </w:t>
            </w:r>
          </w:p>
        </w:tc>
        <w:tc>
          <w:tcPr>
            <w:tcW w:w="1276" w:type="dxa"/>
            <w:tcBorders>
              <w:top w:val="nil"/>
              <w:left w:val="single" w:sz="4" w:space="0" w:color="auto"/>
              <w:bottom w:val="single" w:sz="4" w:space="0" w:color="auto"/>
              <w:right w:val="single" w:sz="4" w:space="0" w:color="auto"/>
            </w:tcBorders>
            <w:noWrap/>
            <w:vAlign w:val="bottom"/>
          </w:tcPr>
          <w:p w14:paraId="0565578C" w14:textId="33C314B6" w:rsidR="00A46642" w:rsidRPr="005E1FB0" w:rsidRDefault="00A46642" w:rsidP="00A46642">
            <w:pPr>
              <w:spacing w:after="0" w:line="240" w:lineRule="auto"/>
              <w:jc w:val="right"/>
              <w:rPr>
                <w:rFonts w:ascii="Calibri" w:eastAsia="Times New Roman" w:hAnsi="Calibri" w:cs="Calibri"/>
                <w:color w:val="000000"/>
                <w:lang w:eastAsia="en-AU"/>
              </w:rPr>
            </w:pPr>
            <w:r>
              <w:rPr>
                <w:rFonts w:ascii="Calibri" w:hAnsi="Calibri" w:cs="Calibri"/>
                <w:color w:val="000000"/>
                <w:kern w:val="2"/>
                <w14:ligatures w14:val="standardContextual"/>
              </w:rPr>
              <w:t>86</w:t>
            </w:r>
          </w:p>
        </w:tc>
        <w:tc>
          <w:tcPr>
            <w:tcW w:w="920" w:type="dxa"/>
            <w:tcBorders>
              <w:top w:val="single" w:sz="4" w:space="0" w:color="auto"/>
              <w:left w:val="nil"/>
              <w:bottom w:val="single" w:sz="4" w:space="0" w:color="auto"/>
              <w:right w:val="single" w:sz="4" w:space="0" w:color="auto"/>
            </w:tcBorders>
            <w:shd w:val="clear" w:color="auto" w:fill="auto"/>
            <w:noWrap/>
            <w:vAlign w:val="bottom"/>
          </w:tcPr>
          <w:p w14:paraId="1BDC46F1" w14:textId="2845C143" w:rsidR="00A46642" w:rsidRPr="005E1FB0" w:rsidRDefault="00A46642" w:rsidP="00A46642">
            <w:pPr>
              <w:spacing w:after="0" w:line="240" w:lineRule="auto"/>
              <w:jc w:val="right"/>
              <w:rPr>
                <w:rFonts w:ascii="Calibri" w:eastAsia="Times New Roman" w:hAnsi="Calibri" w:cs="Calibri"/>
                <w:color w:val="000000"/>
                <w:lang w:eastAsia="en-AU"/>
              </w:rPr>
            </w:pPr>
            <w:r>
              <w:rPr>
                <w:rFonts w:ascii="Calibri" w:hAnsi="Calibri" w:cs="Calibri"/>
                <w:color w:val="000000"/>
              </w:rPr>
              <w:t>0.1%</w:t>
            </w:r>
          </w:p>
        </w:tc>
      </w:tr>
      <w:tr w:rsidR="00A46642" w:rsidRPr="005E1FB0" w14:paraId="7E1BEE60" w14:textId="77777777" w:rsidTr="00A46642">
        <w:trPr>
          <w:trHeight w:val="288"/>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4B62E5" w14:textId="245BB4BC" w:rsidR="00A46642" w:rsidRPr="005E1FB0" w:rsidRDefault="00A46642" w:rsidP="00A46642">
            <w:pPr>
              <w:spacing w:after="0" w:line="240" w:lineRule="auto"/>
              <w:rPr>
                <w:rFonts w:ascii="Calibri" w:eastAsia="Times New Roman" w:hAnsi="Calibri" w:cs="Calibri"/>
                <w:color w:val="000000"/>
                <w:lang w:eastAsia="en-AU"/>
              </w:rPr>
            </w:pPr>
            <w:r w:rsidRPr="005E1FB0">
              <w:rPr>
                <w:rFonts w:ascii="Calibri" w:eastAsia="Times New Roman" w:hAnsi="Calibri" w:cs="Calibri"/>
                <w:color w:val="000000"/>
                <w:lang w:eastAsia="en-AU"/>
              </w:rPr>
              <w:t>BB (for HF) + ACE</w:t>
            </w:r>
            <w:r w:rsidR="003A0616">
              <w:rPr>
                <w:rFonts w:ascii="Calibri" w:eastAsia="Times New Roman" w:hAnsi="Calibri" w:cs="Calibri"/>
                <w:color w:val="000000"/>
                <w:lang w:eastAsia="en-AU"/>
              </w:rPr>
              <w:t>i</w:t>
            </w:r>
            <w:r w:rsidRPr="005E1FB0">
              <w:rPr>
                <w:rFonts w:ascii="Calibri" w:eastAsia="Times New Roman" w:hAnsi="Calibri" w:cs="Calibri"/>
                <w:color w:val="000000"/>
                <w:lang w:eastAsia="en-AU"/>
              </w:rPr>
              <w:t xml:space="preserve"> + SGLT2 (for HF) + MRA</w:t>
            </w:r>
          </w:p>
        </w:tc>
        <w:tc>
          <w:tcPr>
            <w:tcW w:w="1276" w:type="dxa"/>
            <w:tcBorders>
              <w:top w:val="nil"/>
              <w:left w:val="single" w:sz="4" w:space="0" w:color="auto"/>
              <w:bottom w:val="single" w:sz="4" w:space="0" w:color="auto"/>
              <w:right w:val="single" w:sz="4" w:space="0" w:color="auto"/>
            </w:tcBorders>
            <w:noWrap/>
            <w:vAlign w:val="bottom"/>
          </w:tcPr>
          <w:p w14:paraId="0B1DD3DF" w14:textId="02398C18" w:rsidR="00A46642" w:rsidRPr="005E1FB0" w:rsidRDefault="00A46642" w:rsidP="00A46642">
            <w:pPr>
              <w:spacing w:after="0" w:line="240" w:lineRule="auto"/>
              <w:jc w:val="right"/>
              <w:rPr>
                <w:rFonts w:ascii="Calibri" w:eastAsia="Times New Roman" w:hAnsi="Calibri" w:cs="Calibri"/>
                <w:color w:val="000000"/>
                <w:lang w:eastAsia="en-AU"/>
              </w:rPr>
            </w:pPr>
            <w:r>
              <w:rPr>
                <w:rFonts w:ascii="Calibri" w:hAnsi="Calibri" w:cs="Calibri"/>
                <w:color w:val="000000"/>
                <w:kern w:val="2"/>
                <w14:ligatures w14:val="standardContextual"/>
              </w:rPr>
              <w:t>302</w:t>
            </w:r>
          </w:p>
        </w:tc>
        <w:tc>
          <w:tcPr>
            <w:tcW w:w="920" w:type="dxa"/>
            <w:tcBorders>
              <w:top w:val="single" w:sz="4" w:space="0" w:color="auto"/>
              <w:left w:val="nil"/>
              <w:bottom w:val="single" w:sz="4" w:space="0" w:color="auto"/>
              <w:right w:val="single" w:sz="4" w:space="0" w:color="auto"/>
            </w:tcBorders>
            <w:shd w:val="clear" w:color="auto" w:fill="auto"/>
            <w:noWrap/>
            <w:vAlign w:val="bottom"/>
          </w:tcPr>
          <w:p w14:paraId="1255BC0D" w14:textId="1713FBC9" w:rsidR="00A46642" w:rsidRPr="005E1FB0" w:rsidRDefault="00A46642" w:rsidP="00A46642">
            <w:pPr>
              <w:spacing w:after="0" w:line="240" w:lineRule="auto"/>
              <w:jc w:val="right"/>
              <w:rPr>
                <w:rFonts w:ascii="Calibri" w:eastAsia="Times New Roman" w:hAnsi="Calibri" w:cs="Calibri"/>
                <w:color w:val="000000"/>
                <w:lang w:eastAsia="en-AU"/>
              </w:rPr>
            </w:pPr>
            <w:r>
              <w:rPr>
                <w:rFonts w:ascii="Calibri" w:hAnsi="Calibri" w:cs="Calibri"/>
                <w:color w:val="000000"/>
              </w:rPr>
              <w:t>0.4%</w:t>
            </w:r>
          </w:p>
        </w:tc>
      </w:tr>
      <w:tr w:rsidR="00A46642" w:rsidRPr="00FA4736" w14:paraId="17B31169" w14:textId="77777777" w:rsidTr="00A46642">
        <w:trPr>
          <w:trHeight w:val="288"/>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4C6CC" w14:textId="77777777" w:rsidR="00A46642" w:rsidRPr="005E1FB0" w:rsidRDefault="00A46642" w:rsidP="00A46642">
            <w:pPr>
              <w:spacing w:after="0" w:line="240" w:lineRule="auto"/>
              <w:rPr>
                <w:rFonts w:ascii="Calibri" w:eastAsia="Times New Roman" w:hAnsi="Calibri" w:cs="Calibri"/>
                <w:color w:val="000000"/>
                <w:lang w:eastAsia="en-AU"/>
              </w:rPr>
            </w:pPr>
            <w:r w:rsidRPr="005E1FB0">
              <w:rPr>
                <w:rFonts w:ascii="Calibri" w:eastAsia="Times New Roman" w:hAnsi="Calibri" w:cs="Calibri"/>
                <w:color w:val="000000"/>
                <w:lang w:eastAsia="en-AU"/>
              </w:rPr>
              <w:t>BB (for HF) + ARB + SGLT2 (for HF) + MRA</w:t>
            </w:r>
          </w:p>
        </w:tc>
        <w:tc>
          <w:tcPr>
            <w:tcW w:w="1276" w:type="dxa"/>
            <w:tcBorders>
              <w:top w:val="nil"/>
              <w:left w:val="single" w:sz="4" w:space="0" w:color="auto"/>
              <w:bottom w:val="single" w:sz="4" w:space="0" w:color="auto"/>
              <w:right w:val="single" w:sz="4" w:space="0" w:color="auto"/>
            </w:tcBorders>
            <w:noWrap/>
            <w:vAlign w:val="bottom"/>
          </w:tcPr>
          <w:p w14:paraId="369B4592" w14:textId="0C8D83ED" w:rsidR="00A46642" w:rsidRPr="005E1FB0" w:rsidRDefault="00A46642" w:rsidP="00A46642">
            <w:pPr>
              <w:spacing w:after="0" w:line="240" w:lineRule="auto"/>
              <w:jc w:val="right"/>
              <w:rPr>
                <w:rFonts w:ascii="Calibri" w:eastAsia="Times New Roman" w:hAnsi="Calibri" w:cs="Calibri"/>
                <w:color w:val="000000"/>
                <w:lang w:eastAsia="en-AU"/>
              </w:rPr>
            </w:pPr>
            <w:r>
              <w:rPr>
                <w:rFonts w:ascii="Calibri" w:hAnsi="Calibri" w:cs="Calibri"/>
                <w:color w:val="000000"/>
                <w:kern w:val="2"/>
                <w14:ligatures w14:val="standardContextual"/>
              </w:rPr>
              <w:t>176</w:t>
            </w:r>
          </w:p>
        </w:tc>
        <w:tc>
          <w:tcPr>
            <w:tcW w:w="920" w:type="dxa"/>
            <w:tcBorders>
              <w:top w:val="single" w:sz="4" w:space="0" w:color="auto"/>
              <w:left w:val="nil"/>
              <w:bottom w:val="single" w:sz="4" w:space="0" w:color="auto"/>
              <w:right w:val="single" w:sz="4" w:space="0" w:color="auto"/>
            </w:tcBorders>
            <w:shd w:val="clear" w:color="auto" w:fill="auto"/>
            <w:noWrap/>
            <w:vAlign w:val="bottom"/>
          </w:tcPr>
          <w:p w14:paraId="7DC8B41F" w14:textId="74AF1CB1" w:rsidR="00A46642" w:rsidRPr="00FA4736" w:rsidRDefault="00A46642" w:rsidP="00A46642">
            <w:pPr>
              <w:spacing w:after="0" w:line="240" w:lineRule="auto"/>
              <w:jc w:val="right"/>
              <w:rPr>
                <w:rFonts w:ascii="Calibri" w:eastAsia="Times New Roman" w:hAnsi="Calibri" w:cs="Calibri"/>
                <w:color w:val="000000"/>
                <w:lang w:eastAsia="en-AU"/>
              </w:rPr>
            </w:pPr>
            <w:r>
              <w:rPr>
                <w:rFonts w:ascii="Calibri" w:hAnsi="Calibri" w:cs="Calibri"/>
                <w:color w:val="000000"/>
              </w:rPr>
              <w:t>0.2%</w:t>
            </w:r>
          </w:p>
        </w:tc>
      </w:tr>
      <w:tr w:rsidR="00A46642" w:rsidRPr="00A1358D" w14:paraId="5693672A" w14:textId="77777777" w:rsidTr="00A46642">
        <w:trPr>
          <w:trHeight w:val="288"/>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AF9E45" w14:textId="77777777" w:rsidR="00A46642" w:rsidRPr="00AE024D" w:rsidRDefault="00A46642" w:rsidP="00A46642">
            <w:pPr>
              <w:spacing w:after="0" w:line="240" w:lineRule="auto"/>
              <w:rPr>
                <w:rFonts w:ascii="Calibri" w:eastAsia="Times New Roman" w:hAnsi="Calibri" w:cs="Calibri"/>
                <w:b/>
                <w:bCs/>
                <w:color w:val="000000"/>
                <w:lang w:eastAsia="en-AU"/>
              </w:rPr>
            </w:pPr>
            <w:r w:rsidRPr="00AE024D">
              <w:rPr>
                <w:rFonts w:ascii="Calibri" w:eastAsia="Times New Roman" w:hAnsi="Calibri" w:cs="Calibri"/>
                <w:b/>
                <w:bCs/>
                <w:color w:val="000000"/>
                <w:lang w:eastAsia="en-AU"/>
              </w:rPr>
              <w:t>Sub-Total</w:t>
            </w:r>
            <w:r>
              <w:rPr>
                <w:rFonts w:ascii="Calibri" w:eastAsia="Times New Roman" w:hAnsi="Calibri" w:cs="Calibri"/>
                <w:b/>
                <w:bCs/>
                <w:color w:val="000000"/>
                <w:lang w:eastAsia="en-AU"/>
              </w:rPr>
              <w:t xml:space="preserve"> (Standard of care)</w:t>
            </w:r>
          </w:p>
        </w:tc>
        <w:tc>
          <w:tcPr>
            <w:tcW w:w="1276" w:type="dxa"/>
            <w:tcBorders>
              <w:top w:val="single" w:sz="4" w:space="0" w:color="auto"/>
              <w:left w:val="nil"/>
              <w:bottom w:val="single" w:sz="4" w:space="0" w:color="auto"/>
              <w:right w:val="single" w:sz="4" w:space="0" w:color="auto"/>
            </w:tcBorders>
            <w:noWrap/>
            <w:vAlign w:val="bottom"/>
          </w:tcPr>
          <w:p w14:paraId="2B578E97" w14:textId="35E8ABF9" w:rsidR="00A46642" w:rsidRPr="00AE024D" w:rsidRDefault="00A46642" w:rsidP="00A46642">
            <w:pPr>
              <w:spacing w:after="0" w:line="240" w:lineRule="auto"/>
              <w:jc w:val="right"/>
              <w:rPr>
                <w:rFonts w:ascii="Calibri" w:eastAsia="Times New Roman" w:hAnsi="Calibri" w:cs="Calibri"/>
                <w:b/>
                <w:bCs/>
                <w:color w:val="000000"/>
                <w:lang w:eastAsia="en-AU"/>
              </w:rPr>
            </w:pPr>
            <w:r>
              <w:rPr>
                <w:rFonts w:ascii="Calibri" w:eastAsia="Times New Roman" w:hAnsi="Calibri" w:cs="Calibri"/>
                <w:b/>
                <w:bCs/>
                <w:color w:val="000000"/>
                <w:kern w:val="2"/>
                <w:lang w:eastAsia="en-AU"/>
                <w14:ligatures w14:val="standardContextual"/>
              </w:rPr>
              <w:t>32524</w:t>
            </w:r>
          </w:p>
        </w:tc>
        <w:tc>
          <w:tcPr>
            <w:tcW w:w="920" w:type="dxa"/>
            <w:tcBorders>
              <w:top w:val="single" w:sz="4" w:space="0" w:color="auto"/>
              <w:left w:val="nil"/>
              <w:bottom w:val="single" w:sz="4" w:space="0" w:color="auto"/>
              <w:right w:val="single" w:sz="4" w:space="0" w:color="auto"/>
            </w:tcBorders>
            <w:noWrap/>
            <w:vAlign w:val="bottom"/>
          </w:tcPr>
          <w:p w14:paraId="5906024F" w14:textId="06D45AD4" w:rsidR="00A46642" w:rsidRPr="00AE024D" w:rsidRDefault="00A46642" w:rsidP="00A46642">
            <w:pPr>
              <w:spacing w:after="0" w:line="240" w:lineRule="auto"/>
              <w:jc w:val="right"/>
              <w:rPr>
                <w:rFonts w:ascii="Calibri" w:eastAsia="Times New Roman" w:hAnsi="Calibri" w:cs="Calibri"/>
                <w:b/>
                <w:bCs/>
                <w:color w:val="000000"/>
                <w:lang w:eastAsia="en-AU"/>
              </w:rPr>
            </w:pPr>
            <w:r>
              <w:rPr>
                <w:rFonts w:ascii="Calibri" w:eastAsia="Times New Roman" w:hAnsi="Calibri" w:cs="Calibri"/>
                <w:b/>
                <w:bCs/>
                <w:color w:val="000000"/>
                <w:kern w:val="2"/>
                <w:lang w:eastAsia="en-AU"/>
                <w14:ligatures w14:val="standardContextual"/>
              </w:rPr>
              <w:t>40.0%</w:t>
            </w:r>
          </w:p>
        </w:tc>
      </w:tr>
      <w:tr w:rsidR="00A46642" w:rsidRPr="00A1358D" w14:paraId="7A85F3D4" w14:textId="77777777" w:rsidTr="005E1FB0">
        <w:trPr>
          <w:trHeight w:val="288"/>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E9A79F" w14:textId="77777777" w:rsidR="00A46642" w:rsidRDefault="00A46642" w:rsidP="00A46642">
            <w:pPr>
              <w:spacing w:after="0" w:line="240" w:lineRule="auto"/>
              <w:rPr>
                <w:rFonts w:ascii="Calibri" w:eastAsia="Times New Roman" w:hAnsi="Calibri" w:cs="Calibri"/>
                <w:color w:val="000000"/>
                <w:lang w:eastAsia="en-AU"/>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1D07825" w14:textId="77777777" w:rsidR="00A46642" w:rsidRDefault="00A46642" w:rsidP="00A46642">
            <w:pPr>
              <w:spacing w:after="0" w:line="240" w:lineRule="auto"/>
              <w:jc w:val="right"/>
              <w:rPr>
                <w:rFonts w:ascii="Calibri" w:eastAsia="Times New Roman" w:hAnsi="Calibri" w:cs="Calibri"/>
                <w:color w:val="000000"/>
                <w:lang w:eastAsia="en-AU"/>
              </w:rPr>
            </w:pPr>
          </w:p>
        </w:tc>
        <w:tc>
          <w:tcPr>
            <w:tcW w:w="920" w:type="dxa"/>
            <w:tcBorders>
              <w:top w:val="single" w:sz="4" w:space="0" w:color="auto"/>
              <w:left w:val="nil"/>
              <w:bottom w:val="single" w:sz="4" w:space="0" w:color="auto"/>
              <w:right w:val="single" w:sz="4" w:space="0" w:color="auto"/>
            </w:tcBorders>
            <w:shd w:val="clear" w:color="auto" w:fill="auto"/>
            <w:noWrap/>
            <w:vAlign w:val="bottom"/>
          </w:tcPr>
          <w:p w14:paraId="659E072B" w14:textId="77777777" w:rsidR="00A46642" w:rsidRDefault="00A46642" w:rsidP="00A46642">
            <w:pPr>
              <w:spacing w:after="0" w:line="240" w:lineRule="auto"/>
              <w:jc w:val="right"/>
              <w:rPr>
                <w:rFonts w:ascii="Calibri" w:eastAsia="Times New Roman" w:hAnsi="Calibri" w:cs="Calibri"/>
                <w:color w:val="000000"/>
                <w:lang w:eastAsia="en-AU"/>
              </w:rPr>
            </w:pPr>
          </w:p>
        </w:tc>
      </w:tr>
      <w:tr w:rsidR="00A46642" w:rsidRPr="00A1358D" w14:paraId="1D7B5B56" w14:textId="77777777" w:rsidTr="00FE375A">
        <w:trPr>
          <w:trHeight w:val="288"/>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E80BD7" w14:textId="77777777" w:rsidR="00A46642" w:rsidRDefault="00A46642" w:rsidP="00A46642">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BB (for HF) alone</w:t>
            </w:r>
          </w:p>
        </w:tc>
        <w:tc>
          <w:tcPr>
            <w:tcW w:w="1276" w:type="dxa"/>
            <w:tcBorders>
              <w:top w:val="single" w:sz="4" w:space="0" w:color="auto"/>
              <w:left w:val="nil"/>
              <w:bottom w:val="single" w:sz="4" w:space="0" w:color="auto"/>
              <w:right w:val="single" w:sz="4" w:space="0" w:color="auto"/>
            </w:tcBorders>
            <w:noWrap/>
            <w:vAlign w:val="bottom"/>
          </w:tcPr>
          <w:p w14:paraId="041B32D1" w14:textId="0F90FEEC" w:rsidR="00A46642" w:rsidRDefault="00A46642" w:rsidP="00A46642">
            <w:pPr>
              <w:spacing w:after="0" w:line="240" w:lineRule="auto"/>
              <w:jc w:val="right"/>
              <w:rPr>
                <w:rFonts w:ascii="Calibri" w:eastAsia="Times New Roman" w:hAnsi="Calibri" w:cs="Calibri"/>
                <w:color w:val="000000"/>
                <w:lang w:eastAsia="en-AU"/>
              </w:rPr>
            </w:pPr>
            <w:r>
              <w:rPr>
                <w:rFonts w:ascii="Calibri" w:hAnsi="Calibri" w:cs="Calibri"/>
                <w:color w:val="000000"/>
                <w:kern w:val="2"/>
                <w14:ligatures w14:val="standardContextual"/>
              </w:rPr>
              <w:t>20391</w:t>
            </w:r>
          </w:p>
        </w:tc>
        <w:tc>
          <w:tcPr>
            <w:tcW w:w="920" w:type="dxa"/>
            <w:tcBorders>
              <w:top w:val="single" w:sz="4" w:space="0" w:color="auto"/>
              <w:left w:val="nil"/>
              <w:bottom w:val="single" w:sz="4" w:space="0" w:color="auto"/>
              <w:right w:val="single" w:sz="4" w:space="0" w:color="auto"/>
            </w:tcBorders>
            <w:noWrap/>
            <w:vAlign w:val="bottom"/>
          </w:tcPr>
          <w:p w14:paraId="22792B35" w14:textId="255FC22B" w:rsidR="00A46642" w:rsidRDefault="00A46642" w:rsidP="00A46642">
            <w:pPr>
              <w:spacing w:after="0" w:line="240" w:lineRule="auto"/>
              <w:jc w:val="right"/>
              <w:rPr>
                <w:rFonts w:ascii="Calibri" w:eastAsia="Times New Roman" w:hAnsi="Calibri" w:cs="Calibri"/>
                <w:color w:val="000000"/>
                <w:lang w:eastAsia="en-AU"/>
              </w:rPr>
            </w:pPr>
            <w:r>
              <w:rPr>
                <w:rFonts w:ascii="Calibri" w:hAnsi="Calibri" w:cs="Calibri"/>
                <w:color w:val="000000"/>
                <w:kern w:val="2"/>
                <w14:ligatures w14:val="standardContextual"/>
              </w:rPr>
              <w:t>25.1%</w:t>
            </w:r>
          </w:p>
        </w:tc>
      </w:tr>
      <w:tr w:rsidR="00A46642" w:rsidRPr="00A1358D" w14:paraId="039CB308" w14:textId="77777777" w:rsidTr="00FE375A">
        <w:trPr>
          <w:trHeight w:val="288"/>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BDC445" w14:textId="77777777" w:rsidR="00A46642" w:rsidRDefault="00A46642" w:rsidP="00A46642">
            <w:pPr>
              <w:spacing w:after="0"/>
              <w:rPr>
                <w:rFonts w:ascii="Calibri" w:eastAsia="Times New Roman" w:hAnsi="Calibri" w:cs="Calibri"/>
                <w:color w:val="000000"/>
                <w:lang w:eastAsia="en-AU"/>
              </w:rPr>
            </w:pPr>
            <w:r>
              <w:rPr>
                <w:rFonts w:ascii="Calibri" w:hAnsi="Calibri"/>
                <w:color w:val="000000"/>
              </w:rPr>
              <w:t>ARNI (including in combinations which are not considered standard of care)</w:t>
            </w:r>
          </w:p>
        </w:tc>
        <w:tc>
          <w:tcPr>
            <w:tcW w:w="1276" w:type="dxa"/>
            <w:tcBorders>
              <w:top w:val="single" w:sz="4" w:space="0" w:color="auto"/>
              <w:left w:val="nil"/>
              <w:bottom w:val="single" w:sz="4" w:space="0" w:color="auto"/>
              <w:right w:val="single" w:sz="4" w:space="0" w:color="auto"/>
            </w:tcBorders>
            <w:noWrap/>
            <w:vAlign w:val="bottom"/>
          </w:tcPr>
          <w:p w14:paraId="271F7C36" w14:textId="67BE7E23" w:rsidR="00A46642" w:rsidRDefault="00A46642" w:rsidP="00A46642">
            <w:pPr>
              <w:spacing w:after="0" w:line="240" w:lineRule="auto"/>
              <w:jc w:val="right"/>
              <w:rPr>
                <w:rFonts w:ascii="Calibri" w:eastAsia="Times New Roman" w:hAnsi="Calibri" w:cs="Calibri"/>
                <w:color w:val="000000"/>
                <w:lang w:eastAsia="en-AU"/>
              </w:rPr>
            </w:pPr>
            <w:r>
              <w:rPr>
                <w:rFonts w:ascii="Calibri" w:hAnsi="Calibri" w:cs="Calibri"/>
                <w:color w:val="000000"/>
                <w:kern w:val="2"/>
                <w14:ligatures w14:val="standardContextual"/>
              </w:rPr>
              <w:t>2871</w:t>
            </w:r>
          </w:p>
        </w:tc>
        <w:tc>
          <w:tcPr>
            <w:tcW w:w="920" w:type="dxa"/>
            <w:tcBorders>
              <w:top w:val="single" w:sz="4" w:space="0" w:color="auto"/>
              <w:left w:val="nil"/>
              <w:bottom w:val="single" w:sz="4" w:space="0" w:color="auto"/>
              <w:right w:val="single" w:sz="4" w:space="0" w:color="auto"/>
            </w:tcBorders>
            <w:noWrap/>
            <w:vAlign w:val="bottom"/>
          </w:tcPr>
          <w:p w14:paraId="7DECE1BB" w14:textId="65A8BDAA" w:rsidR="00A46642" w:rsidRDefault="00A46642" w:rsidP="00A46642">
            <w:pPr>
              <w:spacing w:after="0" w:line="240" w:lineRule="auto"/>
              <w:jc w:val="right"/>
              <w:rPr>
                <w:rFonts w:ascii="Calibri" w:eastAsia="Times New Roman" w:hAnsi="Calibri" w:cs="Calibri"/>
                <w:color w:val="000000"/>
                <w:lang w:eastAsia="en-AU"/>
              </w:rPr>
            </w:pPr>
            <w:r>
              <w:rPr>
                <w:rFonts w:ascii="Calibri" w:hAnsi="Calibri" w:cs="Calibri"/>
                <w:color w:val="000000"/>
                <w:kern w:val="2"/>
                <w14:ligatures w14:val="standardContextual"/>
              </w:rPr>
              <w:t>3.5%</w:t>
            </w:r>
          </w:p>
        </w:tc>
      </w:tr>
      <w:tr w:rsidR="00A46642" w:rsidRPr="00A1358D" w14:paraId="4EFFD899" w14:textId="77777777" w:rsidTr="00FE375A">
        <w:trPr>
          <w:trHeight w:val="288"/>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6BA5DF" w14:textId="77777777" w:rsidR="00A46642" w:rsidRDefault="00A46642" w:rsidP="00A46642">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BB (for HF) in combinations which are not considered standard of care</w:t>
            </w:r>
          </w:p>
        </w:tc>
        <w:tc>
          <w:tcPr>
            <w:tcW w:w="1276" w:type="dxa"/>
            <w:tcBorders>
              <w:top w:val="single" w:sz="4" w:space="0" w:color="auto"/>
              <w:left w:val="nil"/>
              <w:bottom w:val="single" w:sz="4" w:space="0" w:color="auto"/>
              <w:right w:val="single" w:sz="4" w:space="0" w:color="auto"/>
            </w:tcBorders>
            <w:noWrap/>
            <w:vAlign w:val="bottom"/>
          </w:tcPr>
          <w:p w14:paraId="5CC71541" w14:textId="3B938B79" w:rsidR="00A46642" w:rsidRDefault="00A46642" w:rsidP="00A46642">
            <w:pPr>
              <w:spacing w:after="0" w:line="240" w:lineRule="auto"/>
              <w:jc w:val="right"/>
              <w:rPr>
                <w:rFonts w:ascii="Calibri" w:eastAsia="Times New Roman" w:hAnsi="Calibri" w:cs="Calibri"/>
                <w:color w:val="000000"/>
                <w:lang w:eastAsia="en-AU"/>
              </w:rPr>
            </w:pPr>
            <w:r>
              <w:rPr>
                <w:rFonts w:ascii="Calibri" w:hAnsi="Calibri" w:cs="Calibri"/>
                <w:color w:val="000000"/>
                <w:kern w:val="2"/>
                <w14:ligatures w14:val="standardContextual"/>
              </w:rPr>
              <w:t>7682</w:t>
            </w:r>
          </w:p>
        </w:tc>
        <w:tc>
          <w:tcPr>
            <w:tcW w:w="920" w:type="dxa"/>
            <w:tcBorders>
              <w:top w:val="single" w:sz="4" w:space="0" w:color="auto"/>
              <w:left w:val="nil"/>
              <w:bottom w:val="single" w:sz="4" w:space="0" w:color="auto"/>
              <w:right w:val="single" w:sz="4" w:space="0" w:color="auto"/>
            </w:tcBorders>
            <w:noWrap/>
            <w:vAlign w:val="bottom"/>
          </w:tcPr>
          <w:p w14:paraId="5C87561F" w14:textId="15811EFE" w:rsidR="00A46642" w:rsidRDefault="00A46642" w:rsidP="00A46642">
            <w:pPr>
              <w:spacing w:after="0" w:line="240" w:lineRule="auto"/>
              <w:jc w:val="right"/>
              <w:rPr>
                <w:rFonts w:ascii="Calibri" w:eastAsia="Times New Roman" w:hAnsi="Calibri" w:cs="Calibri"/>
                <w:color w:val="000000"/>
                <w:lang w:eastAsia="en-AU"/>
              </w:rPr>
            </w:pPr>
            <w:r>
              <w:rPr>
                <w:rFonts w:ascii="Calibri" w:hAnsi="Calibri" w:cs="Calibri"/>
                <w:color w:val="000000"/>
                <w:kern w:val="2"/>
                <w14:ligatures w14:val="standardContextual"/>
              </w:rPr>
              <w:t>9.4%</w:t>
            </w:r>
          </w:p>
        </w:tc>
      </w:tr>
      <w:tr w:rsidR="00A46642" w:rsidRPr="00A1358D" w14:paraId="3C3EB1FC" w14:textId="77777777" w:rsidTr="00FE375A">
        <w:trPr>
          <w:trHeight w:val="288"/>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4308E4" w14:textId="77777777" w:rsidR="00A46642" w:rsidRDefault="00A46642" w:rsidP="00A46642">
            <w:pPr>
              <w:spacing w:after="0"/>
              <w:rPr>
                <w:rFonts w:ascii="Calibri" w:hAnsi="Calibri"/>
                <w:color w:val="000000"/>
              </w:rPr>
            </w:pPr>
            <w:r>
              <w:rPr>
                <w:rFonts w:ascii="Calibri" w:eastAsia="Times New Roman" w:hAnsi="Calibri" w:cs="Calibri"/>
                <w:color w:val="000000"/>
                <w:lang w:eastAsia="en-AU"/>
              </w:rPr>
              <w:t>HCN (including in combinations which are not considered standard of care)</w:t>
            </w:r>
          </w:p>
        </w:tc>
        <w:tc>
          <w:tcPr>
            <w:tcW w:w="1276" w:type="dxa"/>
            <w:tcBorders>
              <w:top w:val="single" w:sz="4" w:space="0" w:color="auto"/>
              <w:left w:val="nil"/>
              <w:bottom w:val="single" w:sz="4" w:space="0" w:color="auto"/>
              <w:right w:val="single" w:sz="4" w:space="0" w:color="auto"/>
            </w:tcBorders>
            <w:noWrap/>
            <w:vAlign w:val="bottom"/>
          </w:tcPr>
          <w:p w14:paraId="15B8D837" w14:textId="75937365" w:rsidR="00A46642" w:rsidRDefault="00A46642" w:rsidP="00A46642">
            <w:pPr>
              <w:spacing w:after="0" w:line="240" w:lineRule="auto"/>
              <w:jc w:val="right"/>
              <w:rPr>
                <w:rFonts w:ascii="Calibri" w:eastAsia="Times New Roman" w:hAnsi="Calibri" w:cs="Calibri"/>
                <w:color w:val="000000"/>
                <w:lang w:eastAsia="en-AU"/>
              </w:rPr>
            </w:pPr>
            <w:r>
              <w:rPr>
                <w:rFonts w:ascii="Calibri" w:hAnsi="Calibri" w:cs="Calibri"/>
                <w:color w:val="000000"/>
                <w:kern w:val="2"/>
                <w14:ligatures w14:val="standardContextual"/>
              </w:rPr>
              <w:t>1612</w:t>
            </w:r>
          </w:p>
        </w:tc>
        <w:tc>
          <w:tcPr>
            <w:tcW w:w="920" w:type="dxa"/>
            <w:tcBorders>
              <w:top w:val="single" w:sz="4" w:space="0" w:color="auto"/>
              <w:left w:val="nil"/>
              <w:bottom w:val="single" w:sz="4" w:space="0" w:color="auto"/>
              <w:right w:val="single" w:sz="4" w:space="0" w:color="auto"/>
            </w:tcBorders>
            <w:noWrap/>
            <w:vAlign w:val="bottom"/>
          </w:tcPr>
          <w:p w14:paraId="6F4B7119" w14:textId="158EAFE5" w:rsidR="00A46642" w:rsidRDefault="00A46642" w:rsidP="00A46642">
            <w:pPr>
              <w:spacing w:after="0" w:line="240" w:lineRule="auto"/>
              <w:jc w:val="right"/>
              <w:rPr>
                <w:rFonts w:ascii="Calibri" w:eastAsia="Times New Roman" w:hAnsi="Calibri" w:cs="Calibri"/>
                <w:color w:val="000000"/>
                <w:lang w:eastAsia="en-AU"/>
              </w:rPr>
            </w:pPr>
            <w:r>
              <w:rPr>
                <w:rFonts w:ascii="Calibri" w:hAnsi="Calibri" w:cs="Calibri"/>
                <w:color w:val="000000"/>
                <w:kern w:val="2"/>
                <w14:ligatures w14:val="standardContextual"/>
              </w:rPr>
              <w:t>2%</w:t>
            </w:r>
          </w:p>
        </w:tc>
      </w:tr>
      <w:tr w:rsidR="00A46642" w:rsidRPr="00A1358D" w14:paraId="02E32AC8" w14:textId="77777777" w:rsidTr="00FE375A">
        <w:trPr>
          <w:trHeight w:val="288"/>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EEB96" w14:textId="77777777" w:rsidR="00A46642" w:rsidRDefault="00A46642" w:rsidP="00A46642">
            <w:pPr>
              <w:spacing w:after="0"/>
              <w:rPr>
                <w:rFonts w:ascii="Calibri" w:eastAsia="Times New Roman" w:hAnsi="Calibri" w:cs="Calibri"/>
                <w:color w:val="000000"/>
                <w:lang w:eastAsia="en-AU"/>
              </w:rPr>
            </w:pPr>
            <w:r>
              <w:rPr>
                <w:rFonts w:ascii="Calibri" w:eastAsia="Times New Roman" w:hAnsi="Calibri" w:cs="Calibri"/>
                <w:color w:val="000000"/>
                <w:lang w:eastAsia="en-AU"/>
              </w:rPr>
              <w:t>MRA for HF (including in combinations which are not considered standard of care)</w:t>
            </w:r>
          </w:p>
        </w:tc>
        <w:tc>
          <w:tcPr>
            <w:tcW w:w="1276" w:type="dxa"/>
            <w:tcBorders>
              <w:top w:val="single" w:sz="4" w:space="0" w:color="auto"/>
              <w:left w:val="nil"/>
              <w:bottom w:val="single" w:sz="4" w:space="0" w:color="auto"/>
              <w:right w:val="single" w:sz="4" w:space="0" w:color="auto"/>
            </w:tcBorders>
            <w:noWrap/>
            <w:vAlign w:val="bottom"/>
          </w:tcPr>
          <w:p w14:paraId="24E0A792" w14:textId="18C14327" w:rsidR="00A46642" w:rsidRDefault="00A46642" w:rsidP="00A46642">
            <w:pPr>
              <w:spacing w:after="0" w:line="240" w:lineRule="auto"/>
              <w:jc w:val="right"/>
              <w:rPr>
                <w:rFonts w:ascii="Calibri" w:eastAsia="Times New Roman" w:hAnsi="Calibri" w:cs="Calibri"/>
                <w:color w:val="000000"/>
                <w:lang w:eastAsia="en-AU"/>
              </w:rPr>
            </w:pPr>
            <w:r>
              <w:rPr>
                <w:rFonts w:ascii="Calibri" w:hAnsi="Calibri" w:cs="Calibri"/>
                <w:color w:val="000000"/>
                <w:kern w:val="2"/>
                <w14:ligatures w14:val="standardContextual"/>
              </w:rPr>
              <w:t>1278</w:t>
            </w:r>
          </w:p>
        </w:tc>
        <w:tc>
          <w:tcPr>
            <w:tcW w:w="920" w:type="dxa"/>
            <w:tcBorders>
              <w:top w:val="single" w:sz="4" w:space="0" w:color="auto"/>
              <w:left w:val="nil"/>
              <w:bottom w:val="single" w:sz="4" w:space="0" w:color="auto"/>
              <w:right w:val="single" w:sz="4" w:space="0" w:color="auto"/>
            </w:tcBorders>
            <w:noWrap/>
            <w:vAlign w:val="bottom"/>
          </w:tcPr>
          <w:p w14:paraId="598949DB" w14:textId="1DFEB1D2" w:rsidR="00A46642" w:rsidRDefault="00A46642" w:rsidP="00A46642">
            <w:pPr>
              <w:spacing w:after="0" w:line="240" w:lineRule="auto"/>
              <w:jc w:val="right"/>
              <w:rPr>
                <w:rFonts w:ascii="Calibri" w:eastAsia="Times New Roman" w:hAnsi="Calibri" w:cs="Calibri"/>
                <w:color w:val="000000"/>
                <w:lang w:eastAsia="en-AU"/>
              </w:rPr>
            </w:pPr>
            <w:r>
              <w:rPr>
                <w:rFonts w:ascii="Calibri" w:hAnsi="Calibri" w:cs="Calibri"/>
                <w:color w:val="000000"/>
                <w:kern w:val="2"/>
                <w14:ligatures w14:val="standardContextual"/>
              </w:rPr>
              <w:t>1.6%</w:t>
            </w:r>
          </w:p>
        </w:tc>
      </w:tr>
      <w:tr w:rsidR="00A46642" w:rsidRPr="00A1358D" w14:paraId="465B3B98" w14:textId="77777777" w:rsidTr="00FE375A">
        <w:trPr>
          <w:trHeight w:val="288"/>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CF46D" w14:textId="77777777" w:rsidR="00A46642" w:rsidRDefault="00A46642" w:rsidP="00A46642">
            <w:pPr>
              <w:spacing w:after="0"/>
              <w:rPr>
                <w:rFonts w:ascii="Calibri" w:eastAsia="Times New Roman" w:hAnsi="Calibri" w:cs="Calibri"/>
                <w:color w:val="000000"/>
                <w:lang w:eastAsia="en-AU"/>
              </w:rPr>
            </w:pPr>
            <w:r>
              <w:rPr>
                <w:rFonts w:ascii="Calibri" w:eastAsia="Times New Roman" w:hAnsi="Calibri" w:cs="Calibri"/>
                <w:color w:val="000000"/>
                <w:lang w:eastAsia="en-AU"/>
              </w:rPr>
              <w:t>SGLT2 for HF (including in combinations which are not considered standard of care)</w:t>
            </w:r>
          </w:p>
        </w:tc>
        <w:tc>
          <w:tcPr>
            <w:tcW w:w="1276" w:type="dxa"/>
            <w:tcBorders>
              <w:top w:val="single" w:sz="4" w:space="0" w:color="auto"/>
              <w:left w:val="nil"/>
              <w:bottom w:val="single" w:sz="4" w:space="0" w:color="auto"/>
              <w:right w:val="single" w:sz="4" w:space="0" w:color="auto"/>
            </w:tcBorders>
            <w:noWrap/>
            <w:vAlign w:val="bottom"/>
          </w:tcPr>
          <w:p w14:paraId="2069D52A" w14:textId="507B9A4A" w:rsidR="00A46642" w:rsidRDefault="00A46642" w:rsidP="00A46642">
            <w:pPr>
              <w:spacing w:after="0" w:line="240" w:lineRule="auto"/>
              <w:jc w:val="right"/>
              <w:rPr>
                <w:rFonts w:ascii="Calibri" w:eastAsia="Times New Roman" w:hAnsi="Calibri" w:cs="Calibri"/>
                <w:color w:val="000000"/>
                <w:lang w:eastAsia="en-AU"/>
              </w:rPr>
            </w:pPr>
            <w:r>
              <w:rPr>
                <w:rFonts w:ascii="Calibri" w:hAnsi="Calibri" w:cs="Calibri"/>
                <w:color w:val="000000"/>
                <w:kern w:val="2"/>
                <w14:ligatures w14:val="standardContextual"/>
              </w:rPr>
              <w:t>14985</w:t>
            </w:r>
          </w:p>
        </w:tc>
        <w:tc>
          <w:tcPr>
            <w:tcW w:w="920" w:type="dxa"/>
            <w:tcBorders>
              <w:top w:val="single" w:sz="4" w:space="0" w:color="auto"/>
              <w:left w:val="nil"/>
              <w:bottom w:val="single" w:sz="4" w:space="0" w:color="auto"/>
              <w:right w:val="single" w:sz="4" w:space="0" w:color="auto"/>
            </w:tcBorders>
            <w:noWrap/>
            <w:vAlign w:val="bottom"/>
          </w:tcPr>
          <w:p w14:paraId="17237564" w14:textId="4EF87FA8" w:rsidR="00A46642" w:rsidRDefault="00A46642" w:rsidP="00A46642">
            <w:pPr>
              <w:spacing w:after="0" w:line="240" w:lineRule="auto"/>
              <w:jc w:val="right"/>
              <w:rPr>
                <w:rFonts w:ascii="Calibri" w:eastAsia="Times New Roman" w:hAnsi="Calibri" w:cs="Calibri"/>
                <w:color w:val="000000"/>
                <w:lang w:eastAsia="en-AU"/>
              </w:rPr>
            </w:pPr>
            <w:r>
              <w:rPr>
                <w:rFonts w:ascii="Calibri" w:hAnsi="Calibri" w:cs="Calibri"/>
                <w:color w:val="000000"/>
                <w:kern w:val="2"/>
                <w14:ligatures w14:val="standardContextual"/>
              </w:rPr>
              <w:t>18.4%</w:t>
            </w:r>
          </w:p>
        </w:tc>
      </w:tr>
      <w:tr w:rsidR="00A46642" w:rsidRPr="00320FB3" w14:paraId="4CA32E03" w14:textId="77777777" w:rsidTr="00FE375A">
        <w:trPr>
          <w:trHeight w:val="288"/>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A0DE3" w14:textId="77777777" w:rsidR="00A46642" w:rsidRPr="00320FB3" w:rsidRDefault="00A46642" w:rsidP="00A46642">
            <w:pPr>
              <w:spacing w:after="0"/>
              <w:rPr>
                <w:rFonts w:ascii="Calibri" w:eastAsia="Times New Roman" w:hAnsi="Calibri" w:cs="Calibri"/>
                <w:b/>
                <w:bCs/>
                <w:color w:val="000000"/>
                <w:lang w:eastAsia="en-AU"/>
              </w:rPr>
            </w:pPr>
            <w:r w:rsidRPr="00320FB3">
              <w:rPr>
                <w:rFonts w:ascii="Calibri" w:eastAsia="Times New Roman" w:hAnsi="Calibri" w:cs="Calibri"/>
                <w:b/>
                <w:bCs/>
                <w:color w:val="000000"/>
                <w:lang w:eastAsia="en-AU"/>
              </w:rPr>
              <w:t>Sub-Total (</w:t>
            </w:r>
            <w:proofErr w:type="gramStart"/>
            <w:r w:rsidRPr="00320FB3">
              <w:rPr>
                <w:rFonts w:ascii="Calibri" w:eastAsia="Times New Roman" w:hAnsi="Calibri" w:cs="Calibri"/>
                <w:b/>
                <w:bCs/>
                <w:color w:val="000000"/>
                <w:lang w:eastAsia="en-AU"/>
              </w:rPr>
              <w:t>Non standard</w:t>
            </w:r>
            <w:proofErr w:type="gramEnd"/>
            <w:r w:rsidRPr="00320FB3">
              <w:rPr>
                <w:rFonts w:ascii="Calibri" w:eastAsia="Times New Roman" w:hAnsi="Calibri" w:cs="Calibri"/>
                <w:b/>
                <w:bCs/>
                <w:color w:val="000000"/>
                <w:lang w:eastAsia="en-AU"/>
              </w:rPr>
              <w:t xml:space="preserve"> of care)</w:t>
            </w:r>
          </w:p>
        </w:tc>
        <w:tc>
          <w:tcPr>
            <w:tcW w:w="1276" w:type="dxa"/>
            <w:tcBorders>
              <w:top w:val="single" w:sz="4" w:space="0" w:color="auto"/>
              <w:left w:val="nil"/>
              <w:bottom w:val="single" w:sz="4" w:space="0" w:color="auto"/>
              <w:right w:val="single" w:sz="4" w:space="0" w:color="auto"/>
            </w:tcBorders>
            <w:noWrap/>
            <w:vAlign w:val="bottom"/>
          </w:tcPr>
          <w:p w14:paraId="5DC384DF" w14:textId="583B84C0" w:rsidR="00A46642" w:rsidRPr="00320FB3" w:rsidRDefault="00A46642" w:rsidP="00A46642">
            <w:pPr>
              <w:spacing w:after="0" w:line="240" w:lineRule="auto"/>
              <w:jc w:val="right"/>
              <w:rPr>
                <w:rFonts w:ascii="Calibri" w:eastAsia="Times New Roman" w:hAnsi="Calibri" w:cs="Calibri"/>
                <w:b/>
                <w:bCs/>
                <w:color w:val="000000"/>
                <w:lang w:eastAsia="en-AU"/>
              </w:rPr>
            </w:pPr>
            <w:r>
              <w:rPr>
                <w:rFonts w:ascii="Calibri" w:eastAsia="Times New Roman" w:hAnsi="Calibri" w:cs="Calibri"/>
                <w:b/>
                <w:bCs/>
                <w:color w:val="000000"/>
                <w:kern w:val="2"/>
                <w:lang w:eastAsia="en-AU"/>
                <w14:ligatures w14:val="standardContextual"/>
              </w:rPr>
              <w:t>48819</w:t>
            </w:r>
          </w:p>
        </w:tc>
        <w:tc>
          <w:tcPr>
            <w:tcW w:w="920" w:type="dxa"/>
            <w:tcBorders>
              <w:top w:val="single" w:sz="4" w:space="0" w:color="auto"/>
              <w:left w:val="nil"/>
              <w:bottom w:val="single" w:sz="4" w:space="0" w:color="auto"/>
              <w:right w:val="single" w:sz="4" w:space="0" w:color="auto"/>
            </w:tcBorders>
            <w:noWrap/>
            <w:vAlign w:val="bottom"/>
          </w:tcPr>
          <w:p w14:paraId="30CD3CD3" w14:textId="6E64A01F" w:rsidR="00A46642" w:rsidRPr="00320FB3" w:rsidRDefault="00A46642" w:rsidP="00A46642">
            <w:pPr>
              <w:spacing w:after="0" w:line="240" w:lineRule="auto"/>
              <w:jc w:val="right"/>
              <w:rPr>
                <w:rFonts w:ascii="Calibri" w:eastAsia="Times New Roman" w:hAnsi="Calibri" w:cs="Calibri"/>
                <w:b/>
                <w:bCs/>
                <w:color w:val="000000"/>
                <w:lang w:eastAsia="en-AU"/>
              </w:rPr>
            </w:pPr>
            <w:r>
              <w:rPr>
                <w:rFonts w:ascii="Calibri" w:eastAsia="Times New Roman" w:hAnsi="Calibri" w:cs="Calibri"/>
                <w:b/>
                <w:bCs/>
                <w:color w:val="000000"/>
                <w:kern w:val="2"/>
                <w:lang w:eastAsia="en-AU"/>
                <w14:ligatures w14:val="standardContextual"/>
              </w:rPr>
              <w:t>60.0%</w:t>
            </w:r>
          </w:p>
        </w:tc>
      </w:tr>
    </w:tbl>
    <w:p w14:paraId="2B290E3F" w14:textId="77777777" w:rsidR="00035B28" w:rsidRDefault="00035B28" w:rsidP="00035B28">
      <w:pPr>
        <w:spacing w:after="0" w:line="240" w:lineRule="auto"/>
        <w:rPr>
          <w:rFonts w:cstheme="minorHAnsi"/>
          <w:i/>
          <w:iCs/>
          <w:sz w:val="18"/>
          <w:szCs w:val="18"/>
        </w:rPr>
      </w:pPr>
      <w:r>
        <w:rPr>
          <w:rFonts w:cstheme="minorHAnsi"/>
          <w:i/>
          <w:iCs/>
          <w:sz w:val="18"/>
          <w:szCs w:val="18"/>
        </w:rPr>
        <w:t>Note: There were no people who initiated BB + ARNI + SGLT2 (for HF) in 2022</w:t>
      </w:r>
    </w:p>
    <w:p w14:paraId="6114429A" w14:textId="77777777" w:rsidR="00035B28" w:rsidRPr="008E2AAA" w:rsidRDefault="00035B28" w:rsidP="00035B28">
      <w:pPr>
        <w:spacing w:after="0" w:line="240" w:lineRule="auto"/>
        <w:rPr>
          <w:rFonts w:cstheme="minorHAnsi"/>
          <w:i/>
          <w:iCs/>
          <w:sz w:val="18"/>
          <w:szCs w:val="18"/>
        </w:rPr>
      </w:pPr>
      <w:r w:rsidRPr="008E2AAA">
        <w:rPr>
          <w:rFonts w:cstheme="minorHAnsi"/>
          <w:i/>
          <w:iCs/>
          <w:sz w:val="18"/>
          <w:szCs w:val="18"/>
        </w:rPr>
        <w:t>Legend: BB</w:t>
      </w:r>
      <w:r>
        <w:rPr>
          <w:rFonts w:cstheme="minorHAnsi"/>
          <w:i/>
          <w:iCs/>
          <w:sz w:val="18"/>
          <w:szCs w:val="18"/>
        </w:rPr>
        <w:t xml:space="preserve"> (for HF)</w:t>
      </w:r>
      <w:r w:rsidRPr="008E2AAA">
        <w:rPr>
          <w:rFonts w:cstheme="minorHAnsi"/>
          <w:i/>
          <w:iCs/>
          <w:sz w:val="18"/>
          <w:szCs w:val="18"/>
        </w:rPr>
        <w:t xml:space="preserve"> – Beta-Blockers</w:t>
      </w:r>
      <w:r>
        <w:rPr>
          <w:rFonts w:cstheme="minorHAnsi"/>
          <w:i/>
          <w:iCs/>
          <w:sz w:val="18"/>
          <w:szCs w:val="18"/>
        </w:rPr>
        <w:t xml:space="preserve"> for HF, </w:t>
      </w:r>
      <w:r w:rsidRPr="008E2AAA">
        <w:rPr>
          <w:rFonts w:cstheme="minorHAnsi"/>
          <w:i/>
          <w:iCs/>
          <w:sz w:val="18"/>
          <w:szCs w:val="18"/>
        </w:rPr>
        <w:t>SGLT2</w:t>
      </w:r>
      <w:r>
        <w:rPr>
          <w:rFonts w:cstheme="minorHAnsi"/>
          <w:i/>
          <w:iCs/>
          <w:sz w:val="18"/>
          <w:szCs w:val="18"/>
        </w:rPr>
        <w:t xml:space="preserve"> (for HF)</w:t>
      </w:r>
      <w:r w:rsidRPr="008E2AAA">
        <w:rPr>
          <w:rFonts w:cstheme="minorHAnsi"/>
          <w:i/>
          <w:iCs/>
          <w:sz w:val="18"/>
          <w:szCs w:val="18"/>
        </w:rPr>
        <w:t xml:space="preserve"> – Sodium-glucose co-transporter 2 inhibitors</w:t>
      </w:r>
      <w:r>
        <w:rPr>
          <w:rFonts w:cstheme="minorHAnsi"/>
          <w:i/>
          <w:iCs/>
          <w:sz w:val="18"/>
          <w:szCs w:val="18"/>
        </w:rPr>
        <w:t xml:space="preserve"> </w:t>
      </w:r>
      <w:r w:rsidRPr="008E2AAA">
        <w:rPr>
          <w:rFonts w:cstheme="minorHAnsi"/>
          <w:i/>
          <w:iCs/>
          <w:sz w:val="18"/>
          <w:szCs w:val="18"/>
        </w:rPr>
        <w:t>for HF</w:t>
      </w:r>
    </w:p>
    <w:p w14:paraId="614C053B" w14:textId="77777777" w:rsidR="00035B28" w:rsidRPr="008B0243" w:rsidRDefault="00035B28" w:rsidP="00035B28">
      <w:pPr>
        <w:spacing w:after="0" w:line="240" w:lineRule="auto"/>
        <w:rPr>
          <w:rFonts w:cstheme="minorHAnsi"/>
          <w:i/>
          <w:iCs/>
          <w:sz w:val="18"/>
          <w:szCs w:val="18"/>
        </w:rPr>
      </w:pPr>
      <w:r w:rsidRPr="008E2AAA">
        <w:rPr>
          <w:rFonts w:cstheme="minorHAnsi"/>
          <w:i/>
          <w:iCs/>
          <w:sz w:val="18"/>
          <w:szCs w:val="18"/>
        </w:rPr>
        <w:t>ARNI – angiotensi</w:t>
      </w:r>
      <w:r>
        <w:rPr>
          <w:rFonts w:cstheme="minorHAnsi"/>
          <w:i/>
          <w:iCs/>
          <w:sz w:val="18"/>
          <w:szCs w:val="18"/>
        </w:rPr>
        <w:t xml:space="preserve">n receptor neprilysin inhibitor, MRA - </w:t>
      </w:r>
      <w:r w:rsidRPr="008B0243">
        <w:rPr>
          <w:rFonts w:cstheme="minorHAnsi"/>
          <w:i/>
          <w:iCs/>
          <w:sz w:val="18"/>
          <w:szCs w:val="18"/>
        </w:rPr>
        <w:t>Mineralocorticoid receptor antagonist</w:t>
      </w:r>
      <w:r>
        <w:rPr>
          <w:rFonts w:cstheme="minorHAnsi"/>
          <w:i/>
          <w:iCs/>
          <w:sz w:val="18"/>
          <w:szCs w:val="18"/>
        </w:rPr>
        <w:t xml:space="preserve"> (Eplerenone/Spironolactone)</w:t>
      </w:r>
    </w:p>
    <w:p w14:paraId="3C7188DE" w14:textId="6D316124" w:rsidR="00035B28" w:rsidRPr="008E2AAA" w:rsidRDefault="00035B28" w:rsidP="00035B28">
      <w:pPr>
        <w:spacing w:after="0" w:line="240" w:lineRule="auto"/>
        <w:rPr>
          <w:rFonts w:cstheme="minorHAnsi"/>
          <w:i/>
          <w:iCs/>
          <w:sz w:val="18"/>
          <w:szCs w:val="18"/>
        </w:rPr>
      </w:pPr>
      <w:r w:rsidRPr="008E2AAA">
        <w:rPr>
          <w:rFonts w:cstheme="minorHAnsi"/>
          <w:i/>
          <w:iCs/>
          <w:sz w:val="18"/>
          <w:szCs w:val="18"/>
        </w:rPr>
        <w:t>ACE</w:t>
      </w:r>
      <w:r w:rsidR="003A0616">
        <w:rPr>
          <w:rFonts w:cstheme="minorHAnsi"/>
          <w:i/>
          <w:iCs/>
          <w:sz w:val="18"/>
          <w:szCs w:val="18"/>
        </w:rPr>
        <w:t>i</w:t>
      </w:r>
      <w:r w:rsidRPr="008E2AAA">
        <w:rPr>
          <w:rFonts w:cstheme="minorHAnsi"/>
          <w:i/>
          <w:iCs/>
          <w:sz w:val="18"/>
          <w:szCs w:val="18"/>
        </w:rPr>
        <w:t xml:space="preserve"> – Angiotensin-converting enzyme inhibitor</w:t>
      </w:r>
      <w:r>
        <w:rPr>
          <w:rFonts w:cstheme="minorHAnsi"/>
          <w:i/>
          <w:iCs/>
          <w:sz w:val="18"/>
          <w:szCs w:val="18"/>
        </w:rPr>
        <w:t xml:space="preserve"> (including in FDC), </w:t>
      </w:r>
      <w:r w:rsidRPr="008E2AAA">
        <w:rPr>
          <w:rFonts w:cstheme="minorHAnsi"/>
          <w:i/>
          <w:iCs/>
          <w:sz w:val="18"/>
          <w:szCs w:val="18"/>
        </w:rPr>
        <w:t>ARB – Angiotensin receptor blocker</w:t>
      </w:r>
      <w:r>
        <w:rPr>
          <w:rFonts w:cstheme="minorHAnsi"/>
          <w:i/>
          <w:iCs/>
          <w:sz w:val="18"/>
          <w:szCs w:val="18"/>
        </w:rPr>
        <w:t xml:space="preserve"> (including in FDC)</w:t>
      </w:r>
    </w:p>
    <w:p w14:paraId="6A9C7DB8" w14:textId="77777777" w:rsidR="00035B28" w:rsidRPr="008E2AAA" w:rsidRDefault="00035B28" w:rsidP="00035B28">
      <w:pPr>
        <w:spacing w:after="0" w:line="240" w:lineRule="auto"/>
        <w:rPr>
          <w:rFonts w:cstheme="minorHAnsi"/>
          <w:i/>
          <w:iCs/>
          <w:sz w:val="18"/>
          <w:szCs w:val="18"/>
        </w:rPr>
      </w:pPr>
      <w:r>
        <w:rPr>
          <w:rFonts w:cstheme="minorHAnsi"/>
          <w:i/>
          <w:iCs/>
          <w:sz w:val="18"/>
          <w:szCs w:val="18"/>
        </w:rPr>
        <w:t>HCN</w:t>
      </w:r>
      <w:r w:rsidRPr="008E2AAA">
        <w:rPr>
          <w:rFonts w:cstheme="minorHAnsi"/>
          <w:i/>
          <w:iCs/>
          <w:sz w:val="18"/>
          <w:szCs w:val="18"/>
        </w:rPr>
        <w:t xml:space="preserve"> –</w:t>
      </w:r>
      <w:r>
        <w:rPr>
          <w:rFonts w:cstheme="minorHAnsi"/>
          <w:i/>
          <w:iCs/>
          <w:sz w:val="18"/>
          <w:szCs w:val="18"/>
        </w:rPr>
        <w:t xml:space="preserve"> HCN channel blocker</w:t>
      </w:r>
    </w:p>
    <w:p w14:paraId="108FEA37" w14:textId="256066C6" w:rsidR="00035B28" w:rsidRDefault="00035B28" w:rsidP="00035B28">
      <w:pPr>
        <w:jc w:val="both"/>
      </w:pPr>
    </w:p>
    <w:p w14:paraId="08F63E29" w14:textId="3780AD1F" w:rsidR="00821F5C" w:rsidRDefault="00821F5C" w:rsidP="00821F5C">
      <w:pPr>
        <w:pStyle w:val="Heading3"/>
      </w:pPr>
      <w:r>
        <w:t xml:space="preserve"> </w:t>
      </w:r>
      <w:bookmarkStart w:id="29" w:name="_Toc165448403"/>
      <w:r w:rsidR="00E928FD">
        <w:t>A</w:t>
      </w:r>
      <w:r>
        <w:t xml:space="preserve">dd-on prescribing to standard </w:t>
      </w:r>
      <w:r w:rsidR="006E2779">
        <w:t xml:space="preserve">of </w:t>
      </w:r>
      <w:r>
        <w:t>care heart failure medicines</w:t>
      </w:r>
      <w:bookmarkEnd w:id="29"/>
    </w:p>
    <w:p w14:paraId="2D975F6A" w14:textId="0E553595" w:rsidR="005E1FB0" w:rsidRDefault="005E1FB0" w:rsidP="005E1FB0">
      <w:pPr>
        <w:jc w:val="both"/>
        <w:rPr>
          <w:rFonts w:cstheme="minorHAnsi"/>
          <w:bCs/>
        </w:rPr>
      </w:pPr>
      <w:r>
        <w:t xml:space="preserve">This section of the report examines add-on prescribing to standard of care in the incident heart failure </w:t>
      </w:r>
      <w:r w:rsidRPr="005E1FB0">
        <w:t>population.</w:t>
      </w:r>
      <w:r w:rsidR="008F72BE">
        <w:t xml:space="preserve"> </w:t>
      </w:r>
      <w:r w:rsidRPr="005E1FB0">
        <w:t>A</w:t>
      </w:r>
      <w:r w:rsidR="00035B28" w:rsidRPr="005E1FB0">
        <w:t xml:space="preserve">dd-on therapies </w:t>
      </w:r>
      <w:r w:rsidRPr="005E1FB0">
        <w:t xml:space="preserve">that were considered for patients already receiving conventional/standard of care medicines for HF were: </w:t>
      </w:r>
      <w:r w:rsidR="00035B28" w:rsidRPr="005E1FB0">
        <w:t xml:space="preserve">SGLT2 inhibitors, </w:t>
      </w:r>
      <w:r w:rsidR="008F72BE">
        <w:t>HCN (</w:t>
      </w:r>
      <w:r w:rsidR="00035B28" w:rsidRPr="005E1FB0">
        <w:t>ivabradine</w:t>
      </w:r>
      <w:r w:rsidR="008F72BE">
        <w:t>)</w:t>
      </w:r>
      <w:r w:rsidR="00035B28" w:rsidRPr="005E1FB0">
        <w:t xml:space="preserve"> and </w:t>
      </w:r>
      <w:r w:rsidR="008F72BE">
        <w:t>sGC (</w:t>
      </w:r>
      <w:r w:rsidR="00035B28" w:rsidRPr="005E1FB0">
        <w:t>vericiguat</w:t>
      </w:r>
      <w:r w:rsidR="008F72BE">
        <w:t>)</w:t>
      </w:r>
      <w:r w:rsidR="00035B28" w:rsidRPr="005E1FB0">
        <w:t xml:space="preserve">. </w:t>
      </w:r>
      <w:r w:rsidRPr="005E1FB0">
        <w:rPr>
          <w:rFonts w:cstheme="minorHAnsi"/>
          <w:bCs/>
        </w:rPr>
        <w:t>While SGLT2 was considered in the standard of care, this analysis also considered SGLT2i use as ‘add-on treatment’ for consistency with PBS restriction criteria and due to the recency of its listing on the PBS for the heart failure indication (Jan</w:t>
      </w:r>
      <w:r w:rsidR="008F72BE">
        <w:rPr>
          <w:rFonts w:cstheme="minorHAnsi"/>
          <w:bCs/>
        </w:rPr>
        <w:t>uary</w:t>
      </w:r>
      <w:r w:rsidRPr="005E1FB0">
        <w:rPr>
          <w:rFonts w:cstheme="minorHAnsi"/>
          <w:bCs/>
        </w:rPr>
        <w:t xml:space="preserve"> 2022). It should be noted that the Australian Medicines Handbook recommends quadruple therapy including SGLT2i as part of standard of care for the treatment of HFrEF. A three</w:t>
      </w:r>
      <w:r w:rsidR="00F00326">
        <w:rPr>
          <w:rFonts w:cstheme="minorHAnsi"/>
          <w:bCs/>
        </w:rPr>
        <w:t>-</w:t>
      </w:r>
      <w:r w:rsidRPr="005E1FB0">
        <w:rPr>
          <w:rFonts w:cstheme="minorHAnsi"/>
          <w:bCs/>
        </w:rPr>
        <w:t>month window post initiation was used as the window to examine add-on therapy.</w:t>
      </w:r>
      <w:r>
        <w:rPr>
          <w:rFonts w:cstheme="minorHAnsi"/>
          <w:bCs/>
        </w:rPr>
        <w:t xml:space="preserve"> </w:t>
      </w:r>
    </w:p>
    <w:p w14:paraId="4F8BDB43" w14:textId="0CDDF7E6" w:rsidR="00035B28" w:rsidRDefault="005E1FB0" w:rsidP="00035B28">
      <w:pPr>
        <w:jc w:val="both"/>
      </w:pPr>
      <w:r w:rsidRPr="00A669FE">
        <w:t xml:space="preserve">Table 6 shows the add on therapy patterns. </w:t>
      </w:r>
      <w:r w:rsidR="00035B28" w:rsidRPr="00A669FE">
        <w:t xml:space="preserve">An SGLT2 inhibitor for HF was added to therapy in </w:t>
      </w:r>
      <w:r w:rsidR="00A66F22" w:rsidRPr="00A669FE">
        <w:t>3</w:t>
      </w:r>
      <w:r w:rsidR="00035B28" w:rsidRPr="00A669FE">
        <w:t>% of standard of care initiators within 3 months post initiation; a HCN channel blocker was added in 0.</w:t>
      </w:r>
      <w:r w:rsidR="00A66F22" w:rsidRPr="00A669FE">
        <w:t>2</w:t>
      </w:r>
      <w:r w:rsidR="00035B28" w:rsidRPr="00A669FE">
        <w:t>% within 3 months post initiation of standard of care (Table 6).</w:t>
      </w:r>
    </w:p>
    <w:p w14:paraId="16A39C24" w14:textId="77777777" w:rsidR="00F845D2" w:rsidRPr="005E1FB0" w:rsidRDefault="00F845D2" w:rsidP="009D697E">
      <w:pPr>
        <w:spacing w:after="0"/>
        <w:jc w:val="both"/>
        <w:rPr>
          <w:b/>
          <w:bCs/>
        </w:rPr>
      </w:pPr>
      <w:r w:rsidRPr="005E1FB0">
        <w:rPr>
          <w:b/>
          <w:bCs/>
        </w:rPr>
        <w:t>Table 6. Number of people on standard of care at initiation and type of add on therapy within 3 months post initiation</w:t>
      </w:r>
    </w:p>
    <w:tbl>
      <w:tblPr>
        <w:tblW w:w="9360" w:type="dxa"/>
        <w:tblLayout w:type="fixed"/>
        <w:tblLook w:val="04A0" w:firstRow="1" w:lastRow="0" w:firstColumn="1" w:lastColumn="0" w:noHBand="0" w:noVBand="1"/>
      </w:tblPr>
      <w:tblGrid>
        <w:gridCol w:w="1696"/>
        <w:gridCol w:w="1134"/>
        <w:gridCol w:w="993"/>
        <w:gridCol w:w="1134"/>
        <w:gridCol w:w="1134"/>
        <w:gridCol w:w="997"/>
        <w:gridCol w:w="1136"/>
        <w:gridCol w:w="1136"/>
      </w:tblGrid>
      <w:tr w:rsidR="00F845D2" w:rsidRPr="00F845D2" w14:paraId="64589C5D" w14:textId="77777777" w:rsidTr="00A669FE">
        <w:trPr>
          <w:trHeight w:val="363"/>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9D9FC" w14:textId="77777777" w:rsidR="00F845D2" w:rsidRPr="00F845D2" w:rsidRDefault="00F845D2" w:rsidP="009D697E">
            <w:pPr>
              <w:spacing w:after="0" w:line="240" w:lineRule="auto"/>
              <w:rPr>
                <w:rFonts w:ascii="Calibri" w:eastAsia="Times New Roman" w:hAnsi="Calibri" w:cs="Calibri"/>
                <w:color w:val="000000"/>
                <w:lang w:eastAsia="en-A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C6846" w14:textId="77777777" w:rsidR="00F845D2" w:rsidRPr="00F845D2" w:rsidRDefault="00F845D2" w:rsidP="009D697E">
            <w:pPr>
              <w:spacing w:after="0" w:line="240" w:lineRule="auto"/>
              <w:rPr>
                <w:rFonts w:ascii="Calibri" w:eastAsia="Times New Roman" w:hAnsi="Calibri" w:cs="Calibri"/>
                <w:color w:val="000000"/>
                <w:lang w:eastAsia="en-AU"/>
              </w:rPr>
            </w:pPr>
          </w:p>
        </w:tc>
        <w:tc>
          <w:tcPr>
            <w:tcW w:w="653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90319" w14:textId="77777777" w:rsidR="00F845D2" w:rsidRPr="003D4223" w:rsidRDefault="003D4223" w:rsidP="009D697E">
            <w:pPr>
              <w:spacing w:after="0" w:line="240" w:lineRule="auto"/>
              <w:jc w:val="center"/>
              <w:rPr>
                <w:rFonts w:ascii="Calibri" w:eastAsia="Times New Roman" w:hAnsi="Calibri" w:cs="Calibri"/>
                <w:b/>
                <w:color w:val="000000"/>
                <w:lang w:eastAsia="en-AU"/>
              </w:rPr>
            </w:pPr>
            <w:r w:rsidRPr="003D4223">
              <w:rPr>
                <w:rFonts w:ascii="Calibri" w:eastAsia="Times New Roman" w:hAnsi="Calibri" w:cs="Calibri"/>
                <w:b/>
                <w:color w:val="000000"/>
                <w:lang w:eastAsia="en-AU"/>
              </w:rPr>
              <w:t>Add on therapy w</w:t>
            </w:r>
            <w:r w:rsidR="00F845D2" w:rsidRPr="003D4223">
              <w:rPr>
                <w:rFonts w:ascii="Calibri" w:eastAsia="Times New Roman" w:hAnsi="Calibri" w:cs="Calibri"/>
                <w:b/>
                <w:color w:val="000000"/>
                <w:lang w:eastAsia="en-AU"/>
              </w:rPr>
              <w:t>ithin 3 months of initiation</w:t>
            </w:r>
          </w:p>
        </w:tc>
      </w:tr>
      <w:tr w:rsidR="00F845D2" w:rsidRPr="003D4223" w14:paraId="52ECEE54" w14:textId="77777777" w:rsidTr="00BD45E6">
        <w:trPr>
          <w:trHeight w:val="288"/>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38429" w14:textId="77777777" w:rsidR="00F845D2" w:rsidRPr="003D4223" w:rsidRDefault="00F845D2" w:rsidP="009D697E">
            <w:pPr>
              <w:spacing w:after="0" w:line="240" w:lineRule="auto"/>
              <w:rPr>
                <w:rFonts w:ascii="Calibri" w:eastAsia="Times New Roman" w:hAnsi="Calibri" w:cs="Calibri"/>
                <w:b/>
                <w:color w:val="000000"/>
                <w:lang w:eastAsia="en-AU"/>
              </w:rPr>
            </w:pPr>
            <w:r w:rsidRPr="003D4223">
              <w:rPr>
                <w:rFonts w:ascii="Calibri" w:eastAsia="Times New Roman" w:hAnsi="Calibri" w:cs="Calibri"/>
                <w:b/>
                <w:color w:val="000000"/>
                <w:lang w:eastAsia="en-AU"/>
              </w:rPr>
              <w:t>Therapy at initiation</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8A1F3B6" w14:textId="77777777" w:rsidR="00F845D2" w:rsidRPr="003D4223" w:rsidRDefault="00F845D2" w:rsidP="009D697E">
            <w:pPr>
              <w:spacing w:after="0" w:line="240" w:lineRule="auto"/>
              <w:rPr>
                <w:rFonts w:ascii="Calibri" w:eastAsia="Times New Roman" w:hAnsi="Calibri" w:cs="Calibri"/>
                <w:b/>
                <w:color w:val="000000"/>
                <w:lang w:eastAsia="en-AU"/>
              </w:rPr>
            </w:pPr>
            <w:r w:rsidRPr="003D4223">
              <w:rPr>
                <w:rFonts w:ascii="Calibri" w:eastAsia="Times New Roman" w:hAnsi="Calibri" w:cs="Calibri"/>
                <w:b/>
                <w:color w:val="000000"/>
                <w:lang w:eastAsia="en-AU"/>
              </w:rPr>
              <w:t>Number of people</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480F464A" w14:textId="77777777" w:rsidR="00F845D2" w:rsidRPr="003D4223" w:rsidRDefault="00F845D2" w:rsidP="009D697E">
            <w:pPr>
              <w:spacing w:after="0" w:line="240" w:lineRule="auto"/>
              <w:rPr>
                <w:rFonts w:ascii="Calibri" w:eastAsia="Times New Roman" w:hAnsi="Calibri" w:cs="Calibri"/>
                <w:b/>
                <w:color w:val="000000"/>
                <w:lang w:eastAsia="en-AU"/>
              </w:rPr>
            </w:pPr>
            <w:r w:rsidRPr="003D4223">
              <w:rPr>
                <w:rFonts w:ascii="Calibri" w:eastAsia="Times New Roman" w:hAnsi="Calibri" w:cs="Calibri"/>
                <w:b/>
                <w:color w:val="000000"/>
                <w:lang w:eastAsia="en-AU"/>
              </w:rPr>
              <w:t>No other add-on</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D084F11" w14:textId="77777777" w:rsidR="00F845D2" w:rsidRPr="003D4223" w:rsidRDefault="00F845D2" w:rsidP="009D697E">
            <w:pPr>
              <w:spacing w:after="0" w:line="240" w:lineRule="auto"/>
              <w:rPr>
                <w:rFonts w:ascii="Calibri" w:eastAsia="Times New Roman" w:hAnsi="Calibri" w:cs="Calibri"/>
                <w:b/>
                <w:color w:val="000000"/>
                <w:lang w:eastAsia="en-AU"/>
              </w:rPr>
            </w:pPr>
            <w:r w:rsidRPr="003D4223">
              <w:rPr>
                <w:rFonts w:ascii="Calibri" w:eastAsia="Times New Roman" w:hAnsi="Calibri" w:cs="Calibri"/>
                <w:b/>
                <w:color w:val="000000"/>
                <w:lang w:eastAsia="en-AU"/>
              </w:rPr>
              <w:t>HCN add-on</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2CDEBE9" w14:textId="77777777" w:rsidR="00F845D2" w:rsidRPr="003D4223" w:rsidRDefault="00F845D2" w:rsidP="009D697E">
            <w:pPr>
              <w:spacing w:after="0" w:line="240" w:lineRule="auto"/>
              <w:rPr>
                <w:rFonts w:ascii="Calibri" w:eastAsia="Times New Roman" w:hAnsi="Calibri" w:cs="Calibri"/>
                <w:b/>
                <w:color w:val="000000"/>
                <w:lang w:eastAsia="en-AU"/>
              </w:rPr>
            </w:pPr>
            <w:r w:rsidRPr="003D4223">
              <w:rPr>
                <w:rFonts w:ascii="Calibri" w:eastAsia="Times New Roman" w:hAnsi="Calibri" w:cs="Calibri"/>
                <w:b/>
                <w:color w:val="000000"/>
                <w:lang w:eastAsia="en-AU"/>
              </w:rPr>
              <w:t>SGLT2 (for HF) add-on</w:t>
            </w:r>
          </w:p>
        </w:tc>
        <w:tc>
          <w:tcPr>
            <w:tcW w:w="997" w:type="dxa"/>
            <w:tcBorders>
              <w:top w:val="single" w:sz="4" w:space="0" w:color="auto"/>
              <w:left w:val="nil"/>
              <w:bottom w:val="single" w:sz="4" w:space="0" w:color="auto"/>
              <w:right w:val="single" w:sz="4" w:space="0" w:color="auto"/>
            </w:tcBorders>
            <w:shd w:val="clear" w:color="auto" w:fill="auto"/>
            <w:noWrap/>
            <w:vAlign w:val="bottom"/>
          </w:tcPr>
          <w:p w14:paraId="00E00DFC" w14:textId="712CB050" w:rsidR="00F845D2" w:rsidRPr="003D4223" w:rsidRDefault="00F845D2" w:rsidP="009D697E">
            <w:pPr>
              <w:spacing w:after="0" w:line="240" w:lineRule="auto"/>
              <w:rPr>
                <w:rFonts w:ascii="Calibri" w:eastAsia="Times New Roman" w:hAnsi="Calibri" w:cs="Calibri"/>
                <w:b/>
                <w:color w:val="000000"/>
                <w:lang w:eastAsia="en-AU"/>
              </w:rPr>
            </w:pPr>
            <w:r w:rsidRPr="003D4223">
              <w:rPr>
                <w:rFonts w:ascii="Calibri" w:eastAsia="Times New Roman" w:hAnsi="Calibri" w:cs="Calibri"/>
                <w:b/>
                <w:color w:val="000000"/>
                <w:lang w:eastAsia="en-AU"/>
              </w:rPr>
              <w:t>sGC add-on</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14:paraId="2E8522D6" w14:textId="77777777" w:rsidR="00F845D2" w:rsidRPr="003D4223" w:rsidRDefault="00F845D2" w:rsidP="009D697E">
            <w:pPr>
              <w:spacing w:after="0" w:line="240" w:lineRule="auto"/>
              <w:rPr>
                <w:rFonts w:ascii="Calibri" w:eastAsia="Times New Roman" w:hAnsi="Calibri" w:cs="Calibri"/>
                <w:b/>
                <w:color w:val="000000"/>
                <w:lang w:eastAsia="en-AU"/>
              </w:rPr>
            </w:pPr>
            <w:r w:rsidRPr="003D4223">
              <w:rPr>
                <w:rFonts w:ascii="Calibri" w:eastAsia="Times New Roman" w:hAnsi="Calibri" w:cs="Calibri"/>
                <w:b/>
                <w:color w:val="000000"/>
                <w:lang w:eastAsia="en-AU"/>
              </w:rPr>
              <w:t>HCN+SGLT2 (for HF) add-on</w:t>
            </w:r>
          </w:p>
        </w:tc>
        <w:tc>
          <w:tcPr>
            <w:tcW w:w="1136" w:type="dxa"/>
            <w:tcBorders>
              <w:top w:val="single" w:sz="4" w:space="0" w:color="auto"/>
              <w:left w:val="nil"/>
              <w:bottom w:val="single" w:sz="4" w:space="0" w:color="auto"/>
              <w:right w:val="single" w:sz="4" w:space="0" w:color="auto"/>
            </w:tcBorders>
            <w:shd w:val="clear" w:color="auto" w:fill="auto"/>
            <w:noWrap/>
            <w:vAlign w:val="bottom"/>
          </w:tcPr>
          <w:p w14:paraId="44963E9D" w14:textId="1004CFD9" w:rsidR="00F845D2" w:rsidRPr="003D4223" w:rsidRDefault="00F845D2" w:rsidP="009D697E">
            <w:pPr>
              <w:spacing w:after="0" w:line="240" w:lineRule="auto"/>
              <w:rPr>
                <w:rFonts w:ascii="Calibri" w:eastAsia="Times New Roman" w:hAnsi="Calibri" w:cs="Calibri"/>
                <w:b/>
                <w:color w:val="000000"/>
                <w:lang w:eastAsia="en-AU"/>
              </w:rPr>
            </w:pPr>
            <w:r w:rsidRPr="003D4223">
              <w:rPr>
                <w:rFonts w:ascii="Calibri" w:eastAsia="Times New Roman" w:hAnsi="Calibri" w:cs="Calibri"/>
                <w:b/>
                <w:color w:val="000000"/>
                <w:lang w:eastAsia="en-AU"/>
              </w:rPr>
              <w:t>SGLT2 (for HF) + sGC add-on</w:t>
            </w:r>
          </w:p>
        </w:tc>
      </w:tr>
      <w:tr w:rsidR="00A66F22" w:rsidRPr="00F845D2" w14:paraId="049C7C42" w14:textId="77777777" w:rsidTr="00BD45E6">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667FF437" w14:textId="77777777" w:rsidR="00A66F22" w:rsidRPr="00F845D2" w:rsidRDefault="00A66F22" w:rsidP="009D697E">
            <w:pPr>
              <w:spacing w:after="0" w:line="240" w:lineRule="auto"/>
              <w:rPr>
                <w:rFonts w:ascii="Calibri" w:eastAsia="Times New Roman" w:hAnsi="Calibri" w:cs="Calibri"/>
                <w:color w:val="000000"/>
                <w:lang w:eastAsia="en-AU"/>
              </w:rPr>
            </w:pPr>
            <w:r w:rsidRPr="00F845D2">
              <w:rPr>
                <w:rFonts w:ascii="Calibri" w:eastAsia="Times New Roman" w:hAnsi="Calibri" w:cs="Calibri"/>
                <w:color w:val="000000"/>
                <w:lang w:eastAsia="en-AU"/>
              </w:rPr>
              <w:t>BB + ARNI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8CACE" w14:textId="17ECF46B"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2386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91F19" w14:textId="55D79ED4"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2048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AC8E4" w14:textId="377D8BC2"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21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99F42" w14:textId="57B3C63B"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317</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AF64F2" w14:textId="166A4A29" w:rsidR="00A66F22" w:rsidRPr="00F845D2" w:rsidRDefault="0061675C"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&lt;6</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053B5" w14:textId="18182684"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7</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81EA5" w14:textId="120CC3F0" w:rsidR="00A66F22" w:rsidRPr="00F845D2" w:rsidRDefault="0061675C"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&lt;6</w:t>
            </w:r>
          </w:p>
        </w:tc>
      </w:tr>
      <w:tr w:rsidR="00A66F22" w:rsidRPr="00F845D2" w14:paraId="50AAA431" w14:textId="77777777" w:rsidTr="00BD45E6">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02579B10" w14:textId="1A68A1E9" w:rsidR="00A66F22" w:rsidRPr="00F845D2" w:rsidRDefault="00A66F22" w:rsidP="009D697E">
            <w:pPr>
              <w:spacing w:after="0" w:line="240" w:lineRule="auto"/>
              <w:rPr>
                <w:rFonts w:ascii="Calibri" w:eastAsia="Times New Roman" w:hAnsi="Calibri" w:cs="Calibri"/>
                <w:color w:val="000000"/>
                <w:lang w:eastAsia="en-AU"/>
              </w:rPr>
            </w:pPr>
            <w:r w:rsidRPr="00F845D2">
              <w:rPr>
                <w:rFonts w:ascii="Calibri" w:eastAsia="Times New Roman" w:hAnsi="Calibri" w:cs="Calibri"/>
                <w:color w:val="000000"/>
                <w:lang w:eastAsia="en-AU"/>
              </w:rPr>
              <w:t>BB + ACE</w:t>
            </w:r>
            <w:r w:rsidR="003A0616">
              <w:rPr>
                <w:rFonts w:ascii="Calibri" w:eastAsia="Times New Roman" w:hAnsi="Calibri" w:cs="Calibri"/>
                <w:color w:val="000000"/>
                <w:lang w:eastAsia="en-AU"/>
              </w:rPr>
              <w:t>i</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5E4794B" w14:textId="7D7CA9AF"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12810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90E3333" w14:textId="146E78B6"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12613</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0CF0D2A" w14:textId="273F631A"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9</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238AB5E" w14:textId="667E981A"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187</w:t>
            </w:r>
          </w:p>
        </w:tc>
        <w:tc>
          <w:tcPr>
            <w:tcW w:w="997" w:type="dxa"/>
            <w:tcBorders>
              <w:top w:val="nil"/>
              <w:left w:val="single" w:sz="4" w:space="0" w:color="auto"/>
              <w:bottom w:val="single" w:sz="4" w:space="0" w:color="auto"/>
              <w:right w:val="single" w:sz="4" w:space="0" w:color="auto"/>
            </w:tcBorders>
            <w:shd w:val="clear" w:color="auto" w:fill="auto"/>
            <w:noWrap/>
            <w:vAlign w:val="bottom"/>
          </w:tcPr>
          <w:p w14:paraId="03132E50" w14:textId="0BC7F640" w:rsidR="00A66F22" w:rsidRPr="00F845D2" w:rsidRDefault="007833CC"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0</w:t>
            </w:r>
          </w:p>
        </w:tc>
        <w:tc>
          <w:tcPr>
            <w:tcW w:w="1136" w:type="dxa"/>
            <w:tcBorders>
              <w:top w:val="nil"/>
              <w:left w:val="single" w:sz="4" w:space="0" w:color="auto"/>
              <w:bottom w:val="single" w:sz="4" w:space="0" w:color="auto"/>
              <w:right w:val="single" w:sz="4" w:space="0" w:color="auto"/>
            </w:tcBorders>
            <w:shd w:val="clear" w:color="auto" w:fill="auto"/>
            <w:noWrap/>
            <w:vAlign w:val="bottom"/>
          </w:tcPr>
          <w:p w14:paraId="11E45B9A" w14:textId="119C4948" w:rsidR="00A66F22" w:rsidRPr="00F845D2" w:rsidRDefault="0061675C"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&lt;6</w:t>
            </w:r>
          </w:p>
        </w:tc>
        <w:tc>
          <w:tcPr>
            <w:tcW w:w="1136" w:type="dxa"/>
            <w:tcBorders>
              <w:top w:val="nil"/>
              <w:left w:val="single" w:sz="4" w:space="0" w:color="auto"/>
              <w:bottom w:val="single" w:sz="4" w:space="0" w:color="auto"/>
              <w:right w:val="single" w:sz="4" w:space="0" w:color="auto"/>
            </w:tcBorders>
            <w:shd w:val="clear" w:color="auto" w:fill="auto"/>
            <w:noWrap/>
            <w:vAlign w:val="bottom"/>
          </w:tcPr>
          <w:p w14:paraId="009AE0B1" w14:textId="46189D36"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0</w:t>
            </w:r>
          </w:p>
        </w:tc>
      </w:tr>
      <w:tr w:rsidR="00A66F22" w:rsidRPr="00F845D2" w14:paraId="713CF228" w14:textId="77777777" w:rsidTr="00BD45E6">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3D69C6FD" w14:textId="77777777" w:rsidR="00A66F22" w:rsidRPr="00F845D2" w:rsidRDefault="00A66F22" w:rsidP="009D697E">
            <w:pPr>
              <w:spacing w:after="0" w:line="240" w:lineRule="auto"/>
              <w:rPr>
                <w:rFonts w:ascii="Calibri" w:eastAsia="Times New Roman" w:hAnsi="Calibri" w:cs="Calibri"/>
                <w:color w:val="000000"/>
                <w:lang w:eastAsia="en-AU"/>
              </w:rPr>
            </w:pPr>
            <w:r w:rsidRPr="00F845D2">
              <w:rPr>
                <w:rFonts w:ascii="Calibri" w:eastAsia="Times New Roman" w:hAnsi="Calibri" w:cs="Calibri"/>
                <w:color w:val="000000"/>
                <w:lang w:eastAsia="en-AU"/>
              </w:rPr>
              <w:t>BB + ARB</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E03BF63" w14:textId="6DFF72A5"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11786</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0D20CE3" w14:textId="0C9C5BBC"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11647</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54524B9" w14:textId="694C260D"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7</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89EB941" w14:textId="49EFBA75"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130</w:t>
            </w:r>
          </w:p>
        </w:tc>
        <w:tc>
          <w:tcPr>
            <w:tcW w:w="997" w:type="dxa"/>
            <w:tcBorders>
              <w:top w:val="nil"/>
              <w:left w:val="single" w:sz="4" w:space="0" w:color="auto"/>
              <w:bottom w:val="single" w:sz="4" w:space="0" w:color="auto"/>
              <w:right w:val="single" w:sz="4" w:space="0" w:color="auto"/>
            </w:tcBorders>
            <w:shd w:val="clear" w:color="auto" w:fill="auto"/>
            <w:noWrap/>
            <w:vAlign w:val="bottom"/>
          </w:tcPr>
          <w:p w14:paraId="6C35C99A" w14:textId="51323CFB" w:rsidR="00A66F22" w:rsidRPr="00F845D2" w:rsidRDefault="0061675C"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&lt;6</w:t>
            </w:r>
          </w:p>
        </w:tc>
        <w:tc>
          <w:tcPr>
            <w:tcW w:w="1136" w:type="dxa"/>
            <w:tcBorders>
              <w:top w:val="nil"/>
              <w:left w:val="single" w:sz="4" w:space="0" w:color="auto"/>
              <w:bottom w:val="single" w:sz="4" w:space="0" w:color="auto"/>
              <w:right w:val="single" w:sz="4" w:space="0" w:color="auto"/>
            </w:tcBorders>
            <w:shd w:val="clear" w:color="auto" w:fill="auto"/>
            <w:noWrap/>
            <w:vAlign w:val="bottom"/>
          </w:tcPr>
          <w:p w14:paraId="668414BA" w14:textId="1EDDEF9C" w:rsidR="00A66F22" w:rsidRPr="00F845D2" w:rsidRDefault="0061675C"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&lt;6</w:t>
            </w:r>
          </w:p>
        </w:tc>
        <w:tc>
          <w:tcPr>
            <w:tcW w:w="1136" w:type="dxa"/>
            <w:tcBorders>
              <w:top w:val="nil"/>
              <w:left w:val="single" w:sz="4" w:space="0" w:color="auto"/>
              <w:bottom w:val="single" w:sz="4" w:space="0" w:color="auto"/>
              <w:right w:val="single" w:sz="4" w:space="0" w:color="auto"/>
            </w:tcBorders>
            <w:shd w:val="clear" w:color="auto" w:fill="auto"/>
            <w:noWrap/>
            <w:vAlign w:val="bottom"/>
          </w:tcPr>
          <w:p w14:paraId="741C001B" w14:textId="3953F942"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0</w:t>
            </w:r>
          </w:p>
        </w:tc>
      </w:tr>
      <w:tr w:rsidR="00A66F22" w:rsidRPr="00F845D2" w14:paraId="00494C8A" w14:textId="77777777" w:rsidTr="00BD45E6">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4A22ED87" w14:textId="3B1816A0" w:rsidR="00A66F22" w:rsidRPr="00F845D2" w:rsidRDefault="00A66F22" w:rsidP="009D697E">
            <w:pPr>
              <w:spacing w:after="0" w:line="240" w:lineRule="auto"/>
              <w:rPr>
                <w:rFonts w:ascii="Calibri" w:eastAsia="Times New Roman" w:hAnsi="Calibri" w:cs="Calibri"/>
                <w:color w:val="000000"/>
                <w:lang w:eastAsia="en-AU"/>
              </w:rPr>
            </w:pPr>
            <w:r w:rsidRPr="00F845D2">
              <w:rPr>
                <w:rFonts w:ascii="Calibri" w:eastAsia="Times New Roman" w:hAnsi="Calibri" w:cs="Calibri"/>
                <w:color w:val="000000"/>
                <w:lang w:eastAsia="en-AU"/>
              </w:rPr>
              <w:t>BB + ACE</w:t>
            </w:r>
            <w:r w:rsidR="003A0616">
              <w:rPr>
                <w:rFonts w:ascii="Calibri" w:eastAsia="Times New Roman" w:hAnsi="Calibri" w:cs="Calibri"/>
                <w:color w:val="000000"/>
                <w:lang w:eastAsia="en-AU"/>
              </w:rPr>
              <w:t>i</w:t>
            </w:r>
            <w:r w:rsidRPr="00F845D2">
              <w:rPr>
                <w:rFonts w:ascii="Calibri" w:eastAsia="Times New Roman" w:hAnsi="Calibri" w:cs="Calibri"/>
                <w:color w:val="000000"/>
                <w:lang w:eastAsia="en-AU"/>
              </w:rPr>
              <w:t xml:space="preserve"> + MRA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8FF3DC4" w14:textId="138AD7B6"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2660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2F16D5C" w14:textId="44E1F5AC"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2520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2FD1E23" w14:textId="51A179D8"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10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37A1BFF" w14:textId="4A70C0A7"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125</w:t>
            </w:r>
          </w:p>
        </w:tc>
        <w:tc>
          <w:tcPr>
            <w:tcW w:w="997" w:type="dxa"/>
            <w:tcBorders>
              <w:top w:val="nil"/>
              <w:left w:val="single" w:sz="4" w:space="0" w:color="auto"/>
              <w:bottom w:val="single" w:sz="4" w:space="0" w:color="auto"/>
              <w:right w:val="single" w:sz="4" w:space="0" w:color="auto"/>
            </w:tcBorders>
            <w:shd w:val="clear" w:color="auto" w:fill="auto"/>
            <w:noWrap/>
            <w:vAlign w:val="bottom"/>
          </w:tcPr>
          <w:p w14:paraId="2E910C6F" w14:textId="62018D38" w:rsidR="00A66F22" w:rsidRPr="00F845D2" w:rsidRDefault="007833CC"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0</w:t>
            </w:r>
          </w:p>
        </w:tc>
        <w:tc>
          <w:tcPr>
            <w:tcW w:w="1136" w:type="dxa"/>
            <w:tcBorders>
              <w:top w:val="nil"/>
              <w:left w:val="single" w:sz="4" w:space="0" w:color="auto"/>
              <w:bottom w:val="single" w:sz="4" w:space="0" w:color="auto"/>
              <w:right w:val="single" w:sz="4" w:space="0" w:color="auto"/>
            </w:tcBorders>
            <w:shd w:val="clear" w:color="auto" w:fill="auto"/>
            <w:noWrap/>
            <w:vAlign w:val="bottom"/>
          </w:tcPr>
          <w:p w14:paraId="0D96CF7A" w14:textId="38C26F83" w:rsidR="00A66F22" w:rsidRPr="00F845D2" w:rsidRDefault="0061675C"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&lt;6</w:t>
            </w:r>
          </w:p>
        </w:tc>
        <w:tc>
          <w:tcPr>
            <w:tcW w:w="1136" w:type="dxa"/>
            <w:tcBorders>
              <w:top w:val="nil"/>
              <w:left w:val="single" w:sz="4" w:space="0" w:color="auto"/>
              <w:bottom w:val="single" w:sz="4" w:space="0" w:color="auto"/>
              <w:right w:val="single" w:sz="4" w:space="0" w:color="auto"/>
            </w:tcBorders>
            <w:shd w:val="clear" w:color="auto" w:fill="auto"/>
            <w:noWrap/>
            <w:vAlign w:val="bottom"/>
          </w:tcPr>
          <w:p w14:paraId="6DA223EE" w14:textId="658E2E3E"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0</w:t>
            </w:r>
          </w:p>
        </w:tc>
      </w:tr>
      <w:tr w:rsidR="00A66F22" w:rsidRPr="00F845D2" w14:paraId="2E0DC5E9" w14:textId="77777777" w:rsidTr="00BD45E6">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1709ECFA" w14:textId="77777777" w:rsidR="00A66F22" w:rsidRPr="00F845D2" w:rsidRDefault="00A66F22" w:rsidP="009D697E">
            <w:pPr>
              <w:spacing w:after="0" w:line="240" w:lineRule="auto"/>
              <w:rPr>
                <w:rFonts w:ascii="Calibri" w:eastAsia="Times New Roman" w:hAnsi="Calibri" w:cs="Calibri"/>
                <w:color w:val="000000"/>
                <w:lang w:eastAsia="en-AU"/>
              </w:rPr>
            </w:pPr>
            <w:r w:rsidRPr="00F845D2">
              <w:rPr>
                <w:rFonts w:ascii="Calibri" w:eastAsia="Times New Roman" w:hAnsi="Calibri" w:cs="Calibri"/>
                <w:color w:val="000000"/>
                <w:lang w:eastAsia="en-AU"/>
              </w:rPr>
              <w:t xml:space="preserve">BB + ARB + MRA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2D4F80E" w14:textId="2C0EBDDB"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1790</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F3D12FF" w14:textId="647C9239"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1714</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50EB1DB" w14:textId="40D874AC"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7</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FC9E3B7" w14:textId="08F05B50"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68</w:t>
            </w:r>
          </w:p>
        </w:tc>
        <w:tc>
          <w:tcPr>
            <w:tcW w:w="997" w:type="dxa"/>
            <w:tcBorders>
              <w:top w:val="nil"/>
              <w:left w:val="single" w:sz="4" w:space="0" w:color="auto"/>
              <w:bottom w:val="single" w:sz="4" w:space="0" w:color="auto"/>
              <w:right w:val="single" w:sz="4" w:space="0" w:color="auto"/>
            </w:tcBorders>
            <w:shd w:val="clear" w:color="auto" w:fill="auto"/>
            <w:noWrap/>
            <w:vAlign w:val="bottom"/>
          </w:tcPr>
          <w:p w14:paraId="2F31D66C" w14:textId="63E832D1"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0</w:t>
            </w:r>
          </w:p>
        </w:tc>
        <w:tc>
          <w:tcPr>
            <w:tcW w:w="1136" w:type="dxa"/>
            <w:tcBorders>
              <w:top w:val="nil"/>
              <w:left w:val="single" w:sz="4" w:space="0" w:color="auto"/>
              <w:bottom w:val="single" w:sz="4" w:space="0" w:color="auto"/>
              <w:right w:val="single" w:sz="4" w:space="0" w:color="auto"/>
            </w:tcBorders>
            <w:shd w:val="clear" w:color="auto" w:fill="auto"/>
            <w:noWrap/>
            <w:vAlign w:val="bottom"/>
          </w:tcPr>
          <w:p w14:paraId="25FBB94A" w14:textId="34E7EDB9" w:rsidR="00A66F22" w:rsidRPr="00F845D2" w:rsidRDefault="0061675C"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&lt;6</w:t>
            </w:r>
          </w:p>
        </w:tc>
        <w:tc>
          <w:tcPr>
            <w:tcW w:w="1136" w:type="dxa"/>
            <w:tcBorders>
              <w:top w:val="nil"/>
              <w:left w:val="single" w:sz="4" w:space="0" w:color="auto"/>
              <w:bottom w:val="single" w:sz="4" w:space="0" w:color="auto"/>
              <w:right w:val="single" w:sz="4" w:space="0" w:color="auto"/>
            </w:tcBorders>
            <w:shd w:val="clear" w:color="auto" w:fill="auto"/>
            <w:noWrap/>
            <w:vAlign w:val="bottom"/>
          </w:tcPr>
          <w:p w14:paraId="45000D5F" w14:textId="1A90F57D"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0</w:t>
            </w:r>
          </w:p>
        </w:tc>
      </w:tr>
      <w:tr w:rsidR="00A66F22" w:rsidRPr="00F845D2" w14:paraId="2E295FB9" w14:textId="77777777" w:rsidTr="00BD45E6">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616E51A9" w14:textId="2628CDB2" w:rsidR="00A66F22" w:rsidRPr="00F845D2" w:rsidRDefault="00A66F22" w:rsidP="009D697E">
            <w:pPr>
              <w:spacing w:after="0" w:line="240" w:lineRule="auto"/>
              <w:rPr>
                <w:rFonts w:ascii="Calibri" w:eastAsia="Times New Roman" w:hAnsi="Calibri" w:cs="Calibri"/>
                <w:color w:val="000000"/>
                <w:lang w:eastAsia="en-AU"/>
              </w:rPr>
            </w:pPr>
            <w:r w:rsidRPr="00F845D2">
              <w:rPr>
                <w:rFonts w:ascii="Calibri" w:eastAsia="Times New Roman" w:hAnsi="Calibri" w:cs="Calibri"/>
                <w:color w:val="000000"/>
                <w:lang w:eastAsia="en-AU"/>
              </w:rPr>
              <w:t>BB + ACE</w:t>
            </w:r>
            <w:r w:rsidR="003A0616">
              <w:rPr>
                <w:rFonts w:ascii="Calibri" w:eastAsia="Times New Roman" w:hAnsi="Calibri" w:cs="Calibri"/>
                <w:color w:val="000000"/>
                <w:lang w:eastAsia="en-AU"/>
              </w:rPr>
              <w:t>i</w:t>
            </w:r>
            <w:r w:rsidRPr="00F845D2">
              <w:rPr>
                <w:rFonts w:ascii="Calibri" w:eastAsia="Times New Roman" w:hAnsi="Calibri" w:cs="Calibri"/>
                <w:color w:val="000000"/>
                <w:lang w:eastAsia="en-AU"/>
              </w:rPr>
              <w:t xml:space="preserve"> + SGLT2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03FAE50" w14:textId="39A1933C"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287</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60F1ED0" w14:textId="6AED3BCE"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285</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0D1DCCAF" w14:textId="76983BB3" w:rsidR="00A66F22" w:rsidRPr="00F845D2" w:rsidRDefault="0061675C"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&lt;6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B42151D" w14:textId="6F45E9EF" w:rsidR="00A66F22" w:rsidRPr="00F845D2" w:rsidRDefault="007833CC"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0</w:t>
            </w:r>
          </w:p>
        </w:tc>
        <w:tc>
          <w:tcPr>
            <w:tcW w:w="997" w:type="dxa"/>
            <w:tcBorders>
              <w:top w:val="nil"/>
              <w:left w:val="single" w:sz="4" w:space="0" w:color="auto"/>
              <w:bottom w:val="single" w:sz="4" w:space="0" w:color="auto"/>
              <w:right w:val="single" w:sz="4" w:space="0" w:color="auto"/>
            </w:tcBorders>
            <w:shd w:val="clear" w:color="auto" w:fill="auto"/>
            <w:noWrap/>
            <w:vAlign w:val="bottom"/>
          </w:tcPr>
          <w:p w14:paraId="4130D493" w14:textId="5DF25CBB"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0</w:t>
            </w:r>
          </w:p>
        </w:tc>
        <w:tc>
          <w:tcPr>
            <w:tcW w:w="1136" w:type="dxa"/>
            <w:tcBorders>
              <w:top w:val="nil"/>
              <w:left w:val="single" w:sz="4" w:space="0" w:color="auto"/>
              <w:bottom w:val="single" w:sz="4" w:space="0" w:color="auto"/>
              <w:right w:val="single" w:sz="4" w:space="0" w:color="auto"/>
            </w:tcBorders>
            <w:shd w:val="clear" w:color="auto" w:fill="auto"/>
            <w:noWrap/>
            <w:vAlign w:val="bottom"/>
          </w:tcPr>
          <w:p w14:paraId="0957D97B" w14:textId="39FCF169"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0</w:t>
            </w:r>
          </w:p>
        </w:tc>
        <w:tc>
          <w:tcPr>
            <w:tcW w:w="1136" w:type="dxa"/>
            <w:tcBorders>
              <w:top w:val="nil"/>
              <w:left w:val="single" w:sz="4" w:space="0" w:color="auto"/>
              <w:bottom w:val="single" w:sz="4" w:space="0" w:color="auto"/>
              <w:right w:val="single" w:sz="4" w:space="0" w:color="auto"/>
            </w:tcBorders>
            <w:shd w:val="clear" w:color="auto" w:fill="auto"/>
            <w:noWrap/>
            <w:vAlign w:val="bottom"/>
          </w:tcPr>
          <w:p w14:paraId="0A3F0181" w14:textId="462684A4"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0</w:t>
            </w:r>
          </w:p>
        </w:tc>
      </w:tr>
      <w:tr w:rsidR="00A66F22" w:rsidRPr="00F845D2" w14:paraId="06189081" w14:textId="77777777" w:rsidTr="00BD45E6">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0449F5FB" w14:textId="77777777" w:rsidR="00A66F22" w:rsidRPr="00F845D2" w:rsidRDefault="00A66F22" w:rsidP="009D697E">
            <w:pPr>
              <w:spacing w:after="0" w:line="240" w:lineRule="auto"/>
              <w:rPr>
                <w:rFonts w:ascii="Calibri" w:eastAsia="Times New Roman" w:hAnsi="Calibri" w:cs="Calibri"/>
                <w:color w:val="000000"/>
                <w:lang w:eastAsia="en-AU"/>
              </w:rPr>
            </w:pPr>
            <w:r w:rsidRPr="00F845D2">
              <w:rPr>
                <w:rFonts w:ascii="Calibri" w:eastAsia="Times New Roman" w:hAnsi="Calibri" w:cs="Calibri"/>
                <w:color w:val="000000"/>
                <w:lang w:eastAsia="en-AU"/>
              </w:rPr>
              <w:t>BB + ARB + SGLT2 (for HF)</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46E5362" w14:textId="64175F44"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241</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781AF18" w14:textId="177B0EF5"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240</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0526F30E" w14:textId="46223EF6" w:rsidR="00A66F22" w:rsidRPr="00F845D2" w:rsidRDefault="0061675C"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&lt;6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2471091" w14:textId="51C3B161" w:rsidR="00A66F22" w:rsidRPr="00F845D2" w:rsidRDefault="007833CC"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0</w:t>
            </w:r>
          </w:p>
        </w:tc>
        <w:tc>
          <w:tcPr>
            <w:tcW w:w="997" w:type="dxa"/>
            <w:tcBorders>
              <w:top w:val="nil"/>
              <w:left w:val="single" w:sz="4" w:space="0" w:color="auto"/>
              <w:bottom w:val="single" w:sz="4" w:space="0" w:color="auto"/>
              <w:right w:val="single" w:sz="4" w:space="0" w:color="auto"/>
            </w:tcBorders>
            <w:shd w:val="clear" w:color="auto" w:fill="auto"/>
            <w:noWrap/>
            <w:vAlign w:val="bottom"/>
          </w:tcPr>
          <w:p w14:paraId="3B535228" w14:textId="35DC65D9"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0</w:t>
            </w:r>
          </w:p>
        </w:tc>
        <w:tc>
          <w:tcPr>
            <w:tcW w:w="1136" w:type="dxa"/>
            <w:tcBorders>
              <w:top w:val="nil"/>
              <w:left w:val="single" w:sz="4" w:space="0" w:color="auto"/>
              <w:bottom w:val="single" w:sz="4" w:space="0" w:color="auto"/>
              <w:right w:val="single" w:sz="4" w:space="0" w:color="auto"/>
            </w:tcBorders>
            <w:shd w:val="clear" w:color="auto" w:fill="auto"/>
            <w:noWrap/>
            <w:vAlign w:val="bottom"/>
          </w:tcPr>
          <w:p w14:paraId="0683AD50" w14:textId="37C6126D"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0</w:t>
            </w:r>
          </w:p>
        </w:tc>
        <w:tc>
          <w:tcPr>
            <w:tcW w:w="1136" w:type="dxa"/>
            <w:tcBorders>
              <w:top w:val="nil"/>
              <w:left w:val="single" w:sz="4" w:space="0" w:color="auto"/>
              <w:bottom w:val="single" w:sz="4" w:space="0" w:color="auto"/>
              <w:right w:val="single" w:sz="4" w:space="0" w:color="auto"/>
            </w:tcBorders>
            <w:shd w:val="clear" w:color="auto" w:fill="auto"/>
            <w:noWrap/>
            <w:vAlign w:val="bottom"/>
          </w:tcPr>
          <w:p w14:paraId="049C954E" w14:textId="4EBB6550"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0</w:t>
            </w:r>
          </w:p>
        </w:tc>
      </w:tr>
      <w:tr w:rsidR="00A66F22" w:rsidRPr="00F845D2" w14:paraId="2CEAE86E" w14:textId="77777777" w:rsidTr="00BD45E6">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776C5D0E" w14:textId="7864D25B" w:rsidR="00A66F22" w:rsidRPr="00F845D2" w:rsidRDefault="00A66F22" w:rsidP="009D697E">
            <w:pPr>
              <w:spacing w:after="0" w:line="240" w:lineRule="auto"/>
              <w:rPr>
                <w:rFonts w:ascii="Calibri" w:eastAsia="Times New Roman" w:hAnsi="Calibri" w:cs="Calibri"/>
                <w:color w:val="000000"/>
                <w:lang w:eastAsia="en-AU"/>
              </w:rPr>
            </w:pPr>
            <w:r w:rsidRPr="00F845D2">
              <w:rPr>
                <w:rFonts w:ascii="Calibri" w:eastAsia="Times New Roman" w:hAnsi="Calibri" w:cs="Calibri"/>
                <w:color w:val="000000"/>
                <w:lang w:eastAsia="en-AU"/>
              </w:rPr>
              <w:t>BB + ACE</w:t>
            </w:r>
            <w:r w:rsidR="00AC663D">
              <w:rPr>
                <w:rFonts w:ascii="Calibri" w:eastAsia="Times New Roman" w:hAnsi="Calibri" w:cs="Calibri"/>
                <w:color w:val="000000"/>
                <w:lang w:eastAsia="en-AU"/>
              </w:rPr>
              <w:t>i</w:t>
            </w:r>
            <w:r w:rsidRPr="00F845D2">
              <w:rPr>
                <w:rFonts w:ascii="Calibri" w:eastAsia="Times New Roman" w:hAnsi="Calibri" w:cs="Calibri"/>
                <w:color w:val="000000"/>
                <w:lang w:eastAsia="en-AU"/>
              </w:rPr>
              <w:t>/ARB + HCN</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33AEB22" w14:textId="1BA8E36C"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86</w:t>
            </w: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65B335E" w14:textId="0CFF1DA5"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78</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03CE89F3" w14:textId="77FEB6D9" w:rsidR="00A66F22" w:rsidRPr="00F845D2" w:rsidRDefault="007833CC"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58ED8DD" w14:textId="58D6BD81"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8</w:t>
            </w:r>
          </w:p>
        </w:tc>
        <w:tc>
          <w:tcPr>
            <w:tcW w:w="997" w:type="dxa"/>
            <w:tcBorders>
              <w:top w:val="nil"/>
              <w:left w:val="single" w:sz="4" w:space="0" w:color="auto"/>
              <w:bottom w:val="single" w:sz="4" w:space="0" w:color="auto"/>
              <w:right w:val="single" w:sz="4" w:space="0" w:color="auto"/>
            </w:tcBorders>
            <w:shd w:val="clear" w:color="auto" w:fill="auto"/>
            <w:noWrap/>
            <w:vAlign w:val="bottom"/>
          </w:tcPr>
          <w:p w14:paraId="742268DA" w14:textId="633C0F98"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0</w:t>
            </w:r>
          </w:p>
        </w:tc>
        <w:tc>
          <w:tcPr>
            <w:tcW w:w="1136" w:type="dxa"/>
            <w:tcBorders>
              <w:top w:val="nil"/>
              <w:left w:val="single" w:sz="4" w:space="0" w:color="auto"/>
              <w:bottom w:val="single" w:sz="4" w:space="0" w:color="auto"/>
              <w:right w:val="single" w:sz="4" w:space="0" w:color="auto"/>
            </w:tcBorders>
            <w:shd w:val="clear" w:color="auto" w:fill="auto"/>
            <w:noWrap/>
            <w:vAlign w:val="bottom"/>
          </w:tcPr>
          <w:p w14:paraId="671D79D7" w14:textId="44BDABCD"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0</w:t>
            </w:r>
          </w:p>
        </w:tc>
        <w:tc>
          <w:tcPr>
            <w:tcW w:w="1136" w:type="dxa"/>
            <w:tcBorders>
              <w:top w:val="nil"/>
              <w:left w:val="single" w:sz="4" w:space="0" w:color="auto"/>
              <w:bottom w:val="single" w:sz="4" w:space="0" w:color="auto"/>
              <w:right w:val="single" w:sz="4" w:space="0" w:color="auto"/>
            </w:tcBorders>
            <w:shd w:val="clear" w:color="auto" w:fill="auto"/>
            <w:noWrap/>
            <w:vAlign w:val="bottom"/>
          </w:tcPr>
          <w:p w14:paraId="70D816AD" w14:textId="062A90D2"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0</w:t>
            </w:r>
          </w:p>
        </w:tc>
      </w:tr>
      <w:tr w:rsidR="00A66F22" w:rsidRPr="00F845D2" w14:paraId="79A4DD62" w14:textId="77777777" w:rsidTr="00A669FE">
        <w:trPr>
          <w:trHeight w:val="288"/>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E387EC" w14:textId="4EE6F654" w:rsidR="00A66F22" w:rsidRDefault="00A66F22" w:rsidP="009D697E">
            <w:pPr>
              <w:spacing w:after="0" w:line="240" w:lineRule="auto"/>
              <w:rPr>
                <w:rFonts w:ascii="Calibri" w:eastAsia="Times New Roman" w:hAnsi="Calibri" w:cs="Calibri"/>
                <w:color w:val="000000"/>
                <w:lang w:eastAsia="en-AU"/>
              </w:rPr>
            </w:pPr>
            <w:r>
              <w:rPr>
                <w:rFonts w:ascii="Calibri" w:hAnsi="Calibri" w:cs="Calibri"/>
                <w:color w:val="000000"/>
              </w:rPr>
              <w:t>BB + ACE</w:t>
            </w:r>
            <w:r w:rsidR="00AC663D">
              <w:rPr>
                <w:rFonts w:ascii="Calibri" w:hAnsi="Calibri" w:cs="Calibri"/>
                <w:color w:val="000000"/>
              </w:rPr>
              <w:t>i</w:t>
            </w:r>
            <w:r>
              <w:rPr>
                <w:rFonts w:ascii="Calibri" w:hAnsi="Calibri" w:cs="Calibri"/>
                <w:color w:val="000000"/>
              </w:rPr>
              <w:t xml:space="preserve"> + SGLT2 (for HF) + MRA</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15E238E9" w14:textId="047454FF" w:rsidR="00A66F2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302</w:t>
            </w:r>
          </w:p>
        </w:tc>
        <w:tc>
          <w:tcPr>
            <w:tcW w:w="993" w:type="dxa"/>
            <w:tcBorders>
              <w:top w:val="nil"/>
              <w:left w:val="single" w:sz="4" w:space="0" w:color="auto"/>
              <w:bottom w:val="single" w:sz="4" w:space="0" w:color="auto"/>
              <w:right w:val="single" w:sz="4" w:space="0" w:color="auto"/>
            </w:tcBorders>
            <w:shd w:val="clear" w:color="auto" w:fill="auto"/>
            <w:noWrap/>
            <w:vAlign w:val="bottom"/>
          </w:tcPr>
          <w:p w14:paraId="22AE03C2" w14:textId="34106A43" w:rsidR="00A66F2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300</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08D2FD66" w14:textId="09F6B0A5" w:rsidR="00A66F22" w:rsidRDefault="0061675C"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&lt;6</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214FF651" w14:textId="33DA899C" w:rsidR="00A66F22" w:rsidRDefault="007833CC"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0</w:t>
            </w:r>
          </w:p>
        </w:tc>
        <w:tc>
          <w:tcPr>
            <w:tcW w:w="997" w:type="dxa"/>
            <w:tcBorders>
              <w:top w:val="nil"/>
              <w:left w:val="single" w:sz="4" w:space="0" w:color="auto"/>
              <w:bottom w:val="single" w:sz="4" w:space="0" w:color="auto"/>
              <w:right w:val="single" w:sz="4" w:space="0" w:color="auto"/>
            </w:tcBorders>
            <w:shd w:val="clear" w:color="auto" w:fill="auto"/>
            <w:noWrap/>
            <w:vAlign w:val="bottom"/>
          </w:tcPr>
          <w:p w14:paraId="13A9471D" w14:textId="122F2B4A" w:rsidR="00A66F2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0</w:t>
            </w:r>
          </w:p>
        </w:tc>
        <w:tc>
          <w:tcPr>
            <w:tcW w:w="1136" w:type="dxa"/>
            <w:tcBorders>
              <w:top w:val="nil"/>
              <w:left w:val="single" w:sz="4" w:space="0" w:color="auto"/>
              <w:bottom w:val="single" w:sz="4" w:space="0" w:color="auto"/>
              <w:right w:val="single" w:sz="4" w:space="0" w:color="auto"/>
            </w:tcBorders>
            <w:shd w:val="clear" w:color="auto" w:fill="auto"/>
            <w:noWrap/>
            <w:vAlign w:val="bottom"/>
          </w:tcPr>
          <w:p w14:paraId="6019D429" w14:textId="3B74A6E6" w:rsidR="00A66F2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0</w:t>
            </w:r>
          </w:p>
        </w:tc>
        <w:tc>
          <w:tcPr>
            <w:tcW w:w="1136" w:type="dxa"/>
            <w:tcBorders>
              <w:top w:val="nil"/>
              <w:left w:val="single" w:sz="4" w:space="0" w:color="auto"/>
              <w:bottom w:val="single" w:sz="4" w:space="0" w:color="auto"/>
              <w:right w:val="single" w:sz="4" w:space="0" w:color="auto"/>
            </w:tcBorders>
            <w:shd w:val="clear" w:color="auto" w:fill="auto"/>
            <w:noWrap/>
            <w:vAlign w:val="bottom"/>
          </w:tcPr>
          <w:p w14:paraId="59ED24AD" w14:textId="2A028B34" w:rsidR="00A66F2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0</w:t>
            </w:r>
          </w:p>
        </w:tc>
      </w:tr>
      <w:tr w:rsidR="00A66F22" w:rsidRPr="00F845D2" w14:paraId="36AE8EF2" w14:textId="77777777" w:rsidTr="009D697E">
        <w:trPr>
          <w:trHeight w:val="72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CDDEF4" w14:textId="77777777" w:rsidR="00A66F22" w:rsidRDefault="00A66F22" w:rsidP="009D697E">
            <w:pPr>
              <w:spacing w:after="0" w:line="240" w:lineRule="auto"/>
              <w:rPr>
                <w:rFonts w:ascii="Calibri" w:eastAsia="Times New Roman" w:hAnsi="Calibri" w:cs="Calibri"/>
                <w:color w:val="000000"/>
                <w:lang w:eastAsia="en-AU"/>
              </w:rPr>
            </w:pPr>
            <w:r>
              <w:rPr>
                <w:rFonts w:ascii="Calibri" w:hAnsi="Calibri" w:cs="Calibri"/>
                <w:color w:val="000000"/>
              </w:rPr>
              <w:t>BB + ARB + SGLT2 (for HF) + MRA</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28EF1547" w14:textId="19EDD177" w:rsidR="00A66F2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176</w:t>
            </w:r>
          </w:p>
        </w:tc>
        <w:tc>
          <w:tcPr>
            <w:tcW w:w="993" w:type="dxa"/>
            <w:tcBorders>
              <w:top w:val="nil"/>
              <w:left w:val="single" w:sz="4" w:space="0" w:color="auto"/>
              <w:bottom w:val="single" w:sz="4" w:space="0" w:color="auto"/>
              <w:right w:val="single" w:sz="4" w:space="0" w:color="auto"/>
            </w:tcBorders>
            <w:shd w:val="clear" w:color="auto" w:fill="auto"/>
            <w:noWrap/>
            <w:vAlign w:val="bottom"/>
          </w:tcPr>
          <w:p w14:paraId="77100813" w14:textId="6BAFB7E9" w:rsidR="00A66F2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175</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3D12C573" w14:textId="714B99EA" w:rsidR="00A66F22" w:rsidRDefault="0061675C"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&lt;6</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142DB30F" w14:textId="6C9DA1D2" w:rsidR="00A66F22" w:rsidRDefault="007833CC"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0</w:t>
            </w:r>
          </w:p>
        </w:tc>
        <w:tc>
          <w:tcPr>
            <w:tcW w:w="997" w:type="dxa"/>
            <w:tcBorders>
              <w:top w:val="nil"/>
              <w:left w:val="single" w:sz="4" w:space="0" w:color="auto"/>
              <w:bottom w:val="single" w:sz="4" w:space="0" w:color="auto"/>
              <w:right w:val="single" w:sz="4" w:space="0" w:color="auto"/>
            </w:tcBorders>
            <w:shd w:val="clear" w:color="auto" w:fill="auto"/>
            <w:noWrap/>
            <w:vAlign w:val="bottom"/>
          </w:tcPr>
          <w:p w14:paraId="383AF79A" w14:textId="369C6D08" w:rsidR="00A66F2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0</w:t>
            </w:r>
          </w:p>
        </w:tc>
        <w:tc>
          <w:tcPr>
            <w:tcW w:w="1136" w:type="dxa"/>
            <w:tcBorders>
              <w:top w:val="nil"/>
              <w:left w:val="single" w:sz="4" w:space="0" w:color="auto"/>
              <w:bottom w:val="single" w:sz="4" w:space="0" w:color="auto"/>
              <w:right w:val="single" w:sz="4" w:space="0" w:color="auto"/>
            </w:tcBorders>
            <w:shd w:val="clear" w:color="auto" w:fill="auto"/>
            <w:noWrap/>
            <w:vAlign w:val="bottom"/>
          </w:tcPr>
          <w:p w14:paraId="4939AEC7" w14:textId="05338DB7" w:rsidR="00A66F2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0</w:t>
            </w:r>
          </w:p>
        </w:tc>
        <w:tc>
          <w:tcPr>
            <w:tcW w:w="1136" w:type="dxa"/>
            <w:tcBorders>
              <w:top w:val="nil"/>
              <w:left w:val="single" w:sz="4" w:space="0" w:color="auto"/>
              <w:bottom w:val="single" w:sz="4" w:space="0" w:color="auto"/>
              <w:right w:val="single" w:sz="4" w:space="0" w:color="auto"/>
            </w:tcBorders>
            <w:shd w:val="clear" w:color="auto" w:fill="auto"/>
            <w:noWrap/>
            <w:vAlign w:val="bottom"/>
          </w:tcPr>
          <w:p w14:paraId="44F2EE58" w14:textId="3EA3053C" w:rsidR="00A66F2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0</w:t>
            </w:r>
          </w:p>
        </w:tc>
      </w:tr>
      <w:tr w:rsidR="00A66F22" w:rsidRPr="00F845D2" w14:paraId="2EF89345" w14:textId="77777777" w:rsidTr="00A669FE">
        <w:trPr>
          <w:trHeight w:val="288"/>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AE9FBF" w14:textId="77777777" w:rsidR="00A66F22" w:rsidRPr="00F845D2" w:rsidRDefault="00A66F22" w:rsidP="009D697E">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Total</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03334752" w14:textId="5FB9C148"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32524</w:t>
            </w:r>
          </w:p>
        </w:tc>
        <w:tc>
          <w:tcPr>
            <w:tcW w:w="993" w:type="dxa"/>
            <w:tcBorders>
              <w:top w:val="nil"/>
              <w:left w:val="single" w:sz="4" w:space="0" w:color="auto"/>
              <w:bottom w:val="single" w:sz="4" w:space="0" w:color="auto"/>
              <w:right w:val="single" w:sz="4" w:space="0" w:color="auto"/>
            </w:tcBorders>
            <w:shd w:val="clear" w:color="auto" w:fill="auto"/>
            <w:noWrap/>
            <w:vAlign w:val="bottom"/>
          </w:tcPr>
          <w:p w14:paraId="6143BB9A" w14:textId="63D9BBD3"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31620</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7E80E03B" w14:textId="75314179"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60</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31272DBF" w14:textId="2411780C"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835</w:t>
            </w:r>
          </w:p>
        </w:tc>
        <w:tc>
          <w:tcPr>
            <w:tcW w:w="997" w:type="dxa"/>
            <w:tcBorders>
              <w:top w:val="nil"/>
              <w:left w:val="single" w:sz="4" w:space="0" w:color="auto"/>
              <w:bottom w:val="single" w:sz="4" w:space="0" w:color="auto"/>
              <w:right w:val="single" w:sz="4" w:space="0" w:color="auto"/>
            </w:tcBorders>
            <w:shd w:val="clear" w:color="auto" w:fill="auto"/>
            <w:noWrap/>
            <w:vAlign w:val="bottom"/>
          </w:tcPr>
          <w:p w14:paraId="4712CB08" w14:textId="13D2D9FA" w:rsidR="00A66F22" w:rsidRPr="00F845D2" w:rsidRDefault="0061675C"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&lt;6</w:t>
            </w:r>
          </w:p>
        </w:tc>
        <w:tc>
          <w:tcPr>
            <w:tcW w:w="1136" w:type="dxa"/>
            <w:tcBorders>
              <w:top w:val="nil"/>
              <w:left w:val="single" w:sz="4" w:space="0" w:color="auto"/>
              <w:bottom w:val="single" w:sz="4" w:space="0" w:color="auto"/>
              <w:right w:val="single" w:sz="4" w:space="0" w:color="auto"/>
            </w:tcBorders>
            <w:shd w:val="clear" w:color="auto" w:fill="auto"/>
            <w:noWrap/>
            <w:vAlign w:val="bottom"/>
          </w:tcPr>
          <w:p w14:paraId="3703D929" w14:textId="25D055E3" w:rsidR="00A66F22" w:rsidRPr="00F845D2" w:rsidRDefault="00A66F22"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15</w:t>
            </w:r>
          </w:p>
        </w:tc>
        <w:tc>
          <w:tcPr>
            <w:tcW w:w="1136" w:type="dxa"/>
            <w:tcBorders>
              <w:top w:val="nil"/>
              <w:left w:val="single" w:sz="4" w:space="0" w:color="auto"/>
              <w:bottom w:val="single" w:sz="4" w:space="0" w:color="auto"/>
              <w:right w:val="single" w:sz="4" w:space="0" w:color="auto"/>
            </w:tcBorders>
            <w:shd w:val="clear" w:color="auto" w:fill="auto"/>
            <w:noWrap/>
            <w:vAlign w:val="bottom"/>
          </w:tcPr>
          <w:p w14:paraId="29AEB8E9" w14:textId="48DB7623" w:rsidR="00A66F22" w:rsidRPr="00F845D2" w:rsidRDefault="0061675C" w:rsidP="009D697E">
            <w:pPr>
              <w:spacing w:after="0" w:line="240" w:lineRule="auto"/>
              <w:jc w:val="center"/>
              <w:rPr>
                <w:rFonts w:ascii="Calibri" w:eastAsia="Times New Roman" w:hAnsi="Calibri" w:cs="Calibri"/>
                <w:color w:val="000000"/>
                <w:lang w:eastAsia="en-AU"/>
              </w:rPr>
            </w:pPr>
            <w:r>
              <w:rPr>
                <w:rFonts w:ascii="Calibri" w:hAnsi="Calibri" w:cs="Calibri"/>
                <w:color w:val="000000"/>
              </w:rPr>
              <w:t>&lt;6</w:t>
            </w:r>
          </w:p>
        </w:tc>
      </w:tr>
      <w:tr w:rsidR="00A66F22" w:rsidRPr="003D4223" w14:paraId="68D1CBB1" w14:textId="77777777" w:rsidTr="0061675C">
        <w:trPr>
          <w:trHeight w:val="288"/>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682A1" w14:textId="77777777" w:rsidR="00A66F22" w:rsidRPr="003D4223" w:rsidRDefault="00A66F22" w:rsidP="009D697E">
            <w:pPr>
              <w:spacing w:after="0" w:line="240" w:lineRule="auto"/>
              <w:rPr>
                <w:rFonts w:ascii="Calibri" w:eastAsia="Times New Roman" w:hAnsi="Calibri" w:cs="Calibri"/>
                <w:b/>
                <w:color w:val="000000"/>
                <w:lang w:eastAsia="en-AU"/>
              </w:rPr>
            </w:pPr>
            <w:r w:rsidRPr="003D4223">
              <w:rPr>
                <w:rFonts w:ascii="Calibri" w:eastAsia="Times New Roman" w:hAnsi="Calibri" w:cs="Calibri"/>
                <w:b/>
                <w:color w:val="000000"/>
                <w:lang w:eastAsia="en-AU"/>
              </w:rPr>
              <w:t>Percent</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33E15AE" w14:textId="77777777" w:rsidR="00A66F22" w:rsidRPr="003D4223" w:rsidRDefault="00A66F22" w:rsidP="009D697E">
            <w:pPr>
              <w:spacing w:after="0" w:line="240" w:lineRule="auto"/>
              <w:jc w:val="center"/>
              <w:rPr>
                <w:rFonts w:ascii="Calibri" w:eastAsia="Times New Roman" w:hAnsi="Calibri" w:cs="Calibri"/>
                <w:b/>
                <w:color w:val="000000"/>
                <w:lang w:eastAsia="en-AU"/>
              </w:rPr>
            </w:pPr>
            <w:r w:rsidRPr="003D4223">
              <w:rPr>
                <w:rFonts w:ascii="Calibri" w:eastAsia="Times New Roman" w:hAnsi="Calibri" w:cs="Calibri"/>
                <w:b/>
                <w:color w:val="000000"/>
                <w:lang w:eastAsia="en-AU"/>
              </w:rPr>
              <w:t>100%</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2FD2A115" w14:textId="12C5DC12" w:rsidR="00A66F22" w:rsidRPr="003D4223" w:rsidRDefault="00A66F22" w:rsidP="009D697E">
            <w:pPr>
              <w:spacing w:after="0" w:line="240" w:lineRule="auto"/>
              <w:jc w:val="center"/>
              <w:rPr>
                <w:rFonts w:ascii="Calibri" w:eastAsia="Times New Roman" w:hAnsi="Calibri" w:cs="Calibri"/>
                <w:b/>
                <w:color w:val="000000"/>
                <w:lang w:eastAsia="en-AU"/>
              </w:rPr>
            </w:pPr>
            <w:r w:rsidRPr="003D4223">
              <w:rPr>
                <w:rFonts w:ascii="Calibri" w:eastAsia="Times New Roman" w:hAnsi="Calibri" w:cs="Calibri"/>
                <w:b/>
                <w:color w:val="000000"/>
                <w:lang w:eastAsia="en-AU"/>
              </w:rPr>
              <w:t>9</w:t>
            </w:r>
            <w:r>
              <w:rPr>
                <w:rFonts w:ascii="Calibri" w:eastAsia="Times New Roman" w:hAnsi="Calibri" w:cs="Calibri"/>
                <w:b/>
                <w:color w:val="000000"/>
                <w:lang w:eastAsia="en-AU"/>
              </w:rPr>
              <w:t>7</w:t>
            </w:r>
            <w:r w:rsidRPr="003D4223">
              <w:rPr>
                <w:rFonts w:ascii="Calibri" w:eastAsia="Times New Roman" w:hAnsi="Calibri" w:cs="Calibri"/>
                <w:b/>
                <w:color w:val="000000"/>
                <w:lang w:eastAsia="en-AU"/>
              </w:rPr>
              <w:t>.</w:t>
            </w:r>
            <w:r>
              <w:rPr>
                <w:rFonts w:ascii="Calibri" w:eastAsia="Times New Roman" w:hAnsi="Calibri" w:cs="Calibri"/>
                <w:b/>
                <w:color w:val="000000"/>
                <w:lang w:eastAsia="en-AU"/>
              </w:rPr>
              <w:t>2</w:t>
            </w:r>
            <w:r w:rsidRPr="003D4223">
              <w:rPr>
                <w:rFonts w:ascii="Calibri" w:eastAsia="Times New Roman" w:hAnsi="Calibri" w:cs="Calibri"/>
                <w:b/>
                <w:color w:val="000000"/>
                <w:lang w:eastAsia="en-A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E7A799F" w14:textId="2444852C" w:rsidR="00A66F22" w:rsidRPr="003D4223" w:rsidRDefault="00A66F22" w:rsidP="009D697E">
            <w:pPr>
              <w:spacing w:after="0" w:line="240" w:lineRule="auto"/>
              <w:jc w:val="center"/>
              <w:rPr>
                <w:rFonts w:ascii="Calibri" w:eastAsia="Times New Roman" w:hAnsi="Calibri" w:cs="Calibri"/>
                <w:b/>
                <w:color w:val="000000"/>
                <w:lang w:eastAsia="en-AU"/>
              </w:rPr>
            </w:pPr>
            <w:r w:rsidRPr="003D4223">
              <w:rPr>
                <w:rFonts w:ascii="Calibri" w:eastAsia="Times New Roman" w:hAnsi="Calibri" w:cs="Calibri"/>
                <w:b/>
                <w:color w:val="000000"/>
                <w:lang w:eastAsia="en-AU"/>
              </w:rPr>
              <w:t>0.</w:t>
            </w:r>
            <w:r>
              <w:rPr>
                <w:rFonts w:ascii="Calibri" w:eastAsia="Times New Roman" w:hAnsi="Calibri" w:cs="Calibri"/>
                <w:b/>
                <w:color w:val="000000"/>
                <w:lang w:eastAsia="en-AU"/>
              </w:rPr>
              <w:t>2</w:t>
            </w:r>
            <w:r w:rsidRPr="003D4223">
              <w:rPr>
                <w:rFonts w:ascii="Calibri" w:eastAsia="Times New Roman" w:hAnsi="Calibri" w:cs="Calibri"/>
                <w:b/>
                <w:color w:val="000000"/>
                <w:lang w:eastAsia="en-A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B989E2D" w14:textId="07F3C749" w:rsidR="00A66F22" w:rsidRPr="003D4223" w:rsidRDefault="00A66F22" w:rsidP="009D697E">
            <w:pPr>
              <w:spacing w:after="0" w:line="240" w:lineRule="auto"/>
              <w:jc w:val="center"/>
              <w:rPr>
                <w:rFonts w:ascii="Calibri" w:eastAsia="Times New Roman" w:hAnsi="Calibri" w:cs="Calibri"/>
                <w:b/>
                <w:color w:val="000000"/>
                <w:lang w:eastAsia="en-AU"/>
              </w:rPr>
            </w:pPr>
            <w:r>
              <w:rPr>
                <w:rFonts w:ascii="Calibri" w:eastAsia="Times New Roman" w:hAnsi="Calibri" w:cs="Calibri"/>
                <w:b/>
                <w:color w:val="000000"/>
                <w:lang w:eastAsia="en-AU"/>
              </w:rPr>
              <w:t>2</w:t>
            </w:r>
            <w:r w:rsidRPr="003D4223">
              <w:rPr>
                <w:rFonts w:ascii="Calibri" w:eastAsia="Times New Roman" w:hAnsi="Calibri" w:cs="Calibri"/>
                <w:b/>
                <w:color w:val="000000"/>
                <w:lang w:eastAsia="en-AU"/>
              </w:rPr>
              <w:t>.</w:t>
            </w:r>
            <w:r>
              <w:rPr>
                <w:rFonts w:ascii="Calibri" w:eastAsia="Times New Roman" w:hAnsi="Calibri" w:cs="Calibri"/>
                <w:b/>
                <w:color w:val="000000"/>
                <w:lang w:eastAsia="en-AU"/>
              </w:rPr>
              <w:t>6</w:t>
            </w:r>
            <w:r w:rsidRPr="003D4223">
              <w:rPr>
                <w:rFonts w:ascii="Calibri" w:eastAsia="Times New Roman" w:hAnsi="Calibri" w:cs="Calibri"/>
                <w:b/>
                <w:color w:val="000000"/>
                <w:lang w:eastAsia="en-AU"/>
              </w:rPr>
              <w:t>%</w:t>
            </w:r>
          </w:p>
        </w:tc>
        <w:tc>
          <w:tcPr>
            <w:tcW w:w="997" w:type="dxa"/>
            <w:tcBorders>
              <w:top w:val="single" w:sz="4" w:space="0" w:color="auto"/>
              <w:left w:val="nil"/>
              <w:bottom w:val="single" w:sz="4" w:space="0" w:color="auto"/>
              <w:right w:val="single" w:sz="4" w:space="0" w:color="auto"/>
            </w:tcBorders>
            <w:shd w:val="clear" w:color="auto" w:fill="000000" w:themeFill="text1"/>
            <w:noWrap/>
            <w:vAlign w:val="bottom"/>
          </w:tcPr>
          <w:p w14:paraId="28F92740" w14:textId="338A76C0" w:rsidR="00A66F22" w:rsidRPr="00B26A25" w:rsidRDefault="00A66F22" w:rsidP="009D697E">
            <w:pPr>
              <w:spacing w:after="0" w:line="240" w:lineRule="auto"/>
              <w:jc w:val="center"/>
              <w:rPr>
                <w:rFonts w:ascii="Calibri" w:eastAsia="Times New Roman" w:hAnsi="Calibri" w:cs="Calibri"/>
                <w:b/>
                <w:color w:val="9D9D9D"/>
                <w:lang w:eastAsia="en-AU"/>
              </w:rPr>
            </w:pPr>
            <w:r w:rsidRPr="00B26A25">
              <w:rPr>
                <w:rFonts w:ascii="Calibri" w:eastAsia="Times New Roman" w:hAnsi="Calibri" w:cs="Calibri"/>
                <w:b/>
                <w:color w:val="9D9D9D"/>
                <w:lang w:eastAsia="en-AU"/>
              </w:rPr>
              <w:t>0%</w:t>
            </w:r>
          </w:p>
        </w:tc>
        <w:tc>
          <w:tcPr>
            <w:tcW w:w="1136" w:type="dxa"/>
            <w:tcBorders>
              <w:top w:val="single" w:sz="4" w:space="0" w:color="auto"/>
              <w:left w:val="nil"/>
              <w:bottom w:val="single" w:sz="4" w:space="0" w:color="auto"/>
              <w:right w:val="single" w:sz="4" w:space="0" w:color="auto"/>
            </w:tcBorders>
            <w:shd w:val="clear" w:color="auto" w:fill="auto"/>
            <w:noWrap/>
            <w:vAlign w:val="bottom"/>
          </w:tcPr>
          <w:p w14:paraId="7963824F" w14:textId="2DB7FFD3" w:rsidR="00A66F22" w:rsidRPr="003D4223" w:rsidRDefault="00A66F22" w:rsidP="009D697E">
            <w:pPr>
              <w:spacing w:after="0" w:line="240" w:lineRule="auto"/>
              <w:jc w:val="center"/>
              <w:rPr>
                <w:rFonts w:ascii="Calibri" w:eastAsia="Times New Roman" w:hAnsi="Calibri" w:cs="Calibri"/>
                <w:b/>
                <w:color w:val="000000"/>
                <w:lang w:eastAsia="en-AU"/>
              </w:rPr>
            </w:pPr>
            <w:r w:rsidRPr="003D4223">
              <w:rPr>
                <w:rFonts w:ascii="Calibri" w:eastAsia="Times New Roman" w:hAnsi="Calibri" w:cs="Calibri"/>
                <w:b/>
                <w:color w:val="000000"/>
                <w:lang w:eastAsia="en-AU"/>
              </w:rPr>
              <w:t>0%</w:t>
            </w:r>
          </w:p>
        </w:tc>
        <w:tc>
          <w:tcPr>
            <w:tcW w:w="1136" w:type="dxa"/>
            <w:tcBorders>
              <w:top w:val="single" w:sz="4" w:space="0" w:color="auto"/>
              <w:left w:val="nil"/>
              <w:bottom w:val="single" w:sz="4" w:space="0" w:color="auto"/>
              <w:right w:val="single" w:sz="4" w:space="0" w:color="auto"/>
            </w:tcBorders>
            <w:shd w:val="clear" w:color="auto" w:fill="000000" w:themeFill="text1"/>
            <w:noWrap/>
            <w:vAlign w:val="bottom"/>
          </w:tcPr>
          <w:p w14:paraId="798B1C83" w14:textId="72DF5032" w:rsidR="00A66F22" w:rsidRPr="00B26A25" w:rsidRDefault="00A66F22" w:rsidP="009D697E">
            <w:pPr>
              <w:spacing w:after="0" w:line="240" w:lineRule="auto"/>
              <w:jc w:val="center"/>
              <w:rPr>
                <w:rFonts w:ascii="Calibri" w:eastAsia="Times New Roman" w:hAnsi="Calibri" w:cs="Calibri"/>
                <w:b/>
                <w:color w:val="777777"/>
                <w:lang w:eastAsia="en-AU"/>
              </w:rPr>
            </w:pPr>
            <w:r w:rsidRPr="00B26A25">
              <w:rPr>
                <w:rFonts w:ascii="Calibri" w:eastAsia="Times New Roman" w:hAnsi="Calibri" w:cs="Calibri"/>
                <w:b/>
                <w:color w:val="777777"/>
                <w:lang w:eastAsia="en-AU"/>
              </w:rPr>
              <w:t>0%</w:t>
            </w:r>
          </w:p>
        </w:tc>
      </w:tr>
    </w:tbl>
    <w:p w14:paraId="53803A1D" w14:textId="77777777" w:rsidR="007E3D6B" w:rsidRDefault="007E3D6B" w:rsidP="007E3D6B">
      <w:pPr>
        <w:spacing w:after="0" w:line="240" w:lineRule="auto"/>
        <w:rPr>
          <w:rFonts w:cstheme="minorHAnsi"/>
          <w:i/>
          <w:iCs/>
          <w:sz w:val="18"/>
          <w:szCs w:val="18"/>
        </w:rPr>
      </w:pPr>
      <w:r w:rsidRPr="008E2AAA">
        <w:rPr>
          <w:rFonts w:cstheme="minorHAnsi"/>
          <w:i/>
          <w:iCs/>
          <w:sz w:val="18"/>
          <w:szCs w:val="18"/>
        </w:rPr>
        <w:t xml:space="preserve">Legend: </w:t>
      </w:r>
    </w:p>
    <w:p w14:paraId="79424B31" w14:textId="77777777" w:rsidR="007E3D6B" w:rsidRDefault="007E3D6B" w:rsidP="007E3D6B">
      <w:pPr>
        <w:spacing w:after="0" w:line="240" w:lineRule="auto"/>
        <w:rPr>
          <w:rFonts w:cstheme="minorHAnsi"/>
          <w:i/>
          <w:iCs/>
          <w:sz w:val="18"/>
          <w:szCs w:val="18"/>
        </w:rPr>
      </w:pPr>
      <w:r w:rsidRPr="008E2AAA">
        <w:rPr>
          <w:rFonts w:cstheme="minorHAnsi"/>
          <w:i/>
          <w:iCs/>
          <w:sz w:val="18"/>
          <w:szCs w:val="18"/>
        </w:rPr>
        <w:t>BB – Beta-Blockers</w:t>
      </w:r>
    </w:p>
    <w:p w14:paraId="7F4B7CC6" w14:textId="77777777" w:rsidR="007E3D6B" w:rsidRPr="008E2AAA" w:rsidRDefault="007E3D6B" w:rsidP="007E3D6B">
      <w:pPr>
        <w:spacing w:after="0" w:line="240" w:lineRule="auto"/>
        <w:rPr>
          <w:rFonts w:cstheme="minorHAnsi"/>
          <w:i/>
          <w:iCs/>
          <w:sz w:val="18"/>
          <w:szCs w:val="18"/>
        </w:rPr>
      </w:pPr>
      <w:r w:rsidRPr="008E2AAA">
        <w:rPr>
          <w:rFonts w:cstheme="minorHAnsi"/>
          <w:i/>
          <w:iCs/>
          <w:sz w:val="18"/>
          <w:szCs w:val="18"/>
        </w:rPr>
        <w:t>SGLT2</w:t>
      </w:r>
      <w:r>
        <w:rPr>
          <w:rFonts w:cstheme="minorHAnsi"/>
          <w:i/>
          <w:iCs/>
          <w:sz w:val="18"/>
          <w:szCs w:val="18"/>
        </w:rPr>
        <w:t xml:space="preserve"> (for HF)</w:t>
      </w:r>
      <w:r w:rsidRPr="008E2AAA">
        <w:rPr>
          <w:rFonts w:cstheme="minorHAnsi"/>
          <w:i/>
          <w:iCs/>
          <w:sz w:val="18"/>
          <w:szCs w:val="18"/>
        </w:rPr>
        <w:t xml:space="preserve"> – Sodium-glucose co-transporter 2 inhibitors</w:t>
      </w:r>
      <w:r>
        <w:rPr>
          <w:rFonts w:cstheme="minorHAnsi"/>
          <w:i/>
          <w:iCs/>
          <w:sz w:val="18"/>
          <w:szCs w:val="18"/>
        </w:rPr>
        <w:t xml:space="preserve"> </w:t>
      </w:r>
      <w:r w:rsidRPr="008E2AAA">
        <w:rPr>
          <w:rFonts w:cstheme="minorHAnsi"/>
          <w:i/>
          <w:iCs/>
          <w:sz w:val="18"/>
          <w:szCs w:val="18"/>
        </w:rPr>
        <w:t>for HF</w:t>
      </w:r>
    </w:p>
    <w:p w14:paraId="0DFEC061" w14:textId="77777777" w:rsidR="007E3D6B" w:rsidRDefault="007E3D6B" w:rsidP="007E3D6B">
      <w:pPr>
        <w:spacing w:after="0" w:line="240" w:lineRule="auto"/>
        <w:rPr>
          <w:rFonts w:cstheme="minorHAnsi"/>
          <w:i/>
          <w:iCs/>
          <w:sz w:val="18"/>
          <w:szCs w:val="18"/>
        </w:rPr>
      </w:pPr>
      <w:r w:rsidRPr="008E2AAA">
        <w:rPr>
          <w:rFonts w:cstheme="minorHAnsi"/>
          <w:i/>
          <w:iCs/>
          <w:sz w:val="18"/>
          <w:szCs w:val="18"/>
        </w:rPr>
        <w:t xml:space="preserve">ARNI – angiotensin receptor neprilysin inhibitor </w:t>
      </w:r>
    </w:p>
    <w:p w14:paraId="0126F3E0" w14:textId="77777777" w:rsidR="007E3D6B" w:rsidRPr="008B0243" w:rsidRDefault="007E3D6B" w:rsidP="007E3D6B">
      <w:pPr>
        <w:spacing w:after="0" w:line="240" w:lineRule="auto"/>
        <w:rPr>
          <w:rFonts w:cstheme="minorHAnsi"/>
          <w:i/>
          <w:iCs/>
          <w:sz w:val="18"/>
          <w:szCs w:val="18"/>
        </w:rPr>
      </w:pPr>
      <w:r>
        <w:rPr>
          <w:rFonts w:cstheme="minorHAnsi"/>
          <w:i/>
          <w:iCs/>
          <w:sz w:val="18"/>
          <w:szCs w:val="18"/>
        </w:rPr>
        <w:t xml:space="preserve">MRA - </w:t>
      </w:r>
      <w:r w:rsidRPr="008B0243">
        <w:rPr>
          <w:rFonts w:cstheme="minorHAnsi"/>
          <w:i/>
          <w:iCs/>
          <w:sz w:val="18"/>
          <w:szCs w:val="18"/>
        </w:rPr>
        <w:t>Mineralocorticoid receptor antagonist</w:t>
      </w:r>
      <w:r>
        <w:rPr>
          <w:rFonts w:cstheme="minorHAnsi"/>
          <w:i/>
          <w:iCs/>
          <w:sz w:val="18"/>
          <w:szCs w:val="18"/>
        </w:rPr>
        <w:t xml:space="preserve"> (Eplerenone</w:t>
      </w:r>
      <w:r w:rsidR="00C662B7">
        <w:rPr>
          <w:rFonts w:cstheme="minorHAnsi"/>
          <w:i/>
          <w:iCs/>
          <w:sz w:val="18"/>
          <w:szCs w:val="18"/>
        </w:rPr>
        <w:t>/Spironolactone</w:t>
      </w:r>
      <w:r>
        <w:rPr>
          <w:rFonts w:cstheme="minorHAnsi"/>
          <w:i/>
          <w:iCs/>
          <w:sz w:val="18"/>
          <w:szCs w:val="18"/>
        </w:rPr>
        <w:t>)</w:t>
      </w:r>
    </w:p>
    <w:p w14:paraId="4E66996A" w14:textId="0D84C55E" w:rsidR="00AD20A0" w:rsidRDefault="007E3D6B" w:rsidP="007E3D6B">
      <w:pPr>
        <w:spacing w:after="0" w:line="240" w:lineRule="auto"/>
        <w:rPr>
          <w:rFonts w:cstheme="minorHAnsi"/>
          <w:i/>
          <w:iCs/>
          <w:sz w:val="18"/>
          <w:szCs w:val="18"/>
        </w:rPr>
      </w:pPr>
      <w:r w:rsidRPr="008E2AAA">
        <w:rPr>
          <w:rFonts w:cstheme="minorHAnsi"/>
          <w:i/>
          <w:iCs/>
          <w:sz w:val="18"/>
          <w:szCs w:val="18"/>
        </w:rPr>
        <w:t>ACE</w:t>
      </w:r>
      <w:r w:rsidR="00AC663D">
        <w:rPr>
          <w:rFonts w:cstheme="minorHAnsi"/>
          <w:i/>
          <w:iCs/>
          <w:sz w:val="18"/>
          <w:szCs w:val="18"/>
        </w:rPr>
        <w:t>i</w:t>
      </w:r>
      <w:r w:rsidRPr="008E2AAA">
        <w:rPr>
          <w:rFonts w:cstheme="minorHAnsi"/>
          <w:i/>
          <w:iCs/>
          <w:sz w:val="18"/>
          <w:szCs w:val="18"/>
        </w:rPr>
        <w:t xml:space="preserve"> – Angiotensin-converting enzyme inhibitor</w:t>
      </w:r>
      <w:r w:rsidR="00AD20A0">
        <w:rPr>
          <w:rFonts w:cstheme="minorHAnsi"/>
          <w:i/>
          <w:iCs/>
          <w:sz w:val="18"/>
          <w:szCs w:val="18"/>
        </w:rPr>
        <w:t xml:space="preserve"> (including in FDC)</w:t>
      </w:r>
      <w:r w:rsidR="009C4C2B">
        <w:rPr>
          <w:rFonts w:cstheme="minorHAnsi"/>
          <w:i/>
          <w:iCs/>
          <w:sz w:val="18"/>
          <w:szCs w:val="18"/>
        </w:rPr>
        <w:t xml:space="preserve">; </w:t>
      </w:r>
      <w:r w:rsidRPr="008E2AAA">
        <w:rPr>
          <w:rFonts w:cstheme="minorHAnsi"/>
          <w:i/>
          <w:iCs/>
          <w:sz w:val="18"/>
          <w:szCs w:val="18"/>
        </w:rPr>
        <w:t>ARB – Angiotensin receptor blocker</w:t>
      </w:r>
      <w:r w:rsidR="00AD20A0">
        <w:rPr>
          <w:rFonts w:cstheme="minorHAnsi"/>
          <w:i/>
          <w:iCs/>
          <w:sz w:val="18"/>
          <w:szCs w:val="18"/>
        </w:rPr>
        <w:t xml:space="preserve"> (including in FDC</w:t>
      </w:r>
      <w:proofErr w:type="gramStart"/>
      <w:r w:rsidR="00AD20A0">
        <w:rPr>
          <w:rFonts w:cstheme="minorHAnsi"/>
          <w:i/>
          <w:iCs/>
          <w:sz w:val="18"/>
          <w:szCs w:val="18"/>
        </w:rPr>
        <w:t>)</w:t>
      </w:r>
      <w:r w:rsidR="009C4C2B">
        <w:rPr>
          <w:rFonts w:cstheme="minorHAnsi"/>
          <w:i/>
          <w:iCs/>
          <w:sz w:val="18"/>
          <w:szCs w:val="18"/>
        </w:rPr>
        <w:t>;</w:t>
      </w:r>
      <w:proofErr w:type="gramEnd"/>
      <w:r w:rsidR="009C4C2B">
        <w:rPr>
          <w:rFonts w:cstheme="minorHAnsi"/>
          <w:i/>
          <w:iCs/>
          <w:sz w:val="18"/>
          <w:szCs w:val="18"/>
        </w:rPr>
        <w:t xml:space="preserve"> </w:t>
      </w:r>
    </w:p>
    <w:p w14:paraId="51184476" w14:textId="47D20C9D" w:rsidR="007E3D6B" w:rsidRDefault="007E3D6B" w:rsidP="007E3D6B">
      <w:pPr>
        <w:spacing w:after="0" w:line="240" w:lineRule="auto"/>
        <w:rPr>
          <w:rFonts w:cstheme="minorHAnsi"/>
          <w:i/>
          <w:iCs/>
          <w:sz w:val="18"/>
          <w:szCs w:val="18"/>
        </w:rPr>
      </w:pPr>
      <w:r>
        <w:rPr>
          <w:rFonts w:cstheme="minorHAnsi"/>
          <w:i/>
          <w:iCs/>
          <w:sz w:val="18"/>
          <w:szCs w:val="18"/>
        </w:rPr>
        <w:t>HCN</w:t>
      </w:r>
      <w:r w:rsidRPr="008E2AAA">
        <w:rPr>
          <w:rFonts w:cstheme="minorHAnsi"/>
          <w:i/>
          <w:iCs/>
          <w:sz w:val="18"/>
          <w:szCs w:val="18"/>
        </w:rPr>
        <w:t xml:space="preserve"> –</w:t>
      </w:r>
      <w:r>
        <w:rPr>
          <w:rFonts w:cstheme="minorHAnsi"/>
          <w:i/>
          <w:iCs/>
          <w:sz w:val="18"/>
          <w:szCs w:val="18"/>
        </w:rPr>
        <w:t xml:space="preserve"> HCN channel blocker</w:t>
      </w:r>
    </w:p>
    <w:p w14:paraId="603ABAED" w14:textId="4821F269" w:rsidR="00BA171D" w:rsidRDefault="00BA171D" w:rsidP="007E3D6B">
      <w:pPr>
        <w:spacing w:after="0" w:line="240" w:lineRule="auto"/>
        <w:rPr>
          <w:rFonts w:cstheme="minorHAnsi"/>
          <w:i/>
          <w:iCs/>
          <w:sz w:val="18"/>
          <w:szCs w:val="18"/>
        </w:rPr>
      </w:pPr>
    </w:p>
    <w:p w14:paraId="595D7797" w14:textId="7C4E84E2" w:rsidR="00BA171D" w:rsidRDefault="00BA171D" w:rsidP="007E3D6B">
      <w:pPr>
        <w:spacing w:after="0" w:line="240" w:lineRule="auto"/>
        <w:rPr>
          <w:rFonts w:cstheme="minorHAnsi"/>
          <w:i/>
          <w:iCs/>
          <w:sz w:val="18"/>
          <w:szCs w:val="18"/>
        </w:rPr>
      </w:pPr>
    </w:p>
    <w:p w14:paraId="6B4CD5F9" w14:textId="2D75AC8F" w:rsidR="00BA171D" w:rsidRDefault="00BA171D" w:rsidP="007E3D6B">
      <w:pPr>
        <w:spacing w:after="0" w:line="240" w:lineRule="auto"/>
        <w:rPr>
          <w:rFonts w:cstheme="minorHAnsi"/>
          <w:i/>
          <w:iCs/>
          <w:sz w:val="18"/>
          <w:szCs w:val="18"/>
        </w:rPr>
      </w:pPr>
    </w:p>
    <w:p w14:paraId="1669B15C" w14:textId="77777777" w:rsidR="00BA171D" w:rsidRDefault="00BA171D" w:rsidP="007E3D6B">
      <w:pPr>
        <w:spacing w:after="0" w:line="240" w:lineRule="auto"/>
        <w:rPr>
          <w:rFonts w:cstheme="minorHAnsi"/>
          <w:i/>
          <w:iCs/>
          <w:sz w:val="18"/>
          <w:szCs w:val="18"/>
        </w:rPr>
      </w:pPr>
    </w:p>
    <w:p w14:paraId="167BE539" w14:textId="2E2AB350" w:rsidR="00BA171D" w:rsidRDefault="00BA171D" w:rsidP="007E3D6B">
      <w:pPr>
        <w:spacing w:after="0" w:line="240" w:lineRule="auto"/>
        <w:rPr>
          <w:rFonts w:cstheme="minorHAnsi"/>
          <w:i/>
          <w:iCs/>
          <w:sz w:val="18"/>
          <w:szCs w:val="18"/>
        </w:rPr>
      </w:pPr>
    </w:p>
    <w:p w14:paraId="65B2A6D8" w14:textId="77777777" w:rsidR="0079747D" w:rsidRDefault="0079747D">
      <w:pPr>
        <w:rPr>
          <w:rFonts w:asciiTheme="majorHAnsi" w:eastAsiaTheme="majorEastAsia" w:hAnsiTheme="majorHAnsi" w:cstheme="majorBidi"/>
          <w:color w:val="365F91" w:themeColor="accent1" w:themeShade="BF"/>
          <w:sz w:val="26"/>
          <w:szCs w:val="26"/>
        </w:rPr>
      </w:pPr>
      <w:r>
        <w:br w:type="page"/>
      </w:r>
    </w:p>
    <w:p w14:paraId="6E8E00C9" w14:textId="363D38A3" w:rsidR="004563D2" w:rsidRDefault="004563D2" w:rsidP="0079747D">
      <w:pPr>
        <w:pStyle w:val="Heading2"/>
        <w:spacing w:after="240"/>
      </w:pPr>
      <w:bookmarkStart w:id="30" w:name="_Toc165448404"/>
      <w:r>
        <w:t>Treatment sequences</w:t>
      </w:r>
      <w:bookmarkEnd w:id="30"/>
    </w:p>
    <w:p w14:paraId="2009B58B" w14:textId="5361BE6B" w:rsidR="00027F7D" w:rsidRPr="00C61EF3" w:rsidRDefault="00027F7D" w:rsidP="00027F7D">
      <w:pPr>
        <w:jc w:val="both"/>
        <w:rPr>
          <w:rFonts w:cstheme="minorHAnsi"/>
          <w:bCs/>
        </w:rPr>
      </w:pPr>
      <w:r w:rsidRPr="00E964FD">
        <w:rPr>
          <w:rFonts w:cstheme="minorHAnsi"/>
          <w:bCs/>
        </w:rPr>
        <w:t xml:space="preserve">This </w:t>
      </w:r>
      <w:r w:rsidR="005E1FB0" w:rsidRPr="00E964FD">
        <w:rPr>
          <w:rFonts w:cstheme="minorHAnsi"/>
          <w:bCs/>
        </w:rPr>
        <w:t xml:space="preserve">section of the report considers treatment </w:t>
      </w:r>
      <w:r w:rsidR="00E964FD" w:rsidRPr="00E964FD">
        <w:rPr>
          <w:rFonts w:cstheme="minorHAnsi"/>
          <w:bCs/>
        </w:rPr>
        <w:t>pathways</w:t>
      </w:r>
      <w:r w:rsidR="005E1FB0" w:rsidRPr="00E964FD">
        <w:rPr>
          <w:rFonts w:cstheme="minorHAnsi"/>
          <w:bCs/>
        </w:rPr>
        <w:t xml:space="preserve"> with </w:t>
      </w:r>
      <w:r w:rsidR="00E964FD" w:rsidRPr="00E964FD">
        <w:rPr>
          <w:rFonts w:cstheme="minorHAnsi"/>
          <w:bCs/>
        </w:rPr>
        <w:t xml:space="preserve">PBS restricted HF medicines </w:t>
      </w:r>
      <w:r w:rsidR="005E1FB0" w:rsidRPr="00E964FD">
        <w:rPr>
          <w:rFonts w:cstheme="minorHAnsi"/>
          <w:bCs/>
        </w:rPr>
        <w:t>over a longer time frame</w:t>
      </w:r>
      <w:r w:rsidR="00E964FD" w:rsidRPr="00E964FD">
        <w:rPr>
          <w:rFonts w:cstheme="minorHAnsi"/>
          <w:bCs/>
        </w:rPr>
        <w:t xml:space="preserve">. To provide a longer window for follow up, the cohort in this analysis were </w:t>
      </w:r>
      <w:r w:rsidR="005E1FB0" w:rsidRPr="00E964FD">
        <w:rPr>
          <w:rFonts w:cstheme="minorHAnsi"/>
          <w:bCs/>
        </w:rPr>
        <w:t>all people who initiated PBS restricted HF medicines between 2018 and 2021</w:t>
      </w:r>
      <w:r w:rsidR="00E964FD" w:rsidRPr="00E964FD">
        <w:rPr>
          <w:rFonts w:cstheme="minorHAnsi"/>
          <w:bCs/>
        </w:rPr>
        <w:t xml:space="preserve">; this allowed for </w:t>
      </w:r>
      <w:r w:rsidR="00DE7A69">
        <w:rPr>
          <w:rFonts w:cstheme="minorHAnsi"/>
          <w:bCs/>
        </w:rPr>
        <w:t xml:space="preserve">at least </w:t>
      </w:r>
      <w:r w:rsidR="005E1FB0" w:rsidRPr="00E964FD">
        <w:rPr>
          <w:rFonts w:cstheme="minorHAnsi"/>
          <w:bCs/>
        </w:rPr>
        <w:t>18 months of follow-up</w:t>
      </w:r>
      <w:r w:rsidR="0060676C">
        <w:rPr>
          <w:rFonts w:cstheme="minorHAnsi"/>
          <w:bCs/>
        </w:rPr>
        <w:t xml:space="preserve"> to 30 June 2023</w:t>
      </w:r>
      <w:r w:rsidR="00E964FD" w:rsidRPr="00E964FD">
        <w:rPr>
          <w:rFonts w:cstheme="minorHAnsi"/>
          <w:bCs/>
        </w:rPr>
        <w:t>. I</w:t>
      </w:r>
      <w:r w:rsidRPr="00E964FD">
        <w:rPr>
          <w:rFonts w:cstheme="minorHAnsi"/>
          <w:bCs/>
        </w:rPr>
        <w:t xml:space="preserve">t should be noted that people </w:t>
      </w:r>
      <w:r w:rsidRPr="00E964FD">
        <w:rPr>
          <w:rFonts w:ascii="Calibri" w:hAnsi="Calibri"/>
          <w:color w:val="000000"/>
        </w:rPr>
        <w:t>may have also be taking non-HF restricted medicines</w:t>
      </w:r>
      <w:r w:rsidR="00E964FD" w:rsidRPr="00E964FD">
        <w:rPr>
          <w:rFonts w:ascii="Calibri" w:hAnsi="Calibri"/>
          <w:color w:val="000000"/>
        </w:rPr>
        <w:t xml:space="preserve">; </w:t>
      </w:r>
      <w:r w:rsidR="00E964FD" w:rsidRPr="00E964FD">
        <w:rPr>
          <w:rFonts w:cstheme="minorHAnsi"/>
          <w:bCs/>
        </w:rPr>
        <w:t>the treatment pathways to unrestricted HF medicines are not included</w:t>
      </w:r>
      <w:r w:rsidRPr="00E964FD">
        <w:rPr>
          <w:rFonts w:ascii="Calibri" w:hAnsi="Calibri"/>
          <w:color w:val="000000"/>
        </w:rPr>
        <w:t>.</w:t>
      </w:r>
      <w:r w:rsidR="00E964FD">
        <w:rPr>
          <w:rFonts w:ascii="Calibri" w:hAnsi="Calibri"/>
          <w:color w:val="000000"/>
        </w:rPr>
        <w:t xml:space="preserve">  </w:t>
      </w:r>
    </w:p>
    <w:p w14:paraId="018663F4" w14:textId="7AF32F45" w:rsidR="00AF57D6" w:rsidRDefault="008E6905" w:rsidP="00B51CDA">
      <w:pPr>
        <w:jc w:val="both"/>
        <w:rPr>
          <w:lang w:val="en-US"/>
        </w:rPr>
      </w:pPr>
      <w:r>
        <w:rPr>
          <w:rFonts w:cstheme="minorHAnsi"/>
          <w:bCs/>
        </w:rPr>
        <w:t xml:space="preserve">There were 215,873 people </w:t>
      </w:r>
      <w:r w:rsidRPr="00C61EF3">
        <w:rPr>
          <w:rFonts w:cstheme="minorHAnsi"/>
          <w:bCs/>
        </w:rPr>
        <w:t xml:space="preserve">who initiated any </w:t>
      </w:r>
      <w:r w:rsidR="00E964FD">
        <w:rPr>
          <w:rFonts w:cstheme="minorHAnsi"/>
          <w:bCs/>
        </w:rPr>
        <w:t xml:space="preserve">PBS </w:t>
      </w:r>
      <w:r>
        <w:rPr>
          <w:rFonts w:cstheme="minorHAnsi"/>
          <w:bCs/>
        </w:rPr>
        <w:t xml:space="preserve">restricted </w:t>
      </w:r>
      <w:r w:rsidR="00E964FD">
        <w:rPr>
          <w:rFonts w:cstheme="minorHAnsi"/>
          <w:bCs/>
        </w:rPr>
        <w:t xml:space="preserve">HF </w:t>
      </w:r>
      <w:r w:rsidRPr="00C61EF3">
        <w:rPr>
          <w:rFonts w:cstheme="minorHAnsi"/>
          <w:bCs/>
        </w:rPr>
        <w:t xml:space="preserve">medicine (first ever) between 2018 and 2021 (2017 </w:t>
      </w:r>
      <w:r w:rsidR="00E964FD">
        <w:rPr>
          <w:rFonts w:cstheme="minorHAnsi"/>
          <w:bCs/>
        </w:rPr>
        <w:t xml:space="preserve">was used as the </w:t>
      </w:r>
      <w:r w:rsidRPr="00C61EF3">
        <w:rPr>
          <w:rFonts w:cstheme="minorHAnsi"/>
          <w:bCs/>
        </w:rPr>
        <w:t>baseline</w:t>
      </w:r>
      <w:r w:rsidR="00E964FD">
        <w:rPr>
          <w:rFonts w:cstheme="minorHAnsi"/>
          <w:bCs/>
        </w:rPr>
        <w:t xml:space="preserve"> year to ensure incident use</w:t>
      </w:r>
      <w:r w:rsidRPr="00C61EF3">
        <w:rPr>
          <w:rFonts w:cstheme="minorHAnsi"/>
          <w:bCs/>
        </w:rPr>
        <w:t xml:space="preserve">; </w:t>
      </w:r>
      <w:r>
        <w:rPr>
          <w:rFonts w:cstheme="minorHAnsi"/>
          <w:bCs/>
        </w:rPr>
        <w:t>people were followed for</w:t>
      </w:r>
      <w:r w:rsidRPr="00C61EF3">
        <w:rPr>
          <w:rFonts w:cstheme="minorHAnsi"/>
          <w:bCs/>
        </w:rPr>
        <w:t xml:space="preserve"> </w:t>
      </w:r>
      <w:r>
        <w:rPr>
          <w:rFonts w:cstheme="minorHAnsi"/>
          <w:bCs/>
        </w:rPr>
        <w:t xml:space="preserve">at </w:t>
      </w:r>
      <w:r w:rsidRPr="00C61EF3">
        <w:rPr>
          <w:rFonts w:cstheme="minorHAnsi"/>
          <w:bCs/>
        </w:rPr>
        <w:t>least 18 months</w:t>
      </w:r>
      <w:r w:rsidR="0060676C">
        <w:rPr>
          <w:rFonts w:cstheme="minorHAnsi"/>
          <w:bCs/>
        </w:rPr>
        <w:t xml:space="preserve"> to 30 June 2023</w:t>
      </w:r>
      <w:r w:rsidRPr="00C61EF3">
        <w:rPr>
          <w:rFonts w:cstheme="minorHAnsi"/>
          <w:bCs/>
        </w:rPr>
        <w:t>).</w:t>
      </w:r>
      <w:r>
        <w:rPr>
          <w:rFonts w:cstheme="minorHAnsi"/>
          <w:bCs/>
        </w:rPr>
        <w:t xml:space="preserve"> </w:t>
      </w:r>
      <w:r w:rsidR="00E964FD">
        <w:rPr>
          <w:lang w:val="en-US"/>
        </w:rPr>
        <w:t xml:space="preserve">Among this cohort, </w:t>
      </w:r>
      <w:r w:rsidR="006C6763">
        <w:rPr>
          <w:lang w:val="en-US"/>
        </w:rPr>
        <w:t>8</w:t>
      </w:r>
      <w:r w:rsidR="0060676C">
        <w:rPr>
          <w:lang w:val="en-US"/>
        </w:rPr>
        <w:t>4</w:t>
      </w:r>
      <w:r w:rsidR="006C6763">
        <w:rPr>
          <w:lang w:val="en-US"/>
        </w:rPr>
        <w:t>% were initiated on BB (</w:t>
      </w:r>
      <w:r w:rsidR="00AF57D6">
        <w:rPr>
          <w:lang w:val="en-US"/>
        </w:rPr>
        <w:t xml:space="preserve">53% on bisoprolol, 19% on </w:t>
      </w:r>
      <w:r w:rsidR="00AC3728">
        <w:rPr>
          <w:lang w:val="en-US"/>
        </w:rPr>
        <w:t>nebivolol</w:t>
      </w:r>
      <w:r w:rsidR="006C6763">
        <w:rPr>
          <w:lang w:val="en-US"/>
        </w:rPr>
        <w:t xml:space="preserve">, </w:t>
      </w:r>
      <w:r w:rsidR="002A29D3">
        <w:rPr>
          <w:lang w:val="en-US"/>
        </w:rPr>
        <w:t>6% on metoprolol</w:t>
      </w:r>
      <w:r w:rsidR="002F464F">
        <w:rPr>
          <w:lang w:val="en-US"/>
        </w:rPr>
        <w:t xml:space="preserve"> succinate</w:t>
      </w:r>
      <w:r w:rsidR="002A29D3">
        <w:rPr>
          <w:lang w:val="en-US"/>
        </w:rPr>
        <w:t xml:space="preserve"> and </w:t>
      </w:r>
      <w:r w:rsidR="0060676C">
        <w:rPr>
          <w:lang w:val="en-US"/>
        </w:rPr>
        <w:t>6</w:t>
      </w:r>
      <w:r w:rsidR="006C6763">
        <w:rPr>
          <w:lang w:val="en-US"/>
        </w:rPr>
        <w:t>% on carvedilol</w:t>
      </w:r>
      <w:r w:rsidR="002A29D3">
        <w:rPr>
          <w:lang w:val="en-US"/>
        </w:rPr>
        <w:t>)</w:t>
      </w:r>
      <w:r w:rsidR="00AC3728">
        <w:rPr>
          <w:lang w:val="en-US"/>
        </w:rPr>
        <w:t>.</w:t>
      </w:r>
      <w:r w:rsidR="002A29D3">
        <w:rPr>
          <w:lang w:val="en-US"/>
        </w:rPr>
        <w:t xml:space="preserve"> Seven percent were initiated on ARNI (sacubitril + valsartan), 2% on HCN c</w:t>
      </w:r>
      <w:r w:rsidR="00A669FE">
        <w:rPr>
          <w:lang w:val="en-US"/>
        </w:rPr>
        <w:t>h</w:t>
      </w:r>
      <w:r w:rsidR="002A29D3">
        <w:rPr>
          <w:lang w:val="en-US"/>
        </w:rPr>
        <w:t>annel blocker (ivabradine), and another 2% on MRA for HF (eplerenone).</w:t>
      </w:r>
      <w:r w:rsidR="002178FB">
        <w:rPr>
          <w:lang w:val="en-US"/>
        </w:rPr>
        <w:t xml:space="preserve"> Overall, </w:t>
      </w:r>
      <w:r w:rsidR="0060676C">
        <w:rPr>
          <w:lang w:val="en-US"/>
        </w:rPr>
        <w:t>5</w:t>
      </w:r>
      <w:r w:rsidR="002178FB">
        <w:rPr>
          <w:lang w:val="en-US"/>
        </w:rPr>
        <w:t>% were initiated on dual therapies.</w:t>
      </w:r>
      <w:r w:rsidR="009C47F1">
        <w:rPr>
          <w:lang w:val="en-US"/>
        </w:rPr>
        <w:t xml:space="preserve"> (Figure 13)</w:t>
      </w:r>
      <w:r w:rsidR="0060676C">
        <w:rPr>
          <w:lang w:val="en-US"/>
        </w:rPr>
        <w:t>.</w:t>
      </w:r>
    </w:p>
    <w:p w14:paraId="1BB52C0F" w14:textId="77777777" w:rsidR="005E0B8D" w:rsidRPr="00E964FD" w:rsidRDefault="005B7549" w:rsidP="0079747D">
      <w:pPr>
        <w:spacing w:after="0"/>
        <w:rPr>
          <w:b/>
          <w:bCs/>
          <w:lang w:val="en-US"/>
        </w:rPr>
      </w:pPr>
      <w:r w:rsidRPr="00E964FD">
        <w:rPr>
          <w:b/>
          <w:bCs/>
          <w:noProof/>
          <w:lang w:eastAsia="en-AU"/>
        </w:rPr>
        <w:drawing>
          <wp:inline distT="0" distB="0" distL="0" distR="0" wp14:anchorId="753DC746" wp14:editId="03D360EE">
            <wp:extent cx="5607050" cy="3333750"/>
            <wp:effectExtent l="0" t="0" r="12700" b="0"/>
            <wp:docPr id="12" name="Chart 12" descr="Graph showing which heart failure restricted medicines patients initiated the most, with bisoprolol accounting for over half of all initiations.">
              <a:extLst xmlns:a="http://schemas.openxmlformats.org/drawingml/2006/main">
                <a:ext uri="{FF2B5EF4-FFF2-40B4-BE49-F238E27FC236}">
                  <a16:creationId xmlns:a16="http://schemas.microsoft.com/office/drawing/2014/main" id="{82B5175E-3689-5CE4-F769-C092061935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067F992" w14:textId="1C0AA324" w:rsidR="00AF57D6" w:rsidRPr="00E964FD" w:rsidRDefault="00AF57D6" w:rsidP="00AC3728">
      <w:pPr>
        <w:spacing w:after="0" w:line="240" w:lineRule="auto"/>
        <w:rPr>
          <w:b/>
          <w:bCs/>
          <w:lang w:val="en-US"/>
        </w:rPr>
      </w:pPr>
      <w:r w:rsidRPr="00E964FD">
        <w:rPr>
          <w:b/>
          <w:bCs/>
          <w:lang w:val="en-US"/>
        </w:rPr>
        <w:t>Figure 1</w:t>
      </w:r>
      <w:r w:rsidR="009C47F1">
        <w:rPr>
          <w:b/>
          <w:bCs/>
          <w:lang w:val="en-US"/>
        </w:rPr>
        <w:t>3</w:t>
      </w:r>
      <w:r w:rsidRPr="00E964FD">
        <w:rPr>
          <w:b/>
          <w:bCs/>
          <w:lang w:val="en-US"/>
        </w:rPr>
        <w:t xml:space="preserve">. Type of index (first ever) </w:t>
      </w:r>
      <w:r w:rsidR="00E964FD">
        <w:rPr>
          <w:b/>
          <w:bCs/>
          <w:lang w:val="en-US"/>
        </w:rPr>
        <w:t xml:space="preserve">PBS restricted </w:t>
      </w:r>
      <w:r w:rsidRPr="00E964FD">
        <w:rPr>
          <w:b/>
          <w:bCs/>
          <w:lang w:val="en-US"/>
        </w:rPr>
        <w:t>HF therapy</w:t>
      </w:r>
      <w:r w:rsidR="00E964FD">
        <w:rPr>
          <w:b/>
          <w:bCs/>
          <w:lang w:val="en-US"/>
        </w:rPr>
        <w:t xml:space="preserve"> in incident users between</w:t>
      </w:r>
      <w:r w:rsidRPr="00E964FD">
        <w:rPr>
          <w:b/>
          <w:bCs/>
          <w:lang w:val="en-US"/>
        </w:rPr>
        <w:t xml:space="preserve"> 2018-2021 (cumulative 98%, including therapies &gt;=0.5%</w:t>
      </w:r>
      <w:proofErr w:type="gramStart"/>
      <w:r w:rsidRPr="00E964FD">
        <w:rPr>
          <w:b/>
          <w:bCs/>
          <w:lang w:val="en-US"/>
        </w:rPr>
        <w:t>)</w:t>
      </w:r>
      <w:r w:rsidR="00D060ED" w:rsidRPr="00E964FD">
        <w:rPr>
          <w:b/>
          <w:bCs/>
          <w:lang w:val="en-US"/>
        </w:rPr>
        <w:t>;</w:t>
      </w:r>
      <w:proofErr w:type="gramEnd"/>
      <w:r w:rsidR="00D060ED" w:rsidRPr="00E964FD">
        <w:rPr>
          <w:b/>
          <w:bCs/>
          <w:lang w:val="en-US"/>
        </w:rPr>
        <w:t xml:space="preserve"> </w:t>
      </w:r>
    </w:p>
    <w:p w14:paraId="7FDE04E7" w14:textId="77777777" w:rsidR="00AC3728" w:rsidRDefault="00AC3728" w:rsidP="00AC3728">
      <w:pPr>
        <w:spacing w:after="0" w:line="240" w:lineRule="auto"/>
        <w:rPr>
          <w:rFonts w:cstheme="minorHAnsi"/>
          <w:i/>
          <w:iCs/>
          <w:sz w:val="18"/>
          <w:szCs w:val="18"/>
        </w:rPr>
      </w:pPr>
      <w:r w:rsidRPr="008E2AAA">
        <w:rPr>
          <w:rFonts w:cstheme="minorHAnsi"/>
          <w:i/>
          <w:iCs/>
          <w:sz w:val="18"/>
          <w:szCs w:val="18"/>
        </w:rPr>
        <w:t xml:space="preserve">Legend: </w:t>
      </w:r>
    </w:p>
    <w:p w14:paraId="036F1695" w14:textId="77777777" w:rsidR="001278A9" w:rsidRDefault="001278A9" w:rsidP="00AC3728">
      <w:pPr>
        <w:spacing w:after="0" w:line="240" w:lineRule="auto"/>
        <w:rPr>
          <w:rFonts w:cstheme="minorHAnsi"/>
          <w:i/>
          <w:iCs/>
          <w:sz w:val="18"/>
          <w:szCs w:val="18"/>
        </w:rPr>
      </w:pPr>
      <w:r>
        <w:rPr>
          <w:rFonts w:cstheme="minorHAnsi"/>
          <w:i/>
          <w:iCs/>
          <w:sz w:val="18"/>
          <w:szCs w:val="18"/>
        </w:rPr>
        <w:t>“+” denotes concurrent use</w:t>
      </w:r>
    </w:p>
    <w:p w14:paraId="4F329FA2" w14:textId="77777777" w:rsidR="00E964FD" w:rsidRDefault="00AC3728" w:rsidP="00AC3728">
      <w:pPr>
        <w:spacing w:after="0" w:line="240" w:lineRule="auto"/>
        <w:rPr>
          <w:rFonts w:cstheme="minorHAnsi"/>
          <w:i/>
          <w:iCs/>
          <w:sz w:val="18"/>
          <w:szCs w:val="18"/>
        </w:rPr>
      </w:pPr>
      <w:r w:rsidRPr="008E2AAA">
        <w:rPr>
          <w:rFonts w:cstheme="minorHAnsi"/>
          <w:i/>
          <w:iCs/>
          <w:sz w:val="18"/>
          <w:szCs w:val="18"/>
        </w:rPr>
        <w:t>B</w:t>
      </w:r>
      <w:r>
        <w:rPr>
          <w:rFonts w:cstheme="minorHAnsi"/>
          <w:i/>
          <w:iCs/>
          <w:sz w:val="18"/>
          <w:szCs w:val="18"/>
        </w:rPr>
        <w:t>iso</w:t>
      </w:r>
      <w:r w:rsidRPr="008E2AAA">
        <w:rPr>
          <w:rFonts w:cstheme="minorHAnsi"/>
          <w:i/>
          <w:iCs/>
          <w:sz w:val="18"/>
          <w:szCs w:val="18"/>
        </w:rPr>
        <w:t xml:space="preserve"> – </w:t>
      </w:r>
      <w:r>
        <w:rPr>
          <w:rFonts w:cstheme="minorHAnsi"/>
          <w:i/>
          <w:iCs/>
          <w:sz w:val="18"/>
          <w:szCs w:val="18"/>
        </w:rPr>
        <w:t>Bisoprolol (BB</w:t>
      </w:r>
      <w:proofErr w:type="gramStart"/>
      <w:r>
        <w:rPr>
          <w:rFonts w:cstheme="minorHAnsi"/>
          <w:i/>
          <w:iCs/>
          <w:sz w:val="18"/>
          <w:szCs w:val="18"/>
        </w:rPr>
        <w:t>)</w:t>
      </w:r>
      <w:r w:rsidR="006C6763">
        <w:rPr>
          <w:rFonts w:cstheme="minorHAnsi"/>
          <w:i/>
          <w:iCs/>
          <w:sz w:val="18"/>
          <w:szCs w:val="18"/>
        </w:rPr>
        <w:t>;</w:t>
      </w:r>
      <w:proofErr w:type="gramEnd"/>
      <w:r w:rsidR="006C6763">
        <w:rPr>
          <w:rFonts w:cstheme="minorHAnsi"/>
          <w:i/>
          <w:iCs/>
          <w:sz w:val="18"/>
          <w:szCs w:val="18"/>
        </w:rPr>
        <w:t xml:space="preserve"> </w:t>
      </w:r>
    </w:p>
    <w:p w14:paraId="2BFE3286" w14:textId="77777777" w:rsidR="00E964FD" w:rsidRDefault="00AC3728" w:rsidP="00AC3728">
      <w:pPr>
        <w:spacing w:after="0" w:line="240" w:lineRule="auto"/>
        <w:rPr>
          <w:rFonts w:cstheme="minorHAnsi"/>
          <w:i/>
          <w:iCs/>
          <w:sz w:val="18"/>
          <w:szCs w:val="18"/>
        </w:rPr>
      </w:pPr>
      <w:r>
        <w:rPr>
          <w:rFonts w:cstheme="minorHAnsi"/>
          <w:i/>
          <w:iCs/>
          <w:sz w:val="18"/>
          <w:szCs w:val="18"/>
        </w:rPr>
        <w:t>Nebi – Nebivolol (BB</w:t>
      </w:r>
      <w:proofErr w:type="gramStart"/>
      <w:r>
        <w:rPr>
          <w:rFonts w:cstheme="minorHAnsi"/>
          <w:i/>
          <w:iCs/>
          <w:sz w:val="18"/>
          <w:szCs w:val="18"/>
        </w:rPr>
        <w:t>)</w:t>
      </w:r>
      <w:r w:rsidR="006C6763">
        <w:rPr>
          <w:rFonts w:cstheme="minorHAnsi"/>
          <w:i/>
          <w:iCs/>
          <w:sz w:val="18"/>
          <w:szCs w:val="18"/>
        </w:rPr>
        <w:t>;</w:t>
      </w:r>
      <w:proofErr w:type="gramEnd"/>
      <w:r w:rsidR="006C6763">
        <w:rPr>
          <w:rFonts w:cstheme="minorHAnsi"/>
          <w:i/>
          <w:iCs/>
          <w:sz w:val="18"/>
          <w:szCs w:val="18"/>
        </w:rPr>
        <w:t xml:space="preserve"> </w:t>
      </w:r>
    </w:p>
    <w:p w14:paraId="5935E2AA" w14:textId="77777777" w:rsidR="00E964FD" w:rsidRDefault="00AC3728" w:rsidP="00AC3728">
      <w:pPr>
        <w:spacing w:after="0" w:line="240" w:lineRule="auto"/>
        <w:rPr>
          <w:rFonts w:cstheme="minorHAnsi"/>
          <w:i/>
          <w:iCs/>
          <w:sz w:val="18"/>
          <w:szCs w:val="18"/>
        </w:rPr>
      </w:pPr>
      <w:r>
        <w:rPr>
          <w:rFonts w:cstheme="minorHAnsi"/>
          <w:i/>
          <w:iCs/>
          <w:sz w:val="18"/>
          <w:szCs w:val="18"/>
        </w:rPr>
        <w:t>Meto – Metoprolol (BB</w:t>
      </w:r>
      <w:proofErr w:type="gramStart"/>
      <w:r>
        <w:rPr>
          <w:rFonts w:cstheme="minorHAnsi"/>
          <w:i/>
          <w:iCs/>
          <w:sz w:val="18"/>
          <w:szCs w:val="18"/>
        </w:rPr>
        <w:t>)</w:t>
      </w:r>
      <w:r w:rsidR="006C6763">
        <w:rPr>
          <w:rFonts w:cstheme="minorHAnsi"/>
          <w:i/>
          <w:iCs/>
          <w:sz w:val="18"/>
          <w:szCs w:val="18"/>
        </w:rPr>
        <w:t>;</w:t>
      </w:r>
      <w:proofErr w:type="gramEnd"/>
      <w:r w:rsidR="006C6763">
        <w:rPr>
          <w:rFonts w:cstheme="minorHAnsi"/>
          <w:i/>
          <w:iCs/>
          <w:sz w:val="18"/>
          <w:szCs w:val="18"/>
        </w:rPr>
        <w:t xml:space="preserve"> </w:t>
      </w:r>
    </w:p>
    <w:p w14:paraId="1C0E3B4A" w14:textId="77777777" w:rsidR="00E964FD" w:rsidRDefault="00AC3728" w:rsidP="00AC3728">
      <w:pPr>
        <w:spacing w:after="0" w:line="240" w:lineRule="auto"/>
        <w:rPr>
          <w:rFonts w:cstheme="minorHAnsi"/>
          <w:i/>
          <w:iCs/>
          <w:sz w:val="18"/>
          <w:szCs w:val="18"/>
        </w:rPr>
      </w:pPr>
      <w:r>
        <w:rPr>
          <w:rFonts w:cstheme="minorHAnsi"/>
          <w:i/>
          <w:iCs/>
          <w:sz w:val="18"/>
          <w:szCs w:val="18"/>
        </w:rPr>
        <w:t>Carv – Carvedilol (BB</w:t>
      </w:r>
      <w:proofErr w:type="gramStart"/>
      <w:r>
        <w:rPr>
          <w:rFonts w:cstheme="minorHAnsi"/>
          <w:i/>
          <w:iCs/>
          <w:sz w:val="18"/>
          <w:szCs w:val="18"/>
        </w:rPr>
        <w:t>)</w:t>
      </w:r>
      <w:r w:rsidR="006C6763">
        <w:rPr>
          <w:rFonts w:cstheme="minorHAnsi"/>
          <w:i/>
          <w:iCs/>
          <w:sz w:val="18"/>
          <w:szCs w:val="18"/>
        </w:rPr>
        <w:t>;</w:t>
      </w:r>
      <w:proofErr w:type="gramEnd"/>
      <w:r w:rsidR="006C6763">
        <w:rPr>
          <w:rFonts w:cstheme="minorHAnsi"/>
          <w:i/>
          <w:iCs/>
          <w:sz w:val="18"/>
          <w:szCs w:val="18"/>
        </w:rPr>
        <w:t xml:space="preserve"> </w:t>
      </w:r>
    </w:p>
    <w:p w14:paraId="08092C04" w14:textId="77777777" w:rsidR="00E964FD" w:rsidRDefault="00AC3728" w:rsidP="00AC3728">
      <w:pPr>
        <w:spacing w:after="0" w:line="240" w:lineRule="auto"/>
        <w:rPr>
          <w:rFonts w:cstheme="minorHAnsi"/>
          <w:i/>
          <w:iCs/>
          <w:sz w:val="18"/>
          <w:szCs w:val="18"/>
        </w:rPr>
      </w:pPr>
      <w:r>
        <w:rPr>
          <w:rFonts w:cstheme="minorHAnsi"/>
          <w:i/>
          <w:iCs/>
          <w:sz w:val="18"/>
          <w:szCs w:val="18"/>
        </w:rPr>
        <w:t>S+V – Sacubitril+Valsartan (ARNI</w:t>
      </w:r>
      <w:proofErr w:type="gramStart"/>
      <w:r>
        <w:rPr>
          <w:rFonts w:cstheme="minorHAnsi"/>
          <w:i/>
          <w:iCs/>
          <w:sz w:val="18"/>
          <w:szCs w:val="18"/>
        </w:rPr>
        <w:t>)</w:t>
      </w:r>
      <w:r w:rsidR="006C6763">
        <w:rPr>
          <w:rFonts w:cstheme="minorHAnsi"/>
          <w:i/>
          <w:iCs/>
          <w:sz w:val="18"/>
          <w:szCs w:val="18"/>
        </w:rPr>
        <w:t>;</w:t>
      </w:r>
      <w:proofErr w:type="gramEnd"/>
      <w:r w:rsidR="006C6763">
        <w:rPr>
          <w:rFonts w:cstheme="minorHAnsi"/>
          <w:i/>
          <w:iCs/>
          <w:sz w:val="18"/>
          <w:szCs w:val="18"/>
        </w:rPr>
        <w:t xml:space="preserve"> </w:t>
      </w:r>
    </w:p>
    <w:p w14:paraId="50084F20" w14:textId="77777777" w:rsidR="00E964FD" w:rsidRDefault="00AC3728" w:rsidP="00AC3728">
      <w:pPr>
        <w:spacing w:after="0" w:line="240" w:lineRule="auto"/>
        <w:rPr>
          <w:rFonts w:cstheme="minorHAnsi"/>
          <w:i/>
          <w:iCs/>
          <w:sz w:val="18"/>
          <w:szCs w:val="18"/>
        </w:rPr>
      </w:pPr>
      <w:r>
        <w:rPr>
          <w:rFonts w:cstheme="minorHAnsi"/>
          <w:i/>
          <w:iCs/>
          <w:sz w:val="18"/>
          <w:szCs w:val="18"/>
        </w:rPr>
        <w:t>Eple – Eplerenone (MRA for HF</w:t>
      </w:r>
      <w:proofErr w:type="gramStart"/>
      <w:r>
        <w:rPr>
          <w:rFonts w:cstheme="minorHAnsi"/>
          <w:i/>
          <w:iCs/>
          <w:sz w:val="18"/>
          <w:szCs w:val="18"/>
        </w:rPr>
        <w:t>)</w:t>
      </w:r>
      <w:r w:rsidR="006C6763">
        <w:rPr>
          <w:rFonts w:cstheme="minorHAnsi"/>
          <w:i/>
          <w:iCs/>
          <w:sz w:val="18"/>
          <w:szCs w:val="18"/>
        </w:rPr>
        <w:t>;</w:t>
      </w:r>
      <w:proofErr w:type="gramEnd"/>
      <w:r w:rsidR="006C6763">
        <w:rPr>
          <w:rFonts w:cstheme="minorHAnsi"/>
          <w:i/>
          <w:iCs/>
          <w:sz w:val="18"/>
          <w:szCs w:val="18"/>
        </w:rPr>
        <w:t xml:space="preserve"> </w:t>
      </w:r>
    </w:p>
    <w:p w14:paraId="57C2095A" w14:textId="67D2EF01" w:rsidR="00C271CC" w:rsidRDefault="00C271CC" w:rsidP="00AC3728">
      <w:pPr>
        <w:spacing w:after="0" w:line="240" w:lineRule="auto"/>
        <w:rPr>
          <w:rFonts w:cstheme="minorHAnsi"/>
          <w:i/>
          <w:iCs/>
          <w:sz w:val="18"/>
          <w:szCs w:val="18"/>
        </w:rPr>
      </w:pPr>
      <w:r>
        <w:rPr>
          <w:rFonts w:cstheme="minorHAnsi"/>
          <w:i/>
          <w:iCs/>
          <w:sz w:val="18"/>
          <w:szCs w:val="18"/>
        </w:rPr>
        <w:t xml:space="preserve">Ivab </w:t>
      </w:r>
      <w:r w:rsidR="002F464F">
        <w:rPr>
          <w:rFonts w:cstheme="minorHAnsi"/>
          <w:i/>
          <w:iCs/>
          <w:sz w:val="18"/>
          <w:szCs w:val="18"/>
        </w:rPr>
        <w:t>–</w:t>
      </w:r>
      <w:r>
        <w:rPr>
          <w:rFonts w:cstheme="minorHAnsi"/>
          <w:i/>
          <w:iCs/>
          <w:sz w:val="18"/>
          <w:szCs w:val="18"/>
        </w:rPr>
        <w:t xml:space="preserve"> Ivabradine (HCN channel blocker)</w:t>
      </w:r>
    </w:p>
    <w:p w14:paraId="49ED9684" w14:textId="77777777" w:rsidR="00AC3728" w:rsidRDefault="00AC3728" w:rsidP="00AC3728">
      <w:pPr>
        <w:spacing w:after="0" w:line="240" w:lineRule="auto"/>
        <w:rPr>
          <w:rFonts w:cstheme="minorHAnsi"/>
          <w:i/>
          <w:iCs/>
          <w:sz w:val="18"/>
          <w:szCs w:val="18"/>
        </w:rPr>
      </w:pPr>
    </w:p>
    <w:p w14:paraId="4AA240E1" w14:textId="77777777" w:rsidR="00E964FD" w:rsidRDefault="00E964FD">
      <w:pPr>
        <w:rPr>
          <w:lang w:val="en-US"/>
        </w:rPr>
      </w:pPr>
      <w:r>
        <w:rPr>
          <w:lang w:val="en-US"/>
        </w:rPr>
        <w:br w:type="page"/>
      </w:r>
    </w:p>
    <w:p w14:paraId="5F83D870" w14:textId="504F333F" w:rsidR="00AA70C1" w:rsidRPr="00916601" w:rsidRDefault="00E964FD" w:rsidP="00916601">
      <w:pPr>
        <w:pStyle w:val="FootnoteText"/>
        <w:spacing w:line="276" w:lineRule="auto"/>
        <w:jc w:val="both"/>
        <w:rPr>
          <w:rFonts w:asciiTheme="minorHAnsi" w:hAnsiTheme="minorHAnsi"/>
          <w:color w:val="000000" w:themeColor="text1"/>
          <w:sz w:val="22"/>
          <w:szCs w:val="22"/>
        </w:rPr>
      </w:pPr>
      <w:r w:rsidRPr="00916601">
        <w:rPr>
          <w:rFonts w:asciiTheme="minorHAnsi" w:hAnsiTheme="minorHAnsi"/>
          <w:color w:val="000000" w:themeColor="text1"/>
          <w:sz w:val="22"/>
          <w:szCs w:val="22"/>
          <w:lang w:val="en-US"/>
        </w:rPr>
        <w:t xml:space="preserve">Over the follow-up, </w:t>
      </w:r>
      <w:proofErr w:type="gramStart"/>
      <w:r w:rsidRPr="00916601">
        <w:rPr>
          <w:rFonts w:asciiTheme="minorHAnsi" w:hAnsiTheme="minorHAnsi"/>
          <w:color w:val="000000" w:themeColor="text1"/>
          <w:sz w:val="22"/>
          <w:szCs w:val="22"/>
          <w:lang w:val="en-US"/>
        </w:rPr>
        <w:t>t</w:t>
      </w:r>
      <w:r w:rsidR="00B7551D" w:rsidRPr="00916601">
        <w:rPr>
          <w:rFonts w:asciiTheme="minorHAnsi" w:hAnsiTheme="minorHAnsi"/>
          <w:color w:val="000000" w:themeColor="text1"/>
          <w:sz w:val="22"/>
          <w:szCs w:val="22"/>
          <w:lang w:val="en-US"/>
        </w:rPr>
        <w:t>he majority of</w:t>
      </w:r>
      <w:proofErr w:type="gramEnd"/>
      <w:r w:rsidR="00B7551D" w:rsidRPr="00916601">
        <w:rPr>
          <w:rFonts w:asciiTheme="minorHAnsi" w:hAnsiTheme="minorHAnsi"/>
          <w:color w:val="000000" w:themeColor="text1"/>
          <w:sz w:val="22"/>
          <w:szCs w:val="22"/>
          <w:lang w:val="en-US"/>
        </w:rPr>
        <w:t xml:space="preserve"> people (79%) received monotherapy only with the</w:t>
      </w:r>
      <w:r w:rsidR="002C08E8" w:rsidRPr="00916601">
        <w:rPr>
          <w:rFonts w:asciiTheme="minorHAnsi" w:hAnsiTheme="minorHAnsi"/>
          <w:color w:val="000000" w:themeColor="text1"/>
          <w:sz w:val="22"/>
          <w:szCs w:val="22"/>
          <w:lang w:val="en-US"/>
        </w:rPr>
        <w:t xml:space="preserve"> PBS restricted HF</w:t>
      </w:r>
      <w:r w:rsidR="00B7551D" w:rsidRPr="00916601">
        <w:rPr>
          <w:rFonts w:asciiTheme="minorHAnsi" w:hAnsiTheme="minorHAnsi"/>
          <w:color w:val="000000" w:themeColor="text1"/>
          <w:sz w:val="22"/>
          <w:szCs w:val="22"/>
          <w:lang w:val="en-US"/>
        </w:rPr>
        <w:t xml:space="preserve"> index medicine</w:t>
      </w:r>
      <w:r w:rsidR="00137606" w:rsidRPr="00916601">
        <w:rPr>
          <w:rFonts w:asciiTheme="minorHAnsi" w:hAnsiTheme="minorHAnsi"/>
          <w:color w:val="000000" w:themeColor="text1"/>
          <w:sz w:val="22"/>
          <w:szCs w:val="22"/>
          <w:lang w:val="en-US"/>
        </w:rPr>
        <w:t xml:space="preserve"> (</w:t>
      </w:r>
      <w:r w:rsidR="002A1A10" w:rsidRPr="00916601">
        <w:rPr>
          <w:rFonts w:asciiTheme="minorHAnsi" w:hAnsiTheme="minorHAnsi"/>
          <w:color w:val="000000" w:themeColor="text1"/>
          <w:sz w:val="22"/>
          <w:szCs w:val="22"/>
          <w:lang w:val="en-US"/>
        </w:rPr>
        <w:t>i.e.,</w:t>
      </w:r>
      <w:r w:rsidR="00137606" w:rsidRPr="00916601">
        <w:rPr>
          <w:rFonts w:asciiTheme="minorHAnsi" w:hAnsiTheme="minorHAnsi"/>
          <w:color w:val="000000" w:themeColor="text1"/>
          <w:sz w:val="22"/>
          <w:szCs w:val="22"/>
          <w:lang w:val="en-US"/>
        </w:rPr>
        <w:t xml:space="preserve"> did not add or switch to other </w:t>
      </w:r>
      <w:r w:rsidR="002C08E8" w:rsidRPr="00916601">
        <w:rPr>
          <w:rFonts w:asciiTheme="minorHAnsi" w:hAnsiTheme="minorHAnsi"/>
          <w:color w:val="000000" w:themeColor="text1"/>
          <w:sz w:val="22"/>
          <w:szCs w:val="22"/>
          <w:lang w:val="en-US"/>
        </w:rPr>
        <w:t xml:space="preserve">PBS </w:t>
      </w:r>
      <w:r w:rsidR="00137606" w:rsidRPr="00916601">
        <w:rPr>
          <w:rFonts w:asciiTheme="minorHAnsi" w:hAnsiTheme="minorHAnsi"/>
          <w:color w:val="000000" w:themeColor="text1"/>
          <w:sz w:val="22"/>
          <w:szCs w:val="22"/>
          <w:lang w:val="en-US"/>
        </w:rPr>
        <w:t xml:space="preserve">restricted </w:t>
      </w:r>
      <w:r w:rsidR="002C08E8" w:rsidRPr="00916601">
        <w:rPr>
          <w:rFonts w:asciiTheme="minorHAnsi" w:hAnsiTheme="minorHAnsi"/>
          <w:color w:val="000000" w:themeColor="text1"/>
          <w:sz w:val="22"/>
          <w:szCs w:val="22"/>
          <w:lang w:val="en-US"/>
        </w:rPr>
        <w:t xml:space="preserve">HF </w:t>
      </w:r>
      <w:r w:rsidR="00137606" w:rsidRPr="00916601">
        <w:rPr>
          <w:rFonts w:asciiTheme="minorHAnsi" w:hAnsiTheme="minorHAnsi"/>
          <w:color w:val="000000" w:themeColor="text1"/>
          <w:sz w:val="22"/>
          <w:szCs w:val="22"/>
          <w:lang w:val="en-US"/>
        </w:rPr>
        <w:t>medicines)</w:t>
      </w:r>
      <w:r w:rsidR="00B7551D" w:rsidRPr="00916601">
        <w:rPr>
          <w:rFonts w:asciiTheme="minorHAnsi" w:hAnsiTheme="minorHAnsi"/>
          <w:color w:val="000000" w:themeColor="text1"/>
          <w:sz w:val="22"/>
          <w:szCs w:val="22"/>
          <w:lang w:val="en-US"/>
        </w:rPr>
        <w:t>: 46% received bisoprolol only, 16% nebivolol only, 5% metoprolol</w:t>
      </w:r>
      <w:r w:rsidR="002F464F" w:rsidRPr="00916601">
        <w:rPr>
          <w:rFonts w:asciiTheme="minorHAnsi" w:hAnsiTheme="minorHAnsi"/>
          <w:color w:val="000000" w:themeColor="text1"/>
          <w:sz w:val="22"/>
          <w:szCs w:val="22"/>
          <w:lang w:val="en-US"/>
        </w:rPr>
        <w:t xml:space="preserve"> succinate</w:t>
      </w:r>
      <w:r w:rsidR="00B7551D" w:rsidRPr="00916601">
        <w:rPr>
          <w:rFonts w:asciiTheme="minorHAnsi" w:hAnsiTheme="minorHAnsi"/>
          <w:color w:val="000000" w:themeColor="text1"/>
          <w:sz w:val="22"/>
          <w:szCs w:val="22"/>
          <w:lang w:val="en-US"/>
        </w:rPr>
        <w:t xml:space="preserve"> only, another 5% carvedilol only</w:t>
      </w:r>
      <w:r w:rsidR="002A1A10" w:rsidRPr="00916601">
        <w:rPr>
          <w:rFonts w:asciiTheme="minorHAnsi" w:hAnsiTheme="minorHAnsi"/>
          <w:color w:val="000000" w:themeColor="text1"/>
          <w:sz w:val="22"/>
          <w:szCs w:val="22"/>
          <w:lang w:val="en-US"/>
        </w:rPr>
        <w:t>.</w:t>
      </w:r>
      <w:r w:rsidR="00B7551D" w:rsidRPr="00916601">
        <w:rPr>
          <w:rFonts w:asciiTheme="minorHAnsi" w:hAnsiTheme="minorHAnsi"/>
          <w:color w:val="000000" w:themeColor="text1"/>
          <w:sz w:val="22"/>
          <w:szCs w:val="22"/>
          <w:lang w:val="en-US"/>
        </w:rPr>
        <w:t xml:space="preserve"> (Figure 1</w:t>
      </w:r>
      <w:r w:rsidR="009C47F1" w:rsidRPr="00916601">
        <w:rPr>
          <w:rFonts w:asciiTheme="minorHAnsi" w:hAnsiTheme="minorHAnsi"/>
          <w:color w:val="000000" w:themeColor="text1"/>
          <w:sz w:val="22"/>
          <w:szCs w:val="22"/>
          <w:lang w:val="en-US"/>
        </w:rPr>
        <w:t>4</w:t>
      </w:r>
      <w:r w:rsidR="00B7551D" w:rsidRPr="00916601">
        <w:rPr>
          <w:rFonts w:asciiTheme="minorHAnsi" w:hAnsiTheme="minorHAnsi"/>
          <w:color w:val="000000" w:themeColor="text1"/>
          <w:sz w:val="22"/>
          <w:szCs w:val="22"/>
          <w:lang w:val="en-US"/>
        </w:rPr>
        <w:t xml:space="preserve">). </w:t>
      </w:r>
      <w:r w:rsidR="00AA70C1" w:rsidRPr="00916601">
        <w:rPr>
          <w:rFonts w:asciiTheme="minorHAnsi" w:hAnsiTheme="minorHAnsi"/>
          <w:color w:val="000000" w:themeColor="text1"/>
          <w:sz w:val="22"/>
          <w:szCs w:val="22"/>
          <w:lang w:val="en-US"/>
        </w:rPr>
        <w:t xml:space="preserve">Please note that </w:t>
      </w:r>
      <w:r w:rsidR="00AA70C1" w:rsidRPr="00916601">
        <w:rPr>
          <w:rFonts w:asciiTheme="minorHAnsi" w:hAnsiTheme="minorHAnsi"/>
          <w:color w:val="000000" w:themeColor="text1"/>
          <w:sz w:val="22"/>
          <w:szCs w:val="22"/>
        </w:rPr>
        <w:t xml:space="preserve">although ARNI is a FDC of sacubitril and valsartan, it was treated as a </w:t>
      </w:r>
      <w:r w:rsidR="00916601">
        <w:rPr>
          <w:rFonts w:asciiTheme="minorHAnsi" w:hAnsiTheme="minorHAnsi"/>
          <w:color w:val="000000" w:themeColor="text1"/>
          <w:sz w:val="22"/>
          <w:szCs w:val="22"/>
        </w:rPr>
        <w:t xml:space="preserve">monotherapy with a </w:t>
      </w:r>
      <w:r w:rsidR="00AA70C1" w:rsidRPr="00916601">
        <w:rPr>
          <w:rFonts w:asciiTheme="minorHAnsi" w:hAnsiTheme="minorHAnsi"/>
          <w:color w:val="000000" w:themeColor="text1"/>
          <w:sz w:val="22"/>
          <w:szCs w:val="22"/>
        </w:rPr>
        <w:t>single agent in the analysis because sacubitril is only available in this combination.</w:t>
      </w:r>
    </w:p>
    <w:p w14:paraId="6CE4B381" w14:textId="77777777" w:rsidR="00AA70C1" w:rsidRPr="00AA70C1" w:rsidRDefault="00AA70C1" w:rsidP="00AA70C1">
      <w:pPr>
        <w:pStyle w:val="FootnoteText"/>
        <w:rPr>
          <w:rFonts w:asciiTheme="minorHAnsi" w:hAnsiTheme="minorHAnsi"/>
          <w:sz w:val="22"/>
          <w:szCs w:val="22"/>
        </w:rPr>
      </w:pPr>
    </w:p>
    <w:p w14:paraId="2A464FB1" w14:textId="6365BD7B" w:rsidR="00B7551D" w:rsidRDefault="00B7551D" w:rsidP="00B51CDA">
      <w:pPr>
        <w:jc w:val="both"/>
        <w:rPr>
          <w:lang w:val="en-US"/>
        </w:rPr>
      </w:pPr>
      <w:r>
        <w:rPr>
          <w:lang w:val="en-US"/>
        </w:rPr>
        <w:t xml:space="preserve">Twenty percent had a change in index </w:t>
      </w:r>
      <w:r w:rsidR="00137606">
        <w:rPr>
          <w:lang w:val="en-US"/>
        </w:rPr>
        <w:t xml:space="preserve">heart failure restricted </w:t>
      </w:r>
      <w:r>
        <w:rPr>
          <w:lang w:val="en-US"/>
        </w:rPr>
        <w:t>therapy: 1</w:t>
      </w:r>
      <w:r w:rsidR="00DE7A69">
        <w:rPr>
          <w:lang w:val="en-US"/>
        </w:rPr>
        <w:t>0</w:t>
      </w:r>
      <w:r>
        <w:rPr>
          <w:lang w:val="en-US"/>
        </w:rPr>
        <w:t>% had addition of second line therapy (e.g</w:t>
      </w:r>
      <w:r w:rsidR="000A3E5C">
        <w:rPr>
          <w:lang w:val="en-US"/>
        </w:rPr>
        <w:t>.</w:t>
      </w:r>
      <w:r>
        <w:rPr>
          <w:lang w:val="en-US"/>
        </w:rPr>
        <w:t xml:space="preserve"> Biso </w:t>
      </w:r>
      <w:r w:rsidRPr="002A4D74">
        <w:rPr>
          <w:lang w:val="en-US"/>
        </w:rPr>
        <w:sym w:font="Wingdings" w:char="F0E0"/>
      </w:r>
      <w:r>
        <w:rPr>
          <w:lang w:val="en-US"/>
        </w:rPr>
        <w:t xml:space="preserve"> Biso+S+V in Figure 1</w:t>
      </w:r>
      <w:r w:rsidR="009C47F1">
        <w:rPr>
          <w:lang w:val="en-US"/>
        </w:rPr>
        <w:t>4</w:t>
      </w:r>
      <w:r>
        <w:rPr>
          <w:lang w:val="en-US"/>
        </w:rPr>
        <w:t>), 6% switched to therapy different to the index one (e.g</w:t>
      </w:r>
      <w:r w:rsidR="002A1A10">
        <w:rPr>
          <w:lang w:val="en-US"/>
        </w:rPr>
        <w:t>.</w:t>
      </w:r>
      <w:r>
        <w:rPr>
          <w:lang w:val="en-US"/>
        </w:rPr>
        <w:t xml:space="preserve"> Biso </w:t>
      </w:r>
      <w:r w:rsidRPr="002A4D74">
        <w:rPr>
          <w:lang w:val="en-US"/>
        </w:rPr>
        <w:sym w:font="Wingdings" w:char="F0E0"/>
      </w:r>
      <w:r>
        <w:rPr>
          <w:lang w:val="en-US"/>
        </w:rPr>
        <w:t xml:space="preserve"> Nebi in Figure 1</w:t>
      </w:r>
      <w:r w:rsidR="00DE7A69">
        <w:rPr>
          <w:lang w:val="en-US"/>
        </w:rPr>
        <w:t>4</w:t>
      </w:r>
      <w:r>
        <w:rPr>
          <w:lang w:val="en-US"/>
        </w:rPr>
        <w:t xml:space="preserve">), and 4% stepped down from index </w:t>
      </w:r>
      <w:r w:rsidR="00916F00">
        <w:rPr>
          <w:lang w:val="en-US"/>
        </w:rPr>
        <w:t xml:space="preserve">HF restricted </w:t>
      </w:r>
      <w:r>
        <w:rPr>
          <w:lang w:val="en-US"/>
        </w:rPr>
        <w:t>therapy (e.g</w:t>
      </w:r>
      <w:r w:rsidR="002A1A10">
        <w:rPr>
          <w:lang w:val="en-US"/>
        </w:rPr>
        <w:t>.</w:t>
      </w:r>
      <w:r>
        <w:rPr>
          <w:lang w:val="en-US"/>
        </w:rPr>
        <w:t xml:space="preserve"> Biso+S+V </w:t>
      </w:r>
      <w:r w:rsidRPr="002A4D74">
        <w:rPr>
          <w:lang w:val="en-US"/>
        </w:rPr>
        <w:sym w:font="Wingdings" w:char="F0E0"/>
      </w:r>
      <w:r>
        <w:rPr>
          <w:lang w:val="en-US"/>
        </w:rPr>
        <w:t xml:space="preserve"> Biso in Figure 1</w:t>
      </w:r>
      <w:r w:rsidR="00DE7A69">
        <w:rPr>
          <w:lang w:val="en-US"/>
        </w:rPr>
        <w:t>4</w:t>
      </w:r>
      <w:r>
        <w:rPr>
          <w:lang w:val="en-US"/>
        </w:rPr>
        <w:t>).</w:t>
      </w:r>
    </w:p>
    <w:p w14:paraId="666C0AD2" w14:textId="3226306F" w:rsidR="00B7551D" w:rsidRDefault="00B7551D" w:rsidP="00B51CDA">
      <w:pPr>
        <w:jc w:val="both"/>
        <w:rPr>
          <w:lang w:val="en-US"/>
        </w:rPr>
      </w:pPr>
      <w:r>
        <w:rPr>
          <w:lang w:val="en-US"/>
        </w:rPr>
        <w:t>One percent of people were initiated on a combination therapy and stayed on it for the duration of the follow-up (for example Biso+S+V in Figure 1</w:t>
      </w:r>
      <w:r w:rsidR="009C47F1">
        <w:rPr>
          <w:lang w:val="en-US"/>
        </w:rPr>
        <w:t>4</w:t>
      </w:r>
      <w:r>
        <w:rPr>
          <w:lang w:val="en-US"/>
        </w:rPr>
        <w:t xml:space="preserve">). </w:t>
      </w:r>
    </w:p>
    <w:p w14:paraId="59E80C1B" w14:textId="77777777" w:rsidR="00AC3728" w:rsidRDefault="00AC3728" w:rsidP="00AC3728">
      <w:pPr>
        <w:spacing w:after="0" w:line="240" w:lineRule="auto"/>
        <w:rPr>
          <w:rFonts w:cstheme="minorHAnsi"/>
          <w:i/>
          <w:iCs/>
          <w:sz w:val="18"/>
          <w:szCs w:val="18"/>
        </w:rPr>
      </w:pPr>
    </w:p>
    <w:p w14:paraId="36253E47" w14:textId="77777777" w:rsidR="005E0B8D" w:rsidRDefault="00AC3728" w:rsidP="0079747D">
      <w:pPr>
        <w:spacing w:after="0"/>
        <w:rPr>
          <w:lang w:val="en-US"/>
        </w:rPr>
      </w:pPr>
      <w:r>
        <w:rPr>
          <w:lang w:val="en-US"/>
        </w:rPr>
        <w:t xml:space="preserve"> </w:t>
      </w:r>
      <w:r w:rsidR="001278A9">
        <w:rPr>
          <w:noProof/>
          <w:lang w:eastAsia="en-AU"/>
        </w:rPr>
        <w:drawing>
          <wp:inline distT="0" distB="0" distL="0" distR="0" wp14:anchorId="0EBC623A" wp14:editId="7AC94038">
            <wp:extent cx="5537200" cy="3705225"/>
            <wp:effectExtent l="0" t="0" r="6350" b="9525"/>
            <wp:docPr id="11" name="Chart 11" descr="Graph showing which medicines patients changed to and from, including those who stayed on the same medicine that was initiated. 80% received monotherapy with HF restricted medicine and stayed on it, 10% had an addition of second line therapy, 6% switched to different therapy and 4% stepped down from index combination therapy.">
              <a:extLst xmlns:a="http://schemas.openxmlformats.org/drawingml/2006/main">
                <a:ext uri="{FF2B5EF4-FFF2-40B4-BE49-F238E27FC236}">
                  <a16:creationId xmlns:a16="http://schemas.microsoft.com/office/drawing/2014/main" id="{1D8E3B1A-5516-4AB2-5199-E90B5D98F7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DD2F4CC" w14:textId="2F623D46" w:rsidR="001278A9" w:rsidRPr="00E964FD" w:rsidRDefault="001278A9" w:rsidP="00C271CC">
      <w:pPr>
        <w:spacing w:after="0" w:line="240" w:lineRule="auto"/>
        <w:rPr>
          <w:b/>
          <w:bCs/>
          <w:lang w:val="en-US"/>
        </w:rPr>
      </w:pPr>
      <w:r w:rsidRPr="00E964FD">
        <w:rPr>
          <w:b/>
          <w:bCs/>
          <w:lang w:val="en-US"/>
        </w:rPr>
        <w:t>Figure 1</w:t>
      </w:r>
      <w:r w:rsidR="009C47F1">
        <w:rPr>
          <w:b/>
          <w:bCs/>
          <w:lang w:val="en-US"/>
        </w:rPr>
        <w:t>4</w:t>
      </w:r>
      <w:r w:rsidRPr="00E964FD">
        <w:rPr>
          <w:b/>
          <w:bCs/>
          <w:lang w:val="en-US"/>
        </w:rPr>
        <w:t xml:space="preserve">. Treatment pathways </w:t>
      </w:r>
      <w:r w:rsidR="009C47F1">
        <w:rPr>
          <w:b/>
          <w:bCs/>
          <w:lang w:val="en-US"/>
        </w:rPr>
        <w:t>of PBS</w:t>
      </w:r>
      <w:r w:rsidR="00137606" w:rsidRPr="00E964FD">
        <w:rPr>
          <w:b/>
          <w:bCs/>
          <w:lang w:val="en-US"/>
        </w:rPr>
        <w:t xml:space="preserve"> restricted </w:t>
      </w:r>
      <w:r w:rsidR="009C47F1">
        <w:rPr>
          <w:b/>
          <w:bCs/>
          <w:lang w:val="en-US"/>
        </w:rPr>
        <w:t xml:space="preserve">HF </w:t>
      </w:r>
      <w:r w:rsidR="00137606" w:rsidRPr="00E964FD">
        <w:rPr>
          <w:b/>
          <w:bCs/>
          <w:lang w:val="en-US"/>
        </w:rPr>
        <w:t xml:space="preserve">medicines </w:t>
      </w:r>
      <w:r w:rsidRPr="00E964FD">
        <w:rPr>
          <w:b/>
          <w:bCs/>
          <w:lang w:val="en-US"/>
        </w:rPr>
        <w:t>after initiation of HF restricted therapy (cumulative 82%, including therapies &gt;=0.3%)</w:t>
      </w:r>
      <w:r w:rsidR="00D060ED" w:rsidRPr="00E964FD">
        <w:rPr>
          <w:b/>
          <w:bCs/>
          <w:lang w:val="en-US"/>
        </w:rPr>
        <w:t>; minimum 18 months of follow-up</w:t>
      </w:r>
    </w:p>
    <w:p w14:paraId="31060922" w14:textId="77777777" w:rsidR="00C271CC" w:rsidRPr="009E41B6" w:rsidRDefault="00C271CC" w:rsidP="00C271CC">
      <w:pPr>
        <w:spacing w:after="0" w:line="240" w:lineRule="auto"/>
        <w:rPr>
          <w:rFonts w:cstheme="minorHAnsi"/>
          <w:i/>
          <w:iCs/>
          <w:sz w:val="18"/>
          <w:szCs w:val="18"/>
          <w:lang w:val="de-DE"/>
        </w:rPr>
      </w:pPr>
      <w:r w:rsidRPr="009E41B6">
        <w:rPr>
          <w:rFonts w:cstheme="minorHAnsi"/>
          <w:i/>
          <w:iCs/>
          <w:sz w:val="18"/>
          <w:szCs w:val="18"/>
          <w:lang w:val="de-DE"/>
        </w:rPr>
        <w:t xml:space="preserve">Legend: </w:t>
      </w:r>
    </w:p>
    <w:p w14:paraId="25CFC1E5" w14:textId="77777777" w:rsidR="00E964FD" w:rsidRPr="009E41B6" w:rsidRDefault="00C271CC" w:rsidP="00C271CC">
      <w:pPr>
        <w:spacing w:after="0" w:line="240" w:lineRule="auto"/>
        <w:rPr>
          <w:rFonts w:cstheme="minorHAnsi"/>
          <w:i/>
          <w:iCs/>
          <w:sz w:val="18"/>
          <w:szCs w:val="18"/>
          <w:lang w:val="de-DE"/>
        </w:rPr>
      </w:pPr>
      <w:r w:rsidRPr="009E41B6">
        <w:rPr>
          <w:rFonts w:cstheme="minorHAnsi"/>
          <w:i/>
          <w:iCs/>
          <w:sz w:val="18"/>
          <w:szCs w:val="18"/>
          <w:lang w:val="de-DE"/>
        </w:rPr>
        <w:t xml:space="preserve">Biso – Bisoprolol (BB); </w:t>
      </w:r>
    </w:p>
    <w:p w14:paraId="0BA9F288" w14:textId="77777777" w:rsidR="00E964FD" w:rsidRPr="009E41B6" w:rsidRDefault="00C271CC" w:rsidP="00C271CC">
      <w:pPr>
        <w:spacing w:after="0" w:line="240" w:lineRule="auto"/>
        <w:rPr>
          <w:rFonts w:cstheme="minorHAnsi"/>
          <w:i/>
          <w:iCs/>
          <w:sz w:val="18"/>
          <w:szCs w:val="18"/>
          <w:lang w:val="de-DE"/>
        </w:rPr>
      </w:pPr>
      <w:r w:rsidRPr="009E41B6">
        <w:rPr>
          <w:rFonts w:cstheme="minorHAnsi"/>
          <w:i/>
          <w:iCs/>
          <w:sz w:val="18"/>
          <w:szCs w:val="18"/>
          <w:lang w:val="de-DE"/>
        </w:rPr>
        <w:t xml:space="preserve">Nebi – Nebivolol (BB); </w:t>
      </w:r>
    </w:p>
    <w:p w14:paraId="0CDC7A6F" w14:textId="77777777" w:rsidR="00E964FD" w:rsidRDefault="00C271CC" w:rsidP="00C271CC">
      <w:pPr>
        <w:spacing w:after="0" w:line="240" w:lineRule="auto"/>
        <w:rPr>
          <w:rFonts w:cstheme="minorHAnsi"/>
          <w:i/>
          <w:iCs/>
          <w:sz w:val="18"/>
          <w:szCs w:val="18"/>
        </w:rPr>
      </w:pPr>
      <w:r>
        <w:rPr>
          <w:rFonts w:cstheme="minorHAnsi"/>
          <w:i/>
          <w:iCs/>
          <w:sz w:val="18"/>
          <w:szCs w:val="18"/>
        </w:rPr>
        <w:t>Meto – Metoprolol (BB</w:t>
      </w:r>
      <w:proofErr w:type="gramStart"/>
      <w:r>
        <w:rPr>
          <w:rFonts w:cstheme="minorHAnsi"/>
          <w:i/>
          <w:iCs/>
          <w:sz w:val="18"/>
          <w:szCs w:val="18"/>
        </w:rPr>
        <w:t>);</w:t>
      </w:r>
      <w:proofErr w:type="gramEnd"/>
      <w:r>
        <w:rPr>
          <w:rFonts w:cstheme="minorHAnsi"/>
          <w:i/>
          <w:iCs/>
          <w:sz w:val="18"/>
          <w:szCs w:val="18"/>
        </w:rPr>
        <w:t xml:space="preserve"> </w:t>
      </w:r>
    </w:p>
    <w:p w14:paraId="33CA7EB7" w14:textId="77777777" w:rsidR="00E964FD" w:rsidRDefault="00C271CC" w:rsidP="00C271CC">
      <w:pPr>
        <w:spacing w:after="0" w:line="240" w:lineRule="auto"/>
        <w:rPr>
          <w:rFonts w:cstheme="minorHAnsi"/>
          <w:i/>
          <w:iCs/>
          <w:sz w:val="18"/>
          <w:szCs w:val="18"/>
        </w:rPr>
      </w:pPr>
      <w:r>
        <w:rPr>
          <w:rFonts w:cstheme="minorHAnsi"/>
          <w:i/>
          <w:iCs/>
          <w:sz w:val="18"/>
          <w:szCs w:val="18"/>
        </w:rPr>
        <w:t>Carv – Carvedilol (BB</w:t>
      </w:r>
      <w:proofErr w:type="gramStart"/>
      <w:r>
        <w:rPr>
          <w:rFonts w:cstheme="minorHAnsi"/>
          <w:i/>
          <w:iCs/>
          <w:sz w:val="18"/>
          <w:szCs w:val="18"/>
        </w:rPr>
        <w:t>);</w:t>
      </w:r>
      <w:proofErr w:type="gramEnd"/>
    </w:p>
    <w:p w14:paraId="1DC5871A" w14:textId="77777777" w:rsidR="00E964FD" w:rsidRDefault="00C271CC" w:rsidP="00C271CC">
      <w:pPr>
        <w:spacing w:after="0" w:line="240" w:lineRule="auto"/>
        <w:rPr>
          <w:rFonts w:cstheme="minorHAnsi"/>
          <w:i/>
          <w:iCs/>
          <w:sz w:val="18"/>
          <w:szCs w:val="18"/>
        </w:rPr>
      </w:pPr>
      <w:r>
        <w:rPr>
          <w:rFonts w:cstheme="minorHAnsi"/>
          <w:i/>
          <w:iCs/>
          <w:sz w:val="18"/>
          <w:szCs w:val="18"/>
        </w:rPr>
        <w:t xml:space="preserve"> S+V – Sacubitril+Valsartan (ARNI</w:t>
      </w:r>
      <w:proofErr w:type="gramStart"/>
      <w:r>
        <w:rPr>
          <w:rFonts w:cstheme="minorHAnsi"/>
          <w:i/>
          <w:iCs/>
          <w:sz w:val="18"/>
          <w:szCs w:val="18"/>
        </w:rPr>
        <w:t>);</w:t>
      </w:r>
      <w:proofErr w:type="gramEnd"/>
      <w:r>
        <w:rPr>
          <w:rFonts w:cstheme="minorHAnsi"/>
          <w:i/>
          <w:iCs/>
          <w:sz w:val="18"/>
          <w:szCs w:val="18"/>
        </w:rPr>
        <w:t xml:space="preserve"> </w:t>
      </w:r>
    </w:p>
    <w:p w14:paraId="592F70DD" w14:textId="77777777" w:rsidR="00E964FD" w:rsidRDefault="00C271CC" w:rsidP="00C271CC">
      <w:pPr>
        <w:spacing w:after="0" w:line="240" w:lineRule="auto"/>
        <w:rPr>
          <w:rFonts w:cstheme="minorHAnsi"/>
          <w:i/>
          <w:iCs/>
          <w:sz w:val="18"/>
          <w:szCs w:val="18"/>
        </w:rPr>
      </w:pPr>
      <w:r>
        <w:rPr>
          <w:rFonts w:cstheme="minorHAnsi"/>
          <w:i/>
          <w:iCs/>
          <w:sz w:val="18"/>
          <w:szCs w:val="18"/>
        </w:rPr>
        <w:t>Eple – Eplerenone (MRA for HF</w:t>
      </w:r>
      <w:proofErr w:type="gramStart"/>
      <w:r>
        <w:rPr>
          <w:rFonts w:cstheme="minorHAnsi"/>
          <w:i/>
          <w:iCs/>
          <w:sz w:val="18"/>
          <w:szCs w:val="18"/>
        </w:rPr>
        <w:t>);</w:t>
      </w:r>
      <w:proofErr w:type="gramEnd"/>
    </w:p>
    <w:p w14:paraId="4F991AB8" w14:textId="3DDCC2F1" w:rsidR="00C271CC" w:rsidRDefault="00C271CC" w:rsidP="00C271CC">
      <w:pPr>
        <w:spacing w:after="0" w:line="240" w:lineRule="auto"/>
        <w:rPr>
          <w:rFonts w:cstheme="minorHAnsi"/>
          <w:i/>
          <w:iCs/>
          <w:sz w:val="18"/>
          <w:szCs w:val="18"/>
        </w:rPr>
      </w:pPr>
      <w:r>
        <w:rPr>
          <w:rFonts w:cstheme="minorHAnsi"/>
          <w:i/>
          <w:iCs/>
          <w:sz w:val="18"/>
          <w:szCs w:val="18"/>
        </w:rPr>
        <w:t xml:space="preserve"> Ivab - Ivabradine (HCN channel blocker)</w:t>
      </w:r>
    </w:p>
    <w:p w14:paraId="3FA2D59E" w14:textId="771FD7CF" w:rsidR="005E0B8D" w:rsidRDefault="005E0B8D" w:rsidP="002043BE">
      <w:pPr>
        <w:rPr>
          <w:lang w:val="en-US"/>
        </w:rPr>
      </w:pPr>
    </w:p>
    <w:p w14:paraId="72F23F6D" w14:textId="2DF4BD40" w:rsidR="009C47F1" w:rsidRDefault="009C47F1" w:rsidP="009C47F1">
      <w:pPr>
        <w:jc w:val="both"/>
        <w:rPr>
          <w:lang w:val="en-US"/>
        </w:rPr>
      </w:pPr>
      <w:r>
        <w:rPr>
          <w:lang w:val="en-US"/>
        </w:rPr>
        <w:t>This analysis does not account for breaks in therapy and unrestricted medicines for HF are not included in this analysis. The next section of this report examines duration of therapy in this same cohort.</w:t>
      </w:r>
    </w:p>
    <w:p w14:paraId="420AC6B9" w14:textId="7DCE8D0F" w:rsidR="004563D2" w:rsidRDefault="004563D2" w:rsidP="0079747D">
      <w:pPr>
        <w:pStyle w:val="Heading2"/>
        <w:spacing w:after="240"/>
      </w:pPr>
      <w:bookmarkStart w:id="31" w:name="_Toc165448405"/>
      <w:r>
        <w:t>Treatment duration</w:t>
      </w:r>
      <w:bookmarkEnd w:id="31"/>
    </w:p>
    <w:p w14:paraId="7B457C3F" w14:textId="4012EE4D" w:rsidR="00275A2A" w:rsidRPr="00275A2A" w:rsidRDefault="009C47F1" w:rsidP="0060676C">
      <w:pPr>
        <w:jc w:val="both"/>
        <w:rPr>
          <w:lang w:val="en-US"/>
        </w:rPr>
      </w:pPr>
      <w:r>
        <w:rPr>
          <w:rFonts w:cstheme="minorHAnsi"/>
          <w:bCs/>
        </w:rPr>
        <w:t>This analysis examines the duration of use of PBS restricted HF medicines among the cohort of</w:t>
      </w:r>
      <w:r w:rsidR="00080787">
        <w:rPr>
          <w:rFonts w:cstheme="minorHAnsi"/>
          <w:bCs/>
        </w:rPr>
        <w:t xml:space="preserve"> 215,873 people </w:t>
      </w:r>
      <w:r w:rsidR="00080787" w:rsidRPr="00C61EF3">
        <w:rPr>
          <w:rFonts w:cstheme="minorHAnsi"/>
          <w:bCs/>
        </w:rPr>
        <w:t xml:space="preserve">who initiated any </w:t>
      </w:r>
      <w:r>
        <w:rPr>
          <w:rFonts w:cstheme="minorHAnsi"/>
          <w:bCs/>
        </w:rPr>
        <w:t xml:space="preserve">PBS </w:t>
      </w:r>
      <w:r w:rsidR="00080787">
        <w:rPr>
          <w:rFonts w:cstheme="minorHAnsi"/>
          <w:bCs/>
        </w:rPr>
        <w:t xml:space="preserve">restricted </w:t>
      </w:r>
      <w:r>
        <w:rPr>
          <w:rFonts w:cstheme="minorHAnsi"/>
          <w:bCs/>
        </w:rPr>
        <w:t xml:space="preserve">HF </w:t>
      </w:r>
      <w:r w:rsidR="00080787" w:rsidRPr="00C61EF3">
        <w:rPr>
          <w:rFonts w:cstheme="minorHAnsi"/>
          <w:bCs/>
        </w:rPr>
        <w:t xml:space="preserve">medicine between 2018 and 2021 (2017 is baseline; </w:t>
      </w:r>
      <w:r w:rsidR="00080787">
        <w:rPr>
          <w:rFonts w:cstheme="minorHAnsi"/>
          <w:bCs/>
        </w:rPr>
        <w:t>people were followed for</w:t>
      </w:r>
      <w:r w:rsidR="00080787" w:rsidRPr="00C61EF3">
        <w:rPr>
          <w:rFonts w:cstheme="minorHAnsi"/>
          <w:bCs/>
        </w:rPr>
        <w:t xml:space="preserve"> </w:t>
      </w:r>
      <w:r w:rsidR="00080787">
        <w:rPr>
          <w:rFonts w:cstheme="minorHAnsi"/>
          <w:bCs/>
        </w:rPr>
        <w:t xml:space="preserve">at </w:t>
      </w:r>
      <w:r w:rsidR="00080787" w:rsidRPr="00C61EF3">
        <w:rPr>
          <w:rFonts w:cstheme="minorHAnsi"/>
          <w:bCs/>
        </w:rPr>
        <w:t>least 18 months</w:t>
      </w:r>
      <w:r w:rsidR="00943F79">
        <w:rPr>
          <w:rFonts w:cstheme="minorHAnsi"/>
          <w:bCs/>
        </w:rPr>
        <w:t xml:space="preserve"> up to 30 June 2023</w:t>
      </w:r>
      <w:r w:rsidR="00080787" w:rsidRPr="00C61EF3">
        <w:rPr>
          <w:rFonts w:cstheme="minorHAnsi"/>
          <w:bCs/>
        </w:rPr>
        <w:t>).</w:t>
      </w:r>
      <w:r w:rsidR="00080787">
        <w:rPr>
          <w:rFonts w:cstheme="minorHAnsi"/>
          <w:bCs/>
        </w:rPr>
        <w:t xml:space="preserve"> </w:t>
      </w:r>
      <w:r w:rsidR="00275A2A">
        <w:rPr>
          <w:rFonts w:cstheme="minorHAnsi"/>
          <w:bCs/>
        </w:rPr>
        <w:t xml:space="preserve">Unrestricted PBS HF medicines were not included in this analysis but are included in </w:t>
      </w:r>
      <w:r w:rsidR="0060676C">
        <w:rPr>
          <w:rFonts w:cstheme="minorHAnsi"/>
          <w:bCs/>
        </w:rPr>
        <w:t>A</w:t>
      </w:r>
      <w:r w:rsidR="00275A2A">
        <w:rPr>
          <w:rFonts w:cstheme="minorHAnsi"/>
          <w:bCs/>
        </w:rPr>
        <w:t xml:space="preserve">ppendix 2. </w:t>
      </w:r>
      <w:r w:rsidR="00275A2A">
        <w:rPr>
          <w:lang w:val="en-US"/>
        </w:rPr>
        <w:t>Consistent with treatment guidelines, analysis of overall duration shows after starting a PBS restricted HF medicine, individuals did not cease heart failure treatment and stayed on at least one PBS medicine potentially indicated for heart failure over the period of follow-up (restricted or unrestricted listing) (Appendix 2: Figure A</w:t>
      </w:r>
      <w:r w:rsidR="00860383">
        <w:rPr>
          <w:lang w:val="en-US"/>
        </w:rPr>
        <w:t>1</w:t>
      </w:r>
      <w:r w:rsidR="00275A2A">
        <w:rPr>
          <w:lang w:val="en-US"/>
        </w:rPr>
        <w:t>)</w:t>
      </w:r>
      <w:r w:rsidR="0060676C">
        <w:rPr>
          <w:lang w:val="en-US"/>
        </w:rPr>
        <w:t>.</w:t>
      </w:r>
    </w:p>
    <w:p w14:paraId="3807660B" w14:textId="10D54C21" w:rsidR="006C028C" w:rsidRDefault="006C028C" w:rsidP="0060676C">
      <w:pPr>
        <w:jc w:val="both"/>
        <w:rPr>
          <w:rFonts w:cstheme="minorHAnsi"/>
          <w:bCs/>
        </w:rPr>
      </w:pPr>
      <w:r>
        <w:rPr>
          <w:rFonts w:cstheme="minorHAnsi"/>
          <w:bCs/>
        </w:rPr>
        <w:t>The analys</w:t>
      </w:r>
      <w:r w:rsidR="00275A2A">
        <w:rPr>
          <w:rFonts w:cstheme="minorHAnsi"/>
          <w:bCs/>
        </w:rPr>
        <w:t>es i</w:t>
      </w:r>
      <w:r w:rsidR="0060676C">
        <w:rPr>
          <w:rFonts w:cstheme="minorHAnsi"/>
          <w:bCs/>
        </w:rPr>
        <w:t>n</w:t>
      </w:r>
      <w:r w:rsidR="00275A2A">
        <w:rPr>
          <w:rFonts w:cstheme="minorHAnsi"/>
          <w:bCs/>
        </w:rPr>
        <w:t xml:space="preserve"> this section of the report</w:t>
      </w:r>
      <w:r>
        <w:rPr>
          <w:rFonts w:cstheme="minorHAnsi"/>
          <w:bCs/>
        </w:rPr>
        <w:t xml:space="preserve"> estimate</w:t>
      </w:r>
      <w:r w:rsidR="00195C38">
        <w:rPr>
          <w:rFonts w:cstheme="minorHAnsi"/>
          <w:bCs/>
        </w:rPr>
        <w:t>s</w:t>
      </w:r>
      <w:r>
        <w:rPr>
          <w:rFonts w:cstheme="minorHAnsi"/>
          <w:bCs/>
        </w:rPr>
        <w:t xml:space="preserve"> time to switching from one PBS restricted HF medicine to another PBS restricted HF medicine, as well as time to addition of a PBS restricted HF medicine to another PBS restricted HF medicine. The overall duration of treatment with PBS restricted HF medicines was also determined. </w:t>
      </w:r>
      <w:r w:rsidR="00275A2A">
        <w:rPr>
          <w:rFonts w:cstheme="minorHAnsi"/>
          <w:bCs/>
        </w:rPr>
        <w:t xml:space="preserve"> </w:t>
      </w:r>
      <w:r>
        <w:rPr>
          <w:rFonts w:cstheme="minorHAnsi"/>
          <w:bCs/>
        </w:rPr>
        <w:t xml:space="preserve">Initial analyses </w:t>
      </w:r>
      <w:r w:rsidR="00A669FE">
        <w:rPr>
          <w:rFonts w:cstheme="minorHAnsi"/>
          <w:bCs/>
        </w:rPr>
        <w:t xml:space="preserve">of duration of use of PBS restricted HF medicines </w:t>
      </w:r>
      <w:r>
        <w:rPr>
          <w:rFonts w:cstheme="minorHAnsi"/>
          <w:bCs/>
        </w:rPr>
        <w:t xml:space="preserve">showed a </w:t>
      </w:r>
      <w:r w:rsidRPr="00BD36A3">
        <w:rPr>
          <w:rFonts w:cstheme="minorHAnsi"/>
          <w:bCs/>
        </w:rPr>
        <w:t xml:space="preserve">large proportion of </w:t>
      </w:r>
      <w:r>
        <w:rPr>
          <w:rFonts w:cstheme="minorHAnsi"/>
          <w:bCs/>
        </w:rPr>
        <w:t xml:space="preserve">the population had </w:t>
      </w:r>
      <w:r w:rsidRPr="00BD36A3">
        <w:rPr>
          <w:rFonts w:cstheme="minorHAnsi"/>
          <w:bCs/>
        </w:rPr>
        <w:t xml:space="preserve">breaks in </w:t>
      </w:r>
      <w:r>
        <w:rPr>
          <w:rFonts w:cstheme="minorHAnsi"/>
          <w:bCs/>
        </w:rPr>
        <w:t xml:space="preserve">supply of PBS restricted HF </w:t>
      </w:r>
      <w:r w:rsidRPr="00BD36A3">
        <w:rPr>
          <w:rFonts w:cstheme="minorHAnsi"/>
          <w:bCs/>
        </w:rPr>
        <w:t>therapy</w:t>
      </w:r>
      <w:r>
        <w:rPr>
          <w:rFonts w:cstheme="minorHAnsi"/>
          <w:bCs/>
        </w:rPr>
        <w:t xml:space="preserve"> (they continued unrestricted HF medicines during this time</w:t>
      </w:r>
      <w:r w:rsidR="00A669FE">
        <w:rPr>
          <w:rFonts w:cstheme="minorHAnsi"/>
          <w:bCs/>
        </w:rPr>
        <w:t>; see Appendix 2</w:t>
      </w:r>
      <w:r w:rsidR="00275A2A">
        <w:rPr>
          <w:rFonts w:cstheme="minorHAnsi"/>
          <w:bCs/>
        </w:rPr>
        <w:t>; Figure A</w:t>
      </w:r>
      <w:r w:rsidR="00860383">
        <w:rPr>
          <w:rFonts w:cstheme="minorHAnsi"/>
          <w:bCs/>
        </w:rPr>
        <w:t>1</w:t>
      </w:r>
      <w:r>
        <w:rPr>
          <w:rFonts w:cstheme="minorHAnsi"/>
          <w:bCs/>
        </w:rPr>
        <w:t xml:space="preserve">). </w:t>
      </w:r>
      <w:r w:rsidR="00275A2A">
        <w:rPr>
          <w:rFonts w:cstheme="minorHAnsi"/>
          <w:bCs/>
        </w:rPr>
        <w:t>Due to the large proportion of the population that had breaks in therapy</w:t>
      </w:r>
      <w:r>
        <w:rPr>
          <w:rFonts w:cstheme="minorHAnsi"/>
          <w:bCs/>
        </w:rPr>
        <w:t xml:space="preserve">, </w:t>
      </w:r>
      <w:r w:rsidRPr="00BD36A3">
        <w:rPr>
          <w:rFonts w:cstheme="minorHAnsi"/>
          <w:bCs/>
        </w:rPr>
        <w:t xml:space="preserve">cessation </w:t>
      </w:r>
      <w:r>
        <w:rPr>
          <w:rFonts w:cstheme="minorHAnsi"/>
          <w:bCs/>
        </w:rPr>
        <w:t xml:space="preserve">of the PBS restricted HF medicines </w:t>
      </w:r>
      <w:proofErr w:type="gramStart"/>
      <w:r w:rsidRPr="00BD36A3">
        <w:rPr>
          <w:rFonts w:cstheme="minorHAnsi"/>
          <w:bCs/>
        </w:rPr>
        <w:t>was considered to be</w:t>
      </w:r>
      <w:proofErr w:type="gramEnd"/>
      <w:r w:rsidRPr="00BD36A3">
        <w:rPr>
          <w:rFonts w:cstheme="minorHAnsi"/>
          <w:bCs/>
        </w:rPr>
        <w:t xml:space="preserve"> an “event”</w:t>
      </w:r>
      <w:r>
        <w:rPr>
          <w:rFonts w:cstheme="minorHAnsi"/>
          <w:bCs/>
        </w:rPr>
        <w:t xml:space="preserve"> in the time to switch and time to add analyses</w:t>
      </w:r>
      <w:r w:rsidRPr="00BD36A3">
        <w:rPr>
          <w:rFonts w:cstheme="minorHAnsi"/>
          <w:bCs/>
        </w:rPr>
        <w:t>.</w:t>
      </w:r>
    </w:p>
    <w:p w14:paraId="23F18675" w14:textId="2C0AEE6F" w:rsidR="006C028C" w:rsidRDefault="009C47F1" w:rsidP="006C028C">
      <w:pPr>
        <w:jc w:val="both"/>
        <w:rPr>
          <w:rFonts w:cstheme="minorHAnsi"/>
          <w:bCs/>
        </w:rPr>
      </w:pPr>
      <w:r>
        <w:rPr>
          <w:rFonts w:cstheme="minorHAnsi"/>
          <w:bCs/>
        </w:rPr>
        <w:t xml:space="preserve">The cohort selection period is prior to the 2022 PBS listings of the SGLT2 inhibitors for HF and </w:t>
      </w:r>
      <w:r w:rsidR="00916601">
        <w:rPr>
          <w:rFonts w:cstheme="minorHAnsi"/>
          <w:bCs/>
        </w:rPr>
        <w:t>sGC</w:t>
      </w:r>
      <w:r w:rsidR="00017D0C">
        <w:rPr>
          <w:rFonts w:cstheme="minorHAnsi"/>
          <w:bCs/>
        </w:rPr>
        <w:t xml:space="preserve"> </w:t>
      </w:r>
      <w:r>
        <w:rPr>
          <w:rFonts w:cstheme="minorHAnsi"/>
          <w:bCs/>
        </w:rPr>
        <w:t xml:space="preserve">stimulator listing for HF, thus, </w:t>
      </w:r>
      <w:proofErr w:type="gramStart"/>
      <w:r>
        <w:rPr>
          <w:rFonts w:cstheme="minorHAnsi"/>
          <w:bCs/>
        </w:rPr>
        <w:t>the majority of</w:t>
      </w:r>
      <w:proofErr w:type="gramEnd"/>
      <w:r>
        <w:rPr>
          <w:rFonts w:cstheme="minorHAnsi"/>
          <w:bCs/>
        </w:rPr>
        <w:t xml:space="preserve"> the cohort, </w:t>
      </w:r>
      <w:r w:rsidR="0019017B">
        <w:rPr>
          <w:rFonts w:cstheme="minorHAnsi"/>
          <w:bCs/>
        </w:rPr>
        <w:t>204,443</w:t>
      </w:r>
      <w:r>
        <w:rPr>
          <w:rFonts w:cstheme="minorHAnsi"/>
          <w:bCs/>
        </w:rPr>
        <w:t xml:space="preserve"> or </w:t>
      </w:r>
      <w:r w:rsidR="0019017B">
        <w:rPr>
          <w:rFonts w:cstheme="minorHAnsi"/>
          <w:bCs/>
        </w:rPr>
        <w:t>95%</w:t>
      </w:r>
      <w:r w:rsidR="005B7549">
        <w:rPr>
          <w:rFonts w:cstheme="minorHAnsi"/>
          <w:bCs/>
        </w:rPr>
        <w:t xml:space="preserve"> of </w:t>
      </w:r>
      <w:r w:rsidR="0019017B">
        <w:rPr>
          <w:rFonts w:cstheme="minorHAnsi"/>
          <w:bCs/>
        </w:rPr>
        <w:t>all initiators</w:t>
      </w:r>
      <w:r>
        <w:rPr>
          <w:rFonts w:cstheme="minorHAnsi"/>
          <w:bCs/>
        </w:rPr>
        <w:t xml:space="preserve">, </w:t>
      </w:r>
      <w:r w:rsidR="005B7549">
        <w:rPr>
          <w:rFonts w:cstheme="minorHAnsi"/>
          <w:bCs/>
        </w:rPr>
        <w:t xml:space="preserve">were initiated on a </w:t>
      </w:r>
      <w:r>
        <w:rPr>
          <w:rFonts w:cstheme="minorHAnsi"/>
          <w:bCs/>
        </w:rPr>
        <w:t xml:space="preserve">single </w:t>
      </w:r>
      <w:r w:rsidR="00157CF3">
        <w:rPr>
          <w:rFonts w:cstheme="minorHAnsi"/>
          <w:bCs/>
        </w:rPr>
        <w:t xml:space="preserve">PBS restricted </w:t>
      </w:r>
      <w:r w:rsidR="005B7549">
        <w:rPr>
          <w:rFonts w:cstheme="minorHAnsi"/>
          <w:bCs/>
        </w:rPr>
        <w:t>HF medicine (monotherapy</w:t>
      </w:r>
      <w:r w:rsidR="00916601">
        <w:rPr>
          <w:rFonts w:cstheme="minorHAnsi"/>
          <w:bCs/>
        </w:rPr>
        <w:t>)</w:t>
      </w:r>
      <w:r w:rsidR="00C16860">
        <w:rPr>
          <w:rFonts w:cstheme="minorHAnsi"/>
          <w:bCs/>
        </w:rPr>
        <w:t xml:space="preserve">. </w:t>
      </w:r>
      <w:r w:rsidR="00916601">
        <w:rPr>
          <w:rFonts w:cstheme="minorHAnsi"/>
          <w:bCs/>
        </w:rPr>
        <w:t>It should be noted that ARNI was treated as a monotherapy as sacubitril is available only in combination with valsartan</w:t>
      </w:r>
      <w:r>
        <w:rPr>
          <w:rFonts w:cstheme="minorHAnsi"/>
          <w:bCs/>
        </w:rPr>
        <w:t>. The</w:t>
      </w:r>
      <w:r w:rsidR="00214238">
        <w:rPr>
          <w:rFonts w:cstheme="minorHAnsi"/>
          <w:bCs/>
        </w:rPr>
        <w:t xml:space="preserve"> </w:t>
      </w:r>
      <w:r>
        <w:rPr>
          <w:rFonts w:cstheme="minorHAnsi"/>
          <w:bCs/>
        </w:rPr>
        <w:t>initiation therapies were described in the previous section (see Figure 13)</w:t>
      </w:r>
      <w:r w:rsidR="0019017B">
        <w:rPr>
          <w:rFonts w:cstheme="minorHAnsi"/>
          <w:bCs/>
        </w:rPr>
        <w:t xml:space="preserve">. </w:t>
      </w:r>
      <w:r>
        <w:rPr>
          <w:rFonts w:cstheme="minorHAnsi"/>
          <w:bCs/>
        </w:rPr>
        <w:t xml:space="preserve">Given the large proportion of the population initiated to monotherapy, the duration of treatment and treatment pathways over time was restricted to the </w:t>
      </w:r>
      <w:r w:rsidR="006C028C">
        <w:rPr>
          <w:rFonts w:cstheme="minorHAnsi"/>
          <w:bCs/>
        </w:rPr>
        <w:t xml:space="preserve">incident </w:t>
      </w:r>
      <w:r>
        <w:rPr>
          <w:rFonts w:cstheme="minorHAnsi"/>
          <w:bCs/>
        </w:rPr>
        <w:t>monotherapy</w:t>
      </w:r>
      <w:r w:rsidR="006C028C">
        <w:rPr>
          <w:rFonts w:cstheme="minorHAnsi"/>
          <w:bCs/>
        </w:rPr>
        <w:t xml:space="preserve"> population (incident to </w:t>
      </w:r>
      <w:r>
        <w:rPr>
          <w:rFonts w:cstheme="minorHAnsi"/>
          <w:bCs/>
        </w:rPr>
        <w:t>PBS restricted HF medicines</w:t>
      </w:r>
      <w:r w:rsidR="006C028C">
        <w:rPr>
          <w:rFonts w:cstheme="minorHAnsi"/>
          <w:bCs/>
        </w:rPr>
        <w:t>)</w:t>
      </w:r>
      <w:r>
        <w:rPr>
          <w:rFonts w:cstheme="minorHAnsi"/>
          <w:bCs/>
        </w:rPr>
        <w:t xml:space="preserve">. </w:t>
      </w:r>
      <w:r w:rsidR="006C028C">
        <w:rPr>
          <w:rFonts w:cstheme="minorHAnsi"/>
          <w:bCs/>
        </w:rPr>
        <w:t xml:space="preserve">  </w:t>
      </w:r>
    </w:p>
    <w:p w14:paraId="12EC0779" w14:textId="2EF8E4EB" w:rsidR="00137606" w:rsidRDefault="00137606" w:rsidP="001671C5">
      <w:pPr>
        <w:spacing w:after="0"/>
        <w:jc w:val="both"/>
        <w:rPr>
          <w:rFonts w:cstheme="minorHAnsi"/>
          <w:bCs/>
        </w:rPr>
      </w:pPr>
      <w:r>
        <w:rPr>
          <w:rFonts w:cstheme="minorHAnsi"/>
          <w:bCs/>
        </w:rPr>
        <w:t xml:space="preserve">Kaplan Meier survival analysis was </w:t>
      </w:r>
      <w:r w:rsidR="009C47F1">
        <w:rPr>
          <w:rFonts w:cstheme="minorHAnsi"/>
          <w:bCs/>
        </w:rPr>
        <w:t xml:space="preserve">used to </w:t>
      </w:r>
      <w:r>
        <w:rPr>
          <w:rFonts w:cstheme="minorHAnsi"/>
          <w:bCs/>
        </w:rPr>
        <w:t>estimate:</w:t>
      </w:r>
    </w:p>
    <w:p w14:paraId="03E76E60" w14:textId="261F94E0" w:rsidR="00137606" w:rsidRPr="0019017B" w:rsidRDefault="006C028C" w:rsidP="001671C5">
      <w:pPr>
        <w:pStyle w:val="ListParagraph"/>
        <w:numPr>
          <w:ilvl w:val="0"/>
          <w:numId w:val="26"/>
        </w:numPr>
        <w:spacing w:line="276" w:lineRule="auto"/>
        <w:jc w:val="both"/>
        <w:rPr>
          <w:rFonts w:asciiTheme="minorHAnsi" w:hAnsiTheme="minorHAnsi" w:cstheme="minorHAnsi"/>
          <w:bCs/>
          <w:sz w:val="22"/>
          <w:szCs w:val="22"/>
        </w:rPr>
      </w:pPr>
      <w:r>
        <w:rPr>
          <w:rFonts w:asciiTheme="minorHAnsi" w:hAnsiTheme="minorHAnsi" w:cstheme="minorHAnsi"/>
          <w:bCs/>
          <w:sz w:val="22"/>
          <w:szCs w:val="22"/>
        </w:rPr>
        <w:t xml:space="preserve">Time </w:t>
      </w:r>
      <w:r w:rsidR="00137606" w:rsidRPr="0019017B">
        <w:rPr>
          <w:rFonts w:asciiTheme="minorHAnsi" w:hAnsiTheme="minorHAnsi" w:cstheme="minorHAnsi"/>
          <w:bCs/>
          <w:sz w:val="22"/>
          <w:szCs w:val="22"/>
        </w:rPr>
        <w:t>to switch to a</w:t>
      </w:r>
      <w:r w:rsidR="00137606">
        <w:rPr>
          <w:rFonts w:asciiTheme="minorHAnsi" w:hAnsiTheme="minorHAnsi" w:cstheme="minorHAnsi"/>
          <w:bCs/>
          <w:sz w:val="22"/>
          <w:szCs w:val="22"/>
        </w:rPr>
        <w:t xml:space="preserve">nother </w:t>
      </w:r>
      <w:r>
        <w:rPr>
          <w:rFonts w:asciiTheme="minorHAnsi" w:hAnsiTheme="minorHAnsi" w:cstheme="minorHAnsi"/>
          <w:bCs/>
          <w:sz w:val="22"/>
          <w:szCs w:val="22"/>
        </w:rPr>
        <w:t xml:space="preserve">PBS restricted HF medicine </w:t>
      </w:r>
      <w:r w:rsidR="00137606" w:rsidRPr="0019017B">
        <w:rPr>
          <w:rFonts w:asciiTheme="minorHAnsi" w:hAnsiTheme="minorHAnsi" w:cstheme="minorHAnsi"/>
          <w:bCs/>
          <w:sz w:val="22"/>
          <w:szCs w:val="22"/>
        </w:rPr>
        <w:t>not including the index one or cessation (defined as a gap in refill equal or greater than two times the length of the estimated prescription duration</w:t>
      </w:r>
      <w:proofErr w:type="gramStart"/>
      <w:r w:rsidR="00137606" w:rsidRPr="0019017B">
        <w:rPr>
          <w:rFonts w:asciiTheme="minorHAnsi" w:hAnsiTheme="minorHAnsi" w:cstheme="minorHAnsi"/>
          <w:bCs/>
          <w:sz w:val="22"/>
          <w:szCs w:val="22"/>
        </w:rPr>
        <w:t>);</w:t>
      </w:r>
      <w:proofErr w:type="gramEnd"/>
      <w:r w:rsidR="00137606">
        <w:rPr>
          <w:rFonts w:asciiTheme="minorHAnsi" w:hAnsiTheme="minorHAnsi" w:cstheme="minorHAnsi"/>
          <w:bCs/>
          <w:sz w:val="22"/>
          <w:szCs w:val="22"/>
        </w:rPr>
        <w:t xml:space="preserve"> </w:t>
      </w:r>
    </w:p>
    <w:p w14:paraId="6081FBF1" w14:textId="64C6FE0F" w:rsidR="00137606" w:rsidRPr="0019017B" w:rsidRDefault="006C028C" w:rsidP="001671C5">
      <w:pPr>
        <w:pStyle w:val="ListParagraph"/>
        <w:numPr>
          <w:ilvl w:val="0"/>
          <w:numId w:val="26"/>
        </w:numPr>
        <w:spacing w:line="276" w:lineRule="auto"/>
        <w:jc w:val="both"/>
        <w:rPr>
          <w:rFonts w:asciiTheme="minorHAnsi" w:hAnsiTheme="minorHAnsi" w:cstheme="minorHAnsi"/>
          <w:bCs/>
          <w:sz w:val="22"/>
          <w:szCs w:val="22"/>
        </w:rPr>
      </w:pPr>
      <w:r>
        <w:rPr>
          <w:rFonts w:asciiTheme="minorHAnsi" w:hAnsiTheme="minorHAnsi" w:cstheme="minorHAnsi"/>
          <w:bCs/>
          <w:sz w:val="22"/>
          <w:szCs w:val="22"/>
        </w:rPr>
        <w:t>Time</w:t>
      </w:r>
      <w:r w:rsidR="00137606" w:rsidRPr="0019017B">
        <w:rPr>
          <w:rFonts w:asciiTheme="minorHAnsi" w:hAnsiTheme="minorHAnsi" w:cstheme="minorHAnsi"/>
          <w:bCs/>
          <w:sz w:val="22"/>
          <w:szCs w:val="22"/>
        </w:rPr>
        <w:t xml:space="preserve"> to addition of </w:t>
      </w:r>
      <w:r>
        <w:rPr>
          <w:rFonts w:asciiTheme="minorHAnsi" w:hAnsiTheme="minorHAnsi" w:cstheme="minorHAnsi"/>
          <w:bCs/>
          <w:sz w:val="22"/>
          <w:szCs w:val="22"/>
        </w:rPr>
        <w:t xml:space="preserve">a PBS restricted HF medicine </w:t>
      </w:r>
      <w:r w:rsidR="00137606" w:rsidRPr="0019017B">
        <w:rPr>
          <w:rFonts w:asciiTheme="minorHAnsi" w:hAnsiTheme="minorHAnsi" w:cstheme="minorHAnsi"/>
          <w:bCs/>
          <w:sz w:val="22"/>
          <w:szCs w:val="22"/>
        </w:rPr>
        <w:t>to index one or cessation (defined as a gap in refill equal or greater than t</w:t>
      </w:r>
      <w:r w:rsidR="00137606">
        <w:rPr>
          <w:rFonts w:asciiTheme="minorHAnsi" w:hAnsiTheme="minorHAnsi" w:cstheme="minorHAnsi"/>
          <w:bCs/>
          <w:sz w:val="22"/>
          <w:szCs w:val="22"/>
        </w:rPr>
        <w:t>hree</w:t>
      </w:r>
      <w:r w:rsidR="00137606" w:rsidRPr="0019017B">
        <w:rPr>
          <w:rFonts w:asciiTheme="minorHAnsi" w:hAnsiTheme="minorHAnsi" w:cstheme="minorHAnsi"/>
          <w:bCs/>
          <w:sz w:val="22"/>
          <w:szCs w:val="22"/>
        </w:rPr>
        <w:t xml:space="preserve"> times the length of the estimated prescription duration</w:t>
      </w:r>
      <w:proofErr w:type="gramStart"/>
      <w:r w:rsidR="00137606" w:rsidRPr="0019017B">
        <w:rPr>
          <w:rFonts w:asciiTheme="minorHAnsi" w:hAnsiTheme="minorHAnsi" w:cstheme="minorHAnsi"/>
          <w:bCs/>
          <w:sz w:val="22"/>
          <w:szCs w:val="22"/>
        </w:rPr>
        <w:t>);</w:t>
      </w:r>
      <w:proofErr w:type="gramEnd"/>
    </w:p>
    <w:p w14:paraId="75AB26B0" w14:textId="351480E3" w:rsidR="00137606" w:rsidRDefault="006C028C" w:rsidP="001671C5">
      <w:pPr>
        <w:pStyle w:val="ListParagraph"/>
        <w:numPr>
          <w:ilvl w:val="0"/>
          <w:numId w:val="26"/>
        </w:numPr>
        <w:spacing w:after="240" w:line="276" w:lineRule="auto"/>
        <w:jc w:val="both"/>
        <w:rPr>
          <w:rFonts w:asciiTheme="minorHAnsi" w:hAnsiTheme="minorHAnsi" w:cstheme="minorHAnsi"/>
          <w:bCs/>
          <w:sz w:val="22"/>
          <w:szCs w:val="22"/>
        </w:rPr>
      </w:pPr>
      <w:r>
        <w:rPr>
          <w:rFonts w:asciiTheme="minorHAnsi" w:hAnsiTheme="minorHAnsi" w:cstheme="minorHAnsi"/>
          <w:bCs/>
          <w:sz w:val="22"/>
          <w:szCs w:val="22"/>
        </w:rPr>
        <w:t>C</w:t>
      </w:r>
      <w:r w:rsidR="00137606">
        <w:rPr>
          <w:rFonts w:asciiTheme="minorHAnsi" w:hAnsiTheme="minorHAnsi" w:cstheme="minorHAnsi"/>
          <w:bCs/>
          <w:sz w:val="22"/>
          <w:szCs w:val="22"/>
        </w:rPr>
        <w:t xml:space="preserve">umulative duration </w:t>
      </w:r>
      <w:r>
        <w:rPr>
          <w:rFonts w:asciiTheme="minorHAnsi" w:hAnsiTheme="minorHAnsi" w:cstheme="minorHAnsi"/>
          <w:bCs/>
          <w:sz w:val="22"/>
          <w:szCs w:val="22"/>
        </w:rPr>
        <w:t>on PBS restricted HF medicine</w:t>
      </w:r>
      <w:r w:rsidR="00137606">
        <w:rPr>
          <w:rFonts w:asciiTheme="minorHAnsi" w:hAnsiTheme="minorHAnsi" w:cstheme="minorHAnsi"/>
          <w:bCs/>
          <w:sz w:val="22"/>
          <w:szCs w:val="22"/>
        </w:rPr>
        <w:t xml:space="preserve"> therapy from index episode to the end of the last episode on any HF restricted medicine; breaks in therapy are included in the duration.</w:t>
      </w:r>
    </w:p>
    <w:p w14:paraId="63111398" w14:textId="5271472C" w:rsidR="00137606" w:rsidRDefault="00510AAF" w:rsidP="00137606">
      <w:pPr>
        <w:jc w:val="both"/>
        <w:rPr>
          <w:rFonts w:cstheme="minorHAnsi"/>
          <w:bCs/>
        </w:rPr>
      </w:pPr>
      <w:r>
        <w:rPr>
          <w:rFonts w:cstheme="minorHAnsi"/>
          <w:bCs/>
        </w:rPr>
        <w:t>People who continued the index therapy at end of study (30 Jun 2023) and died (using the proxy indicator) were censored.</w:t>
      </w:r>
      <w:r w:rsidR="006C028C">
        <w:rPr>
          <w:rFonts w:cstheme="minorHAnsi"/>
          <w:bCs/>
        </w:rPr>
        <w:t xml:space="preserve">  </w:t>
      </w:r>
      <w:r w:rsidR="00137606">
        <w:rPr>
          <w:rFonts w:cstheme="minorHAnsi"/>
          <w:bCs/>
        </w:rPr>
        <w:t>To account for age influence, the cox proportional hazard models used age at initiation as the primary time scale – they compare adjusted hazard ratio of durations between the individual HF medicines.</w:t>
      </w:r>
    </w:p>
    <w:p w14:paraId="21299B9E" w14:textId="77777777" w:rsidR="00137606" w:rsidRDefault="00137606" w:rsidP="00580557">
      <w:pPr>
        <w:jc w:val="both"/>
        <w:rPr>
          <w:rFonts w:cstheme="minorHAnsi"/>
          <w:bCs/>
        </w:rPr>
      </w:pPr>
    </w:p>
    <w:p w14:paraId="5443B75E" w14:textId="77777777" w:rsidR="00B7551D" w:rsidRDefault="00B7551D">
      <w:pPr>
        <w:rPr>
          <w:rFonts w:cstheme="minorHAnsi"/>
          <w:b/>
          <w:i/>
          <w:iCs/>
        </w:rPr>
      </w:pPr>
      <w:r>
        <w:rPr>
          <w:rFonts w:cstheme="minorHAnsi"/>
          <w:b/>
          <w:i/>
          <w:iCs/>
        </w:rPr>
        <w:br w:type="page"/>
      </w:r>
    </w:p>
    <w:p w14:paraId="44DE691D" w14:textId="0DE52CC8" w:rsidR="00DF69F9" w:rsidRPr="00DF69F9" w:rsidRDefault="005C058B" w:rsidP="00E928FD">
      <w:pPr>
        <w:pStyle w:val="Heading3"/>
      </w:pPr>
      <w:bookmarkStart w:id="32" w:name="_Toc165448406"/>
      <w:r>
        <w:t>Time to</w:t>
      </w:r>
      <w:r w:rsidR="005B1E7D">
        <w:t xml:space="preserve"> </w:t>
      </w:r>
      <w:r w:rsidR="00DF69F9" w:rsidRPr="00DF69F9">
        <w:t>switch o</w:t>
      </w:r>
      <w:r w:rsidR="005A5318">
        <w:t>r</w:t>
      </w:r>
      <w:r w:rsidR="00DF69F9" w:rsidRPr="00DF69F9">
        <w:t xml:space="preserve"> cessation</w:t>
      </w:r>
      <w:r>
        <w:t xml:space="preserve"> of PBS restricted HF medicine</w:t>
      </w:r>
      <w:bookmarkEnd w:id="32"/>
    </w:p>
    <w:p w14:paraId="237360D1" w14:textId="71982D5D" w:rsidR="00D34B8C" w:rsidRDefault="00D34B8C" w:rsidP="00D34B8C">
      <w:pPr>
        <w:jc w:val="both"/>
        <w:rPr>
          <w:rFonts w:cstheme="minorHAnsi"/>
          <w:bCs/>
        </w:rPr>
      </w:pPr>
      <w:r>
        <w:rPr>
          <w:rFonts w:cstheme="minorHAnsi"/>
          <w:bCs/>
        </w:rPr>
        <w:t>Overall, 6% of monotherapy initiators</w:t>
      </w:r>
      <w:r w:rsidR="00B7551D">
        <w:rPr>
          <w:rFonts w:cstheme="minorHAnsi"/>
          <w:bCs/>
        </w:rPr>
        <w:t xml:space="preserve"> to </w:t>
      </w:r>
      <w:r w:rsidR="00B7551D" w:rsidRPr="00DA4E6F">
        <w:rPr>
          <w:rFonts w:cstheme="minorHAnsi"/>
          <w:bCs/>
        </w:rPr>
        <w:t>heart failure restricted medicines</w:t>
      </w:r>
      <w:r w:rsidRPr="00DA4E6F">
        <w:rPr>
          <w:rFonts w:cstheme="minorHAnsi"/>
          <w:bCs/>
        </w:rPr>
        <w:t xml:space="preserve"> switched to a </w:t>
      </w:r>
      <w:r w:rsidR="00B7551D" w:rsidRPr="00DA4E6F">
        <w:rPr>
          <w:rFonts w:cstheme="minorHAnsi"/>
          <w:bCs/>
        </w:rPr>
        <w:t xml:space="preserve">heart failure restricted </w:t>
      </w:r>
      <w:r w:rsidRPr="00DA4E6F">
        <w:rPr>
          <w:rFonts w:cstheme="minorHAnsi"/>
          <w:bCs/>
        </w:rPr>
        <w:t>therapy</w:t>
      </w:r>
      <w:r>
        <w:rPr>
          <w:rFonts w:cstheme="minorHAnsi"/>
          <w:bCs/>
        </w:rPr>
        <w:t xml:space="preserve"> different to the index one, 59% stopped </w:t>
      </w:r>
      <w:r w:rsidR="006C028C">
        <w:rPr>
          <w:rFonts w:cstheme="minorHAnsi"/>
          <w:bCs/>
        </w:rPr>
        <w:t xml:space="preserve">their index PBS restricted HF medicine </w:t>
      </w:r>
      <w:r>
        <w:rPr>
          <w:rFonts w:cstheme="minorHAnsi"/>
          <w:bCs/>
        </w:rPr>
        <w:t xml:space="preserve">(had a break in therapy), and 35% continued </w:t>
      </w:r>
      <w:r w:rsidR="00063F39">
        <w:rPr>
          <w:rFonts w:cstheme="minorHAnsi"/>
          <w:bCs/>
        </w:rPr>
        <w:t xml:space="preserve">the </w:t>
      </w:r>
      <w:r>
        <w:rPr>
          <w:rFonts w:cstheme="minorHAnsi"/>
          <w:bCs/>
        </w:rPr>
        <w:t xml:space="preserve">index therapy until </w:t>
      </w:r>
      <w:r w:rsidR="00F1347B" w:rsidRPr="00892178">
        <w:rPr>
          <w:rFonts w:cstheme="minorHAnsi"/>
          <w:bCs/>
        </w:rPr>
        <w:t>30 June 2023</w:t>
      </w:r>
      <w:r>
        <w:rPr>
          <w:rFonts w:cstheme="minorHAnsi"/>
          <w:bCs/>
        </w:rPr>
        <w:t xml:space="preserve"> (it should be noted that addition of therapy to the index one was </w:t>
      </w:r>
      <w:r w:rsidR="00BD36A3">
        <w:rPr>
          <w:rFonts w:cstheme="minorHAnsi"/>
          <w:bCs/>
        </w:rPr>
        <w:t xml:space="preserve">not analysed here but </w:t>
      </w:r>
      <w:r>
        <w:rPr>
          <w:rFonts w:cstheme="minorHAnsi"/>
          <w:bCs/>
        </w:rPr>
        <w:t xml:space="preserve">considered </w:t>
      </w:r>
      <w:r w:rsidR="00BD36A3">
        <w:rPr>
          <w:rFonts w:cstheme="minorHAnsi"/>
          <w:bCs/>
        </w:rPr>
        <w:t xml:space="preserve">part of </w:t>
      </w:r>
      <w:r>
        <w:rPr>
          <w:rFonts w:cstheme="minorHAnsi"/>
          <w:bCs/>
        </w:rPr>
        <w:t>continuation).</w:t>
      </w:r>
      <w:r w:rsidR="009A4994">
        <w:rPr>
          <w:rFonts w:cstheme="minorHAnsi"/>
          <w:bCs/>
        </w:rPr>
        <w:t xml:space="preserve"> </w:t>
      </w:r>
      <w:r w:rsidR="00C32BF8" w:rsidRPr="009A4994">
        <w:rPr>
          <w:rFonts w:cstheme="minorHAnsi"/>
          <w:bCs/>
        </w:rPr>
        <w:t>The follow-up period was up to 30 June 2023.</w:t>
      </w:r>
    </w:p>
    <w:p w14:paraId="493CEE3E" w14:textId="77777777" w:rsidR="00860383" w:rsidRPr="0053594A" w:rsidRDefault="00B65BF6" w:rsidP="00860383">
      <w:pPr>
        <w:jc w:val="both"/>
        <w:rPr>
          <w:rFonts w:cstheme="minorHAnsi"/>
          <w:b/>
        </w:rPr>
      </w:pPr>
      <w:r>
        <w:rPr>
          <w:rFonts w:cstheme="minorHAnsi"/>
          <w:bCs/>
        </w:rPr>
        <w:t>Results from the Kaplan Meier survival analysis showed that t</w:t>
      </w:r>
      <w:r w:rsidR="00DA4E6F">
        <w:rPr>
          <w:rFonts w:cstheme="minorHAnsi"/>
          <w:bCs/>
        </w:rPr>
        <w:t xml:space="preserve">he median </w:t>
      </w:r>
      <w:r w:rsidR="006C028C">
        <w:rPr>
          <w:rFonts w:cstheme="minorHAnsi"/>
          <w:bCs/>
        </w:rPr>
        <w:t>time to switch or cessation</w:t>
      </w:r>
      <w:r w:rsidR="00DA4E6F">
        <w:rPr>
          <w:rFonts w:cstheme="minorHAnsi"/>
          <w:bCs/>
        </w:rPr>
        <w:t xml:space="preserve"> with any </w:t>
      </w:r>
      <w:r w:rsidR="006C028C">
        <w:rPr>
          <w:rFonts w:cstheme="minorHAnsi"/>
          <w:bCs/>
        </w:rPr>
        <w:t xml:space="preserve">PBS </w:t>
      </w:r>
      <w:r w:rsidR="00776F13">
        <w:rPr>
          <w:rFonts w:cstheme="minorHAnsi"/>
          <w:bCs/>
        </w:rPr>
        <w:t xml:space="preserve">restricted </w:t>
      </w:r>
      <w:r w:rsidR="006C028C">
        <w:rPr>
          <w:rFonts w:cstheme="minorHAnsi"/>
          <w:bCs/>
        </w:rPr>
        <w:t xml:space="preserve">HF therapy </w:t>
      </w:r>
      <w:r w:rsidR="00DA4E6F">
        <w:rPr>
          <w:rFonts w:cstheme="minorHAnsi"/>
          <w:bCs/>
        </w:rPr>
        <w:t>was 17 months (503 days, 95% CI 496; 510) – Figure 1</w:t>
      </w:r>
      <w:r w:rsidR="006C028C">
        <w:rPr>
          <w:rFonts w:cstheme="minorHAnsi"/>
          <w:bCs/>
        </w:rPr>
        <w:t>5</w:t>
      </w:r>
      <w:r w:rsidR="00DA4E6F">
        <w:rPr>
          <w:rFonts w:cstheme="minorHAnsi"/>
          <w:bCs/>
        </w:rPr>
        <w:t>.</w:t>
      </w:r>
      <w:r w:rsidR="008C5B75" w:rsidRPr="008C5B75">
        <w:rPr>
          <w:rFonts w:cstheme="minorHAnsi"/>
          <w:bCs/>
        </w:rPr>
        <w:t xml:space="preserve"> </w:t>
      </w:r>
      <w:r w:rsidR="008C5B75">
        <w:rPr>
          <w:rFonts w:cstheme="minorHAnsi"/>
          <w:bCs/>
        </w:rPr>
        <w:t>Note, unrestricted HF medicines are not included in this analysis; people may have been switched to or maintained on unrestricted therapies.</w:t>
      </w:r>
      <w:r w:rsidR="0016490A">
        <w:rPr>
          <w:rFonts w:cstheme="minorHAnsi"/>
          <w:bCs/>
        </w:rPr>
        <w:t xml:space="preserve"> </w:t>
      </w:r>
      <w:r w:rsidR="00860383">
        <w:rPr>
          <w:rFonts w:cstheme="minorHAnsi"/>
          <w:bCs/>
        </w:rPr>
        <w:t xml:space="preserve">Analyses that included unrestricted heart failure medicines are included in Appendix 2 Figure A2, which shows the median time to switch or change to any HF indicated medicine after initiation on a PBS restricted HF </w:t>
      </w:r>
      <w:r w:rsidR="00860383" w:rsidRPr="001671C5">
        <w:rPr>
          <w:rFonts w:cstheme="minorHAnsi"/>
          <w:bCs/>
        </w:rPr>
        <w:t>medicines 293 days (292-300). This is to be expected as given a wider range of therapies were included, there is more opportunity to switch.</w:t>
      </w:r>
    </w:p>
    <w:p w14:paraId="1B7CC872" w14:textId="521B2B39" w:rsidR="001671C5" w:rsidRDefault="001671C5" w:rsidP="00860383">
      <w:pPr>
        <w:jc w:val="both"/>
        <w:rPr>
          <w:rFonts w:cstheme="minorHAnsi"/>
          <w:bCs/>
        </w:rPr>
      </w:pPr>
      <w:r>
        <w:rPr>
          <w:rFonts w:cstheme="minorHAnsi"/>
          <w:bCs/>
        </w:rPr>
        <w:t>Results were stratified by the index therapy (i.e. individual PBS restricted HF medicine), with results shown in the Appendix</w:t>
      </w:r>
      <w:r w:rsidR="001A4647">
        <w:rPr>
          <w:rFonts w:cstheme="minorHAnsi"/>
          <w:bCs/>
        </w:rPr>
        <w:t xml:space="preserve"> 2</w:t>
      </w:r>
      <w:r>
        <w:rPr>
          <w:rFonts w:cstheme="minorHAnsi"/>
          <w:bCs/>
        </w:rPr>
        <w:t>: Figure A</w:t>
      </w:r>
      <w:r w:rsidR="00860383">
        <w:rPr>
          <w:rFonts w:cstheme="minorHAnsi"/>
          <w:bCs/>
        </w:rPr>
        <w:t>4</w:t>
      </w:r>
      <w:r>
        <w:rPr>
          <w:rFonts w:cstheme="minorHAnsi"/>
          <w:bCs/>
        </w:rPr>
        <w:t xml:space="preserve"> and Table A1.</w:t>
      </w:r>
    </w:p>
    <w:p w14:paraId="2A2E2579" w14:textId="77777777" w:rsidR="00492F95" w:rsidRDefault="00DA4E6F" w:rsidP="0079747D">
      <w:pPr>
        <w:spacing w:after="0"/>
        <w:jc w:val="both"/>
        <w:rPr>
          <w:rFonts w:cstheme="minorHAnsi"/>
          <w:bCs/>
        </w:rPr>
      </w:pPr>
      <w:r>
        <w:rPr>
          <w:rFonts w:cstheme="minorHAnsi"/>
          <w:bCs/>
          <w:noProof/>
          <w:lang w:eastAsia="en-AU"/>
        </w:rPr>
        <w:drawing>
          <wp:inline distT="0" distB="0" distL="0" distR="0" wp14:anchorId="3EFA6E8C" wp14:editId="1117A592">
            <wp:extent cx="5731510" cy="4298315"/>
            <wp:effectExtent l="0" t="0" r="2540" b="6985"/>
            <wp:docPr id="33" name="Picture 33" descr="Graph showing the time to switch or cessation of the initial HF restricted medicine, with median duration of 17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Graph showing the time to switch or cessation of the initial HF restricted medicine, with median duration of 17 months."/>
                    <pic:cNvPicPr/>
                  </pic:nvPicPr>
                  <pic:blipFill>
                    <a:blip r:embed="rId27">
                      <a:extLst>
                        <a:ext uri="{28A0092B-C50C-407E-A947-70E740481C1C}">
                          <a14:useLocalDpi xmlns:a14="http://schemas.microsoft.com/office/drawing/2010/main" val="0"/>
                        </a:ext>
                      </a:extLst>
                    </a:blip>
                    <a:stretch>
                      <a:fillRect/>
                    </a:stretch>
                  </pic:blipFill>
                  <pic:spPr>
                    <a:xfrm>
                      <a:off x="0" y="0"/>
                      <a:ext cx="5731510" cy="4298315"/>
                    </a:xfrm>
                    <a:prstGeom prst="rect">
                      <a:avLst/>
                    </a:prstGeom>
                  </pic:spPr>
                </pic:pic>
              </a:graphicData>
            </a:graphic>
          </wp:inline>
        </w:drawing>
      </w:r>
    </w:p>
    <w:p w14:paraId="47606A06" w14:textId="2227D4EE" w:rsidR="00DA4E6F" w:rsidRPr="005C058B" w:rsidRDefault="00DA4E6F" w:rsidP="00DA4E6F">
      <w:pPr>
        <w:spacing w:after="0" w:line="240" w:lineRule="auto"/>
        <w:jc w:val="both"/>
        <w:rPr>
          <w:rFonts w:cstheme="minorHAnsi"/>
          <w:b/>
        </w:rPr>
      </w:pPr>
      <w:r w:rsidRPr="005C058B">
        <w:rPr>
          <w:rFonts w:cstheme="minorHAnsi"/>
          <w:b/>
        </w:rPr>
        <w:t>Figure 1</w:t>
      </w:r>
      <w:r w:rsidR="005C058B">
        <w:rPr>
          <w:rFonts w:cstheme="minorHAnsi"/>
          <w:b/>
        </w:rPr>
        <w:t>5</w:t>
      </w:r>
      <w:r w:rsidRPr="005C058B">
        <w:rPr>
          <w:rFonts w:cstheme="minorHAnsi"/>
          <w:b/>
        </w:rPr>
        <w:t xml:space="preserve">. </w:t>
      </w:r>
      <w:r w:rsidR="005C058B" w:rsidRPr="005C058B">
        <w:rPr>
          <w:rFonts w:cstheme="minorHAnsi"/>
          <w:b/>
        </w:rPr>
        <w:t xml:space="preserve">Time to switch or cessation from index PBS restricted HF medicine </w:t>
      </w:r>
      <w:r w:rsidR="00860383">
        <w:rPr>
          <w:rFonts w:cstheme="minorHAnsi"/>
          <w:b/>
        </w:rPr>
        <w:t>(limited to PBS restricted HF medicines only)</w:t>
      </w:r>
    </w:p>
    <w:p w14:paraId="58D04491" w14:textId="67AE2923" w:rsidR="00B65BF6" w:rsidRDefault="00B65BF6" w:rsidP="00B65BF6">
      <w:pPr>
        <w:jc w:val="both"/>
        <w:rPr>
          <w:rFonts w:cstheme="minorHAnsi"/>
          <w:bCs/>
        </w:rPr>
      </w:pPr>
    </w:p>
    <w:p w14:paraId="1F6D0F8A" w14:textId="77777777" w:rsidR="0024044B" w:rsidRDefault="0024044B" w:rsidP="00B65BF6">
      <w:pPr>
        <w:jc w:val="both"/>
        <w:rPr>
          <w:rFonts w:cstheme="minorHAnsi"/>
          <w:bCs/>
        </w:rPr>
      </w:pPr>
    </w:p>
    <w:p w14:paraId="01C6DFF9" w14:textId="6D7FF5A3" w:rsidR="005A5318" w:rsidRPr="00DF69F9" w:rsidRDefault="005C058B" w:rsidP="00E928FD">
      <w:pPr>
        <w:pStyle w:val="Heading3"/>
      </w:pPr>
      <w:bookmarkStart w:id="33" w:name="_Toc165448407"/>
      <w:r>
        <w:t>Time to addition of a second PBS restricted HF medicine</w:t>
      </w:r>
      <w:r w:rsidR="00741F52">
        <w:t xml:space="preserve"> or cessation</w:t>
      </w:r>
      <w:bookmarkEnd w:id="33"/>
    </w:p>
    <w:p w14:paraId="458B0B81" w14:textId="17CA9C26" w:rsidR="009B68D0" w:rsidRDefault="009B68D0" w:rsidP="003E631A">
      <w:pPr>
        <w:jc w:val="both"/>
        <w:rPr>
          <w:rFonts w:cstheme="minorHAnsi"/>
          <w:bCs/>
        </w:rPr>
      </w:pPr>
      <w:r>
        <w:rPr>
          <w:rFonts w:cstheme="minorHAnsi"/>
          <w:bCs/>
        </w:rPr>
        <w:t xml:space="preserve">Overall, 10% of monotherapy initiators </w:t>
      </w:r>
      <w:r w:rsidR="00063F39">
        <w:rPr>
          <w:rFonts w:cstheme="minorHAnsi"/>
          <w:bCs/>
        </w:rPr>
        <w:t xml:space="preserve">to a heart failure restricted therapy </w:t>
      </w:r>
      <w:r>
        <w:rPr>
          <w:rFonts w:cstheme="minorHAnsi"/>
          <w:bCs/>
        </w:rPr>
        <w:t xml:space="preserve">had an addition of second </w:t>
      </w:r>
      <w:r w:rsidR="00063F39">
        <w:rPr>
          <w:rFonts w:cstheme="minorHAnsi"/>
          <w:bCs/>
        </w:rPr>
        <w:t>heart failure restricted</w:t>
      </w:r>
      <w:r>
        <w:rPr>
          <w:rFonts w:cstheme="minorHAnsi"/>
          <w:bCs/>
        </w:rPr>
        <w:t xml:space="preserve"> therapy</w:t>
      </w:r>
      <w:r w:rsidR="00D34B8C">
        <w:rPr>
          <w:rFonts w:cstheme="minorHAnsi"/>
          <w:bCs/>
        </w:rPr>
        <w:t xml:space="preserve"> (the add-on </w:t>
      </w:r>
      <w:r w:rsidR="00137606">
        <w:rPr>
          <w:rFonts w:cstheme="minorHAnsi"/>
          <w:bCs/>
        </w:rPr>
        <w:t>may</w:t>
      </w:r>
      <w:r w:rsidR="00D34B8C">
        <w:rPr>
          <w:rFonts w:cstheme="minorHAnsi"/>
          <w:bCs/>
        </w:rPr>
        <w:t xml:space="preserve"> </w:t>
      </w:r>
      <w:r w:rsidR="00995135">
        <w:rPr>
          <w:rFonts w:cstheme="minorHAnsi"/>
          <w:bCs/>
        </w:rPr>
        <w:t xml:space="preserve">have </w:t>
      </w:r>
      <w:r w:rsidR="00D34B8C">
        <w:rPr>
          <w:rFonts w:cstheme="minorHAnsi"/>
          <w:bCs/>
        </w:rPr>
        <w:t>occurred before a switch</w:t>
      </w:r>
      <w:r w:rsidR="0027409C">
        <w:rPr>
          <w:rFonts w:cstheme="minorHAnsi"/>
          <w:bCs/>
        </w:rPr>
        <w:t>)</w:t>
      </w:r>
      <w:r w:rsidR="00C32BF8">
        <w:rPr>
          <w:rFonts w:cstheme="minorHAnsi"/>
          <w:bCs/>
        </w:rPr>
        <w:t xml:space="preserve"> </w:t>
      </w:r>
      <w:r w:rsidR="00C32BF8" w:rsidRPr="009A4994">
        <w:rPr>
          <w:rFonts w:cstheme="minorHAnsi"/>
          <w:bCs/>
        </w:rPr>
        <w:t>within the follow-up period (up to 30 June 2023)</w:t>
      </w:r>
      <w:r w:rsidR="0027409C" w:rsidRPr="009A4994">
        <w:rPr>
          <w:rFonts w:cstheme="minorHAnsi"/>
          <w:bCs/>
        </w:rPr>
        <w:t>.</w:t>
      </w:r>
      <w:r w:rsidR="005C058B">
        <w:rPr>
          <w:rFonts w:cstheme="minorHAnsi"/>
          <w:bCs/>
        </w:rPr>
        <w:t xml:space="preserve"> 59% stopped (had a break in therapy), 28% continued index therapy until study end</w:t>
      </w:r>
      <w:r w:rsidR="000C57DE">
        <w:rPr>
          <w:rFonts w:cstheme="minorHAnsi"/>
          <w:bCs/>
        </w:rPr>
        <w:t>.</w:t>
      </w:r>
    </w:p>
    <w:p w14:paraId="44BA11A2" w14:textId="2AE1CE2E" w:rsidR="00860383" w:rsidRDefault="008C5B75" w:rsidP="00860383">
      <w:pPr>
        <w:jc w:val="both"/>
        <w:rPr>
          <w:rFonts w:cstheme="minorHAnsi"/>
          <w:bCs/>
        </w:rPr>
      </w:pPr>
      <w:r>
        <w:rPr>
          <w:rFonts w:cstheme="minorHAnsi"/>
          <w:bCs/>
        </w:rPr>
        <w:t>T</w:t>
      </w:r>
      <w:r w:rsidR="00654845">
        <w:rPr>
          <w:rFonts w:cstheme="minorHAnsi"/>
          <w:bCs/>
        </w:rPr>
        <w:t xml:space="preserve">he median </w:t>
      </w:r>
      <w:r w:rsidR="001F7D32">
        <w:rPr>
          <w:rFonts w:cstheme="minorHAnsi"/>
          <w:bCs/>
        </w:rPr>
        <w:t xml:space="preserve">time </w:t>
      </w:r>
      <w:r w:rsidR="00654845">
        <w:rPr>
          <w:rFonts w:cstheme="minorHAnsi"/>
          <w:bCs/>
        </w:rPr>
        <w:t xml:space="preserve">to </w:t>
      </w:r>
      <w:r w:rsidR="00B65BF6">
        <w:rPr>
          <w:rFonts w:cstheme="minorHAnsi"/>
          <w:bCs/>
        </w:rPr>
        <w:t xml:space="preserve">an </w:t>
      </w:r>
      <w:r w:rsidR="00654845">
        <w:rPr>
          <w:rFonts w:cstheme="minorHAnsi"/>
          <w:bCs/>
        </w:rPr>
        <w:t xml:space="preserve">addition of </w:t>
      </w:r>
      <w:r w:rsidR="00776F13">
        <w:rPr>
          <w:rFonts w:cstheme="minorHAnsi"/>
          <w:bCs/>
        </w:rPr>
        <w:t xml:space="preserve">a </w:t>
      </w:r>
      <w:r w:rsidR="00654845">
        <w:rPr>
          <w:rFonts w:cstheme="minorHAnsi"/>
          <w:bCs/>
        </w:rPr>
        <w:t xml:space="preserve">second </w:t>
      </w:r>
      <w:r>
        <w:rPr>
          <w:rFonts w:cstheme="minorHAnsi"/>
          <w:bCs/>
        </w:rPr>
        <w:t>PBS</w:t>
      </w:r>
      <w:r w:rsidR="00776F13">
        <w:rPr>
          <w:rFonts w:cstheme="minorHAnsi"/>
          <w:bCs/>
        </w:rPr>
        <w:t xml:space="preserve"> restricted </w:t>
      </w:r>
      <w:r>
        <w:rPr>
          <w:rFonts w:cstheme="minorHAnsi"/>
          <w:bCs/>
        </w:rPr>
        <w:t xml:space="preserve">HF medicine </w:t>
      </w:r>
      <w:r w:rsidR="00654845">
        <w:rPr>
          <w:rFonts w:cstheme="minorHAnsi"/>
          <w:bCs/>
        </w:rPr>
        <w:t>or cessation was 15 months (454 days, 95% CI 447; 455) – Figure 1</w:t>
      </w:r>
      <w:r w:rsidR="005C058B">
        <w:rPr>
          <w:rFonts w:cstheme="minorHAnsi"/>
          <w:bCs/>
        </w:rPr>
        <w:t>6</w:t>
      </w:r>
      <w:r w:rsidR="00654845">
        <w:rPr>
          <w:rFonts w:cstheme="minorHAnsi"/>
          <w:bCs/>
        </w:rPr>
        <w:t xml:space="preserve">. </w:t>
      </w:r>
      <w:r>
        <w:rPr>
          <w:rFonts w:cstheme="minorHAnsi"/>
          <w:bCs/>
        </w:rPr>
        <w:t xml:space="preserve"> Note, unrestricted HF medicines are not included in this analysis and </w:t>
      </w:r>
      <w:r w:rsidR="00896FC7">
        <w:rPr>
          <w:rFonts w:cstheme="minorHAnsi"/>
          <w:bCs/>
        </w:rPr>
        <w:t xml:space="preserve">this duration is affected by the cessation event, however, </w:t>
      </w:r>
      <w:r>
        <w:rPr>
          <w:rFonts w:cstheme="minorHAnsi"/>
          <w:bCs/>
        </w:rPr>
        <w:t xml:space="preserve">people </w:t>
      </w:r>
      <w:r w:rsidR="00896FC7">
        <w:rPr>
          <w:rFonts w:cstheme="minorHAnsi"/>
          <w:bCs/>
        </w:rPr>
        <w:t>were</w:t>
      </w:r>
      <w:r>
        <w:rPr>
          <w:rFonts w:cstheme="minorHAnsi"/>
          <w:bCs/>
        </w:rPr>
        <w:t xml:space="preserve"> maintained on unrestricted therapies. </w:t>
      </w:r>
      <w:r w:rsidR="00860383">
        <w:rPr>
          <w:rFonts w:cstheme="minorHAnsi"/>
          <w:bCs/>
        </w:rPr>
        <w:t>The analysis that included unrestricted heart failure medicines is included in Appendix 2 Figure A</w:t>
      </w:r>
      <w:r w:rsidR="00E129FF">
        <w:rPr>
          <w:rFonts w:cstheme="minorHAnsi"/>
          <w:bCs/>
        </w:rPr>
        <w:t>3</w:t>
      </w:r>
      <w:r w:rsidR="00860383">
        <w:rPr>
          <w:rFonts w:cstheme="minorHAnsi"/>
          <w:bCs/>
        </w:rPr>
        <w:t xml:space="preserve"> and shows a longer median time to </w:t>
      </w:r>
      <w:r w:rsidR="00860383" w:rsidRPr="00860383">
        <w:rPr>
          <w:rFonts w:cstheme="minorHAnsi"/>
          <w:bCs/>
        </w:rPr>
        <w:t>addition of 636 days (95% CI 629-648) because people did</w:t>
      </w:r>
      <w:r w:rsidR="00860383">
        <w:rPr>
          <w:rFonts w:cstheme="minorHAnsi"/>
          <w:bCs/>
        </w:rPr>
        <w:t xml:space="preserve"> not cease unrestricted therapies.  </w:t>
      </w:r>
    </w:p>
    <w:p w14:paraId="6F64A230" w14:textId="7124FF6D" w:rsidR="008C5B75" w:rsidRDefault="008C5B75" w:rsidP="00860383">
      <w:pPr>
        <w:jc w:val="both"/>
        <w:rPr>
          <w:rFonts w:cstheme="minorHAnsi"/>
          <w:bCs/>
        </w:rPr>
      </w:pPr>
      <w:r>
        <w:rPr>
          <w:rFonts w:cstheme="minorHAnsi"/>
          <w:bCs/>
        </w:rPr>
        <w:t>Results were also stratified by the index therapy (i.e. individual PBS restricted HF medicine), with results shown in the Appendix</w:t>
      </w:r>
      <w:r w:rsidR="00860383">
        <w:rPr>
          <w:rFonts w:cstheme="minorHAnsi"/>
          <w:bCs/>
        </w:rPr>
        <w:t xml:space="preserve"> 2</w:t>
      </w:r>
      <w:r>
        <w:rPr>
          <w:rFonts w:cstheme="minorHAnsi"/>
          <w:bCs/>
        </w:rPr>
        <w:t xml:space="preserve">: Figure </w:t>
      </w:r>
      <w:r w:rsidR="00860383">
        <w:rPr>
          <w:rFonts w:cstheme="minorHAnsi"/>
          <w:bCs/>
        </w:rPr>
        <w:t>A</w:t>
      </w:r>
      <w:r w:rsidR="00E129FF">
        <w:rPr>
          <w:rFonts w:cstheme="minorHAnsi"/>
          <w:bCs/>
        </w:rPr>
        <w:t>5</w:t>
      </w:r>
      <w:r>
        <w:rPr>
          <w:rFonts w:cstheme="minorHAnsi"/>
          <w:bCs/>
        </w:rPr>
        <w:t xml:space="preserve"> and in Table </w:t>
      </w:r>
      <w:r w:rsidR="00860383">
        <w:rPr>
          <w:rFonts w:cstheme="minorHAnsi"/>
          <w:bCs/>
        </w:rPr>
        <w:t>A2</w:t>
      </w:r>
      <w:r>
        <w:rPr>
          <w:rFonts w:cstheme="minorHAnsi"/>
          <w:bCs/>
        </w:rPr>
        <w:t>.</w:t>
      </w:r>
    </w:p>
    <w:p w14:paraId="66C385C3" w14:textId="77777777" w:rsidR="00654845" w:rsidRDefault="00654845" w:rsidP="0079747D">
      <w:pPr>
        <w:spacing w:after="0"/>
        <w:jc w:val="both"/>
        <w:rPr>
          <w:rFonts w:cstheme="minorHAnsi"/>
          <w:bCs/>
        </w:rPr>
      </w:pPr>
      <w:r>
        <w:rPr>
          <w:rFonts w:cstheme="minorHAnsi"/>
          <w:bCs/>
          <w:noProof/>
          <w:lang w:eastAsia="en-AU"/>
        </w:rPr>
        <w:drawing>
          <wp:inline distT="0" distB="0" distL="0" distR="0" wp14:anchorId="6467F8DF" wp14:editId="329CFEBC">
            <wp:extent cx="5731510" cy="4298315"/>
            <wp:effectExtent l="0" t="0" r="2540" b="6985"/>
            <wp:docPr id="34" name="Picture 34" descr="Graph showing time to addition or cessation of initial HF restricted medicine, with median duration of 15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Graph showing time to addition or cessation of initial HF restricted medicine, with median duration of 15 months."/>
                    <pic:cNvPicPr/>
                  </pic:nvPicPr>
                  <pic:blipFill>
                    <a:blip r:embed="rId28">
                      <a:extLst>
                        <a:ext uri="{28A0092B-C50C-407E-A947-70E740481C1C}">
                          <a14:useLocalDpi xmlns:a14="http://schemas.microsoft.com/office/drawing/2010/main" val="0"/>
                        </a:ext>
                      </a:extLst>
                    </a:blip>
                    <a:stretch>
                      <a:fillRect/>
                    </a:stretch>
                  </pic:blipFill>
                  <pic:spPr>
                    <a:xfrm>
                      <a:off x="0" y="0"/>
                      <a:ext cx="5731510" cy="4298315"/>
                    </a:xfrm>
                    <a:prstGeom prst="rect">
                      <a:avLst/>
                    </a:prstGeom>
                  </pic:spPr>
                </pic:pic>
              </a:graphicData>
            </a:graphic>
          </wp:inline>
        </w:drawing>
      </w:r>
    </w:p>
    <w:p w14:paraId="47887ED8" w14:textId="3852EFB3" w:rsidR="008C5B75" w:rsidRPr="008C5B75" w:rsidRDefault="00654845" w:rsidP="008C5B75">
      <w:pPr>
        <w:spacing w:after="0" w:line="240" w:lineRule="auto"/>
        <w:jc w:val="both"/>
        <w:rPr>
          <w:rFonts w:cstheme="minorHAnsi"/>
          <w:b/>
        </w:rPr>
      </w:pPr>
      <w:r w:rsidRPr="008C5B75">
        <w:rPr>
          <w:rFonts w:cstheme="minorHAnsi"/>
          <w:b/>
        </w:rPr>
        <w:t>Figure 1</w:t>
      </w:r>
      <w:r w:rsidR="005C058B" w:rsidRPr="008C5B75">
        <w:rPr>
          <w:rFonts w:cstheme="minorHAnsi"/>
          <w:b/>
        </w:rPr>
        <w:t>6</w:t>
      </w:r>
      <w:r w:rsidRPr="008C5B75">
        <w:rPr>
          <w:rFonts w:cstheme="minorHAnsi"/>
          <w:b/>
        </w:rPr>
        <w:t xml:space="preserve">. </w:t>
      </w:r>
      <w:r w:rsidR="008C5B75" w:rsidRPr="008C5B75">
        <w:rPr>
          <w:rFonts w:cstheme="minorHAnsi"/>
          <w:b/>
        </w:rPr>
        <w:t xml:space="preserve">Time to addition or cessation from index PBS restricted HF medicine </w:t>
      </w:r>
      <w:r w:rsidR="00860383">
        <w:rPr>
          <w:rFonts w:cstheme="minorHAnsi"/>
          <w:b/>
        </w:rPr>
        <w:t>(limited to PBS restricted HF medicines only)</w:t>
      </w:r>
    </w:p>
    <w:p w14:paraId="5A76FB62" w14:textId="77777777" w:rsidR="008C5B75" w:rsidRDefault="008C5B75" w:rsidP="008C5B75">
      <w:pPr>
        <w:jc w:val="both"/>
        <w:rPr>
          <w:rFonts w:cstheme="minorHAnsi"/>
          <w:bCs/>
        </w:rPr>
      </w:pPr>
    </w:p>
    <w:p w14:paraId="75EF7C1A" w14:textId="2196D36B" w:rsidR="00654845" w:rsidRDefault="00654845" w:rsidP="00654845">
      <w:pPr>
        <w:spacing w:after="0" w:line="240" w:lineRule="auto"/>
        <w:jc w:val="both"/>
        <w:rPr>
          <w:rFonts w:cstheme="minorHAnsi"/>
          <w:bCs/>
        </w:rPr>
      </w:pPr>
    </w:p>
    <w:p w14:paraId="604FF3B4" w14:textId="77777777" w:rsidR="00E928FD" w:rsidRDefault="00E928FD">
      <w:pPr>
        <w:rPr>
          <w:rFonts w:asciiTheme="majorHAnsi" w:eastAsiaTheme="majorEastAsia" w:hAnsiTheme="majorHAnsi" w:cstheme="majorBidi"/>
          <w:color w:val="243F60" w:themeColor="accent1" w:themeShade="7F"/>
          <w:sz w:val="24"/>
          <w:szCs w:val="24"/>
        </w:rPr>
      </w:pPr>
      <w:r>
        <w:br w:type="page"/>
      </w:r>
    </w:p>
    <w:p w14:paraId="030C8153" w14:textId="0ED6C4FE" w:rsidR="00CC5195" w:rsidRDefault="00CC5195" w:rsidP="00E928FD">
      <w:pPr>
        <w:pStyle w:val="Heading3"/>
      </w:pPr>
      <w:bookmarkStart w:id="34" w:name="_Toc165448408"/>
      <w:r>
        <w:t>Cumulative treatment d</w:t>
      </w:r>
      <w:r w:rsidRPr="00DF69F9">
        <w:t xml:space="preserve">uration </w:t>
      </w:r>
      <w:r>
        <w:t>- from</w:t>
      </w:r>
      <w:r w:rsidRPr="00DF69F9">
        <w:t xml:space="preserve"> first </w:t>
      </w:r>
      <w:r>
        <w:t xml:space="preserve">to last </w:t>
      </w:r>
      <w:r w:rsidRPr="00DF69F9">
        <w:t>treatment episode</w:t>
      </w:r>
      <w:bookmarkEnd w:id="34"/>
      <w:r w:rsidRPr="00DF69F9">
        <w:t xml:space="preserve"> </w:t>
      </w:r>
    </w:p>
    <w:p w14:paraId="5756AB28" w14:textId="37339D0C" w:rsidR="00860383" w:rsidRPr="00275A2A" w:rsidRDefault="00B65BF6" w:rsidP="000C57DE">
      <w:pPr>
        <w:jc w:val="both"/>
        <w:rPr>
          <w:lang w:val="en-US"/>
        </w:rPr>
      </w:pPr>
      <w:r>
        <w:rPr>
          <w:rFonts w:cstheme="minorHAnsi"/>
          <w:bCs/>
        </w:rPr>
        <w:t>Results from the Kaplan Meier survival analysis showed that t</w:t>
      </w:r>
      <w:r w:rsidR="00D8469C">
        <w:rPr>
          <w:rFonts w:cstheme="minorHAnsi"/>
          <w:bCs/>
        </w:rPr>
        <w:t xml:space="preserve">he median duration from first </w:t>
      </w:r>
      <w:r w:rsidR="00776F13">
        <w:rPr>
          <w:rFonts w:cstheme="minorHAnsi"/>
          <w:bCs/>
        </w:rPr>
        <w:t xml:space="preserve">treatment with </w:t>
      </w:r>
      <w:r>
        <w:rPr>
          <w:rFonts w:cstheme="minorHAnsi"/>
          <w:bCs/>
        </w:rPr>
        <w:t xml:space="preserve">any </w:t>
      </w:r>
      <w:r w:rsidR="008C5B75">
        <w:rPr>
          <w:rFonts w:cstheme="minorHAnsi"/>
          <w:bCs/>
        </w:rPr>
        <w:t>PBS</w:t>
      </w:r>
      <w:r w:rsidR="00776F13">
        <w:rPr>
          <w:rFonts w:cstheme="minorHAnsi"/>
          <w:bCs/>
        </w:rPr>
        <w:t xml:space="preserve"> restricted </w:t>
      </w:r>
      <w:r w:rsidR="008C5B75">
        <w:rPr>
          <w:rFonts w:cstheme="minorHAnsi"/>
          <w:bCs/>
        </w:rPr>
        <w:t xml:space="preserve">HF </w:t>
      </w:r>
      <w:r>
        <w:rPr>
          <w:rFonts w:cstheme="minorHAnsi"/>
          <w:bCs/>
        </w:rPr>
        <w:t xml:space="preserve">monotherapy </w:t>
      </w:r>
      <w:r w:rsidR="00D8469C">
        <w:rPr>
          <w:rFonts w:cstheme="minorHAnsi"/>
          <w:bCs/>
        </w:rPr>
        <w:t xml:space="preserve">to last treatment with </w:t>
      </w:r>
      <w:r>
        <w:rPr>
          <w:rFonts w:cstheme="minorHAnsi"/>
          <w:bCs/>
        </w:rPr>
        <w:t xml:space="preserve">any </w:t>
      </w:r>
      <w:r w:rsidR="008C5B75">
        <w:rPr>
          <w:rFonts w:cstheme="minorHAnsi"/>
          <w:bCs/>
        </w:rPr>
        <w:t>PBS</w:t>
      </w:r>
      <w:r w:rsidR="00D8469C">
        <w:rPr>
          <w:rFonts w:cstheme="minorHAnsi"/>
          <w:bCs/>
        </w:rPr>
        <w:t xml:space="preserve"> restricted </w:t>
      </w:r>
      <w:r w:rsidR="008C5B75">
        <w:rPr>
          <w:rFonts w:cstheme="minorHAnsi"/>
          <w:bCs/>
        </w:rPr>
        <w:t xml:space="preserve">HF </w:t>
      </w:r>
      <w:r w:rsidR="00D8469C">
        <w:rPr>
          <w:rFonts w:cstheme="minorHAnsi"/>
          <w:bCs/>
        </w:rPr>
        <w:t>medicine was 3.4 years (1224 days, 95% CI 1210; 1231) – Figure 1</w:t>
      </w:r>
      <w:r w:rsidR="008C5B75">
        <w:rPr>
          <w:rFonts w:cstheme="minorHAnsi"/>
          <w:bCs/>
        </w:rPr>
        <w:t>7</w:t>
      </w:r>
      <w:r w:rsidR="00D8469C">
        <w:rPr>
          <w:rFonts w:cstheme="minorHAnsi"/>
          <w:bCs/>
        </w:rPr>
        <w:t>.</w:t>
      </w:r>
      <w:r w:rsidR="008C5B75">
        <w:rPr>
          <w:rFonts w:cstheme="minorHAnsi"/>
          <w:bCs/>
        </w:rPr>
        <w:t xml:space="preserve"> </w:t>
      </w:r>
      <w:r w:rsidR="00860383">
        <w:rPr>
          <w:rFonts w:cstheme="minorHAnsi"/>
          <w:bCs/>
        </w:rPr>
        <w:t xml:space="preserve"> Note, unrestricted HF medicines are not included in this analysis and people were maintained on unrestricted therapies after cessation of PBS restricted therapies across the follow-up period </w:t>
      </w:r>
      <w:r w:rsidR="00860383">
        <w:rPr>
          <w:lang w:val="en-US"/>
        </w:rPr>
        <w:t>(Appendix 2: Figure A</w:t>
      </w:r>
      <w:r w:rsidR="00E129FF">
        <w:rPr>
          <w:lang w:val="en-US"/>
        </w:rPr>
        <w:t>1</w:t>
      </w:r>
      <w:r w:rsidR="00860383">
        <w:rPr>
          <w:lang w:val="en-US"/>
        </w:rPr>
        <w:t>)</w:t>
      </w:r>
    </w:p>
    <w:p w14:paraId="17C376AB" w14:textId="30BF319B" w:rsidR="008C5B75" w:rsidRDefault="008C5B75" w:rsidP="008C5B75">
      <w:pPr>
        <w:jc w:val="both"/>
        <w:rPr>
          <w:rFonts w:cstheme="minorHAnsi"/>
          <w:bCs/>
        </w:rPr>
      </w:pPr>
      <w:r>
        <w:rPr>
          <w:rFonts w:cstheme="minorHAnsi"/>
          <w:bCs/>
        </w:rPr>
        <w:t>Results were also stratified by the index therapy (i.e. individual PBS restricted HF me</w:t>
      </w:r>
      <w:r w:rsidR="00860383">
        <w:rPr>
          <w:rFonts w:cstheme="minorHAnsi"/>
          <w:bCs/>
        </w:rPr>
        <w:t>d</w:t>
      </w:r>
      <w:r>
        <w:rPr>
          <w:rFonts w:cstheme="minorHAnsi"/>
          <w:bCs/>
        </w:rPr>
        <w:t xml:space="preserve">icine), with results shown in the Appendix: Figure </w:t>
      </w:r>
      <w:r w:rsidR="00860383">
        <w:rPr>
          <w:rFonts w:cstheme="minorHAnsi"/>
          <w:bCs/>
        </w:rPr>
        <w:t>A</w:t>
      </w:r>
      <w:r w:rsidR="00E129FF">
        <w:rPr>
          <w:rFonts w:cstheme="minorHAnsi"/>
          <w:bCs/>
        </w:rPr>
        <w:t>6</w:t>
      </w:r>
      <w:r>
        <w:rPr>
          <w:rFonts w:cstheme="minorHAnsi"/>
          <w:bCs/>
        </w:rPr>
        <w:t xml:space="preserve"> and in Table </w:t>
      </w:r>
      <w:r w:rsidR="00860383">
        <w:rPr>
          <w:rFonts w:cstheme="minorHAnsi"/>
          <w:bCs/>
        </w:rPr>
        <w:t>A3</w:t>
      </w:r>
      <w:r>
        <w:rPr>
          <w:rFonts w:cstheme="minorHAnsi"/>
          <w:bCs/>
        </w:rPr>
        <w:t>.</w:t>
      </w:r>
    </w:p>
    <w:p w14:paraId="11CA0D5E" w14:textId="40AC2D54" w:rsidR="00D8469C" w:rsidRDefault="00D8469C" w:rsidP="00D8469C">
      <w:pPr>
        <w:jc w:val="both"/>
        <w:rPr>
          <w:rFonts w:cstheme="minorHAnsi"/>
          <w:bCs/>
        </w:rPr>
      </w:pPr>
    </w:p>
    <w:p w14:paraId="0F6F9C2E" w14:textId="77777777" w:rsidR="00D8469C" w:rsidRDefault="00D8469C" w:rsidP="0079747D">
      <w:pPr>
        <w:spacing w:after="0"/>
        <w:jc w:val="both"/>
        <w:rPr>
          <w:rFonts w:cstheme="minorHAnsi"/>
          <w:bCs/>
        </w:rPr>
      </w:pPr>
      <w:r>
        <w:rPr>
          <w:rFonts w:cstheme="minorHAnsi"/>
          <w:bCs/>
          <w:noProof/>
          <w:lang w:eastAsia="en-AU"/>
        </w:rPr>
        <w:drawing>
          <wp:inline distT="0" distB="0" distL="0" distR="0" wp14:anchorId="3A430151" wp14:editId="1CC03383">
            <wp:extent cx="5731510" cy="4137950"/>
            <wp:effectExtent l="0" t="0" r="2540" b="0"/>
            <wp:docPr id="35" name="Picture 35" descr="Graph showing the time from index episode with HF restricted monotherapy to last episode with any HF restricted medicine, with a median duration of 3.4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Graph showing the time from index episode with HF restricted monotherapy to last episode with any HF restricted medicine, with a median duration of 3.4 years."/>
                    <pic:cNvPicPr/>
                  </pic:nvPicPr>
                  <pic:blipFill>
                    <a:blip r:embed="rId29">
                      <a:extLst>
                        <a:ext uri="{28A0092B-C50C-407E-A947-70E740481C1C}">
                          <a14:useLocalDpi xmlns:a14="http://schemas.microsoft.com/office/drawing/2010/main" val="0"/>
                        </a:ext>
                      </a:extLst>
                    </a:blip>
                    <a:stretch>
                      <a:fillRect/>
                    </a:stretch>
                  </pic:blipFill>
                  <pic:spPr>
                    <a:xfrm>
                      <a:off x="0" y="0"/>
                      <a:ext cx="5734761" cy="4140297"/>
                    </a:xfrm>
                    <a:prstGeom prst="rect">
                      <a:avLst/>
                    </a:prstGeom>
                  </pic:spPr>
                </pic:pic>
              </a:graphicData>
            </a:graphic>
          </wp:inline>
        </w:drawing>
      </w:r>
    </w:p>
    <w:p w14:paraId="47C750B3" w14:textId="326CC30F" w:rsidR="00D8469C" w:rsidRPr="009D697E" w:rsidRDefault="00D8469C" w:rsidP="00D8469C">
      <w:pPr>
        <w:spacing w:after="0" w:line="240" w:lineRule="auto"/>
        <w:jc w:val="both"/>
        <w:rPr>
          <w:rFonts w:cstheme="minorHAnsi"/>
          <w:b/>
        </w:rPr>
      </w:pPr>
      <w:r w:rsidRPr="009D697E">
        <w:rPr>
          <w:rFonts w:cstheme="minorHAnsi"/>
          <w:b/>
        </w:rPr>
        <w:t>Figure 1</w:t>
      </w:r>
      <w:r w:rsidR="008C5B75" w:rsidRPr="009D697E">
        <w:rPr>
          <w:rFonts w:cstheme="minorHAnsi"/>
          <w:b/>
        </w:rPr>
        <w:t>7</w:t>
      </w:r>
      <w:r w:rsidRPr="009D697E">
        <w:rPr>
          <w:rFonts w:cstheme="minorHAnsi"/>
          <w:b/>
        </w:rPr>
        <w:t xml:space="preserve">. Kaplan Meier estimate for time from first (index) episode with </w:t>
      </w:r>
      <w:r w:rsidR="00776F13" w:rsidRPr="009D697E">
        <w:rPr>
          <w:rFonts w:cstheme="minorHAnsi"/>
          <w:b/>
        </w:rPr>
        <w:t>any</w:t>
      </w:r>
      <w:r w:rsidRPr="009D697E">
        <w:rPr>
          <w:rFonts w:cstheme="minorHAnsi"/>
          <w:b/>
        </w:rPr>
        <w:t xml:space="preserve"> </w:t>
      </w:r>
      <w:r w:rsidR="008C5B75" w:rsidRPr="009D697E">
        <w:rPr>
          <w:rFonts w:cstheme="minorHAnsi"/>
          <w:b/>
        </w:rPr>
        <w:t>PBS</w:t>
      </w:r>
      <w:r w:rsidRPr="009D697E">
        <w:rPr>
          <w:rFonts w:cstheme="minorHAnsi"/>
          <w:b/>
        </w:rPr>
        <w:t xml:space="preserve"> restricted </w:t>
      </w:r>
      <w:r w:rsidR="008C5B75" w:rsidRPr="009D697E">
        <w:rPr>
          <w:rFonts w:cstheme="minorHAnsi"/>
          <w:b/>
        </w:rPr>
        <w:t xml:space="preserve">HF </w:t>
      </w:r>
      <w:r w:rsidR="00776F13" w:rsidRPr="009D697E">
        <w:rPr>
          <w:rFonts w:cstheme="minorHAnsi"/>
          <w:b/>
        </w:rPr>
        <w:t>monotherapy</w:t>
      </w:r>
      <w:r w:rsidRPr="009D697E">
        <w:rPr>
          <w:rFonts w:cstheme="minorHAnsi"/>
          <w:b/>
        </w:rPr>
        <w:t xml:space="preserve"> to last treatment episode with any </w:t>
      </w:r>
      <w:r w:rsidR="008C5B75" w:rsidRPr="009D697E">
        <w:rPr>
          <w:rFonts w:cstheme="minorHAnsi"/>
          <w:b/>
        </w:rPr>
        <w:t xml:space="preserve">PBS </w:t>
      </w:r>
      <w:r w:rsidRPr="009D697E">
        <w:rPr>
          <w:rFonts w:cstheme="minorHAnsi"/>
          <w:b/>
        </w:rPr>
        <w:t>restricte</w:t>
      </w:r>
      <w:r w:rsidR="00776F13" w:rsidRPr="009D697E">
        <w:rPr>
          <w:rFonts w:cstheme="minorHAnsi"/>
          <w:b/>
        </w:rPr>
        <w:t xml:space="preserve">d </w:t>
      </w:r>
      <w:r w:rsidR="008C5B75" w:rsidRPr="009D697E">
        <w:rPr>
          <w:rFonts w:cstheme="minorHAnsi"/>
          <w:b/>
        </w:rPr>
        <w:t xml:space="preserve">HF </w:t>
      </w:r>
      <w:r w:rsidR="00776F13" w:rsidRPr="009D697E">
        <w:rPr>
          <w:rFonts w:cstheme="minorHAnsi"/>
          <w:b/>
        </w:rPr>
        <w:t>medicine</w:t>
      </w:r>
    </w:p>
    <w:p w14:paraId="1A68BCB2" w14:textId="3F1BABEA" w:rsidR="00712984" w:rsidRDefault="00712984" w:rsidP="00252EC1">
      <w:pPr>
        <w:jc w:val="both"/>
        <w:rPr>
          <w:rFonts w:cstheme="minorHAnsi"/>
          <w:bCs/>
        </w:rPr>
      </w:pPr>
    </w:p>
    <w:p w14:paraId="239F1324" w14:textId="5B292E88" w:rsidR="00712984" w:rsidRDefault="00712984" w:rsidP="00252EC1">
      <w:pPr>
        <w:jc w:val="both"/>
        <w:rPr>
          <w:rFonts w:cstheme="minorHAnsi"/>
          <w:bCs/>
        </w:rPr>
      </w:pPr>
    </w:p>
    <w:p w14:paraId="55EAECD3" w14:textId="77777777" w:rsidR="00712984" w:rsidRDefault="00712984" w:rsidP="00252EC1">
      <w:pPr>
        <w:jc w:val="both"/>
        <w:rPr>
          <w:rFonts w:cstheme="minorHAnsi"/>
          <w:bCs/>
        </w:rPr>
      </w:pPr>
    </w:p>
    <w:p w14:paraId="746662F7" w14:textId="77777777" w:rsidR="001C6B60" w:rsidRDefault="001C6B60" w:rsidP="002043BE">
      <w:pPr>
        <w:rPr>
          <w:b/>
          <w:bCs/>
          <w:sz w:val="24"/>
          <w:szCs w:val="24"/>
          <w:lang w:val="en-US"/>
        </w:rPr>
      </w:pPr>
    </w:p>
    <w:p w14:paraId="610DA235" w14:textId="77777777" w:rsidR="001C6B60" w:rsidRDefault="001C6B60" w:rsidP="002043BE">
      <w:pPr>
        <w:rPr>
          <w:b/>
          <w:bCs/>
          <w:sz w:val="24"/>
          <w:szCs w:val="24"/>
          <w:lang w:val="en-US"/>
        </w:rPr>
        <w:sectPr w:rsidR="001C6B60" w:rsidSect="008A688C">
          <w:footerReference w:type="default" r:id="rId30"/>
          <w:headerReference w:type="first" r:id="rId31"/>
          <w:pgSz w:w="11906" w:h="16838"/>
          <w:pgMar w:top="1440" w:right="1440" w:bottom="1440" w:left="1440" w:header="708" w:footer="221" w:gutter="0"/>
          <w:cols w:space="708"/>
          <w:titlePg/>
          <w:docGrid w:linePitch="360"/>
        </w:sectPr>
      </w:pPr>
    </w:p>
    <w:p w14:paraId="6314AF22" w14:textId="77777777" w:rsidR="005B7549" w:rsidRPr="00B80EC0" w:rsidRDefault="005B1E7D" w:rsidP="00E928FD">
      <w:pPr>
        <w:pStyle w:val="Heading3"/>
        <w:rPr>
          <w:lang w:val="en-US"/>
        </w:rPr>
      </w:pPr>
      <w:bookmarkStart w:id="35" w:name="_Toc165448409"/>
      <w:r w:rsidRPr="00B80EC0">
        <w:rPr>
          <w:lang w:val="en-US"/>
        </w:rPr>
        <w:t xml:space="preserve">Survival analysis </w:t>
      </w:r>
      <w:r w:rsidR="00D43F50" w:rsidRPr="00B80EC0">
        <w:rPr>
          <w:lang w:val="en-US"/>
        </w:rPr>
        <w:t>of</w:t>
      </w:r>
      <w:r w:rsidRPr="00B80EC0">
        <w:rPr>
          <w:lang w:val="en-US"/>
        </w:rPr>
        <w:t xml:space="preserve"> </w:t>
      </w:r>
      <w:r w:rsidR="00D43F50" w:rsidRPr="00B80EC0">
        <w:rPr>
          <w:lang w:val="en-US"/>
        </w:rPr>
        <w:t xml:space="preserve">2020 and 2021 initiators </w:t>
      </w:r>
      <w:r w:rsidR="00D10244">
        <w:rPr>
          <w:lang w:val="en-US"/>
        </w:rPr>
        <w:t>of HF restricted medicines</w:t>
      </w:r>
      <w:bookmarkEnd w:id="35"/>
    </w:p>
    <w:p w14:paraId="2B8F8A10" w14:textId="28D32254" w:rsidR="00D43F50" w:rsidRDefault="00D16E45" w:rsidP="00EF5F7B">
      <w:pPr>
        <w:spacing w:after="0"/>
        <w:rPr>
          <w:lang w:val="en-US"/>
        </w:rPr>
      </w:pPr>
      <w:r>
        <w:rPr>
          <w:lang w:val="en-US"/>
        </w:rPr>
        <w:t>Given that opportunity to switch or add has changed over time</w:t>
      </w:r>
      <w:r w:rsidR="008C5B75">
        <w:rPr>
          <w:lang w:val="en-US"/>
        </w:rPr>
        <w:t xml:space="preserve"> as new listings have been added to the PBS</w:t>
      </w:r>
      <w:r>
        <w:rPr>
          <w:lang w:val="en-US"/>
        </w:rPr>
        <w:t xml:space="preserve">, two yearly cohorts on initiators of HF restricted medicines in 2020 and 2021 were created. The analysis below is limited to medicines restricted to HF only (Table 1 medicines). </w:t>
      </w:r>
      <w:r w:rsidR="00D43F50">
        <w:rPr>
          <w:lang w:val="en-US"/>
        </w:rPr>
        <w:t>People in each cohort were followed for 12 months (data for 2023 was available only for 5 months, thus we did not examine 2022 initiators due to lack of sufficient follow-up). Kaplan Meier survival analysis was conducted to determine:</w:t>
      </w:r>
    </w:p>
    <w:p w14:paraId="46D8C5DC" w14:textId="77777777" w:rsidR="000C57DE" w:rsidRDefault="000C57DE" w:rsidP="00EF5F7B">
      <w:pPr>
        <w:spacing w:after="0"/>
        <w:rPr>
          <w:lang w:val="en-US"/>
        </w:rPr>
      </w:pPr>
    </w:p>
    <w:p w14:paraId="39CC7ABD" w14:textId="52D512B4" w:rsidR="00D43F50" w:rsidRDefault="00D43F50" w:rsidP="00D43F50">
      <w:pPr>
        <w:pStyle w:val="ListParagraph"/>
        <w:numPr>
          <w:ilvl w:val="0"/>
          <w:numId w:val="26"/>
        </w:numPr>
        <w:rPr>
          <w:rFonts w:asciiTheme="minorHAnsi" w:hAnsiTheme="minorHAnsi" w:cstheme="minorHAnsi"/>
          <w:sz w:val="22"/>
          <w:szCs w:val="22"/>
          <w:lang w:val="en-US"/>
        </w:rPr>
      </w:pPr>
      <w:r w:rsidRPr="00D43F50">
        <w:rPr>
          <w:rFonts w:asciiTheme="minorHAnsi" w:hAnsiTheme="minorHAnsi" w:cstheme="minorHAnsi"/>
          <w:sz w:val="22"/>
          <w:szCs w:val="22"/>
          <w:lang w:val="en-US"/>
        </w:rPr>
        <w:t xml:space="preserve">time to </w:t>
      </w:r>
      <w:r w:rsidR="007656FB">
        <w:rPr>
          <w:rFonts w:asciiTheme="minorHAnsi" w:hAnsiTheme="minorHAnsi" w:cstheme="minorHAnsi"/>
          <w:sz w:val="22"/>
          <w:szCs w:val="22"/>
          <w:lang w:val="en-US"/>
        </w:rPr>
        <w:t xml:space="preserve">first </w:t>
      </w:r>
      <w:r w:rsidRPr="00D43F50">
        <w:rPr>
          <w:rFonts w:asciiTheme="minorHAnsi" w:hAnsiTheme="minorHAnsi" w:cstheme="minorHAnsi"/>
          <w:sz w:val="22"/>
          <w:szCs w:val="22"/>
          <w:lang w:val="en-US"/>
        </w:rPr>
        <w:t>change in index therapy (switch or add-on</w:t>
      </w:r>
      <w:r w:rsidR="004922D5">
        <w:rPr>
          <w:rFonts w:asciiTheme="minorHAnsi" w:hAnsiTheme="minorHAnsi" w:cstheme="minorHAnsi"/>
          <w:sz w:val="22"/>
          <w:szCs w:val="22"/>
          <w:lang w:val="en-US"/>
        </w:rPr>
        <w:t xml:space="preserve"> or cessation, whichever came first</w:t>
      </w:r>
      <w:r w:rsidRPr="00D43F50">
        <w:rPr>
          <w:rFonts w:asciiTheme="minorHAnsi" w:hAnsiTheme="minorHAnsi" w:cstheme="minorHAnsi"/>
          <w:sz w:val="22"/>
          <w:szCs w:val="22"/>
          <w:lang w:val="en-US"/>
        </w:rPr>
        <w:t xml:space="preserve">) </w:t>
      </w:r>
    </w:p>
    <w:p w14:paraId="533B665F" w14:textId="77777777" w:rsidR="000C57DE" w:rsidRPr="00D43F50" w:rsidRDefault="000C57DE" w:rsidP="000C57DE">
      <w:pPr>
        <w:pStyle w:val="ListParagraph"/>
        <w:rPr>
          <w:rFonts w:asciiTheme="minorHAnsi" w:hAnsiTheme="minorHAnsi" w:cstheme="minorHAnsi"/>
          <w:sz w:val="22"/>
          <w:szCs w:val="22"/>
          <w:lang w:val="en-US"/>
        </w:rPr>
      </w:pPr>
    </w:p>
    <w:p w14:paraId="748D71AF" w14:textId="72ABA4C0" w:rsidR="00D43F50" w:rsidRDefault="00D43F50" w:rsidP="00D43F50">
      <w:pPr>
        <w:jc w:val="both"/>
        <w:rPr>
          <w:rFonts w:cstheme="minorHAnsi"/>
          <w:bCs/>
        </w:rPr>
      </w:pPr>
      <w:r>
        <w:rPr>
          <w:rFonts w:cstheme="minorHAnsi"/>
          <w:bCs/>
        </w:rPr>
        <w:t xml:space="preserve">People who continued index therapy at end of follow-up and died (using the proxy indicator) were censored. </w:t>
      </w:r>
    </w:p>
    <w:p w14:paraId="4D462D59" w14:textId="77777777" w:rsidR="00E129FF" w:rsidRDefault="00E129FF">
      <w:pPr>
        <w:rPr>
          <w:rFonts w:cstheme="minorHAnsi"/>
          <w:b/>
          <w:i/>
          <w:iCs/>
        </w:rPr>
      </w:pPr>
      <w:r>
        <w:rPr>
          <w:rFonts w:cstheme="minorHAnsi"/>
          <w:b/>
          <w:i/>
          <w:iCs/>
        </w:rPr>
        <w:br w:type="page"/>
      </w:r>
    </w:p>
    <w:p w14:paraId="09475473" w14:textId="4E0FA81C" w:rsidR="00FA6DB2" w:rsidRDefault="00FA6DB2" w:rsidP="00FA6DB2">
      <w:pPr>
        <w:jc w:val="both"/>
        <w:rPr>
          <w:rFonts w:cstheme="minorHAnsi"/>
          <w:b/>
          <w:i/>
          <w:iCs/>
        </w:rPr>
      </w:pPr>
      <w:r w:rsidRPr="00DF69F9">
        <w:rPr>
          <w:rFonts w:cstheme="minorHAnsi"/>
          <w:b/>
          <w:i/>
          <w:iCs/>
        </w:rPr>
        <w:t xml:space="preserve">Duration of first treatment episode to </w:t>
      </w:r>
      <w:r>
        <w:rPr>
          <w:rFonts w:cstheme="minorHAnsi"/>
          <w:b/>
          <w:i/>
          <w:iCs/>
        </w:rPr>
        <w:t xml:space="preserve">a change – either a switch or add-on </w:t>
      </w:r>
      <w:r w:rsidR="000C57DE">
        <w:rPr>
          <w:rFonts w:cstheme="minorHAnsi"/>
          <w:b/>
          <w:i/>
          <w:iCs/>
        </w:rPr>
        <w:t xml:space="preserve">or cessation </w:t>
      </w:r>
      <w:r>
        <w:rPr>
          <w:rFonts w:cstheme="minorHAnsi"/>
          <w:b/>
          <w:i/>
          <w:iCs/>
        </w:rPr>
        <w:t>(2020 and 2021 cohorts)</w:t>
      </w:r>
    </w:p>
    <w:p w14:paraId="107F707C" w14:textId="31DEE006" w:rsidR="00ED3E8B" w:rsidRDefault="00ED3E8B" w:rsidP="00ED3E8B">
      <w:pPr>
        <w:jc w:val="both"/>
        <w:rPr>
          <w:rFonts w:cstheme="minorHAnsi"/>
          <w:bCs/>
        </w:rPr>
      </w:pPr>
      <w:r>
        <w:rPr>
          <w:rFonts w:cstheme="minorHAnsi"/>
          <w:bCs/>
        </w:rPr>
        <w:t xml:space="preserve">Results from the Kaplan Meier survival analysis </w:t>
      </w:r>
      <w:r w:rsidR="00B65BF6">
        <w:rPr>
          <w:rFonts w:cstheme="minorHAnsi"/>
          <w:bCs/>
        </w:rPr>
        <w:t>with any</w:t>
      </w:r>
      <w:r>
        <w:rPr>
          <w:rFonts w:cstheme="minorHAnsi"/>
          <w:bCs/>
        </w:rPr>
        <w:t xml:space="preserve"> HF restricted index monotherapy are shown in Figure </w:t>
      </w:r>
      <w:r w:rsidR="004922D5">
        <w:rPr>
          <w:rFonts w:cstheme="minorHAnsi"/>
          <w:bCs/>
        </w:rPr>
        <w:t>18</w:t>
      </w:r>
      <w:r>
        <w:rPr>
          <w:rFonts w:cstheme="minorHAnsi"/>
          <w:bCs/>
        </w:rPr>
        <w:t xml:space="preserve">a, Figure </w:t>
      </w:r>
      <w:r w:rsidR="004922D5">
        <w:rPr>
          <w:rFonts w:cstheme="minorHAnsi"/>
          <w:bCs/>
        </w:rPr>
        <w:t>18</w:t>
      </w:r>
      <w:r w:rsidR="00E129FF">
        <w:rPr>
          <w:rFonts w:cstheme="minorHAnsi"/>
          <w:bCs/>
        </w:rPr>
        <w:t>b</w:t>
      </w:r>
      <w:r>
        <w:rPr>
          <w:rFonts w:cstheme="minorHAnsi"/>
          <w:bCs/>
        </w:rPr>
        <w:t xml:space="preserve">. It can be noted that the time to a change in index therapy was 12 months for both the 2020 </w:t>
      </w:r>
      <w:r w:rsidR="0027614C" w:rsidRPr="00836185">
        <w:rPr>
          <w:rFonts w:cstheme="minorHAnsi"/>
          <w:bCs/>
        </w:rPr>
        <w:t xml:space="preserve">cohort (365 days, 95% CI 362; 365) </w:t>
      </w:r>
      <w:r w:rsidRPr="00836185">
        <w:rPr>
          <w:rFonts w:cstheme="minorHAnsi"/>
          <w:bCs/>
        </w:rPr>
        <w:t xml:space="preserve">and 2021 cohort </w:t>
      </w:r>
      <w:r w:rsidR="0027614C" w:rsidRPr="00836185">
        <w:rPr>
          <w:rFonts w:cstheme="minorHAnsi"/>
          <w:bCs/>
        </w:rPr>
        <w:t>(365 days, 95% CI 363; 365)</w:t>
      </w:r>
      <w:r w:rsidRPr="00836185">
        <w:rPr>
          <w:rFonts w:cstheme="minorHAnsi"/>
          <w:bCs/>
        </w:rPr>
        <w:t>.</w:t>
      </w:r>
    </w:p>
    <w:p w14:paraId="2ACF96E0" w14:textId="46C25FAF" w:rsidR="004922D5" w:rsidRDefault="004922D5" w:rsidP="004922D5">
      <w:pPr>
        <w:rPr>
          <w:bCs/>
          <w:i/>
          <w:iCs/>
          <w:lang w:val="en-US"/>
        </w:rPr>
      </w:pPr>
      <w:r w:rsidRPr="00D16E45">
        <w:rPr>
          <w:rFonts w:cstheme="minorHAnsi"/>
          <w:bCs/>
          <w:i/>
          <w:iCs/>
        </w:rPr>
        <w:t xml:space="preserve">Note: </w:t>
      </w:r>
      <w:r w:rsidRPr="00D16E45">
        <w:rPr>
          <w:bCs/>
          <w:i/>
          <w:iCs/>
          <w:lang w:val="en-US"/>
        </w:rPr>
        <w:t>The Kaplan Meier survival estimates from the secondary survival analysis when including medicines from Table 1 and Table 2 are presented in Appendix 2</w:t>
      </w:r>
      <w:r w:rsidR="000C57DE">
        <w:rPr>
          <w:bCs/>
          <w:i/>
          <w:iCs/>
          <w:lang w:val="en-US"/>
        </w:rPr>
        <w:t xml:space="preserve"> (Figure A10a to Figure A12b)</w:t>
      </w:r>
      <w:r w:rsidRPr="00D16E45">
        <w:rPr>
          <w:bCs/>
          <w:i/>
          <w:iCs/>
          <w:lang w:val="en-US"/>
        </w:rPr>
        <w:t>.</w:t>
      </w:r>
    </w:p>
    <w:tbl>
      <w:tblPr>
        <w:tblStyle w:val="TableGrid"/>
        <w:tblW w:w="14624" w:type="dxa"/>
        <w:tblLook w:val="04A0" w:firstRow="1" w:lastRow="0" w:firstColumn="1" w:lastColumn="0" w:noHBand="0" w:noVBand="1"/>
      </w:tblPr>
      <w:tblGrid>
        <w:gridCol w:w="7508"/>
        <w:gridCol w:w="7116"/>
      </w:tblGrid>
      <w:tr w:rsidR="00ED3E8B" w14:paraId="1C63B8A5" w14:textId="77777777" w:rsidTr="00712984">
        <w:trPr>
          <w:trHeight w:val="6459"/>
        </w:trPr>
        <w:tc>
          <w:tcPr>
            <w:tcW w:w="7508" w:type="dxa"/>
          </w:tcPr>
          <w:p w14:paraId="040AFB13" w14:textId="77777777" w:rsidR="00ED3E8B" w:rsidRDefault="00ED3E8B" w:rsidP="00B65BF6">
            <w:pPr>
              <w:rPr>
                <w:lang w:val="en-US"/>
              </w:rPr>
            </w:pPr>
            <w:r>
              <w:rPr>
                <w:noProof/>
                <w:lang w:eastAsia="en-AU"/>
              </w:rPr>
              <w:drawing>
                <wp:inline distT="0" distB="0" distL="0" distR="0" wp14:anchorId="41D467F0" wp14:editId="0E758B0A">
                  <wp:extent cx="4400550" cy="3674962"/>
                  <wp:effectExtent l="0" t="0" r="0" b="1905"/>
                  <wp:docPr id="54" name="Picture 54" descr="Graph on the left hand side of the page shows time to change (switch, add-on or cessation) of index HF restricted monotherapy initiated in 2020.  The median duration was 12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Graph on the left hand side of the page shows time to change (switch, add-on or cessation) of index HF restricted monotherapy initiated in 2020.  The median duration was 12 months."/>
                          <pic:cNvPicPr/>
                        </pic:nvPicPr>
                        <pic:blipFill>
                          <a:blip r:embed="rId32">
                            <a:extLst>
                              <a:ext uri="{28A0092B-C50C-407E-A947-70E740481C1C}">
                                <a14:useLocalDpi xmlns:a14="http://schemas.microsoft.com/office/drawing/2010/main" val="0"/>
                              </a:ext>
                            </a:extLst>
                          </a:blip>
                          <a:stretch>
                            <a:fillRect/>
                          </a:stretch>
                        </pic:blipFill>
                        <pic:spPr>
                          <a:xfrm>
                            <a:off x="0" y="0"/>
                            <a:ext cx="4403517" cy="3677440"/>
                          </a:xfrm>
                          <a:prstGeom prst="rect">
                            <a:avLst/>
                          </a:prstGeom>
                        </pic:spPr>
                      </pic:pic>
                    </a:graphicData>
                  </a:graphic>
                </wp:inline>
              </w:drawing>
            </w:r>
          </w:p>
          <w:p w14:paraId="344EB9F5" w14:textId="571DA909" w:rsidR="00ED3E8B" w:rsidRDefault="00ED3E8B" w:rsidP="00B65BF6">
            <w:pPr>
              <w:rPr>
                <w:lang w:val="en-US"/>
              </w:rPr>
            </w:pPr>
            <w:r w:rsidRPr="00906E41">
              <w:rPr>
                <w:b/>
                <w:bCs/>
                <w:lang w:val="en-US"/>
              </w:rPr>
              <w:t xml:space="preserve">Figure </w:t>
            </w:r>
            <w:r w:rsidR="004922D5">
              <w:rPr>
                <w:b/>
                <w:bCs/>
                <w:lang w:val="en-US"/>
              </w:rPr>
              <w:t>18</w:t>
            </w:r>
            <w:r w:rsidRPr="00906E41">
              <w:rPr>
                <w:b/>
                <w:bCs/>
                <w:lang w:val="en-US"/>
              </w:rPr>
              <w:t>.</w:t>
            </w:r>
            <w:r w:rsidRPr="004922D5">
              <w:rPr>
                <w:b/>
                <w:bCs/>
                <w:lang w:val="en-US"/>
              </w:rPr>
              <w:t xml:space="preserve">a Time to change </w:t>
            </w:r>
            <w:r w:rsidR="004922D5">
              <w:rPr>
                <w:b/>
                <w:bCs/>
                <w:lang w:val="en-US"/>
              </w:rPr>
              <w:t xml:space="preserve">(switch, addition or cessation) </w:t>
            </w:r>
            <w:r w:rsidRPr="004922D5">
              <w:rPr>
                <w:b/>
                <w:bCs/>
                <w:lang w:val="en-US"/>
              </w:rPr>
              <w:t>(2020 cohort)</w:t>
            </w:r>
            <w:r>
              <w:rPr>
                <w:lang w:val="en-US"/>
              </w:rPr>
              <w:t xml:space="preserve"> </w:t>
            </w:r>
          </w:p>
        </w:tc>
        <w:tc>
          <w:tcPr>
            <w:tcW w:w="7116" w:type="dxa"/>
          </w:tcPr>
          <w:p w14:paraId="4B40AC5E" w14:textId="77777777" w:rsidR="00ED3E8B" w:rsidRDefault="00ED3E8B" w:rsidP="00B65BF6">
            <w:pPr>
              <w:rPr>
                <w:lang w:val="en-US"/>
              </w:rPr>
            </w:pPr>
            <w:r>
              <w:rPr>
                <w:noProof/>
                <w:lang w:eastAsia="en-AU"/>
              </w:rPr>
              <w:drawing>
                <wp:inline distT="0" distB="0" distL="0" distR="0" wp14:anchorId="16180DC4" wp14:editId="255C2378">
                  <wp:extent cx="4374648" cy="3692324"/>
                  <wp:effectExtent l="0" t="0" r="6985" b="3810"/>
                  <wp:docPr id="55" name="Picture 55" descr="Graph on the right hand side of the page shows time to change (switch, add-on or cessation) of index HF restricted monotherapy initiated in 2021. The median duration was 12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 on the right hand side of the page shows time to change (switch, add-on or cessation) of index HF restricted monotherapy initiated in 2021. The median duration was 12 months."/>
                          <pic:cNvPicPr/>
                        </pic:nvPicPr>
                        <pic:blipFill>
                          <a:blip r:embed="rId33">
                            <a:extLst>
                              <a:ext uri="{28A0092B-C50C-407E-A947-70E740481C1C}">
                                <a14:useLocalDpi xmlns:a14="http://schemas.microsoft.com/office/drawing/2010/main" val="0"/>
                              </a:ext>
                            </a:extLst>
                          </a:blip>
                          <a:stretch>
                            <a:fillRect/>
                          </a:stretch>
                        </pic:blipFill>
                        <pic:spPr>
                          <a:xfrm>
                            <a:off x="0" y="0"/>
                            <a:ext cx="4382695" cy="3699116"/>
                          </a:xfrm>
                          <a:prstGeom prst="rect">
                            <a:avLst/>
                          </a:prstGeom>
                        </pic:spPr>
                      </pic:pic>
                    </a:graphicData>
                  </a:graphic>
                </wp:inline>
              </w:drawing>
            </w:r>
          </w:p>
          <w:p w14:paraId="0B216D1D" w14:textId="42DC9693" w:rsidR="00ED3E8B" w:rsidRDefault="00ED3E8B" w:rsidP="00B65BF6">
            <w:pPr>
              <w:rPr>
                <w:lang w:val="en-US"/>
              </w:rPr>
            </w:pPr>
            <w:r w:rsidRPr="00906E41">
              <w:rPr>
                <w:b/>
                <w:bCs/>
                <w:lang w:val="en-US"/>
              </w:rPr>
              <w:t xml:space="preserve">Figure </w:t>
            </w:r>
            <w:r w:rsidR="004922D5">
              <w:rPr>
                <w:b/>
                <w:bCs/>
                <w:lang w:val="en-US"/>
              </w:rPr>
              <w:t>18</w:t>
            </w:r>
            <w:r w:rsidRPr="004922D5">
              <w:rPr>
                <w:b/>
                <w:bCs/>
                <w:lang w:val="en-US"/>
              </w:rPr>
              <w:t>.b Time to change</w:t>
            </w:r>
            <w:r w:rsidR="004922D5" w:rsidRPr="004922D5">
              <w:rPr>
                <w:b/>
                <w:bCs/>
                <w:lang w:val="en-US"/>
              </w:rPr>
              <w:t xml:space="preserve"> (switch, addition or cessation)</w:t>
            </w:r>
            <w:r w:rsidRPr="004922D5">
              <w:rPr>
                <w:b/>
                <w:bCs/>
                <w:lang w:val="en-US"/>
              </w:rPr>
              <w:t xml:space="preserve"> (2021 cohort)</w:t>
            </w:r>
          </w:p>
        </w:tc>
      </w:tr>
    </w:tbl>
    <w:p w14:paraId="3931B295" w14:textId="4A0BDD26" w:rsidR="00B65BF6" w:rsidRDefault="00B65BF6" w:rsidP="00B65BF6">
      <w:pPr>
        <w:jc w:val="both"/>
        <w:rPr>
          <w:rFonts w:cstheme="minorHAnsi"/>
          <w:bCs/>
        </w:rPr>
      </w:pPr>
    </w:p>
    <w:p w14:paraId="6FF51F44" w14:textId="77777777" w:rsidR="001C6B60" w:rsidRDefault="001C6B60" w:rsidP="00172737">
      <w:pPr>
        <w:jc w:val="both"/>
        <w:rPr>
          <w:rFonts w:cstheme="minorHAnsi"/>
          <w:b/>
        </w:rPr>
        <w:sectPr w:rsidR="001C6B60" w:rsidSect="001C6B60">
          <w:pgSz w:w="16838" w:h="11906" w:orient="landscape"/>
          <w:pgMar w:top="1440" w:right="1440" w:bottom="1440" w:left="1440" w:header="709" w:footer="221" w:gutter="0"/>
          <w:cols w:space="708"/>
          <w:titlePg/>
          <w:docGrid w:linePitch="360"/>
        </w:sectPr>
      </w:pPr>
    </w:p>
    <w:p w14:paraId="2E5C6B2B" w14:textId="76451967" w:rsidR="00ED1A95" w:rsidRPr="00F50194" w:rsidRDefault="00ED1A95" w:rsidP="00E928FD">
      <w:pPr>
        <w:pStyle w:val="Heading2"/>
      </w:pPr>
      <w:bookmarkStart w:id="36" w:name="_Toc165448410"/>
      <w:r>
        <w:t xml:space="preserve">Extent of use </w:t>
      </w:r>
      <w:r w:rsidR="004F4A9F">
        <w:t xml:space="preserve">in accord and </w:t>
      </w:r>
      <w:r>
        <w:t>outside of PBS restrictions</w:t>
      </w:r>
      <w:r w:rsidR="00C119A1">
        <w:t xml:space="preserve"> (2022)</w:t>
      </w:r>
      <w:bookmarkEnd w:id="36"/>
    </w:p>
    <w:p w14:paraId="3E9993E4" w14:textId="1B08C113" w:rsidR="004F06BE" w:rsidRDefault="004F06BE" w:rsidP="00B51CDA">
      <w:pPr>
        <w:jc w:val="both"/>
        <w:rPr>
          <w:rFonts w:cstheme="minorHAnsi"/>
          <w:szCs w:val="18"/>
        </w:rPr>
      </w:pPr>
      <w:r>
        <w:rPr>
          <w:rFonts w:cstheme="minorHAnsi"/>
          <w:szCs w:val="18"/>
        </w:rPr>
        <w:t>This section of the report looks at use outside of PBS restrictions. This analysis examines whether initiation of therapy is in accord with PBS restrictions, thus, it has been undertaken in the incident HF population (incident to PBS restricted HF medicines) in the latest year of full data available (2022)</w:t>
      </w:r>
      <w:r w:rsidR="00B222B4">
        <w:rPr>
          <w:rFonts w:cstheme="minorHAnsi"/>
          <w:szCs w:val="18"/>
        </w:rPr>
        <w:t>.</w:t>
      </w:r>
    </w:p>
    <w:p w14:paraId="4C1905E6" w14:textId="77777777" w:rsidR="005E4D3C" w:rsidRPr="00E129FF" w:rsidRDefault="00C119A1" w:rsidP="00B51CDA">
      <w:pPr>
        <w:jc w:val="both"/>
        <w:rPr>
          <w:rFonts w:cstheme="minorHAnsi"/>
          <w:szCs w:val="18"/>
        </w:rPr>
      </w:pPr>
      <w:r w:rsidRPr="00C119A1">
        <w:rPr>
          <w:rFonts w:cstheme="minorHAnsi"/>
          <w:szCs w:val="18"/>
        </w:rPr>
        <w:t>There were 81,34</w:t>
      </w:r>
      <w:r w:rsidR="00AC4E05">
        <w:rPr>
          <w:rFonts w:cstheme="minorHAnsi"/>
          <w:szCs w:val="18"/>
        </w:rPr>
        <w:t>3</w:t>
      </w:r>
      <w:r w:rsidRPr="00C119A1">
        <w:rPr>
          <w:rFonts w:cstheme="minorHAnsi"/>
          <w:szCs w:val="18"/>
        </w:rPr>
        <w:t xml:space="preserve"> people who initiated HF restricted medicine in 2022</w:t>
      </w:r>
      <w:r w:rsidR="00A103B6">
        <w:rPr>
          <w:rFonts w:cstheme="minorHAnsi"/>
          <w:szCs w:val="18"/>
        </w:rPr>
        <w:t xml:space="preserve"> </w:t>
      </w:r>
      <w:r w:rsidR="00A103B6" w:rsidRPr="009A4994">
        <w:rPr>
          <w:rFonts w:cstheme="minorHAnsi"/>
          <w:szCs w:val="18"/>
        </w:rPr>
        <w:t>(after no dispensing for any HF restricted medicine in the previous 12 months</w:t>
      </w:r>
      <w:r w:rsidR="00A103B6" w:rsidRPr="00E129FF">
        <w:rPr>
          <w:rFonts w:cstheme="minorHAnsi"/>
          <w:szCs w:val="18"/>
        </w:rPr>
        <w:t>)</w:t>
      </w:r>
      <w:r w:rsidRPr="00E129FF">
        <w:rPr>
          <w:rFonts w:cstheme="minorHAnsi"/>
          <w:szCs w:val="18"/>
        </w:rPr>
        <w:t xml:space="preserve">. </w:t>
      </w:r>
      <w:r w:rsidR="00924A0F" w:rsidRPr="00E129FF">
        <w:rPr>
          <w:rFonts w:cstheme="minorHAnsi"/>
          <w:szCs w:val="18"/>
        </w:rPr>
        <w:t xml:space="preserve">Table </w:t>
      </w:r>
      <w:r w:rsidR="007B150D" w:rsidRPr="00E129FF">
        <w:rPr>
          <w:rFonts w:cstheme="minorHAnsi"/>
          <w:szCs w:val="18"/>
        </w:rPr>
        <w:t>7</w:t>
      </w:r>
      <w:r w:rsidR="00924A0F" w:rsidRPr="00E129FF">
        <w:rPr>
          <w:rFonts w:cstheme="minorHAnsi"/>
          <w:szCs w:val="18"/>
        </w:rPr>
        <w:t xml:space="preserve"> shows use recommended by PBS restrictions for subsidy according to the type of the initial HF restricted class of medicines</w:t>
      </w:r>
      <w:r w:rsidR="004E77A9" w:rsidRPr="00E129FF">
        <w:rPr>
          <w:rFonts w:cstheme="minorHAnsi"/>
          <w:szCs w:val="18"/>
        </w:rPr>
        <w:t xml:space="preserve"> and estimates of use in accord and outside PBS restrictions. </w:t>
      </w:r>
      <w:r w:rsidR="006241F0" w:rsidRPr="00E129FF">
        <w:rPr>
          <w:rFonts w:cstheme="minorHAnsi"/>
          <w:szCs w:val="18"/>
        </w:rPr>
        <w:t xml:space="preserve"> </w:t>
      </w:r>
    </w:p>
    <w:p w14:paraId="36291BC7" w14:textId="39945A40" w:rsidR="005E4D3C" w:rsidRPr="00E129FF" w:rsidRDefault="00775311" w:rsidP="00B51CDA">
      <w:pPr>
        <w:jc w:val="both"/>
        <w:rPr>
          <w:rFonts w:cstheme="minorHAnsi"/>
          <w:szCs w:val="18"/>
        </w:rPr>
      </w:pPr>
      <w:r>
        <w:rPr>
          <w:rFonts w:cstheme="minorHAnsi"/>
          <w:szCs w:val="18"/>
        </w:rPr>
        <w:t>Overall, 67%</w:t>
      </w:r>
      <w:r w:rsidR="006241F0" w:rsidRPr="00E129FF">
        <w:rPr>
          <w:rFonts w:cstheme="minorHAnsi"/>
          <w:szCs w:val="18"/>
        </w:rPr>
        <w:t xml:space="preserve"> of use of BB specific for heart failure was in persons who had previously been on an ACE</w:t>
      </w:r>
      <w:r w:rsidR="00AC663D">
        <w:rPr>
          <w:rFonts w:cstheme="minorHAnsi"/>
          <w:szCs w:val="18"/>
        </w:rPr>
        <w:t>i</w:t>
      </w:r>
      <w:r w:rsidR="006241F0" w:rsidRPr="00E129FF">
        <w:rPr>
          <w:rFonts w:cstheme="minorHAnsi"/>
          <w:szCs w:val="18"/>
        </w:rPr>
        <w:t xml:space="preserve">/ARB, although one third had not had a dispensing in the year prior.  </w:t>
      </w:r>
    </w:p>
    <w:p w14:paraId="738E9B09" w14:textId="0B571E72" w:rsidR="005E4D3C" w:rsidRPr="00E129FF" w:rsidRDefault="006241F0" w:rsidP="00B51CDA">
      <w:pPr>
        <w:jc w:val="both"/>
        <w:rPr>
          <w:rFonts w:cstheme="minorHAnsi"/>
          <w:szCs w:val="18"/>
        </w:rPr>
      </w:pPr>
      <w:r w:rsidRPr="00E129FF">
        <w:rPr>
          <w:rFonts w:cstheme="minorHAnsi"/>
          <w:szCs w:val="18"/>
        </w:rPr>
        <w:t>The initiation of</w:t>
      </w:r>
      <w:r w:rsidR="000A3E5C">
        <w:rPr>
          <w:rFonts w:cstheme="minorHAnsi"/>
          <w:szCs w:val="18"/>
        </w:rPr>
        <w:t xml:space="preserve"> an</w:t>
      </w:r>
      <w:r w:rsidRPr="00E129FF">
        <w:rPr>
          <w:rFonts w:cstheme="minorHAnsi"/>
          <w:szCs w:val="18"/>
        </w:rPr>
        <w:t xml:space="preserve"> ARNI was frequently not in accord with the PBS restrictions, with </w:t>
      </w:r>
      <w:r w:rsidR="000A3E5C">
        <w:rPr>
          <w:rFonts w:cstheme="minorHAnsi"/>
          <w:szCs w:val="18"/>
        </w:rPr>
        <w:t xml:space="preserve">only </w:t>
      </w:r>
      <w:r w:rsidR="00775311">
        <w:rPr>
          <w:rFonts w:cstheme="minorHAnsi"/>
          <w:szCs w:val="18"/>
        </w:rPr>
        <w:t>39%</w:t>
      </w:r>
      <w:r w:rsidRPr="00E129FF">
        <w:rPr>
          <w:rFonts w:cstheme="minorHAnsi"/>
          <w:szCs w:val="18"/>
        </w:rPr>
        <w:t xml:space="preserve"> having concomitant use of a BB and </w:t>
      </w:r>
      <w:r w:rsidR="000A3E5C">
        <w:rPr>
          <w:rFonts w:cstheme="minorHAnsi"/>
          <w:szCs w:val="18"/>
        </w:rPr>
        <w:t xml:space="preserve">only </w:t>
      </w:r>
      <w:r w:rsidR="00775311">
        <w:rPr>
          <w:rFonts w:cstheme="minorHAnsi"/>
          <w:szCs w:val="18"/>
        </w:rPr>
        <w:t>36%</w:t>
      </w:r>
      <w:r w:rsidRPr="00E129FF">
        <w:rPr>
          <w:rFonts w:cstheme="minorHAnsi"/>
          <w:szCs w:val="18"/>
        </w:rPr>
        <w:t xml:space="preserve"> having had a</w:t>
      </w:r>
      <w:r w:rsidR="000A3E5C">
        <w:rPr>
          <w:rFonts w:cstheme="minorHAnsi"/>
          <w:szCs w:val="18"/>
        </w:rPr>
        <w:t>n</w:t>
      </w:r>
      <w:r w:rsidRPr="00E129FF">
        <w:rPr>
          <w:rFonts w:cstheme="minorHAnsi"/>
          <w:szCs w:val="18"/>
        </w:rPr>
        <w:t xml:space="preserve"> ACE</w:t>
      </w:r>
      <w:r w:rsidR="00AC663D">
        <w:rPr>
          <w:rFonts w:cstheme="minorHAnsi"/>
          <w:szCs w:val="18"/>
        </w:rPr>
        <w:t>i</w:t>
      </w:r>
      <w:r w:rsidRPr="00E129FF">
        <w:rPr>
          <w:rFonts w:cstheme="minorHAnsi"/>
          <w:szCs w:val="18"/>
        </w:rPr>
        <w:t xml:space="preserve">/ARB in the year prior. </w:t>
      </w:r>
    </w:p>
    <w:p w14:paraId="510AF1F8" w14:textId="2837C30C" w:rsidR="004E77A9" w:rsidRPr="00E129FF" w:rsidRDefault="00775311" w:rsidP="00B51CDA">
      <w:pPr>
        <w:jc w:val="both"/>
        <w:rPr>
          <w:rFonts w:cstheme="minorHAnsi"/>
          <w:szCs w:val="18"/>
        </w:rPr>
      </w:pPr>
      <w:r>
        <w:rPr>
          <w:rFonts w:cstheme="minorHAnsi"/>
          <w:szCs w:val="18"/>
        </w:rPr>
        <w:t>Overall</w:t>
      </w:r>
      <w:r w:rsidR="00B222B4">
        <w:rPr>
          <w:rFonts w:cstheme="minorHAnsi"/>
          <w:szCs w:val="18"/>
        </w:rPr>
        <w:t>,</w:t>
      </w:r>
      <w:r>
        <w:rPr>
          <w:rFonts w:cstheme="minorHAnsi"/>
          <w:szCs w:val="18"/>
        </w:rPr>
        <w:t xml:space="preserve"> 57% </w:t>
      </w:r>
      <w:r w:rsidR="006241F0" w:rsidRPr="00E129FF">
        <w:rPr>
          <w:rFonts w:cstheme="minorHAnsi"/>
          <w:szCs w:val="18"/>
        </w:rPr>
        <w:t xml:space="preserve">of SGLT2 </w:t>
      </w:r>
      <w:r w:rsidR="00D01226">
        <w:rPr>
          <w:rFonts w:cstheme="minorHAnsi"/>
          <w:szCs w:val="18"/>
        </w:rPr>
        <w:t xml:space="preserve">inhibitor </w:t>
      </w:r>
      <w:r w:rsidR="006241F0" w:rsidRPr="00E129FF">
        <w:rPr>
          <w:rFonts w:cstheme="minorHAnsi"/>
          <w:szCs w:val="18"/>
        </w:rPr>
        <w:t>initiation was in persons already on at least one therapy that may be for heart failure. SGLT2 inhibitors are indic</w:t>
      </w:r>
      <w:r w:rsidR="00E129FF" w:rsidRPr="00E129FF">
        <w:rPr>
          <w:rFonts w:cstheme="minorHAnsi"/>
          <w:szCs w:val="18"/>
        </w:rPr>
        <w:t>a</w:t>
      </w:r>
      <w:r w:rsidR="006241F0" w:rsidRPr="00E129FF">
        <w:rPr>
          <w:rFonts w:cstheme="minorHAnsi"/>
          <w:szCs w:val="18"/>
        </w:rPr>
        <w:t xml:space="preserve">ted for HF with preserved ejection fraction, which may account for a proportion of the </w:t>
      </w:r>
      <w:r>
        <w:rPr>
          <w:rFonts w:cstheme="minorHAnsi"/>
          <w:szCs w:val="18"/>
        </w:rPr>
        <w:t xml:space="preserve">43% of the </w:t>
      </w:r>
      <w:r w:rsidR="006241F0" w:rsidRPr="00E129FF">
        <w:rPr>
          <w:rFonts w:cstheme="minorHAnsi"/>
          <w:szCs w:val="18"/>
        </w:rPr>
        <w:t xml:space="preserve">population that appear to have had the medicine outside of PBS restrictions as they had no </w:t>
      </w:r>
      <w:r w:rsidR="00B222B4">
        <w:rPr>
          <w:rFonts w:cstheme="minorHAnsi"/>
          <w:szCs w:val="18"/>
        </w:rPr>
        <w:t>add-on</w:t>
      </w:r>
      <w:r w:rsidR="006241F0" w:rsidRPr="00E129FF">
        <w:rPr>
          <w:rFonts w:cstheme="minorHAnsi"/>
          <w:szCs w:val="18"/>
        </w:rPr>
        <w:t xml:space="preserve"> </w:t>
      </w:r>
      <w:r w:rsidR="00B222B4">
        <w:rPr>
          <w:rFonts w:cstheme="minorHAnsi"/>
          <w:szCs w:val="18"/>
        </w:rPr>
        <w:t xml:space="preserve">therapy </w:t>
      </w:r>
      <w:r w:rsidR="006241F0" w:rsidRPr="00E129FF">
        <w:rPr>
          <w:rFonts w:cstheme="minorHAnsi"/>
          <w:szCs w:val="18"/>
        </w:rPr>
        <w:t>of ACE</w:t>
      </w:r>
      <w:r w:rsidR="00AC663D">
        <w:rPr>
          <w:rFonts w:cstheme="minorHAnsi"/>
          <w:szCs w:val="18"/>
        </w:rPr>
        <w:t>i</w:t>
      </w:r>
      <w:r w:rsidR="006241F0" w:rsidRPr="00E129FF">
        <w:rPr>
          <w:rFonts w:cstheme="minorHAnsi"/>
          <w:szCs w:val="18"/>
        </w:rPr>
        <w:t>/ARB/ARN</w:t>
      </w:r>
      <w:r w:rsidR="000A3E5C">
        <w:rPr>
          <w:rFonts w:cstheme="minorHAnsi"/>
          <w:szCs w:val="18"/>
        </w:rPr>
        <w:t>I</w:t>
      </w:r>
      <w:r w:rsidR="006241F0" w:rsidRPr="00E129FF">
        <w:rPr>
          <w:rFonts w:cstheme="minorHAnsi"/>
          <w:szCs w:val="18"/>
        </w:rPr>
        <w:t xml:space="preserve"> or a beta-blocker</w:t>
      </w:r>
      <w:r w:rsidR="00B222B4">
        <w:rPr>
          <w:rFonts w:cstheme="minorHAnsi"/>
          <w:szCs w:val="18"/>
        </w:rPr>
        <w:t>.</w:t>
      </w:r>
      <w:r w:rsidR="006241F0" w:rsidRPr="00E129FF">
        <w:rPr>
          <w:rFonts w:cstheme="minorHAnsi"/>
          <w:szCs w:val="18"/>
        </w:rPr>
        <w:t xml:space="preserve"> The majority </w:t>
      </w:r>
      <w:r>
        <w:rPr>
          <w:rFonts w:cstheme="minorHAnsi"/>
          <w:szCs w:val="18"/>
        </w:rPr>
        <w:t xml:space="preserve">(88%) </w:t>
      </w:r>
      <w:r w:rsidR="006241F0" w:rsidRPr="00E129FF">
        <w:rPr>
          <w:rFonts w:cstheme="minorHAnsi"/>
          <w:szCs w:val="18"/>
        </w:rPr>
        <w:t xml:space="preserve">of people </w:t>
      </w:r>
      <w:r w:rsidR="005E4D3C" w:rsidRPr="00E129FF">
        <w:rPr>
          <w:rFonts w:cstheme="minorHAnsi"/>
          <w:szCs w:val="18"/>
        </w:rPr>
        <w:t>initiated</w:t>
      </w:r>
      <w:r w:rsidR="006241F0" w:rsidRPr="00E129FF">
        <w:rPr>
          <w:rFonts w:cstheme="minorHAnsi"/>
          <w:szCs w:val="18"/>
        </w:rPr>
        <w:t xml:space="preserve"> on </w:t>
      </w:r>
      <w:r w:rsidR="00F62916">
        <w:rPr>
          <w:rFonts w:cstheme="minorHAnsi"/>
          <w:szCs w:val="18"/>
        </w:rPr>
        <w:t xml:space="preserve">an </w:t>
      </w:r>
      <w:r w:rsidR="006241F0" w:rsidRPr="00E129FF">
        <w:rPr>
          <w:rFonts w:cstheme="minorHAnsi"/>
          <w:szCs w:val="18"/>
        </w:rPr>
        <w:t>SGLT2</w:t>
      </w:r>
      <w:r w:rsidR="00F62916">
        <w:rPr>
          <w:rFonts w:cstheme="minorHAnsi"/>
          <w:szCs w:val="18"/>
        </w:rPr>
        <w:t xml:space="preserve"> inhibitor</w:t>
      </w:r>
      <w:r w:rsidR="006241F0" w:rsidRPr="00E129FF">
        <w:rPr>
          <w:rFonts w:cstheme="minorHAnsi"/>
          <w:szCs w:val="18"/>
        </w:rPr>
        <w:t xml:space="preserve"> were not </w:t>
      </w:r>
      <w:r w:rsidR="005E4D3C" w:rsidRPr="00E129FF">
        <w:rPr>
          <w:rFonts w:cstheme="minorHAnsi"/>
          <w:szCs w:val="18"/>
        </w:rPr>
        <w:t xml:space="preserve">on a second SGLT2 inhibitor.  It is possible that incorrect selection of PBS item codes accounts for some dispensings appearing to be for indications other than heart failure. </w:t>
      </w:r>
    </w:p>
    <w:p w14:paraId="5238C591" w14:textId="4CD385C6" w:rsidR="005E4D3C" w:rsidRPr="00E129FF" w:rsidRDefault="005E4D3C" w:rsidP="00B51CDA">
      <w:pPr>
        <w:jc w:val="both"/>
        <w:rPr>
          <w:rFonts w:cstheme="minorHAnsi"/>
          <w:szCs w:val="18"/>
        </w:rPr>
      </w:pPr>
      <w:r w:rsidRPr="00E129FF">
        <w:rPr>
          <w:rFonts w:cstheme="minorHAnsi"/>
          <w:szCs w:val="18"/>
        </w:rPr>
        <w:t xml:space="preserve">The majority of HCN use, which is not a large proportion of the population, appears to be outside of PBS restrictions as </w:t>
      </w:r>
      <w:r w:rsidR="00775311">
        <w:rPr>
          <w:rFonts w:cstheme="minorHAnsi"/>
          <w:szCs w:val="18"/>
        </w:rPr>
        <w:t>8</w:t>
      </w:r>
      <w:r w:rsidR="00B222B4">
        <w:rPr>
          <w:rFonts w:cstheme="minorHAnsi"/>
          <w:szCs w:val="18"/>
        </w:rPr>
        <w:t>3</w:t>
      </w:r>
      <w:r w:rsidR="00775311">
        <w:rPr>
          <w:rFonts w:cstheme="minorHAnsi"/>
          <w:szCs w:val="18"/>
        </w:rPr>
        <w:t>%</w:t>
      </w:r>
      <w:r w:rsidRPr="00E129FF">
        <w:rPr>
          <w:rFonts w:cstheme="minorHAnsi"/>
          <w:szCs w:val="18"/>
        </w:rPr>
        <w:t xml:space="preserve"> did not have concomitant use of a BB.</w:t>
      </w:r>
    </w:p>
    <w:p w14:paraId="09839842" w14:textId="4BF2F65B" w:rsidR="005E4D3C" w:rsidRPr="00E129FF" w:rsidRDefault="005E4D3C" w:rsidP="00B51CDA">
      <w:pPr>
        <w:jc w:val="both"/>
        <w:rPr>
          <w:rFonts w:cstheme="minorHAnsi"/>
          <w:szCs w:val="18"/>
        </w:rPr>
      </w:pPr>
      <w:r w:rsidRPr="00E129FF">
        <w:rPr>
          <w:rFonts w:cstheme="minorHAnsi"/>
          <w:szCs w:val="18"/>
        </w:rPr>
        <w:t>The sGC market is too new and data were not available to assess the PBS rest</w:t>
      </w:r>
      <w:r w:rsidR="00E129FF" w:rsidRPr="00E129FF">
        <w:rPr>
          <w:rFonts w:cstheme="minorHAnsi"/>
          <w:szCs w:val="18"/>
        </w:rPr>
        <w:t>r</w:t>
      </w:r>
      <w:r w:rsidRPr="00E129FF">
        <w:rPr>
          <w:rFonts w:cstheme="minorHAnsi"/>
          <w:szCs w:val="18"/>
        </w:rPr>
        <w:t>ictions.</w:t>
      </w:r>
    </w:p>
    <w:p w14:paraId="08813FA7" w14:textId="77777777" w:rsidR="006241F0" w:rsidRDefault="006241F0" w:rsidP="00B51CDA">
      <w:pPr>
        <w:jc w:val="both"/>
        <w:rPr>
          <w:rFonts w:cstheme="minorHAnsi"/>
          <w:szCs w:val="18"/>
          <w:highlight w:val="cyan"/>
        </w:rPr>
      </w:pPr>
    </w:p>
    <w:p w14:paraId="08A54533" w14:textId="77777777" w:rsidR="00290575" w:rsidRDefault="00290575">
      <w:pPr>
        <w:rPr>
          <w:b/>
          <w:bCs/>
        </w:rPr>
      </w:pPr>
      <w:r>
        <w:rPr>
          <w:b/>
          <w:bCs/>
        </w:rPr>
        <w:br w:type="page"/>
      </w:r>
    </w:p>
    <w:p w14:paraId="6A85FC1D" w14:textId="046DF038" w:rsidR="004F4A9F" w:rsidRDefault="00924A0F" w:rsidP="00290575">
      <w:pPr>
        <w:spacing w:after="0"/>
        <w:ind w:left="-284"/>
      </w:pPr>
      <w:r w:rsidRPr="00924A0F">
        <w:rPr>
          <w:b/>
          <w:bCs/>
        </w:rPr>
        <w:t xml:space="preserve">Table </w:t>
      </w:r>
      <w:r w:rsidR="007B150D" w:rsidRPr="009D697E">
        <w:rPr>
          <w:b/>
          <w:bCs/>
        </w:rPr>
        <w:t>7</w:t>
      </w:r>
      <w:r w:rsidRPr="009D697E">
        <w:rPr>
          <w:b/>
          <w:bCs/>
        </w:rPr>
        <w:t xml:space="preserve">. </w:t>
      </w:r>
      <w:r w:rsidR="00D33026" w:rsidRPr="009D697E">
        <w:rPr>
          <w:b/>
          <w:bCs/>
        </w:rPr>
        <w:t xml:space="preserve">Therapy use </w:t>
      </w:r>
      <w:r w:rsidR="00E56945" w:rsidRPr="009D697E">
        <w:rPr>
          <w:b/>
          <w:bCs/>
        </w:rPr>
        <w:t>in</w:t>
      </w:r>
      <w:r w:rsidR="00D33026" w:rsidRPr="009D697E">
        <w:rPr>
          <w:b/>
          <w:bCs/>
        </w:rPr>
        <w:t xml:space="preserve"> </w:t>
      </w:r>
      <w:r w:rsidR="00E56945" w:rsidRPr="009D697E">
        <w:rPr>
          <w:b/>
          <w:bCs/>
        </w:rPr>
        <w:t>accord and outside</w:t>
      </w:r>
      <w:r w:rsidR="00D33026" w:rsidRPr="009D697E">
        <w:rPr>
          <w:b/>
          <w:bCs/>
        </w:rPr>
        <w:t xml:space="preserve"> </w:t>
      </w:r>
      <w:r w:rsidR="004F4A9F" w:rsidRPr="009D697E">
        <w:rPr>
          <w:b/>
          <w:bCs/>
        </w:rPr>
        <w:t xml:space="preserve">PBS restrictions for subsidy </w:t>
      </w:r>
      <w:r w:rsidR="00D33026" w:rsidRPr="009D697E">
        <w:rPr>
          <w:b/>
          <w:bCs/>
        </w:rPr>
        <w:t xml:space="preserve">in </w:t>
      </w:r>
      <w:r w:rsidR="004F4A9F" w:rsidRPr="009D697E">
        <w:rPr>
          <w:b/>
          <w:bCs/>
        </w:rPr>
        <w:t>the 2022 initiators of HF restricted medicines</w:t>
      </w:r>
    </w:p>
    <w:tbl>
      <w:tblPr>
        <w:tblStyle w:val="TableGrid"/>
        <w:tblW w:w="9782" w:type="dxa"/>
        <w:tblInd w:w="-431" w:type="dxa"/>
        <w:tblLook w:val="04A0" w:firstRow="1" w:lastRow="0" w:firstColumn="1" w:lastColumn="0" w:noHBand="0" w:noVBand="1"/>
      </w:tblPr>
      <w:tblGrid>
        <w:gridCol w:w="1222"/>
        <w:gridCol w:w="4748"/>
        <w:gridCol w:w="2043"/>
        <w:gridCol w:w="1769"/>
      </w:tblGrid>
      <w:tr w:rsidR="004031D7" w:rsidRPr="00290575" w14:paraId="11DF089A" w14:textId="39B0F781" w:rsidTr="004E77A9">
        <w:tc>
          <w:tcPr>
            <w:tcW w:w="1227" w:type="dxa"/>
          </w:tcPr>
          <w:p w14:paraId="3125D202" w14:textId="77777777" w:rsidR="004031D7" w:rsidRPr="00290575" w:rsidRDefault="004031D7" w:rsidP="00FE375A">
            <w:pPr>
              <w:rPr>
                <w:rFonts w:cstheme="minorHAnsi"/>
                <w:b/>
                <w:bCs/>
                <w:sz w:val="20"/>
                <w:szCs w:val="20"/>
              </w:rPr>
            </w:pPr>
            <w:r w:rsidRPr="00290575">
              <w:rPr>
                <w:rFonts w:cstheme="minorHAnsi"/>
                <w:b/>
                <w:bCs/>
                <w:sz w:val="20"/>
                <w:szCs w:val="20"/>
              </w:rPr>
              <w:t>Index HF class</w:t>
            </w:r>
          </w:p>
        </w:tc>
        <w:tc>
          <w:tcPr>
            <w:tcW w:w="4869" w:type="dxa"/>
          </w:tcPr>
          <w:p w14:paraId="12F658AB" w14:textId="2E5CB0F8" w:rsidR="004031D7" w:rsidRPr="00290575" w:rsidRDefault="004031D7" w:rsidP="00FE375A">
            <w:pPr>
              <w:rPr>
                <w:rFonts w:cstheme="minorHAnsi"/>
                <w:b/>
                <w:bCs/>
                <w:sz w:val="20"/>
                <w:szCs w:val="20"/>
              </w:rPr>
            </w:pPr>
            <w:r w:rsidRPr="00290575">
              <w:rPr>
                <w:rFonts w:cstheme="minorHAnsi"/>
                <w:b/>
                <w:bCs/>
                <w:sz w:val="20"/>
                <w:szCs w:val="20"/>
              </w:rPr>
              <w:t xml:space="preserve">PBS restrictions for </w:t>
            </w:r>
            <w:r w:rsidR="007B150D" w:rsidRPr="00290575">
              <w:rPr>
                <w:rFonts w:cstheme="minorHAnsi"/>
                <w:b/>
                <w:bCs/>
                <w:sz w:val="20"/>
                <w:szCs w:val="20"/>
              </w:rPr>
              <w:t>medicine</w:t>
            </w:r>
            <w:r w:rsidRPr="00290575">
              <w:rPr>
                <w:rFonts w:cstheme="minorHAnsi"/>
                <w:b/>
                <w:bCs/>
                <w:sz w:val="20"/>
                <w:szCs w:val="20"/>
              </w:rPr>
              <w:t xml:space="preserve"> subsidy</w:t>
            </w:r>
          </w:p>
        </w:tc>
        <w:tc>
          <w:tcPr>
            <w:tcW w:w="2052" w:type="dxa"/>
          </w:tcPr>
          <w:p w14:paraId="0FB4459B" w14:textId="46898A49" w:rsidR="004031D7" w:rsidRPr="00290575" w:rsidRDefault="004031D7" w:rsidP="00FE375A">
            <w:pPr>
              <w:rPr>
                <w:rFonts w:cstheme="minorHAnsi"/>
                <w:b/>
                <w:bCs/>
                <w:sz w:val="20"/>
                <w:szCs w:val="20"/>
              </w:rPr>
            </w:pPr>
            <w:r w:rsidRPr="00290575">
              <w:rPr>
                <w:rFonts w:cstheme="minorHAnsi"/>
                <w:b/>
                <w:bCs/>
                <w:sz w:val="20"/>
                <w:szCs w:val="20"/>
              </w:rPr>
              <w:t>Use in accord with the restrictions</w:t>
            </w:r>
          </w:p>
        </w:tc>
        <w:tc>
          <w:tcPr>
            <w:tcW w:w="1634" w:type="dxa"/>
          </w:tcPr>
          <w:p w14:paraId="5513EE9C" w14:textId="05EA5BE8" w:rsidR="004031D7" w:rsidRPr="00290575" w:rsidRDefault="004031D7" w:rsidP="00FE375A">
            <w:pPr>
              <w:rPr>
                <w:rFonts w:cstheme="minorHAnsi"/>
                <w:b/>
                <w:bCs/>
                <w:sz w:val="20"/>
                <w:szCs w:val="20"/>
              </w:rPr>
            </w:pPr>
            <w:r w:rsidRPr="00290575">
              <w:rPr>
                <w:rFonts w:cstheme="minorHAnsi"/>
                <w:b/>
                <w:bCs/>
                <w:sz w:val="20"/>
                <w:szCs w:val="20"/>
              </w:rPr>
              <w:t>Use outside the restrictions</w:t>
            </w:r>
          </w:p>
        </w:tc>
      </w:tr>
      <w:tr w:rsidR="004031D7" w:rsidRPr="00290575" w14:paraId="0DEF0F01" w14:textId="78B5B7A0" w:rsidTr="004E77A9">
        <w:tc>
          <w:tcPr>
            <w:tcW w:w="1227" w:type="dxa"/>
          </w:tcPr>
          <w:p w14:paraId="3459C5C0" w14:textId="77777777" w:rsidR="004031D7" w:rsidRPr="00290575" w:rsidRDefault="004031D7" w:rsidP="00FE375A">
            <w:pPr>
              <w:rPr>
                <w:rFonts w:cstheme="minorHAnsi"/>
                <w:sz w:val="20"/>
                <w:szCs w:val="20"/>
              </w:rPr>
            </w:pPr>
            <w:r w:rsidRPr="00290575">
              <w:rPr>
                <w:rFonts w:cstheme="minorHAnsi"/>
                <w:sz w:val="20"/>
                <w:szCs w:val="20"/>
              </w:rPr>
              <w:t>BB specific for HF</w:t>
            </w:r>
          </w:p>
          <w:p w14:paraId="73042D5D" w14:textId="77777777" w:rsidR="004031D7" w:rsidRPr="00290575" w:rsidRDefault="004031D7" w:rsidP="00FE375A">
            <w:pPr>
              <w:rPr>
                <w:rFonts w:cstheme="minorHAnsi"/>
                <w:sz w:val="20"/>
                <w:szCs w:val="20"/>
              </w:rPr>
            </w:pPr>
            <w:r w:rsidRPr="00290575">
              <w:rPr>
                <w:rFonts w:cstheme="minorHAnsi"/>
                <w:sz w:val="20"/>
                <w:szCs w:val="20"/>
              </w:rPr>
              <w:t>(N=52202)</w:t>
            </w:r>
          </w:p>
        </w:tc>
        <w:tc>
          <w:tcPr>
            <w:tcW w:w="4869" w:type="dxa"/>
          </w:tcPr>
          <w:p w14:paraId="69D36535" w14:textId="64264EFB" w:rsidR="004031D7" w:rsidRPr="00290575" w:rsidRDefault="004031D7" w:rsidP="00290575">
            <w:pPr>
              <w:rPr>
                <w:rFonts w:cstheme="minorHAnsi"/>
                <w:sz w:val="20"/>
                <w:szCs w:val="20"/>
              </w:rPr>
            </w:pPr>
            <w:r w:rsidRPr="00290575">
              <w:rPr>
                <w:rFonts w:cstheme="minorHAnsi"/>
                <w:sz w:val="20"/>
                <w:szCs w:val="20"/>
              </w:rPr>
              <w:t xml:space="preserve">Moderate to severe HF indication: Patient must have </w:t>
            </w:r>
            <w:r w:rsidRPr="00290575">
              <w:rPr>
                <w:rFonts w:cstheme="minorHAnsi"/>
                <w:b/>
                <w:bCs/>
                <w:sz w:val="20"/>
                <w:szCs w:val="20"/>
              </w:rPr>
              <w:t>stabilised on</w:t>
            </w:r>
            <w:r w:rsidRPr="00290575">
              <w:rPr>
                <w:rFonts w:cstheme="minorHAnsi"/>
                <w:sz w:val="20"/>
                <w:szCs w:val="20"/>
              </w:rPr>
              <w:t xml:space="preserve"> conventional therapy, which must include an ACE</w:t>
            </w:r>
            <w:r w:rsidR="00E27482">
              <w:rPr>
                <w:rFonts w:cstheme="minorHAnsi"/>
                <w:sz w:val="20"/>
                <w:szCs w:val="20"/>
              </w:rPr>
              <w:t>i</w:t>
            </w:r>
            <w:r w:rsidRPr="00290575">
              <w:rPr>
                <w:rFonts w:cstheme="minorHAnsi"/>
                <w:sz w:val="20"/>
                <w:szCs w:val="20"/>
              </w:rPr>
              <w:t xml:space="preserve">/ARB, if tolerated. </w:t>
            </w:r>
          </w:p>
        </w:tc>
        <w:tc>
          <w:tcPr>
            <w:tcW w:w="2052" w:type="dxa"/>
          </w:tcPr>
          <w:p w14:paraId="6DDE8DB3" w14:textId="7E426FB5" w:rsidR="004031D7" w:rsidRPr="00290575" w:rsidRDefault="004031D7" w:rsidP="00FE375A">
            <w:pPr>
              <w:rPr>
                <w:rFonts w:cstheme="minorHAnsi"/>
                <w:sz w:val="20"/>
                <w:szCs w:val="20"/>
              </w:rPr>
            </w:pPr>
            <w:r w:rsidRPr="00290575">
              <w:rPr>
                <w:rFonts w:cstheme="minorHAnsi"/>
                <w:sz w:val="20"/>
                <w:szCs w:val="20"/>
              </w:rPr>
              <w:t>67% had prior use of ACE</w:t>
            </w:r>
            <w:r w:rsidR="00AC663D">
              <w:rPr>
                <w:rFonts w:cstheme="minorHAnsi"/>
                <w:sz w:val="20"/>
                <w:szCs w:val="20"/>
              </w:rPr>
              <w:t>i</w:t>
            </w:r>
            <w:r w:rsidRPr="00290575">
              <w:rPr>
                <w:rFonts w:cstheme="minorHAnsi"/>
                <w:sz w:val="20"/>
                <w:szCs w:val="20"/>
              </w:rPr>
              <w:t>/ARB</w:t>
            </w:r>
          </w:p>
        </w:tc>
        <w:tc>
          <w:tcPr>
            <w:tcW w:w="1634" w:type="dxa"/>
          </w:tcPr>
          <w:p w14:paraId="6E5276F9" w14:textId="55C4767A" w:rsidR="004031D7" w:rsidRPr="00290575" w:rsidRDefault="004031D7" w:rsidP="00FE375A">
            <w:pPr>
              <w:rPr>
                <w:rFonts w:cstheme="minorHAnsi"/>
                <w:sz w:val="20"/>
                <w:szCs w:val="20"/>
              </w:rPr>
            </w:pPr>
            <w:r w:rsidRPr="00290575">
              <w:rPr>
                <w:rFonts w:cstheme="minorHAnsi"/>
                <w:sz w:val="20"/>
                <w:szCs w:val="20"/>
              </w:rPr>
              <w:t>33% had no prior use of ACE</w:t>
            </w:r>
            <w:r w:rsidR="00AC663D">
              <w:rPr>
                <w:rFonts w:cstheme="minorHAnsi"/>
                <w:sz w:val="20"/>
                <w:szCs w:val="20"/>
              </w:rPr>
              <w:t>i</w:t>
            </w:r>
            <w:r w:rsidRPr="00290575">
              <w:rPr>
                <w:rFonts w:cstheme="minorHAnsi"/>
                <w:sz w:val="20"/>
                <w:szCs w:val="20"/>
              </w:rPr>
              <w:t>/ARB</w:t>
            </w:r>
          </w:p>
        </w:tc>
      </w:tr>
      <w:tr w:rsidR="004031D7" w:rsidRPr="00290575" w14:paraId="4A54B25C" w14:textId="6CAB266A" w:rsidTr="004E77A9">
        <w:tc>
          <w:tcPr>
            <w:tcW w:w="1227" w:type="dxa"/>
          </w:tcPr>
          <w:p w14:paraId="271F6052" w14:textId="77777777" w:rsidR="004031D7" w:rsidRPr="00290575" w:rsidRDefault="004031D7" w:rsidP="00FE375A">
            <w:pPr>
              <w:rPr>
                <w:rFonts w:cstheme="minorHAnsi"/>
                <w:sz w:val="20"/>
                <w:szCs w:val="20"/>
              </w:rPr>
            </w:pPr>
            <w:r w:rsidRPr="00290575">
              <w:rPr>
                <w:rFonts w:cstheme="minorHAnsi"/>
                <w:sz w:val="20"/>
                <w:szCs w:val="20"/>
              </w:rPr>
              <w:t>ARNI</w:t>
            </w:r>
          </w:p>
          <w:p w14:paraId="79BF0426" w14:textId="77777777" w:rsidR="004031D7" w:rsidRPr="00290575" w:rsidRDefault="004031D7" w:rsidP="00FE375A">
            <w:pPr>
              <w:rPr>
                <w:rFonts w:cstheme="minorHAnsi"/>
                <w:sz w:val="20"/>
                <w:szCs w:val="20"/>
              </w:rPr>
            </w:pPr>
            <w:r w:rsidRPr="00290575">
              <w:rPr>
                <w:rFonts w:cstheme="minorHAnsi"/>
                <w:sz w:val="20"/>
                <w:szCs w:val="20"/>
              </w:rPr>
              <w:t>(N=7995)</w:t>
            </w:r>
          </w:p>
        </w:tc>
        <w:tc>
          <w:tcPr>
            <w:tcW w:w="4869" w:type="dxa"/>
          </w:tcPr>
          <w:p w14:paraId="300F2842" w14:textId="17128A0A" w:rsidR="004031D7" w:rsidRPr="00290575" w:rsidRDefault="004031D7" w:rsidP="004F4A9F">
            <w:pPr>
              <w:rPr>
                <w:rFonts w:cstheme="minorHAnsi"/>
                <w:sz w:val="20"/>
                <w:szCs w:val="20"/>
              </w:rPr>
            </w:pPr>
            <w:r w:rsidRPr="00290575">
              <w:rPr>
                <w:rFonts w:cstheme="minorHAnsi"/>
                <w:sz w:val="20"/>
                <w:szCs w:val="20"/>
              </w:rPr>
              <w:t xml:space="preserve">Patient must receive </w:t>
            </w:r>
            <w:r w:rsidRPr="00290575">
              <w:rPr>
                <w:rFonts w:cstheme="minorHAnsi"/>
                <w:b/>
                <w:bCs/>
                <w:sz w:val="20"/>
                <w:szCs w:val="20"/>
              </w:rPr>
              <w:t>concomitant</w:t>
            </w:r>
            <w:r w:rsidRPr="00290575">
              <w:rPr>
                <w:rFonts w:cstheme="minorHAnsi"/>
                <w:sz w:val="20"/>
                <w:szCs w:val="20"/>
              </w:rPr>
              <w:t xml:space="preserve"> optimal standard chronic HF treatment, which must include a BB, unless at least one of the following is present in relation to the beta-blocker: (i) a contraindication listed in the Product Information, (ii) an existing/expected intolerance, (iii) local treatment guidelines recommend initiation of this drug product prior to a BB</w:t>
            </w:r>
          </w:p>
          <w:p w14:paraId="02FDE470" w14:textId="77777777" w:rsidR="004031D7" w:rsidRPr="00290575" w:rsidRDefault="004031D7" w:rsidP="004F4A9F">
            <w:pPr>
              <w:pStyle w:val="ListParagraph"/>
              <w:rPr>
                <w:rFonts w:asciiTheme="minorHAnsi" w:hAnsiTheme="minorHAnsi" w:cstheme="minorHAnsi"/>
                <w:sz w:val="20"/>
              </w:rPr>
            </w:pPr>
          </w:p>
          <w:p w14:paraId="128A270A" w14:textId="754B59F4" w:rsidR="004031D7" w:rsidRPr="00290575" w:rsidRDefault="004031D7" w:rsidP="004F4A9F">
            <w:pPr>
              <w:rPr>
                <w:rFonts w:cstheme="minorHAnsi"/>
                <w:sz w:val="20"/>
                <w:szCs w:val="20"/>
              </w:rPr>
            </w:pPr>
            <w:r w:rsidRPr="00290575">
              <w:rPr>
                <w:rFonts w:cstheme="minorHAnsi"/>
                <w:sz w:val="20"/>
                <w:szCs w:val="20"/>
              </w:rPr>
              <w:t>Patient must have been stabilised on an ACE</w:t>
            </w:r>
            <w:r w:rsidR="00E27482">
              <w:rPr>
                <w:rFonts w:cstheme="minorHAnsi"/>
                <w:sz w:val="20"/>
                <w:szCs w:val="20"/>
              </w:rPr>
              <w:t>i</w:t>
            </w:r>
            <w:r w:rsidRPr="00290575">
              <w:rPr>
                <w:rFonts w:cstheme="minorHAnsi"/>
                <w:sz w:val="20"/>
                <w:szCs w:val="20"/>
              </w:rPr>
              <w:t>/ARB at the time of initiation with this drug, unless such treatment is contraindicated</w:t>
            </w:r>
          </w:p>
          <w:p w14:paraId="5908599D" w14:textId="77777777" w:rsidR="004031D7" w:rsidRPr="00290575" w:rsidRDefault="004031D7" w:rsidP="00FE375A">
            <w:pPr>
              <w:pStyle w:val="ListParagraph"/>
              <w:rPr>
                <w:rFonts w:asciiTheme="minorHAnsi" w:hAnsiTheme="minorHAnsi" w:cstheme="minorHAnsi"/>
                <w:sz w:val="20"/>
              </w:rPr>
            </w:pPr>
          </w:p>
          <w:p w14:paraId="3062B19B" w14:textId="5CB2FE1D" w:rsidR="004031D7" w:rsidRPr="00290575" w:rsidRDefault="004031D7" w:rsidP="004F4A9F">
            <w:pPr>
              <w:rPr>
                <w:rFonts w:cstheme="minorHAnsi"/>
                <w:sz w:val="20"/>
                <w:szCs w:val="20"/>
              </w:rPr>
            </w:pPr>
            <w:r w:rsidRPr="00290575">
              <w:rPr>
                <w:rFonts w:cstheme="minorHAnsi"/>
                <w:sz w:val="20"/>
                <w:szCs w:val="20"/>
              </w:rPr>
              <w:t>Concomitant ACE</w:t>
            </w:r>
            <w:r w:rsidR="00E27482">
              <w:rPr>
                <w:rFonts w:cstheme="minorHAnsi"/>
                <w:sz w:val="20"/>
                <w:szCs w:val="20"/>
              </w:rPr>
              <w:t>i</w:t>
            </w:r>
            <w:r w:rsidRPr="00290575">
              <w:rPr>
                <w:rFonts w:cstheme="minorHAnsi"/>
                <w:sz w:val="20"/>
                <w:szCs w:val="20"/>
              </w:rPr>
              <w:t>/ARB not permitted.</w:t>
            </w:r>
          </w:p>
        </w:tc>
        <w:tc>
          <w:tcPr>
            <w:tcW w:w="2052" w:type="dxa"/>
          </w:tcPr>
          <w:p w14:paraId="55444B6B" w14:textId="77777777" w:rsidR="004031D7" w:rsidRPr="00290575" w:rsidRDefault="004031D7" w:rsidP="00FE375A">
            <w:pPr>
              <w:rPr>
                <w:rFonts w:cstheme="minorHAnsi"/>
                <w:sz w:val="20"/>
                <w:szCs w:val="20"/>
              </w:rPr>
            </w:pPr>
            <w:r w:rsidRPr="00290575">
              <w:rPr>
                <w:rFonts w:cstheme="minorHAnsi"/>
                <w:sz w:val="20"/>
                <w:szCs w:val="20"/>
              </w:rPr>
              <w:t>39% had concomitant use of any BB</w:t>
            </w:r>
          </w:p>
          <w:p w14:paraId="380E25FB" w14:textId="77777777" w:rsidR="004031D7" w:rsidRPr="00290575" w:rsidRDefault="004031D7" w:rsidP="00FE375A">
            <w:pPr>
              <w:rPr>
                <w:rFonts w:cstheme="minorHAnsi"/>
                <w:sz w:val="20"/>
                <w:szCs w:val="20"/>
              </w:rPr>
            </w:pPr>
          </w:p>
          <w:p w14:paraId="11D3ED6C" w14:textId="77777777" w:rsidR="004031D7" w:rsidRPr="00290575" w:rsidRDefault="004031D7" w:rsidP="00FE375A">
            <w:pPr>
              <w:rPr>
                <w:rFonts w:cstheme="minorHAnsi"/>
                <w:sz w:val="20"/>
                <w:szCs w:val="20"/>
              </w:rPr>
            </w:pPr>
          </w:p>
          <w:p w14:paraId="22439DC7" w14:textId="77777777" w:rsidR="007B150D" w:rsidRPr="00290575" w:rsidRDefault="007B150D" w:rsidP="00FE375A">
            <w:pPr>
              <w:rPr>
                <w:rFonts w:cstheme="minorHAnsi"/>
                <w:sz w:val="20"/>
                <w:szCs w:val="20"/>
              </w:rPr>
            </w:pPr>
          </w:p>
          <w:p w14:paraId="2EFE0251" w14:textId="77777777" w:rsidR="004031D7" w:rsidRPr="00290575" w:rsidRDefault="004031D7" w:rsidP="00FE375A">
            <w:pPr>
              <w:rPr>
                <w:rFonts w:cstheme="minorHAnsi"/>
                <w:sz w:val="20"/>
                <w:szCs w:val="20"/>
              </w:rPr>
            </w:pPr>
          </w:p>
          <w:p w14:paraId="3543428F" w14:textId="77777777" w:rsidR="00DB4FF8" w:rsidRPr="00290575" w:rsidRDefault="00DB4FF8" w:rsidP="00FE375A">
            <w:pPr>
              <w:rPr>
                <w:rFonts w:cstheme="minorHAnsi"/>
                <w:sz w:val="20"/>
                <w:szCs w:val="20"/>
              </w:rPr>
            </w:pPr>
          </w:p>
          <w:p w14:paraId="61ABB82A" w14:textId="02AFE0D8" w:rsidR="004031D7" w:rsidRPr="00290575" w:rsidRDefault="004031D7" w:rsidP="00FE375A">
            <w:pPr>
              <w:rPr>
                <w:rFonts w:cstheme="minorHAnsi"/>
                <w:sz w:val="20"/>
                <w:szCs w:val="20"/>
              </w:rPr>
            </w:pPr>
            <w:r w:rsidRPr="00290575">
              <w:rPr>
                <w:rFonts w:cstheme="minorHAnsi"/>
                <w:sz w:val="20"/>
                <w:szCs w:val="20"/>
              </w:rPr>
              <w:t>36% had prior use of ACE</w:t>
            </w:r>
            <w:r w:rsidR="00AC663D">
              <w:rPr>
                <w:rFonts w:cstheme="minorHAnsi"/>
                <w:sz w:val="20"/>
                <w:szCs w:val="20"/>
              </w:rPr>
              <w:t>i</w:t>
            </w:r>
            <w:r w:rsidRPr="00290575">
              <w:rPr>
                <w:rFonts w:cstheme="minorHAnsi"/>
                <w:sz w:val="20"/>
                <w:szCs w:val="20"/>
              </w:rPr>
              <w:t>/ARB</w:t>
            </w:r>
          </w:p>
          <w:p w14:paraId="13C4FBD3" w14:textId="77777777" w:rsidR="004031D7" w:rsidRPr="00290575" w:rsidRDefault="004031D7" w:rsidP="00FE375A">
            <w:pPr>
              <w:rPr>
                <w:rFonts w:cstheme="minorHAnsi"/>
                <w:sz w:val="20"/>
                <w:szCs w:val="20"/>
              </w:rPr>
            </w:pPr>
          </w:p>
          <w:p w14:paraId="1E245831" w14:textId="77777777" w:rsidR="008B5D6E" w:rsidRPr="00290575" w:rsidRDefault="008B5D6E" w:rsidP="00FE375A">
            <w:pPr>
              <w:rPr>
                <w:rFonts w:cstheme="minorHAnsi"/>
                <w:sz w:val="20"/>
                <w:szCs w:val="20"/>
              </w:rPr>
            </w:pPr>
          </w:p>
          <w:p w14:paraId="06FD9BF5" w14:textId="30516FD9" w:rsidR="004031D7" w:rsidRPr="00290575" w:rsidRDefault="004031D7" w:rsidP="00FE375A">
            <w:pPr>
              <w:rPr>
                <w:rFonts w:cstheme="minorHAnsi"/>
                <w:sz w:val="20"/>
                <w:szCs w:val="20"/>
              </w:rPr>
            </w:pPr>
            <w:r w:rsidRPr="00290575">
              <w:rPr>
                <w:rFonts w:cstheme="minorHAnsi"/>
                <w:sz w:val="20"/>
                <w:szCs w:val="20"/>
              </w:rPr>
              <w:t>94% had no co-use of ACE</w:t>
            </w:r>
            <w:r w:rsidR="00AC663D">
              <w:rPr>
                <w:rFonts w:cstheme="minorHAnsi"/>
                <w:sz w:val="20"/>
                <w:szCs w:val="20"/>
              </w:rPr>
              <w:t>i</w:t>
            </w:r>
            <w:r w:rsidRPr="00290575">
              <w:rPr>
                <w:rFonts w:cstheme="minorHAnsi"/>
                <w:sz w:val="20"/>
                <w:szCs w:val="20"/>
              </w:rPr>
              <w:t>/ARB</w:t>
            </w:r>
          </w:p>
        </w:tc>
        <w:tc>
          <w:tcPr>
            <w:tcW w:w="1634" w:type="dxa"/>
          </w:tcPr>
          <w:p w14:paraId="60EB99D8" w14:textId="77777777" w:rsidR="004031D7" w:rsidRPr="00290575" w:rsidRDefault="004031D7" w:rsidP="004031D7">
            <w:pPr>
              <w:rPr>
                <w:sz w:val="20"/>
                <w:szCs w:val="20"/>
              </w:rPr>
            </w:pPr>
            <w:r w:rsidRPr="00290575">
              <w:rPr>
                <w:sz w:val="20"/>
                <w:szCs w:val="20"/>
              </w:rPr>
              <w:t>61% had no concomitant use of any BB</w:t>
            </w:r>
          </w:p>
          <w:p w14:paraId="6127DCF9" w14:textId="77777777" w:rsidR="004031D7" w:rsidRPr="00290575" w:rsidRDefault="004031D7" w:rsidP="00FE375A">
            <w:pPr>
              <w:rPr>
                <w:rFonts w:cstheme="minorHAnsi"/>
                <w:sz w:val="20"/>
                <w:szCs w:val="20"/>
              </w:rPr>
            </w:pPr>
          </w:p>
          <w:p w14:paraId="4A339D09" w14:textId="77777777" w:rsidR="004031D7" w:rsidRPr="00290575" w:rsidRDefault="004031D7" w:rsidP="00FE375A">
            <w:pPr>
              <w:rPr>
                <w:rFonts w:cstheme="minorHAnsi"/>
                <w:sz w:val="20"/>
                <w:szCs w:val="20"/>
              </w:rPr>
            </w:pPr>
          </w:p>
          <w:p w14:paraId="42982C3D" w14:textId="77777777" w:rsidR="00DB4FF8" w:rsidRPr="00290575" w:rsidRDefault="00DB4FF8" w:rsidP="00FE375A">
            <w:pPr>
              <w:rPr>
                <w:rFonts w:cstheme="minorHAnsi"/>
                <w:sz w:val="20"/>
                <w:szCs w:val="20"/>
              </w:rPr>
            </w:pPr>
          </w:p>
          <w:p w14:paraId="31525DA2" w14:textId="77777777" w:rsidR="00D469DD" w:rsidRPr="00290575" w:rsidRDefault="00D469DD" w:rsidP="00FE375A">
            <w:pPr>
              <w:rPr>
                <w:rFonts w:cstheme="minorHAnsi"/>
                <w:sz w:val="20"/>
                <w:szCs w:val="20"/>
              </w:rPr>
            </w:pPr>
          </w:p>
          <w:p w14:paraId="6F500DF6" w14:textId="6D020CBF" w:rsidR="004031D7" w:rsidRPr="00290575" w:rsidRDefault="004031D7" w:rsidP="00FE375A">
            <w:pPr>
              <w:rPr>
                <w:rFonts w:cstheme="minorHAnsi"/>
                <w:sz w:val="20"/>
                <w:szCs w:val="20"/>
              </w:rPr>
            </w:pPr>
            <w:r w:rsidRPr="00290575">
              <w:rPr>
                <w:rFonts w:cstheme="minorHAnsi"/>
                <w:sz w:val="20"/>
                <w:szCs w:val="20"/>
              </w:rPr>
              <w:t>64% had no prior use of ACE</w:t>
            </w:r>
            <w:r w:rsidR="00AC663D">
              <w:rPr>
                <w:rFonts w:cstheme="minorHAnsi"/>
                <w:sz w:val="20"/>
                <w:szCs w:val="20"/>
              </w:rPr>
              <w:t>i</w:t>
            </w:r>
            <w:r w:rsidRPr="00290575">
              <w:rPr>
                <w:rFonts w:cstheme="minorHAnsi"/>
                <w:sz w:val="20"/>
                <w:szCs w:val="20"/>
              </w:rPr>
              <w:t>/ARB</w:t>
            </w:r>
          </w:p>
          <w:p w14:paraId="14A0FAE0" w14:textId="77777777" w:rsidR="00F22144" w:rsidRPr="00290575" w:rsidRDefault="00F22144" w:rsidP="00FE375A">
            <w:pPr>
              <w:rPr>
                <w:rFonts w:cstheme="minorHAnsi"/>
                <w:sz w:val="20"/>
                <w:szCs w:val="20"/>
              </w:rPr>
            </w:pPr>
          </w:p>
          <w:p w14:paraId="2C279E80" w14:textId="77777777" w:rsidR="00DB4FF8" w:rsidRPr="00290575" w:rsidRDefault="00DB4FF8" w:rsidP="00FE375A">
            <w:pPr>
              <w:rPr>
                <w:rFonts w:cstheme="minorHAnsi"/>
                <w:sz w:val="20"/>
                <w:szCs w:val="20"/>
              </w:rPr>
            </w:pPr>
          </w:p>
          <w:p w14:paraId="7CEDA95D" w14:textId="3F3CA636" w:rsidR="00F22144" w:rsidRPr="00290575" w:rsidRDefault="00F22144" w:rsidP="00FE375A">
            <w:pPr>
              <w:rPr>
                <w:rFonts w:cstheme="minorHAnsi"/>
                <w:sz w:val="20"/>
                <w:szCs w:val="20"/>
              </w:rPr>
            </w:pPr>
            <w:r w:rsidRPr="00290575">
              <w:rPr>
                <w:rFonts w:cstheme="minorHAnsi"/>
                <w:sz w:val="20"/>
                <w:szCs w:val="20"/>
              </w:rPr>
              <w:t>6% had co-use of ACE</w:t>
            </w:r>
            <w:r w:rsidR="00AC663D">
              <w:rPr>
                <w:rFonts w:cstheme="minorHAnsi"/>
                <w:sz w:val="20"/>
                <w:szCs w:val="20"/>
              </w:rPr>
              <w:t>i</w:t>
            </w:r>
            <w:r w:rsidRPr="00290575">
              <w:rPr>
                <w:rFonts w:cstheme="minorHAnsi"/>
                <w:sz w:val="20"/>
                <w:szCs w:val="20"/>
              </w:rPr>
              <w:t>/ARB</w:t>
            </w:r>
          </w:p>
        </w:tc>
      </w:tr>
      <w:tr w:rsidR="004031D7" w:rsidRPr="00290575" w14:paraId="2ECC4A6B" w14:textId="4487548A" w:rsidTr="004E77A9">
        <w:tc>
          <w:tcPr>
            <w:tcW w:w="1227" w:type="dxa"/>
          </w:tcPr>
          <w:p w14:paraId="2E4B61A5" w14:textId="77777777" w:rsidR="004031D7" w:rsidRPr="00290575" w:rsidRDefault="004031D7" w:rsidP="00FE375A">
            <w:pPr>
              <w:rPr>
                <w:rFonts w:cstheme="minorHAnsi"/>
                <w:sz w:val="20"/>
                <w:szCs w:val="20"/>
              </w:rPr>
            </w:pPr>
            <w:r w:rsidRPr="00290575">
              <w:rPr>
                <w:rFonts w:cstheme="minorHAnsi"/>
                <w:sz w:val="20"/>
                <w:szCs w:val="20"/>
              </w:rPr>
              <w:t>SGLT2 for HF</w:t>
            </w:r>
          </w:p>
          <w:p w14:paraId="1CEDB1D6" w14:textId="77777777" w:rsidR="004031D7" w:rsidRPr="00290575" w:rsidRDefault="004031D7" w:rsidP="00FE375A">
            <w:pPr>
              <w:rPr>
                <w:rFonts w:cstheme="minorHAnsi"/>
                <w:sz w:val="20"/>
                <w:szCs w:val="20"/>
              </w:rPr>
            </w:pPr>
            <w:r w:rsidRPr="00290575">
              <w:rPr>
                <w:rFonts w:cstheme="minorHAnsi"/>
                <w:sz w:val="20"/>
                <w:szCs w:val="20"/>
              </w:rPr>
              <w:t>(N=17527)</w:t>
            </w:r>
          </w:p>
        </w:tc>
        <w:tc>
          <w:tcPr>
            <w:tcW w:w="4869" w:type="dxa"/>
          </w:tcPr>
          <w:p w14:paraId="2CAFFBC3" w14:textId="332B05A6" w:rsidR="004031D7" w:rsidRPr="00290575" w:rsidRDefault="004031D7" w:rsidP="004F4A9F">
            <w:pPr>
              <w:rPr>
                <w:rFonts w:cstheme="minorHAnsi"/>
                <w:sz w:val="20"/>
                <w:szCs w:val="20"/>
              </w:rPr>
            </w:pPr>
            <w:r w:rsidRPr="00290575">
              <w:rPr>
                <w:rFonts w:cstheme="minorHAnsi"/>
                <w:sz w:val="20"/>
                <w:szCs w:val="20"/>
              </w:rPr>
              <w:t xml:space="preserve">Must be an </w:t>
            </w:r>
            <w:r w:rsidRPr="00290575">
              <w:rPr>
                <w:rFonts w:cstheme="minorHAnsi"/>
                <w:b/>
                <w:bCs/>
                <w:sz w:val="20"/>
                <w:szCs w:val="20"/>
              </w:rPr>
              <w:t>add-on therapy</w:t>
            </w:r>
            <w:r w:rsidRPr="00290575">
              <w:rPr>
                <w:rFonts w:cstheme="minorHAnsi"/>
                <w:sz w:val="20"/>
                <w:szCs w:val="20"/>
              </w:rPr>
              <w:t xml:space="preserve"> to optimal standard chronic HF treatment, which must include a BB, unless contraindicated according to the TGA-approved PI or cannot be tolerated, AND</w:t>
            </w:r>
          </w:p>
          <w:p w14:paraId="14847C50" w14:textId="77777777" w:rsidR="004E77A9" w:rsidRPr="00290575" w:rsidRDefault="004E77A9" w:rsidP="004F4A9F">
            <w:pPr>
              <w:rPr>
                <w:rFonts w:cstheme="minorHAnsi"/>
                <w:sz w:val="20"/>
                <w:szCs w:val="20"/>
              </w:rPr>
            </w:pPr>
          </w:p>
          <w:p w14:paraId="65504D0F" w14:textId="6FC13F1F" w:rsidR="004031D7" w:rsidRPr="00290575" w:rsidRDefault="004031D7" w:rsidP="004F4A9F">
            <w:pPr>
              <w:rPr>
                <w:rFonts w:cstheme="minorHAnsi"/>
                <w:sz w:val="20"/>
                <w:szCs w:val="20"/>
              </w:rPr>
            </w:pPr>
            <w:r w:rsidRPr="00290575">
              <w:rPr>
                <w:rFonts w:cstheme="minorHAnsi"/>
                <w:sz w:val="20"/>
                <w:szCs w:val="20"/>
              </w:rPr>
              <w:t xml:space="preserve">Must be an </w:t>
            </w:r>
            <w:r w:rsidRPr="00290575">
              <w:rPr>
                <w:rFonts w:cstheme="minorHAnsi"/>
                <w:b/>
                <w:bCs/>
                <w:sz w:val="20"/>
                <w:szCs w:val="20"/>
              </w:rPr>
              <w:t>add-on therapy</w:t>
            </w:r>
            <w:r w:rsidRPr="00290575">
              <w:rPr>
                <w:rFonts w:cstheme="minorHAnsi"/>
                <w:sz w:val="20"/>
                <w:szCs w:val="20"/>
              </w:rPr>
              <w:t xml:space="preserve"> to optimal standard chronic HF treatment, which must include an ACE</w:t>
            </w:r>
            <w:r w:rsidR="00E27482">
              <w:rPr>
                <w:rFonts w:cstheme="minorHAnsi"/>
                <w:sz w:val="20"/>
                <w:szCs w:val="20"/>
              </w:rPr>
              <w:t>i</w:t>
            </w:r>
            <w:r w:rsidRPr="00290575">
              <w:rPr>
                <w:rFonts w:cstheme="minorHAnsi"/>
                <w:sz w:val="20"/>
                <w:szCs w:val="20"/>
              </w:rPr>
              <w:t>/ARB/ARNI, unless contraindicated according to the TGA-approved PI or cannot be tolerated, AND</w:t>
            </w:r>
          </w:p>
          <w:p w14:paraId="54A92BC3" w14:textId="77777777" w:rsidR="004031D7" w:rsidRPr="00290575" w:rsidRDefault="004031D7" w:rsidP="004F4A9F">
            <w:pPr>
              <w:rPr>
                <w:rFonts w:cstheme="minorHAnsi"/>
                <w:sz w:val="20"/>
                <w:szCs w:val="20"/>
              </w:rPr>
            </w:pPr>
          </w:p>
          <w:p w14:paraId="403E260B" w14:textId="77777777" w:rsidR="004E77A9" w:rsidRPr="00290575" w:rsidRDefault="004E77A9" w:rsidP="004F4A9F">
            <w:pPr>
              <w:rPr>
                <w:rFonts w:cstheme="minorHAnsi"/>
                <w:sz w:val="20"/>
                <w:szCs w:val="20"/>
              </w:rPr>
            </w:pPr>
          </w:p>
          <w:p w14:paraId="415BD0FA" w14:textId="77777777" w:rsidR="004E77A9" w:rsidRPr="00290575" w:rsidRDefault="004E77A9" w:rsidP="004F4A9F">
            <w:pPr>
              <w:rPr>
                <w:rFonts w:cstheme="minorHAnsi"/>
                <w:sz w:val="20"/>
                <w:szCs w:val="20"/>
              </w:rPr>
            </w:pPr>
          </w:p>
          <w:p w14:paraId="7900C695" w14:textId="2B4641EC" w:rsidR="004031D7" w:rsidRPr="00290575" w:rsidRDefault="004031D7" w:rsidP="004F4A9F">
            <w:pPr>
              <w:rPr>
                <w:rFonts w:cstheme="minorHAnsi"/>
                <w:sz w:val="20"/>
                <w:szCs w:val="20"/>
              </w:rPr>
            </w:pPr>
            <w:r w:rsidRPr="00290575">
              <w:rPr>
                <w:rFonts w:cstheme="minorHAnsi"/>
                <w:sz w:val="20"/>
                <w:szCs w:val="20"/>
              </w:rPr>
              <w:t>Patient must not be receiving treatment with another sodium-glucose co-transporter 2 (SGLT2) inhibitor.</w:t>
            </w:r>
          </w:p>
        </w:tc>
        <w:tc>
          <w:tcPr>
            <w:tcW w:w="2052" w:type="dxa"/>
          </w:tcPr>
          <w:p w14:paraId="2DCF2DCD" w14:textId="4CC1C790" w:rsidR="004031D7" w:rsidRPr="00290575" w:rsidRDefault="004031D7" w:rsidP="00FE375A">
            <w:pPr>
              <w:rPr>
                <w:rFonts w:cstheme="minorHAnsi"/>
                <w:sz w:val="20"/>
                <w:szCs w:val="20"/>
              </w:rPr>
            </w:pPr>
            <w:r w:rsidRPr="00290575">
              <w:rPr>
                <w:rFonts w:cstheme="minorHAnsi"/>
                <w:sz w:val="20"/>
                <w:szCs w:val="20"/>
              </w:rPr>
              <w:t>57%</w:t>
            </w:r>
            <w:r w:rsidR="004E77A9" w:rsidRPr="00290575">
              <w:rPr>
                <w:rFonts w:cstheme="minorHAnsi"/>
                <w:sz w:val="20"/>
                <w:szCs w:val="20"/>
              </w:rPr>
              <w:t xml:space="preserve"> was add on therapy to at least one of </w:t>
            </w:r>
            <w:r w:rsidR="004E77A9" w:rsidRPr="00290575">
              <w:rPr>
                <w:sz w:val="20"/>
                <w:szCs w:val="20"/>
              </w:rPr>
              <w:t>BB/ACE</w:t>
            </w:r>
            <w:r w:rsidR="00AC663D">
              <w:rPr>
                <w:sz w:val="20"/>
                <w:szCs w:val="20"/>
              </w:rPr>
              <w:t>i</w:t>
            </w:r>
            <w:r w:rsidR="004E77A9" w:rsidRPr="00290575">
              <w:rPr>
                <w:sz w:val="20"/>
                <w:szCs w:val="20"/>
              </w:rPr>
              <w:t>/ARB/ARNI</w:t>
            </w:r>
            <w:r w:rsidRPr="00290575">
              <w:rPr>
                <w:rFonts w:cstheme="minorHAnsi"/>
                <w:sz w:val="20"/>
                <w:szCs w:val="20"/>
              </w:rPr>
              <w:t>)</w:t>
            </w:r>
          </w:p>
          <w:p w14:paraId="55D0F1FE" w14:textId="77777777" w:rsidR="004E77A9" w:rsidRPr="00290575" w:rsidRDefault="004E77A9" w:rsidP="00FE375A">
            <w:pPr>
              <w:rPr>
                <w:rFonts w:cstheme="minorHAnsi"/>
                <w:sz w:val="20"/>
                <w:szCs w:val="20"/>
              </w:rPr>
            </w:pPr>
          </w:p>
          <w:p w14:paraId="6EFFE532" w14:textId="525937F2" w:rsidR="004E77A9" w:rsidRPr="00290575" w:rsidRDefault="004E77A9" w:rsidP="004E77A9">
            <w:pPr>
              <w:rPr>
                <w:rFonts w:cstheme="minorHAnsi"/>
                <w:sz w:val="20"/>
                <w:szCs w:val="20"/>
              </w:rPr>
            </w:pPr>
            <w:r w:rsidRPr="00290575">
              <w:rPr>
                <w:rFonts w:cstheme="minorHAnsi"/>
                <w:sz w:val="20"/>
                <w:szCs w:val="20"/>
              </w:rPr>
              <w:t>11% had ACE</w:t>
            </w:r>
            <w:r w:rsidR="00AC663D">
              <w:rPr>
                <w:rFonts w:cstheme="minorHAnsi"/>
                <w:sz w:val="20"/>
                <w:szCs w:val="20"/>
              </w:rPr>
              <w:t>i</w:t>
            </w:r>
            <w:r w:rsidRPr="00290575">
              <w:rPr>
                <w:rFonts w:cstheme="minorHAnsi"/>
                <w:sz w:val="20"/>
                <w:szCs w:val="20"/>
              </w:rPr>
              <w:t xml:space="preserve">/ARB +any </w:t>
            </w:r>
            <w:proofErr w:type="gramStart"/>
            <w:r w:rsidRPr="00290575">
              <w:rPr>
                <w:rFonts w:cstheme="minorHAnsi"/>
                <w:sz w:val="20"/>
                <w:szCs w:val="20"/>
              </w:rPr>
              <w:t>BB;</w:t>
            </w:r>
            <w:proofErr w:type="gramEnd"/>
            <w:r w:rsidRPr="00290575">
              <w:rPr>
                <w:rFonts w:cstheme="minorHAnsi"/>
                <w:sz w:val="20"/>
                <w:szCs w:val="20"/>
              </w:rPr>
              <w:t xml:space="preserve"> </w:t>
            </w:r>
          </w:p>
          <w:p w14:paraId="6A089C1C" w14:textId="77777777" w:rsidR="004E77A9" w:rsidRPr="00290575" w:rsidRDefault="004E77A9" w:rsidP="004E77A9">
            <w:pPr>
              <w:rPr>
                <w:rFonts w:cstheme="minorHAnsi"/>
                <w:sz w:val="20"/>
                <w:szCs w:val="20"/>
              </w:rPr>
            </w:pPr>
            <w:r w:rsidRPr="00290575">
              <w:rPr>
                <w:rFonts w:cstheme="minorHAnsi"/>
                <w:sz w:val="20"/>
                <w:szCs w:val="20"/>
              </w:rPr>
              <w:t>3% had ARNI + any BB</w:t>
            </w:r>
          </w:p>
          <w:p w14:paraId="0BC53794" w14:textId="77777777" w:rsidR="004E77A9" w:rsidRPr="00290575" w:rsidRDefault="004031D7" w:rsidP="00FE375A">
            <w:pPr>
              <w:rPr>
                <w:rFonts w:cstheme="minorHAnsi"/>
                <w:sz w:val="20"/>
                <w:szCs w:val="20"/>
              </w:rPr>
            </w:pPr>
            <w:r w:rsidRPr="00290575">
              <w:rPr>
                <w:rFonts w:cstheme="minorHAnsi"/>
                <w:sz w:val="20"/>
                <w:szCs w:val="20"/>
              </w:rPr>
              <w:t xml:space="preserve">9% had any </w:t>
            </w:r>
            <w:proofErr w:type="gramStart"/>
            <w:r w:rsidRPr="00290575">
              <w:rPr>
                <w:rFonts w:cstheme="minorHAnsi"/>
                <w:sz w:val="20"/>
                <w:szCs w:val="20"/>
              </w:rPr>
              <w:t>BB;</w:t>
            </w:r>
            <w:proofErr w:type="gramEnd"/>
          </w:p>
          <w:p w14:paraId="7098EC70" w14:textId="43C4215F" w:rsidR="004031D7" w:rsidRPr="00290575" w:rsidRDefault="004031D7" w:rsidP="00FE375A">
            <w:pPr>
              <w:rPr>
                <w:rFonts w:cstheme="minorHAnsi"/>
                <w:sz w:val="20"/>
                <w:szCs w:val="20"/>
              </w:rPr>
            </w:pPr>
            <w:r w:rsidRPr="00290575">
              <w:rPr>
                <w:rFonts w:cstheme="minorHAnsi"/>
                <w:sz w:val="20"/>
                <w:szCs w:val="20"/>
              </w:rPr>
              <w:t>29% had ACE</w:t>
            </w:r>
            <w:r w:rsidR="00AC663D">
              <w:rPr>
                <w:rFonts w:cstheme="minorHAnsi"/>
                <w:sz w:val="20"/>
                <w:szCs w:val="20"/>
              </w:rPr>
              <w:t>i</w:t>
            </w:r>
            <w:r w:rsidRPr="00290575">
              <w:rPr>
                <w:rFonts w:cstheme="minorHAnsi"/>
                <w:sz w:val="20"/>
                <w:szCs w:val="20"/>
              </w:rPr>
              <w:t>/</w:t>
            </w:r>
            <w:proofErr w:type="gramStart"/>
            <w:r w:rsidRPr="00290575">
              <w:rPr>
                <w:rFonts w:cstheme="minorHAnsi"/>
                <w:sz w:val="20"/>
                <w:szCs w:val="20"/>
              </w:rPr>
              <w:t>ARB;</w:t>
            </w:r>
            <w:proofErr w:type="gramEnd"/>
            <w:r w:rsidRPr="00290575">
              <w:rPr>
                <w:rFonts w:cstheme="minorHAnsi"/>
                <w:sz w:val="20"/>
                <w:szCs w:val="20"/>
              </w:rPr>
              <w:t xml:space="preserve"> </w:t>
            </w:r>
          </w:p>
          <w:p w14:paraId="427F84A7" w14:textId="77777777" w:rsidR="004031D7" w:rsidRPr="00290575" w:rsidRDefault="004031D7" w:rsidP="00FE375A">
            <w:pPr>
              <w:rPr>
                <w:rFonts w:cstheme="minorHAnsi"/>
                <w:sz w:val="20"/>
                <w:szCs w:val="20"/>
              </w:rPr>
            </w:pPr>
            <w:r w:rsidRPr="00290575">
              <w:rPr>
                <w:rFonts w:cstheme="minorHAnsi"/>
                <w:sz w:val="20"/>
                <w:szCs w:val="20"/>
              </w:rPr>
              <w:t xml:space="preserve">5% had </w:t>
            </w:r>
            <w:proofErr w:type="gramStart"/>
            <w:r w:rsidRPr="00290575">
              <w:rPr>
                <w:rFonts w:cstheme="minorHAnsi"/>
                <w:sz w:val="20"/>
                <w:szCs w:val="20"/>
              </w:rPr>
              <w:t>ARNI;</w:t>
            </w:r>
            <w:proofErr w:type="gramEnd"/>
          </w:p>
          <w:p w14:paraId="48BC0FF5" w14:textId="77777777" w:rsidR="00740478" w:rsidRPr="00290575" w:rsidRDefault="00740478" w:rsidP="00FE375A">
            <w:pPr>
              <w:rPr>
                <w:rFonts w:cstheme="minorHAnsi"/>
                <w:sz w:val="20"/>
                <w:szCs w:val="20"/>
              </w:rPr>
            </w:pPr>
          </w:p>
          <w:p w14:paraId="79BEFBBC" w14:textId="467D0B7C" w:rsidR="004031D7" w:rsidRPr="00290575" w:rsidDel="001F7FF8" w:rsidRDefault="004031D7" w:rsidP="00FE375A">
            <w:pPr>
              <w:rPr>
                <w:rFonts w:cstheme="minorHAnsi"/>
                <w:sz w:val="20"/>
                <w:szCs w:val="20"/>
              </w:rPr>
            </w:pPr>
            <w:r w:rsidRPr="00290575">
              <w:rPr>
                <w:rFonts w:cstheme="minorHAnsi"/>
                <w:sz w:val="20"/>
                <w:szCs w:val="20"/>
              </w:rPr>
              <w:t xml:space="preserve">88% did not receive </w:t>
            </w:r>
            <w:r w:rsidR="00290575" w:rsidRPr="00290575">
              <w:rPr>
                <w:rFonts w:cstheme="minorHAnsi"/>
                <w:sz w:val="20"/>
                <w:szCs w:val="20"/>
              </w:rPr>
              <w:t>an</w:t>
            </w:r>
            <w:r w:rsidRPr="00290575">
              <w:rPr>
                <w:rFonts w:cstheme="minorHAnsi"/>
                <w:sz w:val="20"/>
                <w:szCs w:val="20"/>
              </w:rPr>
              <w:t xml:space="preserve"> SGLT2 </w:t>
            </w:r>
            <w:r w:rsidR="00290575" w:rsidRPr="00290575">
              <w:rPr>
                <w:rFonts w:cstheme="minorHAnsi"/>
                <w:sz w:val="20"/>
                <w:szCs w:val="20"/>
              </w:rPr>
              <w:t>listed for indications other than heart failure</w:t>
            </w:r>
          </w:p>
        </w:tc>
        <w:tc>
          <w:tcPr>
            <w:tcW w:w="1634" w:type="dxa"/>
          </w:tcPr>
          <w:p w14:paraId="6B3521F4" w14:textId="4111AE96" w:rsidR="00E56945" w:rsidRPr="00290575" w:rsidRDefault="00E56945" w:rsidP="00E56945">
            <w:pPr>
              <w:rPr>
                <w:sz w:val="20"/>
                <w:szCs w:val="20"/>
              </w:rPr>
            </w:pPr>
            <w:r w:rsidRPr="00290575">
              <w:rPr>
                <w:sz w:val="20"/>
                <w:szCs w:val="20"/>
              </w:rPr>
              <w:t>43% had no add-on therapy with any BB/ACE</w:t>
            </w:r>
            <w:r w:rsidR="00AC663D">
              <w:rPr>
                <w:sz w:val="20"/>
                <w:szCs w:val="20"/>
              </w:rPr>
              <w:t>i</w:t>
            </w:r>
            <w:r w:rsidRPr="00290575">
              <w:rPr>
                <w:sz w:val="20"/>
                <w:szCs w:val="20"/>
              </w:rPr>
              <w:t xml:space="preserve">/ARB/ARNI </w:t>
            </w:r>
          </w:p>
          <w:p w14:paraId="741F9C22" w14:textId="77777777" w:rsidR="004031D7" w:rsidRPr="00290575" w:rsidRDefault="004031D7" w:rsidP="00FE375A">
            <w:pPr>
              <w:rPr>
                <w:rFonts w:cstheme="minorHAnsi"/>
                <w:sz w:val="20"/>
                <w:szCs w:val="20"/>
              </w:rPr>
            </w:pPr>
          </w:p>
          <w:p w14:paraId="060EBB19" w14:textId="77777777" w:rsidR="00E56945" w:rsidRPr="00290575" w:rsidRDefault="00E56945" w:rsidP="00FE375A">
            <w:pPr>
              <w:rPr>
                <w:rFonts w:cstheme="minorHAnsi"/>
                <w:sz w:val="20"/>
                <w:szCs w:val="20"/>
              </w:rPr>
            </w:pPr>
          </w:p>
          <w:p w14:paraId="0A705C8D" w14:textId="77777777" w:rsidR="00E56945" w:rsidRPr="00290575" w:rsidRDefault="00E56945" w:rsidP="00FE375A">
            <w:pPr>
              <w:rPr>
                <w:rFonts w:cstheme="minorHAnsi"/>
                <w:sz w:val="20"/>
                <w:szCs w:val="20"/>
              </w:rPr>
            </w:pPr>
          </w:p>
          <w:p w14:paraId="48134D6C" w14:textId="77777777" w:rsidR="00E56945" w:rsidRPr="00290575" w:rsidRDefault="00E56945" w:rsidP="00FE375A">
            <w:pPr>
              <w:rPr>
                <w:rFonts w:cstheme="minorHAnsi"/>
                <w:sz w:val="20"/>
                <w:szCs w:val="20"/>
              </w:rPr>
            </w:pPr>
          </w:p>
          <w:p w14:paraId="3CE5654D" w14:textId="1A5D5E6A" w:rsidR="00E56945" w:rsidRPr="00290575" w:rsidRDefault="00E56945" w:rsidP="00FE375A">
            <w:pPr>
              <w:rPr>
                <w:rFonts w:cstheme="minorHAnsi"/>
                <w:sz w:val="20"/>
                <w:szCs w:val="20"/>
              </w:rPr>
            </w:pPr>
          </w:p>
          <w:p w14:paraId="0AFBC833" w14:textId="783C0F23" w:rsidR="00290575" w:rsidRPr="00290575" w:rsidRDefault="00290575" w:rsidP="00FE375A">
            <w:pPr>
              <w:rPr>
                <w:rFonts w:cstheme="minorHAnsi"/>
                <w:sz w:val="20"/>
                <w:szCs w:val="20"/>
              </w:rPr>
            </w:pPr>
          </w:p>
          <w:p w14:paraId="331D9DEA" w14:textId="123FD893" w:rsidR="00290575" w:rsidRPr="00290575" w:rsidRDefault="00290575" w:rsidP="00FE375A">
            <w:pPr>
              <w:rPr>
                <w:rFonts w:cstheme="minorHAnsi"/>
                <w:sz w:val="20"/>
                <w:szCs w:val="20"/>
              </w:rPr>
            </w:pPr>
          </w:p>
          <w:p w14:paraId="1EBAEEF5" w14:textId="77777777" w:rsidR="00290575" w:rsidRPr="00290575" w:rsidRDefault="00290575" w:rsidP="00FE375A">
            <w:pPr>
              <w:rPr>
                <w:rFonts w:cstheme="minorHAnsi"/>
                <w:sz w:val="20"/>
                <w:szCs w:val="20"/>
              </w:rPr>
            </w:pPr>
          </w:p>
          <w:p w14:paraId="16C30070" w14:textId="7A139440" w:rsidR="00E56945" w:rsidRPr="00290575" w:rsidRDefault="00E56945" w:rsidP="00FE375A">
            <w:pPr>
              <w:rPr>
                <w:rFonts w:cstheme="minorHAnsi"/>
                <w:sz w:val="20"/>
                <w:szCs w:val="20"/>
              </w:rPr>
            </w:pPr>
            <w:r w:rsidRPr="00290575">
              <w:rPr>
                <w:sz w:val="20"/>
                <w:szCs w:val="20"/>
              </w:rPr>
              <w:t>12% received any other SGLT2 (not for HF)</w:t>
            </w:r>
          </w:p>
        </w:tc>
      </w:tr>
      <w:tr w:rsidR="004031D7" w:rsidRPr="00290575" w14:paraId="01A00359" w14:textId="51F4750B" w:rsidTr="004E77A9">
        <w:tc>
          <w:tcPr>
            <w:tcW w:w="1227" w:type="dxa"/>
          </w:tcPr>
          <w:p w14:paraId="6E4FACBB" w14:textId="77777777" w:rsidR="004031D7" w:rsidRPr="00290575" w:rsidRDefault="004031D7" w:rsidP="00FE375A">
            <w:pPr>
              <w:rPr>
                <w:rFonts w:cstheme="minorHAnsi"/>
                <w:sz w:val="20"/>
                <w:szCs w:val="20"/>
              </w:rPr>
            </w:pPr>
            <w:r w:rsidRPr="00290575">
              <w:rPr>
                <w:rFonts w:cstheme="minorHAnsi"/>
                <w:sz w:val="20"/>
                <w:szCs w:val="20"/>
              </w:rPr>
              <w:t>MRA for HF</w:t>
            </w:r>
          </w:p>
          <w:p w14:paraId="507600E9" w14:textId="7BDE84B1" w:rsidR="004031D7" w:rsidRPr="00290575" w:rsidRDefault="004031D7" w:rsidP="00290575">
            <w:pPr>
              <w:rPr>
                <w:rFonts w:cstheme="minorHAnsi"/>
                <w:sz w:val="20"/>
                <w:szCs w:val="20"/>
              </w:rPr>
            </w:pPr>
            <w:r w:rsidRPr="00290575">
              <w:rPr>
                <w:rFonts w:cstheme="minorHAnsi"/>
                <w:sz w:val="20"/>
                <w:szCs w:val="20"/>
              </w:rPr>
              <w:t>(N=1197)</w:t>
            </w:r>
          </w:p>
        </w:tc>
        <w:tc>
          <w:tcPr>
            <w:tcW w:w="4869" w:type="dxa"/>
          </w:tcPr>
          <w:p w14:paraId="03DB840F" w14:textId="4D37765F" w:rsidR="004031D7" w:rsidRPr="00290575" w:rsidRDefault="004031D7" w:rsidP="004F4A9F">
            <w:pPr>
              <w:rPr>
                <w:rFonts w:cstheme="minorHAnsi"/>
                <w:sz w:val="20"/>
                <w:szCs w:val="20"/>
              </w:rPr>
            </w:pPr>
            <w:r w:rsidRPr="00290575">
              <w:rPr>
                <w:rFonts w:cstheme="minorHAnsi"/>
                <w:sz w:val="20"/>
                <w:szCs w:val="20"/>
              </w:rPr>
              <w:t>No PBS requirement for prior/concomitant use of other medicines.</w:t>
            </w:r>
          </w:p>
        </w:tc>
        <w:tc>
          <w:tcPr>
            <w:tcW w:w="2052" w:type="dxa"/>
          </w:tcPr>
          <w:p w14:paraId="3AFFC7C7" w14:textId="77777777" w:rsidR="004031D7" w:rsidRPr="00290575" w:rsidDel="001F7FF8" w:rsidRDefault="004031D7" w:rsidP="00FE375A">
            <w:pPr>
              <w:rPr>
                <w:rFonts w:cstheme="minorHAnsi"/>
                <w:sz w:val="20"/>
                <w:szCs w:val="20"/>
              </w:rPr>
            </w:pPr>
            <w:r w:rsidRPr="00290575">
              <w:rPr>
                <w:rFonts w:cstheme="minorHAnsi"/>
                <w:sz w:val="20"/>
                <w:szCs w:val="20"/>
              </w:rPr>
              <w:t>No restrictions</w:t>
            </w:r>
          </w:p>
        </w:tc>
        <w:tc>
          <w:tcPr>
            <w:tcW w:w="1634" w:type="dxa"/>
          </w:tcPr>
          <w:p w14:paraId="2A3B1538" w14:textId="2A2F0EFE" w:rsidR="004031D7" w:rsidRPr="00290575" w:rsidRDefault="00E56945" w:rsidP="00FE375A">
            <w:pPr>
              <w:rPr>
                <w:rFonts w:cstheme="minorHAnsi"/>
                <w:sz w:val="20"/>
                <w:szCs w:val="20"/>
              </w:rPr>
            </w:pPr>
            <w:r w:rsidRPr="00290575">
              <w:rPr>
                <w:rFonts w:cstheme="minorHAnsi"/>
                <w:sz w:val="20"/>
                <w:szCs w:val="20"/>
              </w:rPr>
              <w:t>No restrictions</w:t>
            </w:r>
          </w:p>
        </w:tc>
      </w:tr>
      <w:tr w:rsidR="004031D7" w:rsidRPr="00290575" w14:paraId="124CCCDD" w14:textId="37A9C03D" w:rsidTr="004E77A9">
        <w:tc>
          <w:tcPr>
            <w:tcW w:w="1227" w:type="dxa"/>
          </w:tcPr>
          <w:p w14:paraId="72AD2FF1" w14:textId="77777777" w:rsidR="004031D7" w:rsidRPr="00290575" w:rsidRDefault="004031D7" w:rsidP="00FE375A">
            <w:pPr>
              <w:rPr>
                <w:rFonts w:cstheme="minorHAnsi"/>
                <w:sz w:val="20"/>
                <w:szCs w:val="20"/>
              </w:rPr>
            </w:pPr>
            <w:r w:rsidRPr="00290575">
              <w:rPr>
                <w:rFonts w:cstheme="minorHAnsi"/>
                <w:sz w:val="20"/>
                <w:szCs w:val="20"/>
              </w:rPr>
              <w:t xml:space="preserve">HCN </w:t>
            </w:r>
          </w:p>
          <w:p w14:paraId="79151CBF" w14:textId="77777777" w:rsidR="004031D7" w:rsidRPr="00290575" w:rsidRDefault="004031D7" w:rsidP="00FE375A">
            <w:pPr>
              <w:rPr>
                <w:rFonts w:cstheme="minorHAnsi"/>
                <w:sz w:val="20"/>
                <w:szCs w:val="20"/>
              </w:rPr>
            </w:pPr>
            <w:r w:rsidRPr="00290575">
              <w:rPr>
                <w:rFonts w:cstheme="minorHAnsi"/>
                <w:sz w:val="20"/>
                <w:szCs w:val="20"/>
              </w:rPr>
              <w:t>(N=1705)</w:t>
            </w:r>
          </w:p>
        </w:tc>
        <w:tc>
          <w:tcPr>
            <w:tcW w:w="4869" w:type="dxa"/>
          </w:tcPr>
          <w:p w14:paraId="39FCBBDB" w14:textId="77777777" w:rsidR="004031D7" w:rsidRPr="00290575" w:rsidRDefault="004031D7" w:rsidP="00FE375A">
            <w:pPr>
              <w:rPr>
                <w:rFonts w:cstheme="minorHAnsi"/>
                <w:sz w:val="20"/>
                <w:szCs w:val="20"/>
              </w:rPr>
            </w:pPr>
            <w:r w:rsidRPr="00290575">
              <w:rPr>
                <w:rFonts w:cstheme="minorHAnsi"/>
                <w:sz w:val="20"/>
                <w:szCs w:val="20"/>
              </w:rPr>
              <w:t xml:space="preserve">Patient must receive </w:t>
            </w:r>
            <w:r w:rsidRPr="00290575">
              <w:rPr>
                <w:rFonts w:cstheme="minorHAnsi"/>
                <w:b/>
                <w:bCs/>
                <w:sz w:val="20"/>
                <w:szCs w:val="20"/>
              </w:rPr>
              <w:t>concomitant</w:t>
            </w:r>
            <w:r w:rsidRPr="00290575">
              <w:rPr>
                <w:rFonts w:cstheme="minorHAnsi"/>
                <w:sz w:val="20"/>
                <w:szCs w:val="20"/>
              </w:rPr>
              <w:t xml:space="preserve"> optimal standard chronic HF treatment, which must include the maximum tolerated dose of a BB, unless contraindicated or not tolerated.</w:t>
            </w:r>
          </w:p>
        </w:tc>
        <w:tc>
          <w:tcPr>
            <w:tcW w:w="2052" w:type="dxa"/>
          </w:tcPr>
          <w:p w14:paraId="2FBF8CC3" w14:textId="77777777" w:rsidR="004031D7" w:rsidRPr="00290575" w:rsidRDefault="004031D7" w:rsidP="00FE375A">
            <w:pPr>
              <w:rPr>
                <w:rFonts w:cstheme="minorHAnsi"/>
                <w:sz w:val="20"/>
                <w:szCs w:val="20"/>
              </w:rPr>
            </w:pPr>
            <w:r w:rsidRPr="00290575">
              <w:rPr>
                <w:rFonts w:cstheme="minorHAnsi"/>
                <w:sz w:val="20"/>
                <w:szCs w:val="20"/>
              </w:rPr>
              <w:t>17% had concomitant use of any BB</w:t>
            </w:r>
          </w:p>
          <w:p w14:paraId="6287E443" w14:textId="77777777" w:rsidR="004031D7" w:rsidRPr="00290575" w:rsidRDefault="004031D7" w:rsidP="00FE375A">
            <w:pPr>
              <w:rPr>
                <w:rFonts w:cstheme="minorHAnsi"/>
                <w:sz w:val="20"/>
                <w:szCs w:val="20"/>
              </w:rPr>
            </w:pPr>
          </w:p>
        </w:tc>
        <w:tc>
          <w:tcPr>
            <w:tcW w:w="1634" w:type="dxa"/>
          </w:tcPr>
          <w:p w14:paraId="0640B529" w14:textId="5903FCEB" w:rsidR="004031D7" w:rsidRPr="00290575" w:rsidRDefault="00E56945" w:rsidP="00FE375A">
            <w:pPr>
              <w:rPr>
                <w:rFonts w:cstheme="minorHAnsi"/>
                <w:sz w:val="20"/>
                <w:szCs w:val="20"/>
              </w:rPr>
            </w:pPr>
            <w:r w:rsidRPr="00290575">
              <w:rPr>
                <w:rFonts w:cstheme="minorHAnsi"/>
                <w:sz w:val="20"/>
                <w:szCs w:val="20"/>
              </w:rPr>
              <w:t>83% had no concomitant use of any BB</w:t>
            </w:r>
          </w:p>
        </w:tc>
      </w:tr>
    </w:tbl>
    <w:p w14:paraId="61B77B25" w14:textId="53434AF4" w:rsidR="00DB7431" w:rsidRPr="00DB7431" w:rsidRDefault="00DB7431" w:rsidP="00DB7431">
      <w:pPr>
        <w:spacing w:after="0" w:line="240" w:lineRule="auto"/>
        <w:rPr>
          <w:i/>
          <w:iCs/>
        </w:rPr>
      </w:pPr>
      <w:r w:rsidRPr="00DB7431">
        <w:rPr>
          <w:rFonts w:cstheme="minorHAnsi"/>
          <w:i/>
          <w:iCs/>
          <w:szCs w:val="18"/>
        </w:rPr>
        <w:t xml:space="preserve">Notes: </w:t>
      </w:r>
      <w:r w:rsidRPr="00DB7431">
        <w:rPr>
          <w:i/>
          <w:iCs/>
        </w:rPr>
        <w:t xml:space="preserve">Co-use:  add on therapy, concomitant </w:t>
      </w:r>
      <w:proofErr w:type="gramStart"/>
      <w:r w:rsidRPr="00DB7431">
        <w:rPr>
          <w:i/>
          <w:iCs/>
        </w:rPr>
        <w:t>use</w:t>
      </w:r>
      <w:r w:rsidR="00290575">
        <w:rPr>
          <w:i/>
          <w:iCs/>
        </w:rPr>
        <w:t xml:space="preserve"> </w:t>
      </w:r>
      <w:r w:rsidR="00290575" w:rsidRPr="00DB7431">
        <w:rPr>
          <w:i/>
          <w:iCs/>
        </w:rPr>
        <w:t xml:space="preserve"> (</w:t>
      </w:r>
      <w:proofErr w:type="gramEnd"/>
      <w:r w:rsidR="00290575" w:rsidRPr="00290575">
        <w:rPr>
          <w:i/>
          <w:iCs/>
        </w:rPr>
        <w:t>within 30 days prior or 30 days post</w:t>
      </w:r>
      <w:r w:rsidR="00290575" w:rsidRPr="00DB7431">
        <w:rPr>
          <w:i/>
          <w:iCs/>
        </w:rPr>
        <w:t xml:space="preserve"> initiation)</w:t>
      </w:r>
      <w:r w:rsidRPr="00DB7431">
        <w:rPr>
          <w:i/>
          <w:iCs/>
        </w:rPr>
        <w:t>;</w:t>
      </w:r>
    </w:p>
    <w:p w14:paraId="56FC1926" w14:textId="77777777" w:rsidR="00DB7431" w:rsidRPr="00DB7431" w:rsidRDefault="00DB7431" w:rsidP="00DB7431">
      <w:pPr>
        <w:spacing w:after="0" w:line="240" w:lineRule="auto"/>
        <w:rPr>
          <w:i/>
          <w:iCs/>
        </w:rPr>
      </w:pPr>
      <w:r w:rsidRPr="00DB7431">
        <w:rPr>
          <w:i/>
          <w:iCs/>
        </w:rPr>
        <w:t xml:space="preserve">             Prior use: stabilised on a given medicine at time of initiation (365 days prior to initiation</w:t>
      </w:r>
      <w:proofErr w:type="gramStart"/>
      <w:r w:rsidRPr="00DB7431">
        <w:rPr>
          <w:i/>
          <w:iCs/>
        </w:rPr>
        <w:t>);</w:t>
      </w:r>
      <w:proofErr w:type="gramEnd"/>
    </w:p>
    <w:p w14:paraId="6990D3C8" w14:textId="77777777" w:rsidR="00290575" w:rsidRDefault="00DB7431" w:rsidP="00290575">
      <w:pPr>
        <w:spacing w:after="0" w:line="240" w:lineRule="auto"/>
        <w:rPr>
          <w:i/>
          <w:iCs/>
        </w:rPr>
      </w:pPr>
      <w:r w:rsidRPr="00DB7431">
        <w:rPr>
          <w:i/>
          <w:iCs/>
        </w:rPr>
        <w:t xml:space="preserve">             </w:t>
      </w:r>
      <w:r w:rsidR="00290575">
        <w:rPr>
          <w:i/>
          <w:iCs/>
        </w:rPr>
        <w:t>C</w:t>
      </w:r>
      <w:r w:rsidR="00290575" w:rsidRPr="00DB7431">
        <w:rPr>
          <w:i/>
          <w:iCs/>
        </w:rPr>
        <w:t>oncomitant use not permitted/must not be</w:t>
      </w:r>
      <w:r w:rsidR="00290575">
        <w:rPr>
          <w:i/>
          <w:iCs/>
        </w:rPr>
        <w:t xml:space="preserve"> </w:t>
      </w:r>
      <w:r w:rsidR="00290575" w:rsidRPr="00DB7431">
        <w:rPr>
          <w:i/>
          <w:iCs/>
        </w:rPr>
        <w:t>receiving treatment with a given medicine</w:t>
      </w:r>
      <w:r w:rsidR="00290575">
        <w:rPr>
          <w:i/>
          <w:iCs/>
        </w:rPr>
        <w:t xml:space="preserve">: </w:t>
      </w:r>
      <w:r w:rsidRPr="00DB7431">
        <w:rPr>
          <w:i/>
          <w:iCs/>
        </w:rPr>
        <w:t xml:space="preserve">No </w:t>
      </w:r>
    </w:p>
    <w:p w14:paraId="4652844C" w14:textId="1162E7A5" w:rsidR="00DB7431" w:rsidRDefault="00290575" w:rsidP="00290575">
      <w:pPr>
        <w:spacing w:after="0" w:line="240" w:lineRule="auto"/>
        <w:rPr>
          <w:i/>
          <w:iCs/>
        </w:rPr>
      </w:pPr>
      <w:r>
        <w:rPr>
          <w:i/>
          <w:iCs/>
        </w:rPr>
        <w:t xml:space="preserve">             </w:t>
      </w:r>
      <w:r w:rsidR="00DB7431" w:rsidRPr="00DB7431">
        <w:rPr>
          <w:i/>
          <w:iCs/>
        </w:rPr>
        <w:t xml:space="preserve">co-use within 30 days post initiation: </w:t>
      </w:r>
    </w:p>
    <w:p w14:paraId="6AC74E9A" w14:textId="77777777" w:rsidR="00E56945" w:rsidRDefault="00E56945" w:rsidP="00E56945">
      <w:pPr>
        <w:spacing w:after="0" w:line="240" w:lineRule="auto"/>
        <w:rPr>
          <w:rFonts w:cstheme="minorHAnsi"/>
          <w:i/>
          <w:iCs/>
          <w:sz w:val="18"/>
          <w:szCs w:val="18"/>
        </w:rPr>
      </w:pPr>
      <w:r w:rsidRPr="008E2AAA">
        <w:rPr>
          <w:rFonts w:cstheme="minorHAnsi"/>
          <w:i/>
          <w:iCs/>
          <w:sz w:val="18"/>
          <w:szCs w:val="18"/>
        </w:rPr>
        <w:t xml:space="preserve">Legend: </w:t>
      </w:r>
    </w:p>
    <w:p w14:paraId="7B1F65A6" w14:textId="77777777" w:rsidR="00E56945" w:rsidRDefault="00E56945" w:rsidP="00E56945">
      <w:pPr>
        <w:spacing w:after="0" w:line="240" w:lineRule="auto"/>
        <w:rPr>
          <w:rFonts w:cstheme="minorHAnsi"/>
          <w:i/>
          <w:iCs/>
          <w:sz w:val="18"/>
          <w:szCs w:val="18"/>
        </w:rPr>
      </w:pPr>
      <w:r w:rsidRPr="008E2AAA">
        <w:rPr>
          <w:rFonts w:cstheme="minorHAnsi"/>
          <w:i/>
          <w:iCs/>
          <w:sz w:val="18"/>
          <w:szCs w:val="18"/>
        </w:rPr>
        <w:t>BB – Beta-Blockers</w:t>
      </w:r>
      <w:r>
        <w:rPr>
          <w:rFonts w:cstheme="minorHAnsi"/>
          <w:i/>
          <w:iCs/>
          <w:sz w:val="18"/>
          <w:szCs w:val="18"/>
        </w:rPr>
        <w:t xml:space="preserve"> </w:t>
      </w:r>
    </w:p>
    <w:p w14:paraId="7E8B8D4F" w14:textId="17B30AD7" w:rsidR="00E56945" w:rsidRDefault="00E56945" w:rsidP="00E56945">
      <w:pPr>
        <w:spacing w:after="0" w:line="240" w:lineRule="auto"/>
        <w:rPr>
          <w:rFonts w:cstheme="minorHAnsi"/>
          <w:i/>
          <w:iCs/>
          <w:sz w:val="18"/>
          <w:szCs w:val="18"/>
        </w:rPr>
      </w:pPr>
      <w:r w:rsidRPr="008E2AAA">
        <w:rPr>
          <w:rFonts w:cstheme="minorHAnsi"/>
          <w:i/>
          <w:iCs/>
          <w:sz w:val="18"/>
          <w:szCs w:val="18"/>
        </w:rPr>
        <w:t>ACE</w:t>
      </w:r>
      <w:r w:rsidR="00AC663D">
        <w:rPr>
          <w:rFonts w:cstheme="minorHAnsi"/>
          <w:i/>
          <w:iCs/>
          <w:sz w:val="18"/>
          <w:szCs w:val="18"/>
        </w:rPr>
        <w:t>i</w:t>
      </w:r>
      <w:r w:rsidRPr="008E2AAA">
        <w:rPr>
          <w:rFonts w:cstheme="minorHAnsi"/>
          <w:i/>
          <w:iCs/>
          <w:sz w:val="18"/>
          <w:szCs w:val="18"/>
        </w:rPr>
        <w:t xml:space="preserve"> – Angiotensin-converting enzyme inhibitor</w:t>
      </w:r>
      <w:r>
        <w:rPr>
          <w:rFonts w:cstheme="minorHAnsi"/>
          <w:i/>
          <w:iCs/>
          <w:sz w:val="18"/>
          <w:szCs w:val="18"/>
        </w:rPr>
        <w:t xml:space="preserve"> (including in FDC)</w:t>
      </w:r>
    </w:p>
    <w:p w14:paraId="4AB90137" w14:textId="77777777" w:rsidR="00E56945" w:rsidRDefault="00E56945" w:rsidP="00E56945">
      <w:pPr>
        <w:spacing w:after="0" w:line="240" w:lineRule="auto"/>
        <w:rPr>
          <w:rFonts w:cstheme="minorHAnsi"/>
          <w:i/>
          <w:iCs/>
          <w:sz w:val="18"/>
          <w:szCs w:val="18"/>
        </w:rPr>
      </w:pPr>
      <w:r w:rsidRPr="008E2AAA">
        <w:rPr>
          <w:rFonts w:cstheme="minorHAnsi"/>
          <w:i/>
          <w:iCs/>
          <w:sz w:val="18"/>
          <w:szCs w:val="18"/>
        </w:rPr>
        <w:t>ARB – Angiotensin receptor blocker</w:t>
      </w:r>
      <w:r>
        <w:rPr>
          <w:rFonts w:cstheme="minorHAnsi"/>
          <w:i/>
          <w:iCs/>
          <w:sz w:val="18"/>
          <w:szCs w:val="18"/>
        </w:rPr>
        <w:t xml:space="preserve"> (including in FDC) </w:t>
      </w:r>
    </w:p>
    <w:p w14:paraId="36707C03" w14:textId="77777777" w:rsidR="00E56945" w:rsidRPr="008E2AAA" w:rsidRDefault="00E56945" w:rsidP="00E56945">
      <w:pPr>
        <w:spacing w:after="0" w:line="240" w:lineRule="auto"/>
        <w:rPr>
          <w:rFonts w:cstheme="minorHAnsi"/>
          <w:i/>
          <w:iCs/>
          <w:sz w:val="18"/>
          <w:szCs w:val="18"/>
        </w:rPr>
      </w:pPr>
      <w:r w:rsidRPr="008E2AAA">
        <w:rPr>
          <w:rFonts w:cstheme="minorHAnsi"/>
          <w:i/>
          <w:iCs/>
          <w:sz w:val="18"/>
          <w:szCs w:val="18"/>
        </w:rPr>
        <w:t>SGLT</w:t>
      </w:r>
      <w:proofErr w:type="gramStart"/>
      <w:r w:rsidRPr="008E2AAA">
        <w:rPr>
          <w:rFonts w:cstheme="minorHAnsi"/>
          <w:i/>
          <w:iCs/>
          <w:sz w:val="18"/>
          <w:szCs w:val="18"/>
        </w:rPr>
        <w:t>2</w:t>
      </w:r>
      <w:r>
        <w:rPr>
          <w:rFonts w:cstheme="minorHAnsi"/>
          <w:i/>
          <w:iCs/>
          <w:sz w:val="18"/>
          <w:szCs w:val="18"/>
        </w:rPr>
        <w:t xml:space="preserve"> </w:t>
      </w:r>
      <w:r w:rsidRPr="008E2AAA">
        <w:rPr>
          <w:rFonts w:cstheme="minorHAnsi"/>
          <w:i/>
          <w:iCs/>
          <w:sz w:val="18"/>
          <w:szCs w:val="18"/>
        </w:rPr>
        <w:t xml:space="preserve"> –</w:t>
      </w:r>
      <w:proofErr w:type="gramEnd"/>
      <w:r w:rsidRPr="008E2AAA">
        <w:rPr>
          <w:rFonts w:cstheme="minorHAnsi"/>
          <w:i/>
          <w:iCs/>
          <w:sz w:val="18"/>
          <w:szCs w:val="18"/>
        </w:rPr>
        <w:t xml:space="preserve"> Sodium-glucose co-transporter 2 inhibitors</w:t>
      </w:r>
      <w:r>
        <w:rPr>
          <w:rFonts w:cstheme="minorHAnsi"/>
          <w:i/>
          <w:iCs/>
          <w:sz w:val="18"/>
          <w:szCs w:val="18"/>
        </w:rPr>
        <w:t xml:space="preserve"> </w:t>
      </w:r>
    </w:p>
    <w:p w14:paraId="1452618C" w14:textId="77777777" w:rsidR="00E56945" w:rsidRDefault="00E56945" w:rsidP="00E56945">
      <w:pPr>
        <w:spacing w:after="0" w:line="240" w:lineRule="auto"/>
        <w:rPr>
          <w:rFonts w:cstheme="minorHAnsi"/>
          <w:i/>
          <w:iCs/>
          <w:sz w:val="18"/>
          <w:szCs w:val="18"/>
        </w:rPr>
      </w:pPr>
      <w:r w:rsidRPr="008E2AAA">
        <w:rPr>
          <w:rFonts w:cstheme="minorHAnsi"/>
          <w:i/>
          <w:iCs/>
          <w:sz w:val="18"/>
          <w:szCs w:val="18"/>
        </w:rPr>
        <w:t xml:space="preserve">ARNI – angiotensin receptor neprilysin inhibitor </w:t>
      </w:r>
    </w:p>
    <w:p w14:paraId="37750543" w14:textId="77777777" w:rsidR="00E56945" w:rsidRPr="008B0243" w:rsidRDefault="00E56945" w:rsidP="00E56945">
      <w:pPr>
        <w:spacing w:after="0" w:line="240" w:lineRule="auto"/>
        <w:rPr>
          <w:rFonts w:cstheme="minorHAnsi"/>
          <w:i/>
          <w:iCs/>
          <w:sz w:val="18"/>
          <w:szCs w:val="18"/>
        </w:rPr>
      </w:pPr>
      <w:r>
        <w:rPr>
          <w:rFonts w:cstheme="minorHAnsi"/>
          <w:i/>
          <w:iCs/>
          <w:sz w:val="18"/>
          <w:szCs w:val="18"/>
        </w:rPr>
        <w:t xml:space="preserve">MRA - </w:t>
      </w:r>
      <w:r w:rsidRPr="008B0243">
        <w:rPr>
          <w:rFonts w:cstheme="minorHAnsi"/>
          <w:i/>
          <w:iCs/>
          <w:sz w:val="18"/>
          <w:szCs w:val="18"/>
        </w:rPr>
        <w:t>Mineralocorticoid receptor antagonist</w:t>
      </w:r>
      <w:r>
        <w:rPr>
          <w:rFonts w:cstheme="minorHAnsi"/>
          <w:i/>
          <w:iCs/>
          <w:sz w:val="18"/>
          <w:szCs w:val="18"/>
        </w:rPr>
        <w:t xml:space="preserve"> </w:t>
      </w:r>
    </w:p>
    <w:p w14:paraId="1F57A72B" w14:textId="77777777" w:rsidR="00E56945" w:rsidRDefault="00E56945" w:rsidP="00E56945">
      <w:pPr>
        <w:spacing w:after="0" w:line="240" w:lineRule="auto"/>
        <w:rPr>
          <w:rFonts w:cstheme="minorHAnsi"/>
          <w:i/>
          <w:iCs/>
          <w:sz w:val="18"/>
          <w:szCs w:val="18"/>
        </w:rPr>
      </w:pPr>
      <w:r>
        <w:rPr>
          <w:rFonts w:cstheme="minorHAnsi"/>
          <w:i/>
          <w:iCs/>
          <w:sz w:val="18"/>
          <w:szCs w:val="18"/>
        </w:rPr>
        <w:t>HCN</w:t>
      </w:r>
      <w:r w:rsidRPr="008E2AAA">
        <w:rPr>
          <w:rFonts w:cstheme="minorHAnsi"/>
          <w:i/>
          <w:iCs/>
          <w:sz w:val="18"/>
          <w:szCs w:val="18"/>
        </w:rPr>
        <w:t xml:space="preserve"> –</w:t>
      </w:r>
      <w:r>
        <w:rPr>
          <w:rFonts w:cstheme="minorHAnsi"/>
          <w:i/>
          <w:iCs/>
          <w:sz w:val="18"/>
          <w:szCs w:val="18"/>
        </w:rPr>
        <w:t xml:space="preserve"> HCN channel blocker</w:t>
      </w:r>
    </w:p>
    <w:p w14:paraId="00B4EF92" w14:textId="77777777" w:rsidR="00E56945" w:rsidRPr="009856CB" w:rsidRDefault="00E56945" w:rsidP="00E56945">
      <w:pPr>
        <w:spacing w:after="0"/>
        <w:rPr>
          <w:rFonts w:cstheme="minorHAnsi"/>
          <w:sz w:val="18"/>
          <w:szCs w:val="18"/>
        </w:rPr>
      </w:pPr>
      <w:r>
        <w:rPr>
          <w:rFonts w:cstheme="minorHAnsi"/>
          <w:i/>
          <w:iCs/>
          <w:sz w:val="18"/>
          <w:szCs w:val="18"/>
        </w:rPr>
        <w:t xml:space="preserve">sGC </w:t>
      </w:r>
      <w:proofErr w:type="gramStart"/>
      <w:r>
        <w:rPr>
          <w:rFonts w:cstheme="minorHAnsi"/>
          <w:i/>
          <w:iCs/>
          <w:sz w:val="18"/>
          <w:szCs w:val="18"/>
        </w:rPr>
        <w:t xml:space="preserve">-  </w:t>
      </w:r>
      <w:r w:rsidRPr="009856CB">
        <w:rPr>
          <w:rFonts w:cstheme="minorHAnsi"/>
          <w:sz w:val="18"/>
          <w:szCs w:val="18"/>
        </w:rPr>
        <w:t>soluble</w:t>
      </w:r>
      <w:proofErr w:type="gramEnd"/>
      <w:r w:rsidRPr="009856CB">
        <w:rPr>
          <w:rFonts w:cstheme="minorHAnsi"/>
          <w:sz w:val="18"/>
          <w:szCs w:val="18"/>
        </w:rPr>
        <w:t xml:space="preserve"> Guanylate Cyclase</w:t>
      </w:r>
    </w:p>
    <w:p w14:paraId="0DED2216" w14:textId="77777777" w:rsidR="00ED1A95" w:rsidRPr="005D1939" w:rsidRDefault="00ED1A95" w:rsidP="00F47FF1">
      <w:pPr>
        <w:jc w:val="both"/>
        <w:rPr>
          <w:rFonts w:cstheme="minorHAnsi"/>
          <w:b/>
          <w:bCs/>
          <w:i/>
          <w:iCs/>
          <w:szCs w:val="18"/>
        </w:rPr>
      </w:pPr>
      <w:r w:rsidRPr="005D1939">
        <w:rPr>
          <w:rFonts w:cstheme="minorHAnsi"/>
          <w:b/>
          <w:bCs/>
          <w:i/>
          <w:iCs/>
          <w:szCs w:val="18"/>
        </w:rPr>
        <w:t>Proportion of people on heart failure medicines (</w:t>
      </w:r>
      <w:r w:rsidR="008727DE" w:rsidRPr="005D1939">
        <w:rPr>
          <w:rFonts w:cstheme="minorHAnsi"/>
          <w:b/>
          <w:bCs/>
          <w:i/>
          <w:iCs/>
          <w:szCs w:val="18"/>
        </w:rPr>
        <w:t xml:space="preserve">listed in </w:t>
      </w:r>
      <w:r w:rsidRPr="005D1939">
        <w:rPr>
          <w:rFonts w:cstheme="minorHAnsi"/>
          <w:b/>
          <w:bCs/>
          <w:i/>
          <w:iCs/>
          <w:szCs w:val="18"/>
        </w:rPr>
        <w:t>Table 1) who are dispensed SGLT2</w:t>
      </w:r>
      <w:r w:rsidR="00900CA3" w:rsidRPr="005D1939">
        <w:rPr>
          <w:rFonts w:cstheme="minorHAnsi"/>
          <w:b/>
          <w:bCs/>
          <w:i/>
          <w:iCs/>
          <w:szCs w:val="18"/>
        </w:rPr>
        <w:t xml:space="preserve"> </w:t>
      </w:r>
      <w:r w:rsidRPr="005D1939">
        <w:rPr>
          <w:rFonts w:cstheme="minorHAnsi"/>
          <w:b/>
          <w:bCs/>
          <w:i/>
          <w:iCs/>
          <w:szCs w:val="18"/>
        </w:rPr>
        <w:t>i</w:t>
      </w:r>
      <w:r w:rsidR="00900CA3" w:rsidRPr="005D1939">
        <w:rPr>
          <w:rFonts w:cstheme="minorHAnsi"/>
          <w:b/>
          <w:bCs/>
          <w:i/>
          <w:iCs/>
          <w:szCs w:val="18"/>
        </w:rPr>
        <w:t>nhibitors</w:t>
      </w:r>
      <w:r w:rsidRPr="005D1939">
        <w:rPr>
          <w:rFonts w:cstheme="minorHAnsi"/>
          <w:b/>
          <w:bCs/>
          <w:i/>
          <w:iCs/>
          <w:szCs w:val="18"/>
        </w:rPr>
        <w:t xml:space="preserve"> not subsidised for heart failure</w:t>
      </w:r>
      <w:r w:rsidR="00AC7FE0">
        <w:rPr>
          <w:rFonts w:cstheme="minorHAnsi"/>
          <w:b/>
          <w:bCs/>
          <w:i/>
          <w:iCs/>
          <w:szCs w:val="18"/>
        </w:rPr>
        <w:t xml:space="preserve"> and were not dispensed any other diabetes medicines</w:t>
      </w:r>
      <w:r w:rsidR="00900CA3" w:rsidRPr="005D1939">
        <w:rPr>
          <w:rFonts w:cstheme="minorHAnsi"/>
          <w:b/>
          <w:bCs/>
          <w:i/>
          <w:iCs/>
          <w:szCs w:val="18"/>
        </w:rPr>
        <w:t>.</w:t>
      </w:r>
    </w:p>
    <w:p w14:paraId="37A7E6EC" w14:textId="292BC946" w:rsidR="006434C9" w:rsidRDefault="00D86B4F" w:rsidP="00356202">
      <w:pPr>
        <w:jc w:val="both"/>
        <w:rPr>
          <w:rFonts w:cstheme="minorHAnsi"/>
          <w:szCs w:val="18"/>
        </w:rPr>
      </w:pPr>
      <w:r>
        <w:rPr>
          <w:rFonts w:cstheme="minorHAnsi"/>
          <w:szCs w:val="18"/>
        </w:rPr>
        <w:t xml:space="preserve">SGLT2 inhibitors are listed on the PBS for indications other than heart failure. These are dapagliflozin for diabetes or </w:t>
      </w:r>
      <w:r w:rsidR="00776F9D">
        <w:rPr>
          <w:rFonts w:cstheme="minorHAnsi"/>
          <w:szCs w:val="18"/>
        </w:rPr>
        <w:t>chronic kidney disease (</w:t>
      </w:r>
      <w:r>
        <w:rPr>
          <w:rFonts w:cstheme="minorHAnsi"/>
          <w:szCs w:val="18"/>
        </w:rPr>
        <w:t>CKD</w:t>
      </w:r>
      <w:r w:rsidR="00776F9D">
        <w:rPr>
          <w:rFonts w:cstheme="minorHAnsi"/>
          <w:szCs w:val="18"/>
        </w:rPr>
        <w:t>)</w:t>
      </w:r>
      <w:r>
        <w:rPr>
          <w:rFonts w:cstheme="minorHAnsi"/>
          <w:szCs w:val="18"/>
        </w:rPr>
        <w:t xml:space="preserve">, empagliflozin for diabetes, and ertugliflozin for diabetes. </w:t>
      </w:r>
      <w:r w:rsidR="001E0399">
        <w:rPr>
          <w:rFonts w:cstheme="minorHAnsi"/>
          <w:szCs w:val="18"/>
        </w:rPr>
        <w:t>As SGLT2 inhibitors dapagliflozin and empagliflozin were</w:t>
      </w:r>
      <w:r w:rsidR="006A4152">
        <w:rPr>
          <w:rFonts w:cstheme="minorHAnsi"/>
          <w:szCs w:val="18"/>
        </w:rPr>
        <w:t xml:space="preserve"> only</w:t>
      </w:r>
      <w:r w:rsidR="001E0399">
        <w:rPr>
          <w:rFonts w:cstheme="minorHAnsi"/>
          <w:szCs w:val="18"/>
        </w:rPr>
        <w:t xml:space="preserve"> PBS listed for heart failure in January and April 2022 respectively, i</w:t>
      </w:r>
      <w:r w:rsidR="0093719D">
        <w:rPr>
          <w:rFonts w:cstheme="minorHAnsi"/>
          <w:szCs w:val="18"/>
        </w:rPr>
        <w:t xml:space="preserve">t was </w:t>
      </w:r>
      <w:r w:rsidR="004B5024">
        <w:rPr>
          <w:rFonts w:cstheme="minorHAnsi"/>
          <w:szCs w:val="18"/>
        </w:rPr>
        <w:t xml:space="preserve">hypothesised </w:t>
      </w:r>
      <w:r w:rsidR="006434C9">
        <w:rPr>
          <w:rFonts w:cstheme="minorHAnsi"/>
          <w:szCs w:val="18"/>
        </w:rPr>
        <w:t xml:space="preserve">that a proportion of patients </w:t>
      </w:r>
      <w:r w:rsidR="006A4152">
        <w:rPr>
          <w:rFonts w:cstheme="minorHAnsi"/>
          <w:szCs w:val="18"/>
        </w:rPr>
        <w:t xml:space="preserve">may </w:t>
      </w:r>
      <w:r w:rsidR="00E4277B">
        <w:rPr>
          <w:rFonts w:cstheme="minorHAnsi"/>
          <w:szCs w:val="18"/>
        </w:rPr>
        <w:t>be receiving</w:t>
      </w:r>
      <w:r w:rsidR="006434C9">
        <w:rPr>
          <w:rFonts w:cstheme="minorHAnsi"/>
          <w:szCs w:val="18"/>
        </w:rPr>
        <w:t xml:space="preserve"> SGLT2 inhibitor add-on therapy </w:t>
      </w:r>
      <w:r w:rsidR="006437F0">
        <w:rPr>
          <w:rFonts w:cstheme="minorHAnsi"/>
          <w:szCs w:val="18"/>
        </w:rPr>
        <w:t xml:space="preserve">for HF </w:t>
      </w:r>
      <w:r w:rsidR="006A4152">
        <w:rPr>
          <w:rFonts w:cstheme="minorHAnsi"/>
          <w:szCs w:val="18"/>
        </w:rPr>
        <w:t xml:space="preserve">under </w:t>
      </w:r>
      <w:r w:rsidR="00FA03F7">
        <w:rPr>
          <w:rFonts w:cstheme="minorHAnsi"/>
          <w:szCs w:val="18"/>
        </w:rPr>
        <w:t xml:space="preserve">a different </w:t>
      </w:r>
      <w:r w:rsidR="006437F0">
        <w:rPr>
          <w:rFonts w:cstheme="minorHAnsi"/>
          <w:szCs w:val="18"/>
        </w:rPr>
        <w:t xml:space="preserve">PBS </w:t>
      </w:r>
      <w:r w:rsidR="00FA03F7">
        <w:rPr>
          <w:rFonts w:cstheme="minorHAnsi"/>
          <w:szCs w:val="18"/>
        </w:rPr>
        <w:t>indication.</w:t>
      </w:r>
      <w:r w:rsidR="00B90E7C">
        <w:rPr>
          <w:rFonts w:cstheme="minorHAnsi"/>
          <w:szCs w:val="18"/>
        </w:rPr>
        <w:t xml:space="preserve"> </w:t>
      </w:r>
    </w:p>
    <w:p w14:paraId="5D416275" w14:textId="06BDAF1D" w:rsidR="00900CA3" w:rsidRPr="00900CA3" w:rsidRDefault="00837BBE" w:rsidP="00F47FF1">
      <w:pPr>
        <w:jc w:val="both"/>
        <w:rPr>
          <w:rFonts w:cstheme="minorHAnsi"/>
          <w:szCs w:val="18"/>
        </w:rPr>
      </w:pPr>
      <w:r>
        <w:rPr>
          <w:rFonts w:cstheme="minorHAnsi"/>
          <w:szCs w:val="18"/>
        </w:rPr>
        <w:t xml:space="preserve">Figure </w:t>
      </w:r>
      <w:r w:rsidR="002F29AD">
        <w:rPr>
          <w:rFonts w:cstheme="minorHAnsi"/>
          <w:szCs w:val="18"/>
        </w:rPr>
        <w:t>19</w:t>
      </w:r>
      <w:r w:rsidR="00AA79BC">
        <w:rPr>
          <w:rFonts w:cstheme="minorHAnsi"/>
          <w:szCs w:val="18"/>
        </w:rPr>
        <w:t>a</w:t>
      </w:r>
      <w:r>
        <w:rPr>
          <w:rFonts w:cstheme="minorHAnsi"/>
          <w:szCs w:val="18"/>
        </w:rPr>
        <w:t xml:space="preserve"> shows that </w:t>
      </w:r>
      <w:r w:rsidR="00E87080">
        <w:rPr>
          <w:rFonts w:cstheme="minorHAnsi"/>
          <w:szCs w:val="18"/>
        </w:rPr>
        <w:t>8</w:t>
      </w:r>
      <w:r>
        <w:rPr>
          <w:rFonts w:cstheme="minorHAnsi"/>
          <w:szCs w:val="18"/>
        </w:rPr>
        <w:t>%</w:t>
      </w:r>
      <w:r w:rsidR="00E85131">
        <w:rPr>
          <w:rFonts w:cstheme="minorHAnsi"/>
          <w:szCs w:val="18"/>
        </w:rPr>
        <w:t xml:space="preserve"> (N=</w:t>
      </w:r>
      <w:r w:rsidR="00E87080">
        <w:rPr>
          <w:rFonts w:cstheme="minorHAnsi"/>
          <w:szCs w:val="18"/>
        </w:rPr>
        <w:t>19,100</w:t>
      </w:r>
      <w:r w:rsidR="00E85131">
        <w:rPr>
          <w:rFonts w:cstheme="minorHAnsi"/>
          <w:szCs w:val="18"/>
        </w:rPr>
        <w:t>)</w:t>
      </w:r>
      <w:r>
        <w:rPr>
          <w:rFonts w:cstheme="minorHAnsi"/>
          <w:szCs w:val="18"/>
        </w:rPr>
        <w:t xml:space="preserve"> of prevalent users of </w:t>
      </w:r>
      <w:r w:rsidR="000C4C0A">
        <w:rPr>
          <w:rFonts w:cstheme="minorHAnsi"/>
          <w:szCs w:val="18"/>
        </w:rPr>
        <w:t xml:space="preserve">PBS restricted </w:t>
      </w:r>
      <w:r>
        <w:rPr>
          <w:rFonts w:cstheme="minorHAnsi"/>
          <w:szCs w:val="18"/>
        </w:rPr>
        <w:t xml:space="preserve">HF medicines </w:t>
      </w:r>
      <w:r w:rsidR="00806271">
        <w:rPr>
          <w:rFonts w:cstheme="minorHAnsi"/>
          <w:szCs w:val="18"/>
        </w:rPr>
        <w:t>were being treated</w:t>
      </w:r>
      <w:r w:rsidR="007B17F7">
        <w:rPr>
          <w:rFonts w:cstheme="minorHAnsi"/>
          <w:szCs w:val="18"/>
        </w:rPr>
        <w:t xml:space="preserve"> with</w:t>
      </w:r>
      <w:r w:rsidR="00213F5F">
        <w:rPr>
          <w:rFonts w:cstheme="minorHAnsi"/>
          <w:szCs w:val="18"/>
        </w:rPr>
        <w:t xml:space="preserve"> </w:t>
      </w:r>
      <w:r>
        <w:rPr>
          <w:rFonts w:cstheme="minorHAnsi"/>
          <w:szCs w:val="18"/>
        </w:rPr>
        <w:t>SGLT2 (not for HF) in J</w:t>
      </w:r>
      <w:r w:rsidR="00E87080">
        <w:rPr>
          <w:rFonts w:cstheme="minorHAnsi"/>
          <w:szCs w:val="18"/>
        </w:rPr>
        <w:t xml:space="preserve">une </w:t>
      </w:r>
      <w:r>
        <w:rPr>
          <w:rFonts w:cstheme="minorHAnsi"/>
          <w:szCs w:val="18"/>
        </w:rPr>
        <w:t>202</w:t>
      </w:r>
      <w:r w:rsidR="00E87080">
        <w:rPr>
          <w:rFonts w:cstheme="minorHAnsi"/>
          <w:szCs w:val="18"/>
        </w:rPr>
        <w:t>3</w:t>
      </w:r>
      <w:r w:rsidR="000C4C0A">
        <w:rPr>
          <w:rFonts w:cstheme="minorHAnsi"/>
          <w:szCs w:val="18"/>
        </w:rPr>
        <w:t>, and that 12%</w:t>
      </w:r>
      <w:r w:rsidR="00F47FF1">
        <w:rPr>
          <w:rFonts w:cstheme="minorHAnsi"/>
          <w:szCs w:val="18"/>
        </w:rPr>
        <w:t xml:space="preserve"> (N=26,842)</w:t>
      </w:r>
      <w:r w:rsidR="000C4C0A">
        <w:rPr>
          <w:rFonts w:cstheme="minorHAnsi"/>
          <w:szCs w:val="18"/>
        </w:rPr>
        <w:t xml:space="preserve"> of the prevalent use of PBS restricted HF medicines were being supplied SGLT2 for heart failure</w:t>
      </w:r>
      <w:r w:rsidR="00E87080">
        <w:rPr>
          <w:rFonts w:cstheme="minorHAnsi"/>
          <w:szCs w:val="18"/>
        </w:rPr>
        <w:t>.</w:t>
      </w:r>
    </w:p>
    <w:p w14:paraId="306B12BF" w14:textId="5B5B20D0" w:rsidR="00FA6DB2" w:rsidRDefault="00E87080" w:rsidP="0079747D">
      <w:pPr>
        <w:spacing w:after="0"/>
        <w:rPr>
          <w:lang w:val="en-US"/>
        </w:rPr>
      </w:pPr>
      <w:r>
        <w:rPr>
          <w:noProof/>
          <w:lang w:eastAsia="en-AU"/>
        </w:rPr>
        <w:drawing>
          <wp:inline distT="0" distB="0" distL="0" distR="0" wp14:anchorId="7967C187" wp14:editId="7EDE6CF5">
            <wp:extent cx="5631873" cy="3211830"/>
            <wp:effectExtent l="0" t="0" r="6985" b="7620"/>
            <wp:docPr id="10" name="Chart 10" descr="Graph showing that in prevalent HF population: (1) use of SGLT2s for either diabetes or chronic kidney disease has been steadily increasing since 2017, and (2) use of SGLT2 for heart failure commenced in Jan 2022 and has continuously increased to the extent that 12% of use is occurring under the heart failure indication.">
              <a:extLst xmlns:a="http://schemas.openxmlformats.org/drawingml/2006/main">
                <a:ext uri="{FF2B5EF4-FFF2-40B4-BE49-F238E27FC236}">
                  <a16:creationId xmlns:a16="http://schemas.microsoft.com/office/drawing/2014/main" id="{4FEF6103-5AE1-3B8F-CE16-13F03BA6FA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51DE56A" w14:textId="12521585" w:rsidR="000C4C0A" w:rsidRPr="009D697E" w:rsidRDefault="000C4C0A" w:rsidP="000C4C0A">
      <w:pPr>
        <w:rPr>
          <w:b/>
          <w:bCs/>
          <w:lang w:val="en-US"/>
        </w:rPr>
      </w:pPr>
      <w:r w:rsidRPr="009D697E">
        <w:rPr>
          <w:b/>
          <w:bCs/>
          <w:lang w:val="en-US"/>
        </w:rPr>
        <w:t>Figure 19a. Proportion of prevalent PBS restricted HF medicine population who are dispensed SGLT2 inhibitors by indication of restriction</w:t>
      </w:r>
    </w:p>
    <w:p w14:paraId="5206ACBE" w14:textId="77777777" w:rsidR="000C4C0A" w:rsidRDefault="000C4C0A" w:rsidP="002043BE">
      <w:pPr>
        <w:rPr>
          <w:lang w:val="en-US"/>
        </w:rPr>
      </w:pPr>
    </w:p>
    <w:p w14:paraId="773E3499" w14:textId="77777777" w:rsidR="000C4C0A" w:rsidRDefault="000C4C0A">
      <w:pPr>
        <w:rPr>
          <w:lang w:val="en-US"/>
        </w:rPr>
      </w:pPr>
      <w:r>
        <w:rPr>
          <w:lang w:val="en-US"/>
        </w:rPr>
        <w:br w:type="page"/>
      </w:r>
    </w:p>
    <w:p w14:paraId="01DB5EA1" w14:textId="3BE623B8" w:rsidR="000C4C0A" w:rsidRDefault="000C4C0A" w:rsidP="003537C7">
      <w:pPr>
        <w:jc w:val="both"/>
        <w:rPr>
          <w:lang w:val="en-US"/>
        </w:rPr>
      </w:pPr>
      <w:r>
        <w:rPr>
          <w:lang w:val="en-US"/>
        </w:rPr>
        <w:t xml:space="preserve">Data for comorbidity profile was </w:t>
      </w:r>
      <w:r w:rsidR="003537C7">
        <w:rPr>
          <w:lang w:val="en-US"/>
        </w:rPr>
        <w:t xml:space="preserve">considered </w:t>
      </w:r>
      <w:r>
        <w:rPr>
          <w:lang w:val="en-US"/>
        </w:rPr>
        <w:t xml:space="preserve">until December 2022. When the analysis was stratified by whether patients were on other medicines for diabetes or CKD, </w:t>
      </w:r>
      <w:proofErr w:type="gramStart"/>
      <w:r>
        <w:rPr>
          <w:lang w:val="en-US"/>
        </w:rPr>
        <w:t>it can be seen that by</w:t>
      </w:r>
      <w:proofErr w:type="gramEnd"/>
      <w:r>
        <w:rPr>
          <w:lang w:val="en-US"/>
        </w:rPr>
        <w:t xml:space="preserve"> December 2022, 2.6%</w:t>
      </w:r>
      <w:r w:rsidR="003537C7">
        <w:rPr>
          <w:lang w:val="en-US"/>
        </w:rPr>
        <w:t xml:space="preserve"> (N=6,045)</w:t>
      </w:r>
      <w:r>
        <w:rPr>
          <w:lang w:val="en-US"/>
        </w:rPr>
        <w:t xml:space="preserve"> of the prevalent PBS restricted HF medicine population were supplied an SGLT2 for diabetes or CKD and </w:t>
      </w:r>
      <w:r w:rsidR="003537C7">
        <w:rPr>
          <w:lang w:val="en-US"/>
        </w:rPr>
        <w:t xml:space="preserve">were </w:t>
      </w:r>
      <w:r>
        <w:rPr>
          <w:lang w:val="en-US"/>
        </w:rPr>
        <w:t>not on other medicines indicative of diabetes (Figure 19b).</w:t>
      </w:r>
    </w:p>
    <w:p w14:paraId="1196A038" w14:textId="51D653FF" w:rsidR="009B69DD" w:rsidRDefault="009B69DD" w:rsidP="0079747D">
      <w:pPr>
        <w:spacing w:after="0"/>
        <w:rPr>
          <w:lang w:val="en-US"/>
        </w:rPr>
      </w:pPr>
      <w:r>
        <w:rPr>
          <w:noProof/>
        </w:rPr>
        <w:drawing>
          <wp:inline distT="0" distB="0" distL="0" distR="0" wp14:anchorId="266149AF" wp14:editId="59EBD24F">
            <wp:extent cx="5613400" cy="2876550"/>
            <wp:effectExtent l="0" t="0" r="6350" b="0"/>
            <wp:docPr id="26" name="Chart 26" descr="Graph showing a small percentage of patients (less than 1% for much of the time, 2.6% by the end of 2022) with heart failure are being prescribed an SGLT2 under either the diabetes or chronic kidney disease indications, but are not receiving any other diabetes medicines.">
              <a:extLst xmlns:a="http://schemas.openxmlformats.org/drawingml/2006/main">
                <a:ext uri="{FF2B5EF4-FFF2-40B4-BE49-F238E27FC236}">
                  <a16:creationId xmlns:a16="http://schemas.microsoft.com/office/drawing/2014/main" id="{539CFBF8-3426-4A19-BF55-337A017ACD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6BB06FA" w14:textId="18365883" w:rsidR="00900CA3" w:rsidRDefault="00900CA3" w:rsidP="002043BE">
      <w:pPr>
        <w:rPr>
          <w:lang w:val="en-US"/>
        </w:rPr>
      </w:pPr>
      <w:r w:rsidRPr="00900CA3">
        <w:rPr>
          <w:b/>
          <w:bCs/>
          <w:lang w:val="en-US"/>
        </w:rPr>
        <w:t xml:space="preserve">Figure </w:t>
      </w:r>
      <w:r w:rsidR="002F29AD" w:rsidRPr="009D697E">
        <w:rPr>
          <w:b/>
          <w:bCs/>
          <w:lang w:val="en-US"/>
        </w:rPr>
        <w:t>19</w:t>
      </w:r>
      <w:r w:rsidR="00AA79BC" w:rsidRPr="009D697E">
        <w:rPr>
          <w:b/>
          <w:bCs/>
          <w:lang w:val="en-US"/>
        </w:rPr>
        <w:t>b</w:t>
      </w:r>
      <w:r w:rsidRPr="009D697E">
        <w:rPr>
          <w:b/>
          <w:bCs/>
          <w:lang w:val="en-US"/>
        </w:rPr>
        <w:t xml:space="preserve">. Proportion of </w:t>
      </w:r>
      <w:r w:rsidR="000C4C0A" w:rsidRPr="009D697E">
        <w:rPr>
          <w:b/>
          <w:bCs/>
          <w:lang w:val="en-US"/>
        </w:rPr>
        <w:t xml:space="preserve">prevalent PBS restricted </w:t>
      </w:r>
      <w:r w:rsidRPr="009D697E">
        <w:rPr>
          <w:b/>
          <w:bCs/>
          <w:lang w:val="en-US"/>
        </w:rPr>
        <w:t>HF</w:t>
      </w:r>
      <w:r w:rsidR="000C4C0A" w:rsidRPr="009D697E">
        <w:rPr>
          <w:b/>
          <w:bCs/>
          <w:lang w:val="en-US"/>
        </w:rPr>
        <w:t xml:space="preserve"> medicine population supplied SGLT2 medicines not indicated for heart failure </w:t>
      </w:r>
      <w:r w:rsidR="00AA79BC" w:rsidRPr="009D697E">
        <w:rPr>
          <w:b/>
          <w:bCs/>
          <w:lang w:val="en-US"/>
        </w:rPr>
        <w:t>and diabetes status.</w:t>
      </w:r>
      <w:r w:rsidR="00AA79BC">
        <w:rPr>
          <w:lang w:val="en-US"/>
        </w:rPr>
        <w:t xml:space="preserve"> </w:t>
      </w:r>
    </w:p>
    <w:p w14:paraId="77EE5933" w14:textId="77777777" w:rsidR="0079747D" w:rsidRDefault="0079747D" w:rsidP="002043BE">
      <w:pPr>
        <w:rPr>
          <w:lang w:val="en-US"/>
        </w:rPr>
      </w:pPr>
    </w:p>
    <w:p w14:paraId="20075347" w14:textId="4AB386B0" w:rsidR="00D12DC6" w:rsidRPr="00C43518" w:rsidRDefault="00D12DC6" w:rsidP="00C43518">
      <w:pPr>
        <w:rPr>
          <w:rFonts w:cstheme="minorHAnsi"/>
          <w:b/>
          <w:bCs/>
          <w:i/>
          <w:iCs/>
          <w:szCs w:val="18"/>
        </w:rPr>
      </w:pPr>
      <w:r w:rsidRPr="00C43518">
        <w:rPr>
          <w:rFonts w:cstheme="minorHAnsi"/>
          <w:b/>
          <w:bCs/>
          <w:i/>
          <w:iCs/>
          <w:szCs w:val="18"/>
        </w:rPr>
        <w:t>Monthly number of people dispensed dapagliflozin/empagliflozin and what proportion of them are also dispensed ARNI (Sacubitril+Valsartan) as part of standard care</w:t>
      </w:r>
      <w:r w:rsidR="0068235A">
        <w:rPr>
          <w:rFonts w:cstheme="minorHAnsi"/>
          <w:b/>
          <w:bCs/>
          <w:i/>
          <w:iCs/>
          <w:szCs w:val="18"/>
        </w:rPr>
        <w:t xml:space="preserve"> or ACE</w:t>
      </w:r>
      <w:r w:rsidR="00AC663D">
        <w:rPr>
          <w:rFonts w:cstheme="minorHAnsi"/>
          <w:b/>
          <w:bCs/>
          <w:i/>
          <w:iCs/>
          <w:szCs w:val="18"/>
        </w:rPr>
        <w:t>i</w:t>
      </w:r>
      <w:r w:rsidR="0068235A">
        <w:rPr>
          <w:rFonts w:cstheme="minorHAnsi"/>
          <w:b/>
          <w:bCs/>
          <w:i/>
          <w:iCs/>
          <w:szCs w:val="18"/>
        </w:rPr>
        <w:t>/ARB</w:t>
      </w:r>
      <w:r w:rsidRPr="00C43518">
        <w:rPr>
          <w:rFonts w:cstheme="minorHAnsi"/>
          <w:b/>
          <w:bCs/>
          <w:i/>
          <w:iCs/>
          <w:szCs w:val="18"/>
        </w:rPr>
        <w:t>.</w:t>
      </w:r>
    </w:p>
    <w:p w14:paraId="54B8C811" w14:textId="640F8308" w:rsidR="00CC3DEA" w:rsidRDefault="00776F9D" w:rsidP="00D12DC6">
      <w:pPr>
        <w:jc w:val="both"/>
      </w:pPr>
      <w:r>
        <w:rPr>
          <w:rFonts w:cstheme="minorHAnsi"/>
          <w:lang w:val="en-US"/>
        </w:rPr>
        <w:t xml:space="preserve">When dapagliflozin was assessed by the PBAC for PBS listing for heart failure, the comparator was </w:t>
      </w:r>
      <w:r w:rsidR="00C441C0">
        <w:rPr>
          <w:rFonts w:cstheme="minorHAnsi"/>
          <w:lang w:val="en-US"/>
        </w:rPr>
        <w:t xml:space="preserve">standard of care, which </w:t>
      </w:r>
      <w:proofErr w:type="gramStart"/>
      <w:r w:rsidR="00C441C0">
        <w:rPr>
          <w:rFonts w:cstheme="minorHAnsi"/>
          <w:lang w:val="en-US"/>
        </w:rPr>
        <w:t>was considered to be</w:t>
      </w:r>
      <w:proofErr w:type="gramEnd"/>
      <w:r w:rsidR="00C441C0">
        <w:rPr>
          <w:rFonts w:cstheme="minorHAnsi"/>
          <w:lang w:val="en-US"/>
        </w:rPr>
        <w:t xml:space="preserve"> </w:t>
      </w:r>
      <w:r>
        <w:rPr>
          <w:rFonts w:cstheme="minorHAnsi"/>
          <w:lang w:val="en-US"/>
        </w:rPr>
        <w:t>ACE</w:t>
      </w:r>
      <w:r w:rsidR="00AC663D">
        <w:rPr>
          <w:rFonts w:cstheme="minorHAnsi"/>
          <w:lang w:val="en-US"/>
        </w:rPr>
        <w:t>i</w:t>
      </w:r>
      <w:r>
        <w:rPr>
          <w:rFonts w:cstheme="minorHAnsi"/>
          <w:lang w:val="en-US"/>
        </w:rPr>
        <w:t xml:space="preserve">/ARB with a beta-blocker for the majority of the population, </w:t>
      </w:r>
      <w:r w:rsidR="00C441C0">
        <w:rPr>
          <w:rFonts w:cstheme="minorHAnsi"/>
          <w:lang w:val="en-US"/>
        </w:rPr>
        <w:t>but</w:t>
      </w:r>
      <w:r>
        <w:rPr>
          <w:rFonts w:cstheme="minorHAnsi"/>
          <w:lang w:val="en-US"/>
        </w:rPr>
        <w:t xml:space="preserve"> between 11% and 20% of the standard of care population likely to be ARNI with a beta-blocker</w:t>
      </w:r>
      <w:r w:rsidR="008C2A60">
        <w:rPr>
          <w:rFonts w:cstheme="minorHAnsi"/>
          <w:lang w:val="en-US"/>
        </w:rPr>
        <w:t xml:space="preserve"> </w:t>
      </w:r>
      <w:r w:rsidR="008F6176">
        <w:rPr>
          <w:rFonts w:cstheme="minorHAnsi"/>
          <w:lang w:val="en-US"/>
        </w:rPr>
        <w:t>[</w:t>
      </w:r>
      <w:r w:rsidR="00937E74">
        <w:rPr>
          <w:rFonts w:cstheme="minorHAnsi"/>
          <w:lang w:val="en-US"/>
        </w:rPr>
        <w:t>7</w:t>
      </w:r>
      <w:r w:rsidR="008F6176">
        <w:rPr>
          <w:rFonts w:cstheme="minorHAnsi"/>
          <w:lang w:val="en-US"/>
        </w:rPr>
        <w:t>]</w:t>
      </w:r>
      <w:r w:rsidR="008C2A60">
        <w:rPr>
          <w:rFonts w:cstheme="minorHAnsi"/>
          <w:lang w:val="en-US"/>
        </w:rPr>
        <w:t>.</w:t>
      </w:r>
      <w:r>
        <w:rPr>
          <w:rFonts w:cstheme="minorHAnsi"/>
          <w:lang w:val="en-US"/>
        </w:rPr>
        <w:t xml:space="preserve"> For this reason, we examined concomitant use</w:t>
      </w:r>
      <w:r w:rsidR="008C2A60">
        <w:rPr>
          <w:rFonts w:cstheme="minorHAnsi"/>
          <w:lang w:val="en-US"/>
        </w:rPr>
        <w:t xml:space="preserve"> of </w:t>
      </w:r>
      <w:r w:rsidR="00C441C0">
        <w:rPr>
          <w:rFonts w:cstheme="minorHAnsi"/>
          <w:lang w:val="en-US"/>
        </w:rPr>
        <w:t>SGLT2</w:t>
      </w:r>
      <w:r w:rsidR="006347A7">
        <w:rPr>
          <w:rFonts w:cstheme="minorHAnsi"/>
          <w:lang w:val="en-US"/>
        </w:rPr>
        <w:t xml:space="preserve"> inhibitors</w:t>
      </w:r>
      <w:r w:rsidR="00C441C0">
        <w:rPr>
          <w:rFonts w:cstheme="minorHAnsi"/>
          <w:lang w:val="en-US"/>
        </w:rPr>
        <w:t xml:space="preserve"> </w:t>
      </w:r>
      <w:r w:rsidR="00AA79BC">
        <w:rPr>
          <w:rFonts w:cstheme="minorHAnsi"/>
          <w:lang w:val="en-US"/>
        </w:rPr>
        <w:t xml:space="preserve">restricted to HF </w:t>
      </w:r>
      <w:r w:rsidR="00C441C0">
        <w:rPr>
          <w:rFonts w:cstheme="minorHAnsi"/>
          <w:lang w:val="en-US"/>
        </w:rPr>
        <w:t>with ARNI. This combination is consistent with the PBS listing, but was considered that it would not represent the majority of SGLT2 add-on therapy, with more of the population adding on to ACE</w:t>
      </w:r>
      <w:r w:rsidR="00AC663D">
        <w:rPr>
          <w:rFonts w:cstheme="minorHAnsi"/>
          <w:lang w:val="en-US"/>
        </w:rPr>
        <w:t>i</w:t>
      </w:r>
      <w:r w:rsidR="00C441C0">
        <w:rPr>
          <w:rFonts w:cstheme="minorHAnsi"/>
          <w:lang w:val="en-US"/>
        </w:rPr>
        <w:t>/ARB</w:t>
      </w:r>
      <w:r w:rsidR="00AA79BC">
        <w:rPr>
          <w:rFonts w:cstheme="minorHAnsi"/>
          <w:lang w:val="en-US"/>
        </w:rPr>
        <w:t xml:space="preserve">. </w:t>
      </w:r>
      <w:r w:rsidR="00CC3DEA" w:rsidRPr="00146A14">
        <w:t>The</w:t>
      </w:r>
      <w:r w:rsidR="00D12DC6" w:rsidRPr="00146A14">
        <w:t xml:space="preserve"> </w:t>
      </w:r>
      <w:r w:rsidR="00CC3DEA" w:rsidRPr="00146A14">
        <w:t>two SGLT2 inhibitors (dapagliflozin and empagliflozin) were listed on the PBS for use in HF in 2022 (January and April, respectively).</w:t>
      </w:r>
    </w:p>
    <w:p w14:paraId="73F485A4" w14:textId="77777777" w:rsidR="009D697E" w:rsidRDefault="009D697E">
      <w:r>
        <w:br w:type="page"/>
      </w:r>
    </w:p>
    <w:p w14:paraId="541295F2" w14:textId="6E347264" w:rsidR="007C1F93" w:rsidRDefault="007C1F93" w:rsidP="00D12DC6">
      <w:pPr>
        <w:jc w:val="both"/>
      </w:pPr>
      <w:r>
        <w:t>Figure 2</w:t>
      </w:r>
      <w:r w:rsidR="00F332AB">
        <w:t>0</w:t>
      </w:r>
      <w:r>
        <w:t xml:space="preserve"> </w:t>
      </w:r>
      <w:r w:rsidRPr="00FA1177">
        <w:t xml:space="preserve">shows </w:t>
      </w:r>
      <w:r w:rsidR="00146A14" w:rsidRPr="00FA1177">
        <w:t xml:space="preserve">that </w:t>
      </w:r>
      <w:r w:rsidR="00AA79BC" w:rsidRPr="00FA1177">
        <w:t>among</w:t>
      </w:r>
      <w:r w:rsidR="00146A14" w:rsidRPr="00FA1177">
        <w:t xml:space="preserve"> all people who had SGLT2 for </w:t>
      </w:r>
      <w:r w:rsidR="00AA79BC" w:rsidRPr="00FA1177">
        <w:t xml:space="preserve">HF, approximately 40% were supplied an ARNI, with </w:t>
      </w:r>
      <w:r w:rsidR="00FA1177" w:rsidRPr="00FA1177">
        <w:t>between 2</w:t>
      </w:r>
      <w:r w:rsidR="009B69DD">
        <w:t>5</w:t>
      </w:r>
      <w:r w:rsidR="00FA1177" w:rsidRPr="00FA1177">
        <w:t>% and 30% supplied an ACE</w:t>
      </w:r>
      <w:r w:rsidR="00AC663D">
        <w:t>i</w:t>
      </w:r>
      <w:r w:rsidR="00FA1177" w:rsidRPr="00FA1177">
        <w:t>/ARB concurrently</w:t>
      </w:r>
      <w:r w:rsidR="00AA79BC">
        <w:t>.</w:t>
      </w:r>
      <w:r w:rsidR="00C43518">
        <w:t xml:space="preserve"> This compares with the estimates that </w:t>
      </w:r>
      <w:r w:rsidR="00C43518">
        <w:rPr>
          <w:rFonts w:cstheme="minorHAnsi"/>
          <w:lang w:val="en-US"/>
        </w:rPr>
        <w:t>between 11% and 20% of the standard of care population would likely be supplied an ARNI and the remainder would be on ACE</w:t>
      </w:r>
      <w:r w:rsidR="00AC663D">
        <w:rPr>
          <w:rFonts w:cstheme="minorHAnsi"/>
          <w:lang w:val="en-US"/>
        </w:rPr>
        <w:t>i</w:t>
      </w:r>
      <w:r w:rsidR="00C43518">
        <w:rPr>
          <w:rFonts w:cstheme="minorHAnsi"/>
          <w:lang w:val="en-US"/>
        </w:rPr>
        <w:t>/ARB concurrentl</w:t>
      </w:r>
      <w:r w:rsidR="000A3E5C">
        <w:rPr>
          <w:rFonts w:cstheme="minorHAnsi"/>
          <w:lang w:val="en-US"/>
        </w:rPr>
        <w:t>y</w:t>
      </w:r>
      <w:r w:rsidR="00C43518">
        <w:rPr>
          <w:rFonts w:cstheme="minorHAnsi"/>
          <w:lang w:val="en-US"/>
        </w:rPr>
        <w:t xml:space="preserve"> when dapagliflozin was assessed by the PBAC for PBS listing for heart failure.</w:t>
      </w:r>
    </w:p>
    <w:p w14:paraId="42CFAAED" w14:textId="76C23252" w:rsidR="00D23045" w:rsidRDefault="00D23045" w:rsidP="0079747D">
      <w:pPr>
        <w:spacing w:after="0"/>
        <w:jc w:val="both"/>
      </w:pPr>
      <w:r>
        <w:rPr>
          <w:noProof/>
        </w:rPr>
        <w:drawing>
          <wp:inline distT="0" distB="0" distL="0" distR="0" wp14:anchorId="13117D36" wp14:editId="195BFA37">
            <wp:extent cx="5448300" cy="2927350"/>
            <wp:effectExtent l="0" t="0" r="0" b="6350"/>
            <wp:docPr id="22" name="Chart 22" descr="Graph showing that an ARNI is more commonly co-prescribed than an ACEi or ARB (in approximately a 2 to 1 ratio) in those who are dispensed an SGLT2 for HF">
              <a:extLst xmlns:a="http://schemas.openxmlformats.org/drawingml/2006/main">
                <a:ext uri="{FF2B5EF4-FFF2-40B4-BE49-F238E27FC236}">
                  <a16:creationId xmlns:a16="http://schemas.microsoft.com/office/drawing/2014/main" id="{8FF88AC0-2160-4A41-AEE0-0F5A752502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CF85780" w14:textId="6D15688D" w:rsidR="009C7993" w:rsidRDefault="009C7993" w:rsidP="00D12DC6">
      <w:pPr>
        <w:jc w:val="both"/>
      </w:pPr>
      <w:r w:rsidRPr="007C1F93">
        <w:rPr>
          <w:b/>
          <w:bCs/>
        </w:rPr>
        <w:t xml:space="preserve">Figure </w:t>
      </w:r>
      <w:r w:rsidRPr="009D697E">
        <w:rPr>
          <w:b/>
          <w:bCs/>
        </w:rPr>
        <w:t>2</w:t>
      </w:r>
      <w:r w:rsidR="00F332AB" w:rsidRPr="009D697E">
        <w:rPr>
          <w:b/>
          <w:bCs/>
        </w:rPr>
        <w:t>0</w:t>
      </w:r>
      <w:r w:rsidRPr="009D697E">
        <w:rPr>
          <w:b/>
          <w:bCs/>
        </w:rPr>
        <w:t xml:space="preserve">. Proportion of people dispensed </w:t>
      </w:r>
      <w:r w:rsidR="007C1F93" w:rsidRPr="009D697E">
        <w:rPr>
          <w:b/>
          <w:bCs/>
        </w:rPr>
        <w:t xml:space="preserve">dapagliflozin or empagliflozin for </w:t>
      </w:r>
      <w:r w:rsidR="00FA1177" w:rsidRPr="009D697E">
        <w:rPr>
          <w:b/>
          <w:bCs/>
        </w:rPr>
        <w:t xml:space="preserve">HF who </w:t>
      </w:r>
      <w:r w:rsidR="007C1F93" w:rsidRPr="009D697E">
        <w:rPr>
          <w:b/>
          <w:bCs/>
        </w:rPr>
        <w:t>were also dispensed ARNI</w:t>
      </w:r>
      <w:r w:rsidR="00FA1177" w:rsidRPr="009D697E">
        <w:rPr>
          <w:b/>
          <w:bCs/>
        </w:rPr>
        <w:t xml:space="preserve"> or ACE</w:t>
      </w:r>
      <w:r w:rsidR="00AC663D">
        <w:rPr>
          <w:b/>
          <w:bCs/>
        </w:rPr>
        <w:t>i</w:t>
      </w:r>
      <w:r w:rsidR="00FA1177" w:rsidRPr="009D697E">
        <w:rPr>
          <w:b/>
          <w:bCs/>
        </w:rPr>
        <w:t>/ARB concomitantly.</w:t>
      </w:r>
      <w:r w:rsidR="00FA1177">
        <w:t xml:space="preserve"> </w:t>
      </w:r>
    </w:p>
    <w:p w14:paraId="53D49499" w14:textId="254DE567" w:rsidR="00C20035" w:rsidRDefault="00F332AB" w:rsidP="009D697E">
      <w:pPr>
        <w:pStyle w:val="Heading2"/>
        <w:spacing w:after="240"/>
      </w:pPr>
      <w:bookmarkStart w:id="37" w:name="_Toc165448411"/>
      <w:r>
        <w:t>Discussion</w:t>
      </w:r>
      <w:bookmarkEnd w:id="37"/>
    </w:p>
    <w:p w14:paraId="6C41E227" w14:textId="77777777" w:rsidR="00A45D75" w:rsidRDefault="00A45D75" w:rsidP="00A45D75">
      <w:pPr>
        <w:spacing w:after="120" w:line="240" w:lineRule="auto"/>
        <w:jc w:val="both"/>
      </w:pPr>
      <w:r>
        <w:rPr>
          <w:rFonts w:ascii="Calibri" w:eastAsia="Times New Roman" w:hAnsi="Calibri" w:cs="Calibri"/>
          <w:iCs/>
          <w:color w:val="000000"/>
          <w:lang w:eastAsia="en-AU"/>
        </w:rPr>
        <w:t>This report presents an</w:t>
      </w:r>
      <w:r w:rsidRPr="00F90884">
        <w:rPr>
          <w:rFonts w:ascii="Calibri" w:eastAsia="Times New Roman" w:hAnsi="Calibri" w:cs="Calibri"/>
          <w:iCs/>
          <w:color w:val="000000"/>
          <w:lang w:eastAsia="en-AU"/>
        </w:rPr>
        <w:t xml:space="preserve"> </w:t>
      </w:r>
      <w:r w:rsidRPr="000B4D5D">
        <w:t>analysis of contemporary medicine treatment patterns in patients with heart failure (HF) in Australia.</w:t>
      </w:r>
      <w:r>
        <w:t xml:space="preserve"> </w:t>
      </w:r>
    </w:p>
    <w:p w14:paraId="7D8C0CB6" w14:textId="697C4636" w:rsidR="00A45D75" w:rsidRDefault="00A45D75" w:rsidP="00F8523B">
      <w:pPr>
        <w:spacing w:after="120"/>
        <w:jc w:val="both"/>
      </w:pPr>
      <w:r>
        <w:t xml:space="preserve">In 2022, PBS restricted HF medicines were supplied to 12 per 1,000 people in Australia (N=318,028), an increase from 8 per 1,000 in 2017. Beta blockers were the most frequently supplied class of PBS </w:t>
      </w:r>
      <w:r w:rsidRPr="00814116">
        <w:t>restricted</w:t>
      </w:r>
      <w:r>
        <w:t xml:space="preserve"> HF medicines. </w:t>
      </w:r>
      <w:r w:rsidR="00A85843">
        <w:t xml:space="preserve"> </w:t>
      </w:r>
      <w:r>
        <w:t xml:space="preserve">The monthly number of people who received </w:t>
      </w:r>
      <w:r w:rsidRPr="00CF5A6C">
        <w:rPr>
          <w:rFonts w:cs="Arial"/>
          <w:color w:val="000000" w:themeColor="text1"/>
        </w:rPr>
        <w:t>PBS restricted HF medicines</w:t>
      </w:r>
      <w:r>
        <w:t xml:space="preserve"> in J</w:t>
      </w:r>
      <w:r w:rsidR="00916601">
        <w:t>une</w:t>
      </w:r>
      <w:r>
        <w:t xml:space="preserve"> 2017 was 1</w:t>
      </w:r>
      <w:r w:rsidR="00916601">
        <w:t>22</w:t>
      </w:r>
      <w:r>
        <w:t>,</w:t>
      </w:r>
      <w:r w:rsidR="00916601">
        <w:t>727</w:t>
      </w:r>
      <w:r>
        <w:t xml:space="preserve"> increasing to 228,190 in June 2023.  The </w:t>
      </w:r>
      <w:r w:rsidR="00916601">
        <w:t>mid-</w:t>
      </w:r>
      <w:r>
        <w:t xml:space="preserve">2017 monthly prevalence </w:t>
      </w:r>
      <w:r w:rsidR="00916601">
        <w:t xml:space="preserve">was 199,100 which is slightly higher than </w:t>
      </w:r>
      <w:r>
        <w:t>the self-reported heart failure numbers of 1</w:t>
      </w:r>
      <w:r w:rsidR="00916601">
        <w:t>43</w:t>
      </w:r>
      <w:r>
        <w:t>,</w:t>
      </w:r>
      <w:r w:rsidR="00916601">
        <w:t>7</w:t>
      </w:r>
      <w:r>
        <w:t>00 from the 20</w:t>
      </w:r>
      <w:r w:rsidR="00916601">
        <w:t>22</w:t>
      </w:r>
      <w:r>
        <w:t xml:space="preserve"> Australian National Health Survey</w:t>
      </w:r>
      <w:r w:rsidR="00F8523B">
        <w:t xml:space="preserve"> [</w:t>
      </w:r>
      <w:r w:rsidR="00937E74">
        <w:t>6</w:t>
      </w:r>
      <w:r w:rsidR="00F8523B">
        <w:t>]</w:t>
      </w:r>
      <w:r>
        <w:t xml:space="preserve">. </w:t>
      </w:r>
    </w:p>
    <w:p w14:paraId="00D0A997" w14:textId="2FA778E3" w:rsidR="00A45D75" w:rsidRDefault="00A45D75" w:rsidP="00A45D75">
      <w:pPr>
        <w:spacing w:before="240"/>
        <w:jc w:val="both"/>
      </w:pPr>
      <w:r>
        <w:t xml:space="preserve">In 2022, the incident HF population, </w:t>
      </w:r>
      <w:r w:rsidRPr="00814116">
        <w:t xml:space="preserve">defined </w:t>
      </w:r>
      <w:r>
        <w:t>as</w:t>
      </w:r>
      <w:r w:rsidRPr="00814116">
        <w:t xml:space="preserve"> initiation </w:t>
      </w:r>
      <w:r>
        <w:t xml:space="preserve">of PBS restricted HF </w:t>
      </w:r>
      <w:r w:rsidRPr="00814116">
        <w:t>medicine</w:t>
      </w:r>
      <w:r>
        <w:t>, was 3 per 1,000 people (N=81,343). The mean age at initiation was 70 years and 42% of initiators were females.</w:t>
      </w:r>
    </w:p>
    <w:p w14:paraId="6006C8EA" w14:textId="3F11BFA4" w:rsidR="00A45D75" w:rsidRDefault="00A45D75" w:rsidP="00A45D75">
      <w:pPr>
        <w:jc w:val="both"/>
        <w:rPr>
          <w:lang w:val="en-US"/>
        </w:rPr>
      </w:pPr>
      <w:r>
        <w:rPr>
          <w:lang w:val="en-US"/>
        </w:rPr>
        <w:t xml:space="preserve">Standard treatment of HF involves the concurrent use of multiple medicines. Among </w:t>
      </w:r>
      <w:r>
        <w:t>PBS restricted HF medicines</w:t>
      </w:r>
      <w:r>
        <w:rPr>
          <w:lang w:val="en-US"/>
        </w:rPr>
        <w:t xml:space="preserve">, </w:t>
      </w:r>
      <w:r>
        <w:rPr>
          <w:rFonts w:cstheme="minorHAnsi"/>
        </w:rPr>
        <w:t xml:space="preserve">the medicine classes including ARNI, SGLT2, HCN, and </w:t>
      </w:r>
      <w:r w:rsidR="00AC724B">
        <w:rPr>
          <w:rFonts w:cstheme="minorHAnsi"/>
        </w:rPr>
        <w:t>sGC</w:t>
      </w:r>
      <w:r>
        <w:rPr>
          <w:rFonts w:cstheme="minorHAnsi"/>
        </w:rPr>
        <w:t xml:space="preserve">, all have restrictions that require they are add on therapy to optimal chronic heart failure treatment which includes a beta-blocker. HCNs were first listed on the PBS in 2013, ARNIs in 2017, and SGLT2 inhibitors and SGCs in 2022. Thus, the opportunity for dual therapy for </w:t>
      </w:r>
      <w:r>
        <w:t xml:space="preserve">PBS restricted HF medicines has increased over time. </w:t>
      </w:r>
      <w:r>
        <w:rPr>
          <w:lang w:val="en-US"/>
        </w:rPr>
        <w:t xml:space="preserve"> </w:t>
      </w:r>
    </w:p>
    <w:p w14:paraId="7F56A8A6" w14:textId="4F510081" w:rsidR="00A45D75" w:rsidRPr="00360F2D" w:rsidRDefault="00A45D75" w:rsidP="00A45D75">
      <w:pPr>
        <w:jc w:val="both"/>
        <w:rPr>
          <w:lang w:val="en-US"/>
        </w:rPr>
      </w:pPr>
      <w:r>
        <w:rPr>
          <w:lang w:val="en-US"/>
        </w:rPr>
        <w:t xml:space="preserve">When considering only PBS restricted HF medicines in the prevalent population, over 80% of people were treated with a single class of PBS restricted medicine in June 2023. Consistent with increased listings of </w:t>
      </w:r>
      <w:r>
        <w:t>PBS restricted HF medicines over time and requirements within the restrictions for concomitant use, t</w:t>
      </w:r>
      <w:r>
        <w:rPr>
          <w:lang w:val="en-US"/>
        </w:rPr>
        <w:t>he proportion of patients receiving dual combination therapy has risen from 6% in 2017 to 15% in June 2023. The most frequently supplied combination of PBS restricted HF medicines was BB restricted for HF and ARNI</w:t>
      </w:r>
      <w:r>
        <w:rPr>
          <w:rFonts w:cstheme="minorHAnsi"/>
        </w:rPr>
        <w:t>.</w:t>
      </w:r>
    </w:p>
    <w:p w14:paraId="3A90E656" w14:textId="77777777" w:rsidR="00A45D75" w:rsidRPr="00F07B40" w:rsidRDefault="00A45D75" w:rsidP="00A45D75">
      <w:pPr>
        <w:spacing w:after="0"/>
        <w:jc w:val="both"/>
        <w:rPr>
          <w:rFonts w:cstheme="minorHAnsi"/>
          <w:lang w:val="en-US"/>
        </w:rPr>
      </w:pPr>
      <w:r>
        <w:rPr>
          <w:lang w:val="en-US"/>
        </w:rPr>
        <w:t xml:space="preserve">Analysis of concurrent therapy with the inclusion of unrestricted PBS medicines likely to </w:t>
      </w:r>
      <w:r w:rsidRPr="00F07B40">
        <w:rPr>
          <w:rFonts w:cstheme="minorHAnsi"/>
          <w:lang w:val="en-US"/>
        </w:rPr>
        <w:t>be used for heart failure</w:t>
      </w:r>
      <w:r>
        <w:rPr>
          <w:rFonts w:cstheme="minorHAnsi"/>
          <w:lang w:val="en-US"/>
        </w:rPr>
        <w:t xml:space="preserve">, found that </w:t>
      </w:r>
      <w:r w:rsidRPr="00F07B40">
        <w:rPr>
          <w:rFonts w:cstheme="minorHAnsi"/>
          <w:lang w:val="en-US"/>
        </w:rPr>
        <w:t>in</w:t>
      </w:r>
      <w:r>
        <w:rPr>
          <w:rFonts w:cstheme="minorHAnsi"/>
          <w:lang w:val="en-US"/>
        </w:rPr>
        <w:t xml:space="preserve"> the prevalent population in</w:t>
      </w:r>
      <w:r w:rsidRPr="00F07B40">
        <w:rPr>
          <w:rFonts w:cstheme="minorHAnsi"/>
          <w:lang w:val="en-US"/>
        </w:rPr>
        <w:t xml:space="preserve"> June 2023:</w:t>
      </w:r>
    </w:p>
    <w:p w14:paraId="63E138CC" w14:textId="5578F97E" w:rsidR="00A45D75" w:rsidRDefault="00A45D75" w:rsidP="00A45D75">
      <w:pPr>
        <w:pStyle w:val="ListParagraph"/>
        <w:numPr>
          <w:ilvl w:val="0"/>
          <w:numId w:val="36"/>
        </w:numPr>
        <w:jc w:val="both"/>
        <w:rPr>
          <w:rFonts w:asciiTheme="minorHAnsi" w:hAnsiTheme="minorHAnsi" w:cstheme="minorHAnsi"/>
          <w:sz w:val="22"/>
          <w:szCs w:val="22"/>
          <w:lang w:val="en-US"/>
        </w:rPr>
      </w:pPr>
      <w:r w:rsidRPr="00360F2D">
        <w:rPr>
          <w:rFonts w:asciiTheme="minorHAnsi" w:hAnsiTheme="minorHAnsi"/>
          <w:sz w:val="22"/>
          <w:lang w:val="en-US"/>
        </w:rPr>
        <w:t xml:space="preserve">22% </w:t>
      </w:r>
      <w:r w:rsidRPr="00360F2D">
        <w:rPr>
          <w:rFonts w:asciiTheme="minorHAnsi" w:hAnsiTheme="minorHAnsi" w:cstheme="minorHAnsi"/>
          <w:sz w:val="22"/>
          <w:szCs w:val="22"/>
          <w:lang w:val="en-US"/>
        </w:rPr>
        <w:t xml:space="preserve">of patients </w:t>
      </w:r>
      <w:r w:rsidRPr="00360F2D">
        <w:rPr>
          <w:rFonts w:asciiTheme="minorHAnsi" w:hAnsiTheme="minorHAnsi"/>
          <w:sz w:val="22"/>
          <w:lang w:val="en-US"/>
        </w:rPr>
        <w:t xml:space="preserve">were </w:t>
      </w:r>
      <w:r w:rsidRPr="00360F2D">
        <w:rPr>
          <w:rFonts w:asciiTheme="minorHAnsi" w:hAnsiTheme="minorHAnsi" w:cstheme="minorHAnsi"/>
          <w:sz w:val="22"/>
          <w:szCs w:val="22"/>
          <w:lang w:val="en-US"/>
        </w:rPr>
        <w:t xml:space="preserve">receiving </w:t>
      </w:r>
      <w:r w:rsidRPr="00360F2D">
        <w:rPr>
          <w:rFonts w:asciiTheme="minorHAnsi" w:hAnsiTheme="minorHAnsi"/>
          <w:sz w:val="22"/>
          <w:lang w:val="en-US"/>
        </w:rPr>
        <w:t>monotherapy</w:t>
      </w:r>
      <w:r w:rsidR="00916601">
        <w:rPr>
          <w:rFonts w:asciiTheme="minorHAnsi" w:hAnsiTheme="minorHAnsi"/>
          <w:sz w:val="22"/>
          <w:lang w:val="en-US"/>
        </w:rPr>
        <w:t xml:space="preserve"> </w:t>
      </w:r>
      <w:r>
        <w:rPr>
          <w:rFonts w:asciiTheme="minorHAnsi" w:hAnsiTheme="minorHAnsi" w:cstheme="minorHAnsi"/>
          <w:sz w:val="22"/>
          <w:szCs w:val="22"/>
          <w:lang w:val="en-US"/>
        </w:rPr>
        <w:t>(most commonly BB, followed by ARNI</w:t>
      </w:r>
      <w:r w:rsidR="00916601">
        <w:rPr>
          <w:rFonts w:asciiTheme="minorHAnsi" w:hAnsiTheme="minorHAnsi" w:cstheme="minorHAnsi"/>
          <w:sz w:val="22"/>
          <w:szCs w:val="22"/>
          <w:lang w:val="en-US"/>
        </w:rPr>
        <w:t xml:space="preserve"> which was also considered as monotherapy as sacubitril is only available in combination with valsartan</w:t>
      </w:r>
      <w:r>
        <w:rPr>
          <w:rFonts w:asciiTheme="minorHAnsi" w:hAnsiTheme="minorHAnsi" w:cstheme="minorHAnsi"/>
          <w:sz w:val="22"/>
          <w:szCs w:val="22"/>
          <w:lang w:val="en-US"/>
        </w:rPr>
        <w:t>)</w:t>
      </w:r>
      <w:r w:rsidRPr="00360F2D">
        <w:rPr>
          <w:rFonts w:asciiTheme="minorHAnsi" w:hAnsiTheme="minorHAnsi" w:cstheme="minorHAnsi"/>
          <w:sz w:val="22"/>
          <w:szCs w:val="22"/>
          <w:lang w:val="en-US"/>
        </w:rPr>
        <w:t xml:space="preserve">, </w:t>
      </w:r>
    </w:p>
    <w:p w14:paraId="524CD5DB" w14:textId="61B0AB27" w:rsidR="00A45D75" w:rsidRDefault="00A45D75" w:rsidP="00A45D75">
      <w:pPr>
        <w:pStyle w:val="ListParagraph"/>
        <w:numPr>
          <w:ilvl w:val="0"/>
          <w:numId w:val="36"/>
        </w:numPr>
        <w:jc w:val="both"/>
        <w:rPr>
          <w:rFonts w:asciiTheme="minorHAnsi" w:hAnsiTheme="minorHAnsi" w:cstheme="minorHAnsi"/>
          <w:sz w:val="22"/>
          <w:szCs w:val="22"/>
          <w:lang w:val="en-US"/>
        </w:rPr>
      </w:pPr>
      <w:r w:rsidRPr="00360F2D">
        <w:rPr>
          <w:rFonts w:asciiTheme="minorHAnsi" w:hAnsiTheme="minorHAnsi"/>
          <w:sz w:val="22"/>
          <w:lang w:val="en-US"/>
        </w:rPr>
        <w:t xml:space="preserve">34% </w:t>
      </w:r>
      <w:r w:rsidRPr="00360F2D">
        <w:rPr>
          <w:rFonts w:asciiTheme="minorHAnsi" w:hAnsiTheme="minorHAnsi" w:cstheme="minorHAnsi"/>
          <w:sz w:val="22"/>
          <w:szCs w:val="22"/>
          <w:lang w:val="en-US"/>
        </w:rPr>
        <w:t xml:space="preserve">of patients </w:t>
      </w:r>
      <w:r w:rsidRPr="00360F2D">
        <w:rPr>
          <w:rFonts w:asciiTheme="minorHAnsi" w:hAnsiTheme="minorHAnsi"/>
          <w:sz w:val="22"/>
          <w:lang w:val="en-US"/>
        </w:rPr>
        <w:t xml:space="preserve">were </w:t>
      </w:r>
      <w:r w:rsidRPr="00360F2D">
        <w:rPr>
          <w:rFonts w:asciiTheme="minorHAnsi" w:hAnsiTheme="minorHAnsi" w:cstheme="minorHAnsi"/>
          <w:sz w:val="22"/>
          <w:szCs w:val="22"/>
          <w:lang w:val="en-US"/>
        </w:rPr>
        <w:t xml:space="preserve">receiving </w:t>
      </w:r>
      <w:r w:rsidRPr="00360F2D">
        <w:rPr>
          <w:rFonts w:asciiTheme="minorHAnsi" w:hAnsiTheme="minorHAnsi"/>
          <w:sz w:val="22"/>
          <w:lang w:val="en-US"/>
        </w:rPr>
        <w:t>dual therapy</w:t>
      </w:r>
      <w:r>
        <w:rPr>
          <w:rFonts w:asciiTheme="minorHAnsi" w:hAnsiTheme="minorHAnsi" w:cstheme="minorHAnsi"/>
          <w:sz w:val="22"/>
          <w:szCs w:val="22"/>
          <w:lang w:val="en-US"/>
        </w:rPr>
        <w:t xml:space="preserve"> (most commonly BB + ACEi or BB + ARB)</w:t>
      </w:r>
      <w:r w:rsidRPr="00F07B40">
        <w:rPr>
          <w:rFonts w:asciiTheme="minorHAnsi" w:hAnsiTheme="minorHAnsi" w:cstheme="minorHAnsi"/>
          <w:sz w:val="22"/>
          <w:szCs w:val="22"/>
          <w:lang w:val="en-US"/>
        </w:rPr>
        <w:t xml:space="preserve">, </w:t>
      </w:r>
    </w:p>
    <w:p w14:paraId="68B5140A" w14:textId="719A4478" w:rsidR="00A45D75" w:rsidRDefault="00A45D75" w:rsidP="00A45D75">
      <w:pPr>
        <w:pStyle w:val="ListParagraph"/>
        <w:numPr>
          <w:ilvl w:val="0"/>
          <w:numId w:val="36"/>
        </w:numPr>
        <w:jc w:val="both"/>
        <w:rPr>
          <w:rFonts w:asciiTheme="minorHAnsi" w:hAnsiTheme="minorHAnsi" w:cstheme="minorHAnsi"/>
          <w:sz w:val="22"/>
          <w:szCs w:val="22"/>
          <w:lang w:val="en-US"/>
        </w:rPr>
      </w:pPr>
      <w:r w:rsidRPr="00360F2D">
        <w:rPr>
          <w:rFonts w:asciiTheme="minorHAnsi" w:hAnsiTheme="minorHAnsi"/>
          <w:sz w:val="22"/>
          <w:lang w:val="en-US"/>
        </w:rPr>
        <w:t xml:space="preserve">28% </w:t>
      </w:r>
      <w:r w:rsidRPr="00360F2D">
        <w:rPr>
          <w:rFonts w:asciiTheme="minorHAnsi" w:hAnsiTheme="minorHAnsi" w:cstheme="minorHAnsi"/>
          <w:sz w:val="22"/>
          <w:szCs w:val="22"/>
          <w:lang w:val="en-US"/>
        </w:rPr>
        <w:t xml:space="preserve">of patients </w:t>
      </w:r>
      <w:r w:rsidRPr="00360F2D">
        <w:rPr>
          <w:rFonts w:asciiTheme="minorHAnsi" w:hAnsiTheme="minorHAnsi"/>
          <w:sz w:val="22"/>
          <w:lang w:val="en-US"/>
        </w:rPr>
        <w:t xml:space="preserve">were </w:t>
      </w:r>
      <w:r w:rsidRPr="00360F2D">
        <w:rPr>
          <w:rFonts w:asciiTheme="minorHAnsi" w:hAnsiTheme="minorHAnsi" w:cstheme="minorHAnsi"/>
          <w:sz w:val="22"/>
          <w:szCs w:val="22"/>
          <w:lang w:val="en-US"/>
        </w:rPr>
        <w:t>receiving</w:t>
      </w:r>
      <w:r w:rsidRPr="00360F2D">
        <w:rPr>
          <w:rFonts w:asciiTheme="minorHAnsi" w:hAnsiTheme="minorHAnsi"/>
          <w:sz w:val="22"/>
          <w:lang w:val="en-US"/>
        </w:rPr>
        <w:t xml:space="preserve"> triple therapy </w:t>
      </w:r>
      <w:r>
        <w:rPr>
          <w:rFonts w:asciiTheme="minorHAnsi" w:hAnsiTheme="minorHAnsi" w:cstheme="minorHAnsi"/>
          <w:sz w:val="22"/>
          <w:szCs w:val="22"/>
          <w:lang w:val="en-US"/>
        </w:rPr>
        <w:t>(most commonly BB + ACE</w:t>
      </w:r>
      <w:r w:rsidR="00E27482">
        <w:rPr>
          <w:rFonts w:asciiTheme="minorHAnsi" w:hAnsiTheme="minorHAnsi" w:cstheme="minorHAnsi"/>
          <w:sz w:val="22"/>
          <w:szCs w:val="22"/>
          <w:lang w:val="en-US"/>
        </w:rPr>
        <w:t>i</w:t>
      </w:r>
      <w:r>
        <w:rPr>
          <w:rFonts w:asciiTheme="minorHAnsi" w:hAnsiTheme="minorHAnsi" w:cstheme="minorHAnsi"/>
          <w:sz w:val="22"/>
          <w:szCs w:val="22"/>
          <w:lang w:val="en-US"/>
        </w:rPr>
        <w:t xml:space="preserve"> + loop diuretic </w:t>
      </w:r>
      <w:r>
        <w:rPr>
          <w:rFonts w:asciiTheme="minorHAnsi" w:hAnsiTheme="minorHAnsi"/>
          <w:sz w:val="22"/>
          <w:lang w:val="en-US"/>
        </w:rPr>
        <w:t>or</w:t>
      </w:r>
      <w:r w:rsidRPr="00360F2D">
        <w:rPr>
          <w:rFonts w:asciiTheme="minorHAnsi" w:hAnsiTheme="minorHAnsi"/>
          <w:sz w:val="22"/>
          <w:lang w:val="en-US"/>
        </w:rPr>
        <w:t xml:space="preserve"> </w:t>
      </w:r>
      <w:r>
        <w:rPr>
          <w:rFonts w:asciiTheme="minorHAnsi" w:hAnsiTheme="minorHAnsi" w:cstheme="minorHAnsi"/>
          <w:sz w:val="22"/>
          <w:szCs w:val="22"/>
          <w:lang w:val="en-US"/>
        </w:rPr>
        <w:t xml:space="preserve">BB + ARB + loop diuretic); </w:t>
      </w:r>
      <w:r w:rsidRPr="00F07B40">
        <w:rPr>
          <w:rFonts w:asciiTheme="minorHAnsi" w:hAnsiTheme="minorHAnsi" w:cstheme="minorHAnsi"/>
          <w:sz w:val="22"/>
          <w:szCs w:val="22"/>
          <w:lang w:val="en-US"/>
        </w:rPr>
        <w:t>and</w:t>
      </w:r>
      <w:r>
        <w:rPr>
          <w:rFonts w:asciiTheme="minorHAnsi" w:hAnsiTheme="minorHAnsi" w:cstheme="minorHAnsi"/>
          <w:sz w:val="22"/>
          <w:szCs w:val="22"/>
          <w:lang w:val="en-US"/>
        </w:rPr>
        <w:t>,</w:t>
      </w:r>
      <w:r w:rsidRPr="00F07B40">
        <w:rPr>
          <w:rFonts w:asciiTheme="minorHAnsi" w:hAnsiTheme="minorHAnsi" w:cstheme="minorHAnsi"/>
          <w:sz w:val="22"/>
          <w:szCs w:val="22"/>
          <w:lang w:val="en-US"/>
        </w:rPr>
        <w:t xml:space="preserve"> </w:t>
      </w:r>
    </w:p>
    <w:p w14:paraId="05CEA98A" w14:textId="77777777" w:rsidR="00A45D75" w:rsidRDefault="00A45D75" w:rsidP="00A45D75">
      <w:pPr>
        <w:pStyle w:val="ListParagraph"/>
        <w:numPr>
          <w:ilvl w:val="0"/>
          <w:numId w:val="36"/>
        </w:numPr>
        <w:spacing w:after="240"/>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17% </w:t>
      </w:r>
      <w:r w:rsidRPr="00360F2D">
        <w:rPr>
          <w:rFonts w:asciiTheme="minorHAnsi" w:hAnsiTheme="minorHAnsi" w:cstheme="minorHAnsi"/>
          <w:sz w:val="22"/>
          <w:szCs w:val="22"/>
          <w:lang w:val="en-US"/>
        </w:rPr>
        <w:t xml:space="preserve">of patients </w:t>
      </w:r>
      <w:r w:rsidRPr="00360F2D">
        <w:rPr>
          <w:rFonts w:asciiTheme="minorHAnsi" w:hAnsiTheme="minorHAnsi"/>
          <w:sz w:val="22"/>
          <w:lang w:val="en-US"/>
        </w:rPr>
        <w:t xml:space="preserve">were </w:t>
      </w:r>
      <w:r w:rsidRPr="00360F2D">
        <w:rPr>
          <w:rFonts w:asciiTheme="minorHAnsi" w:hAnsiTheme="minorHAnsi" w:cstheme="minorHAnsi"/>
          <w:sz w:val="22"/>
          <w:szCs w:val="22"/>
          <w:lang w:val="en-US"/>
        </w:rPr>
        <w:t>receiving</w:t>
      </w:r>
      <w:r>
        <w:rPr>
          <w:rFonts w:asciiTheme="minorHAnsi" w:hAnsiTheme="minorHAnsi" w:cstheme="minorHAnsi"/>
          <w:sz w:val="22"/>
          <w:szCs w:val="22"/>
          <w:lang w:val="en-US"/>
        </w:rPr>
        <w:t xml:space="preserve"> four or more therapies.</w:t>
      </w:r>
    </w:p>
    <w:p w14:paraId="644AC7CE" w14:textId="718D3A04" w:rsidR="00A45D75" w:rsidRDefault="00A45D75" w:rsidP="00A45D75">
      <w:pPr>
        <w:jc w:val="both"/>
        <w:rPr>
          <w:lang w:val="en-US"/>
        </w:rPr>
      </w:pPr>
      <w:r>
        <w:rPr>
          <w:lang w:val="en-US"/>
        </w:rPr>
        <w:t>For 33% of the prevalent HF population, the combination therapies supplied met the definition of s</w:t>
      </w:r>
      <w:r w:rsidRPr="00613A39">
        <w:rPr>
          <w:lang w:val="en-US"/>
        </w:rPr>
        <w:t>tandard of care</w:t>
      </w:r>
      <w:r>
        <w:rPr>
          <w:lang w:val="en-US"/>
        </w:rPr>
        <w:t xml:space="preserve"> for </w:t>
      </w:r>
      <w:r>
        <w:rPr>
          <w:rFonts w:cstheme="minorHAnsi"/>
          <w:bCs/>
        </w:rPr>
        <w:t>HF with reduced ejection fraction in June 2023</w:t>
      </w:r>
      <w:r>
        <w:rPr>
          <w:lang w:val="en-US"/>
        </w:rPr>
        <w:t xml:space="preserve">. </w:t>
      </w:r>
      <w:r w:rsidRPr="00A669FE">
        <w:rPr>
          <w:lang w:val="en-US"/>
        </w:rPr>
        <w:t xml:space="preserve">The proportion </w:t>
      </w:r>
      <w:r>
        <w:rPr>
          <w:lang w:val="en-US"/>
        </w:rPr>
        <w:t xml:space="preserve">of the population </w:t>
      </w:r>
      <w:r w:rsidRPr="00A669FE">
        <w:rPr>
          <w:lang w:val="en-US"/>
        </w:rPr>
        <w:t xml:space="preserve">on standard of care was highest amongst people aged 65 to 84 years </w:t>
      </w:r>
      <w:r>
        <w:rPr>
          <w:lang w:val="en-US"/>
        </w:rPr>
        <w:t xml:space="preserve">(37% in June 2023) </w:t>
      </w:r>
      <w:r w:rsidRPr="00A669FE">
        <w:rPr>
          <w:lang w:val="en-US"/>
        </w:rPr>
        <w:t>and lowest amongst people aged 85 years and above</w:t>
      </w:r>
      <w:r>
        <w:rPr>
          <w:lang w:val="en-US"/>
        </w:rPr>
        <w:t xml:space="preserve"> (25% in June 2023)</w:t>
      </w:r>
      <w:r w:rsidRPr="00A669FE">
        <w:rPr>
          <w:lang w:val="en-US"/>
        </w:rPr>
        <w:t xml:space="preserve"> The lower rates of standard of care amongst the elderly may reflect challenges of managing competing health risks in a frail elderly population. </w:t>
      </w:r>
    </w:p>
    <w:p w14:paraId="23E01E47" w14:textId="1984AB19" w:rsidR="00A45D75" w:rsidRDefault="00A45D75" w:rsidP="00A45D75">
      <w:pPr>
        <w:jc w:val="both"/>
      </w:pPr>
      <w:r>
        <w:rPr>
          <w:rFonts w:cstheme="minorHAnsi"/>
          <w:szCs w:val="18"/>
        </w:rPr>
        <w:t>Among the incident HF population in 2022 (n=</w:t>
      </w:r>
      <w:r>
        <w:rPr>
          <w:rFonts w:cstheme="minorHAnsi"/>
          <w:bCs/>
        </w:rPr>
        <w:t>81,343)</w:t>
      </w:r>
      <w:r>
        <w:rPr>
          <w:rFonts w:cstheme="minorHAnsi"/>
          <w:szCs w:val="18"/>
        </w:rPr>
        <w:t>, 40%</w:t>
      </w:r>
      <w:r w:rsidRPr="00896B3A">
        <w:t xml:space="preserve"> of people who initiated </w:t>
      </w:r>
      <w:r>
        <w:t xml:space="preserve">PBS </w:t>
      </w:r>
      <w:r w:rsidRPr="00896B3A">
        <w:t xml:space="preserve">restricted </w:t>
      </w:r>
      <w:r>
        <w:t xml:space="preserve">HF </w:t>
      </w:r>
      <w:r w:rsidRPr="00896B3A">
        <w:t>medicines were initiated on standard of care</w:t>
      </w:r>
      <w:r>
        <w:t>. The combinations most frequently representing standard of care were</w:t>
      </w:r>
      <w:r w:rsidRPr="00896B3A">
        <w:rPr>
          <w:color w:val="000000" w:themeColor="text1"/>
        </w:rPr>
        <w:t xml:space="preserve"> a beta-blocker </w:t>
      </w:r>
      <w:r>
        <w:rPr>
          <w:color w:val="000000" w:themeColor="text1"/>
        </w:rPr>
        <w:t xml:space="preserve">for HF </w:t>
      </w:r>
      <w:r w:rsidRPr="00896B3A">
        <w:rPr>
          <w:color w:val="000000" w:themeColor="text1"/>
        </w:rPr>
        <w:t xml:space="preserve">and an ACEi </w:t>
      </w:r>
      <w:r>
        <w:rPr>
          <w:color w:val="000000" w:themeColor="text1"/>
        </w:rPr>
        <w:t xml:space="preserve">(39%), and </w:t>
      </w:r>
      <w:r w:rsidRPr="00896B3A">
        <w:rPr>
          <w:color w:val="000000" w:themeColor="text1"/>
        </w:rPr>
        <w:t>a beta-blocker</w:t>
      </w:r>
      <w:r>
        <w:rPr>
          <w:color w:val="000000" w:themeColor="text1"/>
        </w:rPr>
        <w:t xml:space="preserve"> for HF</w:t>
      </w:r>
      <w:r w:rsidRPr="00896B3A">
        <w:rPr>
          <w:color w:val="000000" w:themeColor="text1"/>
        </w:rPr>
        <w:t xml:space="preserve"> and an ARB</w:t>
      </w:r>
      <w:r>
        <w:rPr>
          <w:color w:val="000000" w:themeColor="text1"/>
        </w:rPr>
        <w:t xml:space="preserve"> (36%)</w:t>
      </w:r>
      <w:r w:rsidRPr="00896B3A">
        <w:rPr>
          <w:color w:val="000000" w:themeColor="text1"/>
        </w:rPr>
        <w:t xml:space="preserve">. </w:t>
      </w:r>
    </w:p>
    <w:p w14:paraId="67F6479B" w14:textId="26F1CBA0" w:rsidR="00A45D75" w:rsidRDefault="00A45D75" w:rsidP="009922A3">
      <w:pPr>
        <w:jc w:val="both"/>
      </w:pPr>
      <w:r>
        <w:rPr>
          <w:lang w:val="en-US"/>
        </w:rPr>
        <w:t>Treatment sequences with PBS restricted HF medicines were examined over time for people who initiated PBS restricted HF therapies between 2018-2021 (n=215,873). Over the follow-up period (up to June 2023), the majority of people (79%) received monotherapy only with the PBS restricted HF index medicine (i.e., did not add or switch to other PBS restricted HF medicines); 20% had a change in PBS restricted HF therapy</w:t>
      </w:r>
      <w:r w:rsidR="009922A3">
        <w:rPr>
          <w:lang w:val="en-US"/>
        </w:rPr>
        <w:t xml:space="preserve"> </w:t>
      </w:r>
      <w:r w:rsidR="00C6087C">
        <w:rPr>
          <w:lang w:val="en-US"/>
        </w:rPr>
        <w:t>–</w:t>
      </w:r>
      <w:r w:rsidR="009922A3">
        <w:rPr>
          <w:lang w:val="en-US"/>
        </w:rPr>
        <w:t xml:space="preserve"> </w:t>
      </w:r>
      <w:r w:rsidR="00C6087C">
        <w:rPr>
          <w:lang w:val="en-US"/>
        </w:rPr>
        <w:t xml:space="preserve">of which </w:t>
      </w:r>
      <w:r w:rsidR="009922A3" w:rsidRPr="00F46BB1">
        <w:rPr>
          <w:lang w:val="en-US"/>
        </w:rPr>
        <w:t>6% switched to HF restricted medicine different to the index one</w:t>
      </w:r>
      <w:r w:rsidR="009922A3">
        <w:rPr>
          <w:lang w:val="en-US"/>
        </w:rPr>
        <w:t>,</w:t>
      </w:r>
      <w:r>
        <w:rPr>
          <w:lang w:val="en-US"/>
        </w:rPr>
        <w:t xml:space="preserve"> 10% had addition of second PBS restricted HF therapy and 4% stepped down from index HF restricted therapy. One percent of people were initiated on a combination therapy and stayed on it for the duration of the follow-up.  </w:t>
      </w:r>
    </w:p>
    <w:p w14:paraId="6E25FFE4" w14:textId="77777777" w:rsidR="00A45D75" w:rsidRDefault="00A45D75" w:rsidP="00A45D75">
      <w:pPr>
        <w:spacing w:after="0"/>
        <w:jc w:val="both"/>
        <w:rPr>
          <w:rFonts w:cstheme="minorHAnsi"/>
          <w:bCs/>
        </w:rPr>
      </w:pPr>
      <w:r>
        <w:rPr>
          <w:rFonts w:cstheme="minorHAnsi"/>
          <w:bCs/>
        </w:rPr>
        <w:t>Amongst people who initiated monotherapy with HF restricted medicines between 2018 and 2021:</w:t>
      </w:r>
    </w:p>
    <w:p w14:paraId="42D6ADF6" w14:textId="77777777" w:rsidR="00A45D75" w:rsidRPr="00555F0A" w:rsidRDefault="00A45D75" w:rsidP="00A45D75">
      <w:pPr>
        <w:pStyle w:val="ListParagraph"/>
        <w:numPr>
          <w:ilvl w:val="0"/>
          <w:numId w:val="27"/>
        </w:numPr>
        <w:jc w:val="both"/>
        <w:rPr>
          <w:rFonts w:asciiTheme="minorHAnsi" w:hAnsiTheme="minorHAnsi" w:cstheme="minorHAnsi"/>
          <w:bCs/>
          <w:sz w:val="22"/>
          <w:szCs w:val="22"/>
        </w:rPr>
      </w:pPr>
      <w:r w:rsidRPr="00555F0A">
        <w:rPr>
          <w:rFonts w:asciiTheme="minorHAnsi" w:hAnsiTheme="minorHAnsi" w:cstheme="minorHAnsi"/>
          <w:bCs/>
          <w:sz w:val="22"/>
          <w:szCs w:val="22"/>
        </w:rPr>
        <w:t xml:space="preserve">The median </w:t>
      </w:r>
      <w:r>
        <w:rPr>
          <w:rFonts w:asciiTheme="minorHAnsi" w:hAnsiTheme="minorHAnsi" w:cstheme="minorHAnsi"/>
          <w:bCs/>
          <w:sz w:val="22"/>
          <w:szCs w:val="22"/>
        </w:rPr>
        <w:t>time</w:t>
      </w:r>
      <w:r w:rsidRPr="00555F0A">
        <w:rPr>
          <w:rFonts w:asciiTheme="minorHAnsi" w:hAnsiTheme="minorHAnsi" w:cstheme="minorHAnsi"/>
          <w:bCs/>
          <w:sz w:val="22"/>
          <w:szCs w:val="22"/>
        </w:rPr>
        <w:t xml:space="preserve"> to a switch to </w:t>
      </w:r>
      <w:r>
        <w:rPr>
          <w:rFonts w:asciiTheme="minorHAnsi" w:hAnsiTheme="minorHAnsi" w:cstheme="minorHAnsi"/>
          <w:bCs/>
          <w:sz w:val="22"/>
          <w:szCs w:val="22"/>
        </w:rPr>
        <w:t>a PBS restricted HF medicine</w:t>
      </w:r>
      <w:r w:rsidRPr="00555F0A">
        <w:rPr>
          <w:rFonts w:asciiTheme="minorHAnsi" w:hAnsiTheme="minorHAnsi" w:cstheme="minorHAnsi"/>
          <w:bCs/>
          <w:sz w:val="22"/>
          <w:szCs w:val="22"/>
        </w:rPr>
        <w:t xml:space="preserve"> different to the index one or break in therapy was </w:t>
      </w:r>
      <w:r>
        <w:rPr>
          <w:rFonts w:asciiTheme="minorHAnsi" w:hAnsiTheme="minorHAnsi" w:cstheme="minorHAnsi"/>
          <w:bCs/>
          <w:sz w:val="22"/>
          <w:szCs w:val="22"/>
        </w:rPr>
        <w:t>17</w:t>
      </w:r>
      <w:r w:rsidRPr="00555F0A">
        <w:rPr>
          <w:rFonts w:asciiTheme="minorHAnsi" w:hAnsiTheme="minorHAnsi" w:cstheme="minorHAnsi"/>
          <w:bCs/>
          <w:sz w:val="22"/>
          <w:szCs w:val="22"/>
        </w:rPr>
        <w:t xml:space="preserve"> months. </w:t>
      </w:r>
    </w:p>
    <w:p w14:paraId="40DC9201" w14:textId="77777777" w:rsidR="00A45D75" w:rsidRPr="00555F0A" w:rsidRDefault="00A45D75" w:rsidP="00A45D75">
      <w:pPr>
        <w:pStyle w:val="ListParagraph"/>
        <w:numPr>
          <w:ilvl w:val="0"/>
          <w:numId w:val="27"/>
        </w:numPr>
        <w:jc w:val="both"/>
        <w:rPr>
          <w:rFonts w:asciiTheme="minorHAnsi" w:hAnsiTheme="minorHAnsi" w:cstheme="minorHAnsi"/>
          <w:bCs/>
          <w:sz w:val="22"/>
          <w:szCs w:val="22"/>
        </w:rPr>
      </w:pPr>
      <w:r w:rsidRPr="00555F0A">
        <w:rPr>
          <w:rFonts w:asciiTheme="minorHAnsi" w:hAnsiTheme="minorHAnsi" w:cstheme="minorHAnsi"/>
          <w:bCs/>
          <w:sz w:val="22"/>
          <w:szCs w:val="22"/>
        </w:rPr>
        <w:t xml:space="preserve">The median </w:t>
      </w:r>
      <w:r>
        <w:rPr>
          <w:rFonts w:asciiTheme="minorHAnsi" w:hAnsiTheme="minorHAnsi" w:cstheme="minorHAnsi"/>
          <w:bCs/>
          <w:sz w:val="22"/>
          <w:szCs w:val="22"/>
        </w:rPr>
        <w:t>time to</w:t>
      </w:r>
      <w:r w:rsidRPr="00555F0A">
        <w:rPr>
          <w:rFonts w:asciiTheme="minorHAnsi" w:hAnsiTheme="minorHAnsi" w:cstheme="minorHAnsi"/>
          <w:bCs/>
          <w:sz w:val="22"/>
          <w:szCs w:val="22"/>
        </w:rPr>
        <w:t xml:space="preserve"> addition of </w:t>
      </w:r>
      <w:r>
        <w:rPr>
          <w:rFonts w:asciiTheme="minorHAnsi" w:hAnsiTheme="minorHAnsi" w:cstheme="minorHAnsi"/>
          <w:bCs/>
          <w:sz w:val="22"/>
          <w:szCs w:val="22"/>
        </w:rPr>
        <w:t>a PBS restricted HF medicine</w:t>
      </w:r>
      <w:r w:rsidRPr="00555F0A">
        <w:rPr>
          <w:rFonts w:asciiTheme="minorHAnsi" w:hAnsiTheme="minorHAnsi" w:cstheme="minorHAnsi"/>
          <w:bCs/>
          <w:sz w:val="22"/>
          <w:szCs w:val="22"/>
        </w:rPr>
        <w:t xml:space="preserve"> or break in therapy was 1</w:t>
      </w:r>
      <w:r>
        <w:rPr>
          <w:rFonts w:asciiTheme="minorHAnsi" w:hAnsiTheme="minorHAnsi" w:cstheme="minorHAnsi"/>
          <w:bCs/>
          <w:sz w:val="22"/>
          <w:szCs w:val="22"/>
        </w:rPr>
        <w:t>5</w:t>
      </w:r>
      <w:r w:rsidRPr="00555F0A">
        <w:rPr>
          <w:rFonts w:asciiTheme="minorHAnsi" w:hAnsiTheme="minorHAnsi" w:cstheme="minorHAnsi"/>
          <w:bCs/>
          <w:sz w:val="22"/>
          <w:szCs w:val="22"/>
        </w:rPr>
        <w:t xml:space="preserve"> months. </w:t>
      </w:r>
    </w:p>
    <w:p w14:paraId="68DA0FD2" w14:textId="77777777" w:rsidR="00A45D75" w:rsidRPr="00555F0A" w:rsidRDefault="00A45D75" w:rsidP="00A45D75">
      <w:pPr>
        <w:pStyle w:val="ListParagraph"/>
        <w:numPr>
          <w:ilvl w:val="0"/>
          <w:numId w:val="27"/>
        </w:numPr>
        <w:spacing w:after="240"/>
        <w:jc w:val="both"/>
        <w:rPr>
          <w:rFonts w:asciiTheme="minorHAnsi" w:hAnsiTheme="minorHAnsi" w:cstheme="minorHAnsi"/>
          <w:bCs/>
          <w:sz w:val="22"/>
          <w:szCs w:val="22"/>
        </w:rPr>
      </w:pPr>
      <w:r w:rsidRPr="00555F0A">
        <w:rPr>
          <w:rFonts w:asciiTheme="minorHAnsi" w:hAnsiTheme="minorHAnsi" w:cstheme="minorHAnsi"/>
          <w:bCs/>
          <w:sz w:val="22"/>
          <w:szCs w:val="22"/>
        </w:rPr>
        <w:t xml:space="preserve">The </w:t>
      </w:r>
      <w:r w:rsidRPr="00C75101">
        <w:rPr>
          <w:rFonts w:asciiTheme="minorHAnsi" w:hAnsiTheme="minorHAnsi" w:cstheme="minorHAnsi"/>
          <w:bCs/>
          <w:sz w:val="22"/>
          <w:szCs w:val="22"/>
        </w:rPr>
        <w:t>median</w:t>
      </w:r>
      <w:r>
        <w:rPr>
          <w:rFonts w:asciiTheme="minorHAnsi" w:hAnsiTheme="minorHAnsi" w:cstheme="minorHAnsi"/>
          <w:bCs/>
          <w:sz w:val="22"/>
          <w:szCs w:val="22"/>
        </w:rPr>
        <w:t xml:space="preserve"> </w:t>
      </w:r>
      <w:r w:rsidRPr="00555F0A">
        <w:rPr>
          <w:rFonts w:asciiTheme="minorHAnsi" w:hAnsiTheme="minorHAnsi" w:cstheme="minorHAnsi"/>
          <w:bCs/>
          <w:sz w:val="22"/>
          <w:szCs w:val="22"/>
        </w:rPr>
        <w:t xml:space="preserve">cumulative duration of </w:t>
      </w:r>
      <w:r>
        <w:rPr>
          <w:rFonts w:asciiTheme="minorHAnsi" w:hAnsiTheme="minorHAnsi" w:cstheme="minorHAnsi"/>
          <w:bCs/>
          <w:sz w:val="22"/>
          <w:szCs w:val="22"/>
        </w:rPr>
        <w:t xml:space="preserve">all treatment episodes </w:t>
      </w:r>
      <w:r w:rsidRPr="00555F0A">
        <w:rPr>
          <w:rFonts w:asciiTheme="minorHAnsi" w:hAnsiTheme="minorHAnsi" w:cstheme="minorHAnsi"/>
          <w:bCs/>
          <w:sz w:val="22"/>
          <w:szCs w:val="22"/>
        </w:rPr>
        <w:t xml:space="preserve">was </w:t>
      </w:r>
      <w:r>
        <w:rPr>
          <w:rFonts w:asciiTheme="minorHAnsi" w:hAnsiTheme="minorHAnsi" w:cstheme="minorHAnsi"/>
          <w:bCs/>
          <w:sz w:val="22"/>
          <w:szCs w:val="22"/>
        </w:rPr>
        <w:t>3.4</w:t>
      </w:r>
      <w:r w:rsidRPr="00555F0A">
        <w:rPr>
          <w:rFonts w:asciiTheme="minorHAnsi" w:hAnsiTheme="minorHAnsi" w:cstheme="minorHAnsi"/>
          <w:bCs/>
          <w:sz w:val="22"/>
          <w:szCs w:val="22"/>
        </w:rPr>
        <w:t xml:space="preserve"> </w:t>
      </w:r>
      <w:r>
        <w:rPr>
          <w:rFonts w:asciiTheme="minorHAnsi" w:hAnsiTheme="minorHAnsi" w:cstheme="minorHAnsi"/>
          <w:bCs/>
          <w:sz w:val="22"/>
          <w:szCs w:val="22"/>
        </w:rPr>
        <w:t>years</w:t>
      </w:r>
      <w:r w:rsidRPr="00555F0A">
        <w:rPr>
          <w:rFonts w:asciiTheme="minorHAnsi" w:hAnsiTheme="minorHAnsi" w:cstheme="minorHAnsi"/>
          <w:bCs/>
          <w:sz w:val="22"/>
          <w:szCs w:val="22"/>
        </w:rPr>
        <w:t xml:space="preserve">. </w:t>
      </w:r>
    </w:p>
    <w:p w14:paraId="109DD4DE" w14:textId="77777777" w:rsidR="00A45D75" w:rsidRDefault="00A45D75" w:rsidP="00A45D75">
      <w:pPr>
        <w:jc w:val="both"/>
      </w:pPr>
      <w:r>
        <w:t xml:space="preserve">Consistent with the need for ongoing therapy, when the analyses include all medicines for heart failure, people stayed on at least one medicine that could be used for heart failure (restricted or unrestricted) for the duration of the study. </w:t>
      </w:r>
    </w:p>
    <w:p w14:paraId="11FBF981" w14:textId="5F78B667" w:rsidR="00A45D75" w:rsidRDefault="00A45D75" w:rsidP="00A45D75">
      <w:pPr>
        <w:jc w:val="both"/>
        <w:rPr>
          <w:rFonts w:cstheme="minorHAnsi"/>
          <w:szCs w:val="18"/>
        </w:rPr>
      </w:pPr>
      <w:r>
        <w:rPr>
          <w:rFonts w:cstheme="minorHAnsi"/>
          <w:szCs w:val="18"/>
        </w:rPr>
        <w:t xml:space="preserve">Analyses were undertaken to determine if initiation of PBS restricted HF medicines was in accord with PBS restrictions using an incident population in 2022 (n= </w:t>
      </w:r>
      <w:r w:rsidRPr="00C119A1">
        <w:rPr>
          <w:rFonts w:cstheme="minorHAnsi"/>
          <w:szCs w:val="18"/>
        </w:rPr>
        <w:t>81,34</w:t>
      </w:r>
      <w:r>
        <w:rPr>
          <w:rFonts w:cstheme="minorHAnsi"/>
          <w:szCs w:val="18"/>
        </w:rPr>
        <w:t>3)</w:t>
      </w:r>
      <w:r w:rsidR="009922A3">
        <w:rPr>
          <w:rFonts w:cstheme="minorHAnsi"/>
          <w:szCs w:val="18"/>
        </w:rPr>
        <w:t>:</w:t>
      </w:r>
    </w:p>
    <w:p w14:paraId="284376E8" w14:textId="11A48A85" w:rsidR="009922A3" w:rsidRPr="009B195B" w:rsidRDefault="00A45D75" w:rsidP="000501F0">
      <w:pPr>
        <w:pStyle w:val="ListParagraph"/>
        <w:numPr>
          <w:ilvl w:val="0"/>
          <w:numId w:val="26"/>
        </w:numPr>
        <w:spacing w:line="276" w:lineRule="auto"/>
        <w:ind w:left="714" w:hanging="357"/>
        <w:jc w:val="both"/>
        <w:rPr>
          <w:rFonts w:asciiTheme="minorHAnsi" w:hAnsiTheme="minorHAnsi" w:cstheme="minorHAnsi"/>
          <w:sz w:val="22"/>
          <w:szCs w:val="22"/>
        </w:rPr>
      </w:pPr>
      <w:r w:rsidRPr="009B195B">
        <w:rPr>
          <w:rFonts w:asciiTheme="minorHAnsi" w:hAnsiTheme="minorHAnsi" w:cstheme="minorHAnsi"/>
          <w:sz w:val="22"/>
          <w:szCs w:val="22"/>
        </w:rPr>
        <w:t>Overall, 67% of use of BB specific for heart failure was in persons who had previously been on an ACE</w:t>
      </w:r>
      <w:r w:rsidR="00E27482">
        <w:rPr>
          <w:rFonts w:asciiTheme="minorHAnsi" w:hAnsiTheme="minorHAnsi" w:cstheme="minorHAnsi"/>
          <w:sz w:val="22"/>
          <w:szCs w:val="22"/>
        </w:rPr>
        <w:t>i</w:t>
      </w:r>
      <w:r w:rsidRPr="009B195B">
        <w:rPr>
          <w:rFonts w:asciiTheme="minorHAnsi" w:hAnsiTheme="minorHAnsi" w:cstheme="minorHAnsi"/>
          <w:sz w:val="22"/>
          <w:szCs w:val="22"/>
        </w:rPr>
        <w:t xml:space="preserve">/ARB, although one third had not had a dispensing in the year </w:t>
      </w:r>
      <w:proofErr w:type="gramStart"/>
      <w:r w:rsidRPr="009B195B">
        <w:rPr>
          <w:rFonts w:asciiTheme="minorHAnsi" w:hAnsiTheme="minorHAnsi" w:cstheme="minorHAnsi"/>
          <w:sz w:val="22"/>
          <w:szCs w:val="22"/>
        </w:rPr>
        <w:t>prior</w:t>
      </w:r>
      <w:r w:rsidR="009922A3" w:rsidRPr="009B195B">
        <w:rPr>
          <w:rFonts w:asciiTheme="minorHAnsi" w:hAnsiTheme="minorHAnsi" w:cstheme="minorHAnsi"/>
          <w:sz w:val="22"/>
          <w:szCs w:val="22"/>
        </w:rPr>
        <w:t>;</w:t>
      </w:r>
      <w:proofErr w:type="gramEnd"/>
    </w:p>
    <w:p w14:paraId="2610A7D4" w14:textId="7062B8C6" w:rsidR="00A45D75" w:rsidRPr="009B195B" w:rsidRDefault="00A45D75" w:rsidP="000501F0">
      <w:pPr>
        <w:pStyle w:val="ListParagraph"/>
        <w:numPr>
          <w:ilvl w:val="0"/>
          <w:numId w:val="26"/>
        </w:numPr>
        <w:spacing w:line="276" w:lineRule="auto"/>
        <w:ind w:left="714" w:hanging="357"/>
        <w:jc w:val="both"/>
        <w:rPr>
          <w:rFonts w:asciiTheme="minorHAnsi" w:hAnsiTheme="minorHAnsi" w:cstheme="minorHAnsi"/>
          <w:sz w:val="22"/>
          <w:szCs w:val="22"/>
        </w:rPr>
      </w:pPr>
      <w:r w:rsidRPr="009B195B">
        <w:rPr>
          <w:rFonts w:asciiTheme="minorHAnsi" w:hAnsiTheme="minorHAnsi" w:cstheme="minorHAnsi"/>
          <w:sz w:val="22"/>
          <w:szCs w:val="22"/>
        </w:rPr>
        <w:t xml:space="preserve">The initiation of </w:t>
      </w:r>
      <w:r w:rsidR="000A3E5C" w:rsidRPr="009B195B">
        <w:rPr>
          <w:rFonts w:asciiTheme="minorHAnsi" w:hAnsiTheme="minorHAnsi" w:cstheme="minorHAnsi"/>
          <w:sz w:val="22"/>
          <w:szCs w:val="22"/>
        </w:rPr>
        <w:t xml:space="preserve">an </w:t>
      </w:r>
      <w:r w:rsidRPr="009B195B">
        <w:rPr>
          <w:rFonts w:asciiTheme="minorHAnsi" w:hAnsiTheme="minorHAnsi" w:cstheme="minorHAnsi"/>
          <w:sz w:val="22"/>
          <w:szCs w:val="22"/>
        </w:rPr>
        <w:t xml:space="preserve">ARNI was frequently not in accord with the PBS restrictions, with </w:t>
      </w:r>
      <w:r w:rsidR="000A3E5C" w:rsidRPr="009B195B">
        <w:rPr>
          <w:rFonts w:asciiTheme="minorHAnsi" w:hAnsiTheme="minorHAnsi" w:cstheme="minorHAnsi"/>
          <w:sz w:val="22"/>
          <w:szCs w:val="22"/>
        </w:rPr>
        <w:t xml:space="preserve">only </w:t>
      </w:r>
      <w:r w:rsidRPr="009B195B">
        <w:rPr>
          <w:rFonts w:asciiTheme="minorHAnsi" w:hAnsiTheme="minorHAnsi" w:cstheme="minorHAnsi"/>
          <w:sz w:val="22"/>
          <w:szCs w:val="22"/>
        </w:rPr>
        <w:t xml:space="preserve">39% having concomitant use of a BB and </w:t>
      </w:r>
      <w:r w:rsidR="000A3E5C" w:rsidRPr="009B195B">
        <w:rPr>
          <w:rFonts w:asciiTheme="minorHAnsi" w:hAnsiTheme="minorHAnsi" w:cstheme="minorHAnsi"/>
          <w:sz w:val="22"/>
          <w:szCs w:val="22"/>
        </w:rPr>
        <w:t xml:space="preserve">only </w:t>
      </w:r>
      <w:r w:rsidRPr="009B195B">
        <w:rPr>
          <w:rFonts w:asciiTheme="minorHAnsi" w:hAnsiTheme="minorHAnsi" w:cstheme="minorHAnsi"/>
          <w:sz w:val="22"/>
          <w:szCs w:val="22"/>
        </w:rPr>
        <w:t>36% having had a</w:t>
      </w:r>
      <w:r w:rsidR="000A3E5C" w:rsidRPr="009B195B">
        <w:rPr>
          <w:rFonts w:asciiTheme="minorHAnsi" w:hAnsiTheme="minorHAnsi" w:cstheme="minorHAnsi"/>
          <w:sz w:val="22"/>
          <w:szCs w:val="22"/>
        </w:rPr>
        <w:t>n</w:t>
      </w:r>
      <w:r w:rsidRPr="009B195B">
        <w:rPr>
          <w:rFonts w:asciiTheme="minorHAnsi" w:hAnsiTheme="minorHAnsi" w:cstheme="minorHAnsi"/>
          <w:sz w:val="22"/>
          <w:szCs w:val="22"/>
        </w:rPr>
        <w:t xml:space="preserve"> ACE</w:t>
      </w:r>
      <w:r w:rsidR="00E27482">
        <w:rPr>
          <w:rFonts w:asciiTheme="minorHAnsi" w:hAnsiTheme="minorHAnsi" w:cstheme="minorHAnsi"/>
          <w:sz w:val="22"/>
          <w:szCs w:val="22"/>
        </w:rPr>
        <w:t>i</w:t>
      </w:r>
      <w:r w:rsidRPr="009B195B">
        <w:rPr>
          <w:rFonts w:asciiTheme="minorHAnsi" w:hAnsiTheme="minorHAnsi" w:cstheme="minorHAnsi"/>
          <w:sz w:val="22"/>
          <w:szCs w:val="22"/>
        </w:rPr>
        <w:t xml:space="preserve">/ARB in the year </w:t>
      </w:r>
      <w:proofErr w:type="gramStart"/>
      <w:r w:rsidRPr="009B195B">
        <w:rPr>
          <w:rFonts w:asciiTheme="minorHAnsi" w:hAnsiTheme="minorHAnsi" w:cstheme="minorHAnsi"/>
          <w:sz w:val="22"/>
          <w:szCs w:val="22"/>
        </w:rPr>
        <w:t>prior</w:t>
      </w:r>
      <w:r w:rsidR="009922A3" w:rsidRPr="009B195B">
        <w:rPr>
          <w:rFonts w:asciiTheme="minorHAnsi" w:hAnsiTheme="minorHAnsi" w:cstheme="minorHAnsi"/>
          <w:sz w:val="22"/>
          <w:szCs w:val="22"/>
        </w:rPr>
        <w:t>;</w:t>
      </w:r>
      <w:proofErr w:type="gramEnd"/>
    </w:p>
    <w:p w14:paraId="68033120" w14:textId="1657876F" w:rsidR="00A45D75" w:rsidRPr="009B195B" w:rsidRDefault="00A45D75" w:rsidP="000501F0">
      <w:pPr>
        <w:pStyle w:val="ListParagraph"/>
        <w:numPr>
          <w:ilvl w:val="0"/>
          <w:numId w:val="26"/>
        </w:numPr>
        <w:spacing w:line="276" w:lineRule="auto"/>
        <w:ind w:left="714" w:hanging="357"/>
        <w:jc w:val="both"/>
        <w:rPr>
          <w:rFonts w:asciiTheme="minorHAnsi" w:hAnsiTheme="minorHAnsi" w:cstheme="minorHAnsi"/>
          <w:sz w:val="22"/>
          <w:szCs w:val="22"/>
        </w:rPr>
      </w:pPr>
      <w:r w:rsidRPr="009B195B">
        <w:rPr>
          <w:rFonts w:asciiTheme="minorHAnsi" w:hAnsiTheme="minorHAnsi" w:cstheme="minorHAnsi"/>
          <w:sz w:val="22"/>
          <w:szCs w:val="22"/>
        </w:rPr>
        <w:t>Overall</w:t>
      </w:r>
      <w:r w:rsidR="009922A3" w:rsidRPr="009B195B">
        <w:rPr>
          <w:rFonts w:asciiTheme="minorHAnsi" w:hAnsiTheme="minorHAnsi" w:cstheme="minorHAnsi"/>
          <w:sz w:val="22"/>
          <w:szCs w:val="22"/>
        </w:rPr>
        <w:t>,</w:t>
      </w:r>
      <w:r w:rsidRPr="009B195B">
        <w:rPr>
          <w:rFonts w:asciiTheme="minorHAnsi" w:hAnsiTheme="minorHAnsi" w:cstheme="minorHAnsi"/>
          <w:sz w:val="22"/>
          <w:szCs w:val="22"/>
        </w:rPr>
        <w:t xml:space="preserve"> 57% of SGLT2 initiation was in persons already on at least one therapy that may be for heart failure. SGLT2 inhibitors are indicated for HF with preserved ejection fraction [2], which may account for a proportion of the 43% of the population that appear to have had the medicine outside of PBS restrictions as they had no </w:t>
      </w:r>
      <w:r w:rsidR="009922A3" w:rsidRPr="009B195B">
        <w:rPr>
          <w:rFonts w:asciiTheme="minorHAnsi" w:hAnsiTheme="minorHAnsi" w:cstheme="minorHAnsi"/>
          <w:sz w:val="22"/>
          <w:szCs w:val="22"/>
        </w:rPr>
        <w:t>add-on</w:t>
      </w:r>
      <w:r w:rsidRPr="009B195B">
        <w:rPr>
          <w:rFonts w:asciiTheme="minorHAnsi" w:hAnsiTheme="minorHAnsi" w:cstheme="minorHAnsi"/>
          <w:sz w:val="22"/>
          <w:szCs w:val="22"/>
        </w:rPr>
        <w:t xml:space="preserve"> </w:t>
      </w:r>
      <w:r w:rsidR="009922A3" w:rsidRPr="009B195B">
        <w:rPr>
          <w:rFonts w:asciiTheme="minorHAnsi" w:hAnsiTheme="minorHAnsi" w:cstheme="minorHAnsi"/>
          <w:sz w:val="22"/>
          <w:szCs w:val="22"/>
        </w:rPr>
        <w:t xml:space="preserve">therapy </w:t>
      </w:r>
      <w:r w:rsidRPr="009B195B">
        <w:rPr>
          <w:rFonts w:asciiTheme="minorHAnsi" w:hAnsiTheme="minorHAnsi" w:cstheme="minorHAnsi"/>
          <w:sz w:val="22"/>
          <w:szCs w:val="22"/>
        </w:rPr>
        <w:t>of ACE</w:t>
      </w:r>
      <w:r w:rsidR="00E27482">
        <w:rPr>
          <w:rFonts w:asciiTheme="minorHAnsi" w:hAnsiTheme="minorHAnsi" w:cstheme="minorHAnsi"/>
          <w:sz w:val="22"/>
          <w:szCs w:val="22"/>
        </w:rPr>
        <w:t>i</w:t>
      </w:r>
      <w:r w:rsidRPr="009B195B">
        <w:rPr>
          <w:rFonts w:asciiTheme="minorHAnsi" w:hAnsiTheme="minorHAnsi" w:cstheme="minorHAnsi"/>
          <w:sz w:val="22"/>
          <w:szCs w:val="22"/>
        </w:rPr>
        <w:t>/ARB/ARN</w:t>
      </w:r>
      <w:r w:rsidR="000A3E5C" w:rsidRPr="009B195B">
        <w:rPr>
          <w:rFonts w:asciiTheme="minorHAnsi" w:hAnsiTheme="minorHAnsi" w:cstheme="minorHAnsi"/>
          <w:sz w:val="22"/>
          <w:szCs w:val="22"/>
        </w:rPr>
        <w:t>I</w:t>
      </w:r>
      <w:r w:rsidRPr="009B195B">
        <w:rPr>
          <w:rFonts w:asciiTheme="minorHAnsi" w:hAnsiTheme="minorHAnsi" w:cstheme="minorHAnsi"/>
          <w:sz w:val="22"/>
          <w:szCs w:val="22"/>
        </w:rPr>
        <w:t xml:space="preserve"> or a beta-blocker. The majority (88%) of people initiated on SGLT2 were not on a second SGLT2 inhibitor. It is possible that incorrect selection of PBS item codes accounts for some dispensings appearing to be for indications other than heart </w:t>
      </w:r>
      <w:proofErr w:type="gramStart"/>
      <w:r w:rsidRPr="009B195B">
        <w:rPr>
          <w:rFonts w:asciiTheme="minorHAnsi" w:hAnsiTheme="minorHAnsi" w:cstheme="minorHAnsi"/>
          <w:sz w:val="22"/>
          <w:szCs w:val="22"/>
        </w:rPr>
        <w:t>failure</w:t>
      </w:r>
      <w:r w:rsidR="009922A3" w:rsidRPr="009B195B">
        <w:rPr>
          <w:rFonts w:asciiTheme="minorHAnsi" w:hAnsiTheme="minorHAnsi" w:cstheme="minorHAnsi"/>
          <w:sz w:val="22"/>
          <w:szCs w:val="22"/>
        </w:rPr>
        <w:t>;</w:t>
      </w:r>
      <w:proofErr w:type="gramEnd"/>
    </w:p>
    <w:p w14:paraId="5D8092E8" w14:textId="287E499C" w:rsidR="00A45D75" w:rsidRPr="009B195B" w:rsidRDefault="00A45D75" w:rsidP="000501F0">
      <w:pPr>
        <w:pStyle w:val="ListParagraph"/>
        <w:numPr>
          <w:ilvl w:val="0"/>
          <w:numId w:val="26"/>
        </w:numPr>
        <w:spacing w:line="276" w:lineRule="auto"/>
        <w:ind w:left="714" w:hanging="357"/>
        <w:jc w:val="both"/>
        <w:rPr>
          <w:rFonts w:asciiTheme="minorHAnsi" w:hAnsiTheme="minorHAnsi" w:cstheme="minorHAnsi"/>
          <w:sz w:val="22"/>
          <w:szCs w:val="22"/>
        </w:rPr>
      </w:pPr>
      <w:r w:rsidRPr="009B195B">
        <w:rPr>
          <w:rFonts w:asciiTheme="minorHAnsi" w:hAnsiTheme="minorHAnsi" w:cstheme="minorHAnsi"/>
          <w:sz w:val="22"/>
          <w:szCs w:val="22"/>
        </w:rPr>
        <w:t>The majority of HCN use, which is not a large proportion of the population, appears to be outside of PBS restrictions as 8</w:t>
      </w:r>
      <w:r w:rsidR="000501F0">
        <w:rPr>
          <w:rFonts w:asciiTheme="minorHAnsi" w:hAnsiTheme="minorHAnsi" w:cstheme="minorHAnsi"/>
          <w:sz w:val="22"/>
          <w:szCs w:val="22"/>
        </w:rPr>
        <w:t>3</w:t>
      </w:r>
      <w:r w:rsidRPr="009B195B">
        <w:rPr>
          <w:rFonts w:asciiTheme="minorHAnsi" w:hAnsiTheme="minorHAnsi" w:cstheme="minorHAnsi"/>
          <w:sz w:val="22"/>
          <w:szCs w:val="22"/>
        </w:rPr>
        <w:t xml:space="preserve">% did not have concomitant use of a </w:t>
      </w:r>
      <w:proofErr w:type="gramStart"/>
      <w:r w:rsidRPr="009B195B">
        <w:rPr>
          <w:rFonts w:asciiTheme="minorHAnsi" w:hAnsiTheme="minorHAnsi" w:cstheme="minorHAnsi"/>
          <w:sz w:val="22"/>
          <w:szCs w:val="22"/>
        </w:rPr>
        <w:t>BB</w:t>
      </w:r>
      <w:r w:rsidR="009B195B" w:rsidRPr="009B195B">
        <w:rPr>
          <w:rFonts w:asciiTheme="minorHAnsi" w:hAnsiTheme="minorHAnsi" w:cstheme="minorHAnsi"/>
          <w:sz w:val="22"/>
          <w:szCs w:val="22"/>
        </w:rPr>
        <w:t>;</w:t>
      </w:r>
      <w:proofErr w:type="gramEnd"/>
    </w:p>
    <w:p w14:paraId="2890B8E8" w14:textId="5271C8DE" w:rsidR="00A45D75" w:rsidRPr="009B195B" w:rsidRDefault="00A45D75" w:rsidP="000501F0">
      <w:pPr>
        <w:pStyle w:val="ListParagraph"/>
        <w:numPr>
          <w:ilvl w:val="0"/>
          <w:numId w:val="26"/>
        </w:numPr>
        <w:spacing w:line="276" w:lineRule="auto"/>
        <w:ind w:left="714" w:hanging="357"/>
        <w:jc w:val="both"/>
        <w:rPr>
          <w:rFonts w:asciiTheme="minorHAnsi" w:hAnsiTheme="minorHAnsi" w:cstheme="minorHAnsi"/>
          <w:sz w:val="22"/>
          <w:szCs w:val="22"/>
        </w:rPr>
      </w:pPr>
      <w:r w:rsidRPr="009B195B">
        <w:rPr>
          <w:rFonts w:asciiTheme="minorHAnsi" w:hAnsiTheme="minorHAnsi" w:cstheme="minorHAnsi"/>
          <w:sz w:val="22"/>
          <w:szCs w:val="22"/>
        </w:rPr>
        <w:t>The sGC market is too new and data were not available to assess the PBS restrictions.</w:t>
      </w:r>
    </w:p>
    <w:p w14:paraId="7233D5C5" w14:textId="77777777" w:rsidR="009B195B" w:rsidRPr="009B195B" w:rsidRDefault="009B195B" w:rsidP="009B195B">
      <w:pPr>
        <w:pStyle w:val="ListParagraph"/>
        <w:jc w:val="both"/>
        <w:rPr>
          <w:rFonts w:cstheme="minorHAnsi"/>
          <w:szCs w:val="18"/>
        </w:rPr>
      </w:pPr>
    </w:p>
    <w:p w14:paraId="531261F7" w14:textId="77777777" w:rsidR="00A45D75" w:rsidRDefault="00A45D75" w:rsidP="00A45D75">
      <w:pPr>
        <w:jc w:val="both"/>
        <w:rPr>
          <w:rFonts w:cstheme="minorHAnsi"/>
          <w:szCs w:val="18"/>
        </w:rPr>
      </w:pPr>
      <w:r>
        <w:rPr>
          <w:rFonts w:cstheme="minorHAnsi"/>
          <w:szCs w:val="18"/>
        </w:rPr>
        <w:t xml:space="preserve">SGLT2 inhibitors, dapagliflozin and empagliflozin, were listed on the PBS for heart failure in </w:t>
      </w:r>
      <w:r w:rsidRPr="009D6CCD">
        <w:rPr>
          <w:rFonts w:cstheme="minorHAnsi"/>
          <w:szCs w:val="18"/>
        </w:rPr>
        <w:t>January and April 2022</w:t>
      </w:r>
      <w:r>
        <w:rPr>
          <w:rFonts w:cstheme="minorHAnsi"/>
          <w:szCs w:val="18"/>
        </w:rPr>
        <w:t>,</w:t>
      </w:r>
      <w:r w:rsidRPr="009D6CCD">
        <w:rPr>
          <w:rFonts w:cstheme="minorHAnsi"/>
          <w:szCs w:val="18"/>
        </w:rPr>
        <w:t xml:space="preserve"> respectively</w:t>
      </w:r>
      <w:r>
        <w:rPr>
          <w:rFonts w:cstheme="minorHAnsi"/>
          <w:szCs w:val="18"/>
        </w:rPr>
        <w:t>. It was hypothesised there may be a proportion of people with heart failure receiving PBS subsidised treatment with an SGLT2 inhibitor under a non-HF indication (e.g. type 2 diabetes, chronic kidney disease). The analysis found that i</w:t>
      </w:r>
      <w:r w:rsidRPr="000E29D8">
        <w:rPr>
          <w:rFonts w:cstheme="minorHAnsi"/>
          <w:szCs w:val="18"/>
        </w:rPr>
        <w:t xml:space="preserve">n December 2022, </w:t>
      </w:r>
      <w:r>
        <w:rPr>
          <w:rFonts w:cstheme="minorHAnsi"/>
          <w:szCs w:val="18"/>
        </w:rPr>
        <w:t>3</w:t>
      </w:r>
      <w:r w:rsidRPr="000E29D8">
        <w:rPr>
          <w:rFonts w:cstheme="minorHAnsi"/>
          <w:szCs w:val="18"/>
        </w:rPr>
        <w:t xml:space="preserve">% of prevalent users of </w:t>
      </w:r>
      <w:r>
        <w:rPr>
          <w:rFonts w:cstheme="minorHAnsi"/>
          <w:szCs w:val="18"/>
        </w:rPr>
        <w:t xml:space="preserve">PBS restricted </w:t>
      </w:r>
      <w:r w:rsidRPr="000E29D8">
        <w:rPr>
          <w:rFonts w:cstheme="minorHAnsi"/>
          <w:szCs w:val="18"/>
        </w:rPr>
        <w:t xml:space="preserve">HF medicines </w:t>
      </w:r>
      <w:r>
        <w:rPr>
          <w:rFonts w:cstheme="minorHAnsi"/>
          <w:szCs w:val="18"/>
        </w:rPr>
        <w:t xml:space="preserve">received a PBS subsidised </w:t>
      </w:r>
      <w:r w:rsidRPr="000E29D8">
        <w:rPr>
          <w:rFonts w:cstheme="minorHAnsi"/>
          <w:szCs w:val="18"/>
        </w:rPr>
        <w:t xml:space="preserve">SGLT2 inhibitor </w:t>
      </w:r>
      <w:r>
        <w:rPr>
          <w:rFonts w:cstheme="minorHAnsi"/>
          <w:szCs w:val="18"/>
        </w:rPr>
        <w:t>under a non-HF indication</w:t>
      </w:r>
      <w:r w:rsidRPr="000E29D8">
        <w:rPr>
          <w:rFonts w:cstheme="minorHAnsi"/>
          <w:szCs w:val="18"/>
        </w:rPr>
        <w:t xml:space="preserve"> and were not dispensed any other </w:t>
      </w:r>
      <w:r>
        <w:rPr>
          <w:rFonts w:cstheme="minorHAnsi"/>
          <w:szCs w:val="18"/>
        </w:rPr>
        <w:t>medicines for diabetes.</w:t>
      </w:r>
      <w:r w:rsidRPr="000E29D8">
        <w:rPr>
          <w:rFonts w:cstheme="minorHAnsi"/>
          <w:szCs w:val="18"/>
        </w:rPr>
        <w:t xml:space="preserve"> </w:t>
      </w:r>
      <w:r>
        <w:rPr>
          <w:rFonts w:cstheme="minorHAnsi"/>
          <w:szCs w:val="18"/>
        </w:rPr>
        <w:t xml:space="preserve">It is possible </w:t>
      </w:r>
      <w:r w:rsidRPr="000E29D8">
        <w:rPr>
          <w:rFonts w:cstheme="minorHAnsi"/>
          <w:szCs w:val="18"/>
        </w:rPr>
        <w:t xml:space="preserve">this use may represent </w:t>
      </w:r>
      <w:r>
        <w:rPr>
          <w:rFonts w:cstheme="minorHAnsi"/>
          <w:szCs w:val="18"/>
        </w:rPr>
        <w:t xml:space="preserve">SGLT2 inhibitor </w:t>
      </w:r>
      <w:r w:rsidRPr="000E29D8">
        <w:rPr>
          <w:rFonts w:cstheme="minorHAnsi"/>
          <w:szCs w:val="18"/>
        </w:rPr>
        <w:t xml:space="preserve">use for </w:t>
      </w:r>
      <w:r>
        <w:rPr>
          <w:rFonts w:cstheme="minorHAnsi"/>
          <w:szCs w:val="18"/>
        </w:rPr>
        <w:t>HF</w:t>
      </w:r>
      <w:r w:rsidRPr="000E29D8">
        <w:rPr>
          <w:rFonts w:cstheme="minorHAnsi"/>
          <w:szCs w:val="18"/>
        </w:rPr>
        <w:t xml:space="preserve"> or use outside of </w:t>
      </w:r>
      <w:r>
        <w:rPr>
          <w:rFonts w:cstheme="minorHAnsi"/>
          <w:szCs w:val="18"/>
        </w:rPr>
        <w:t xml:space="preserve">PBS </w:t>
      </w:r>
      <w:r w:rsidRPr="000E29D8">
        <w:rPr>
          <w:rFonts w:cstheme="minorHAnsi"/>
          <w:szCs w:val="18"/>
        </w:rPr>
        <w:t>restrictions for diabetes</w:t>
      </w:r>
      <w:r>
        <w:rPr>
          <w:rFonts w:cstheme="minorHAnsi"/>
          <w:szCs w:val="18"/>
        </w:rPr>
        <w:t xml:space="preserve"> (PBS restrictions do not currently allow monotherapy with an SGLT2 inhibitor for type 2 diabetes)</w:t>
      </w:r>
      <w:r w:rsidRPr="000E29D8">
        <w:rPr>
          <w:rFonts w:cstheme="minorHAnsi"/>
          <w:szCs w:val="18"/>
        </w:rPr>
        <w:t>.</w:t>
      </w:r>
    </w:p>
    <w:p w14:paraId="034517BA" w14:textId="74B84303" w:rsidR="00A45D75" w:rsidRDefault="00A45D75" w:rsidP="00A45D75">
      <w:pPr>
        <w:jc w:val="both"/>
      </w:pPr>
      <w:r>
        <w:t>Am</w:t>
      </w:r>
      <w:r w:rsidRPr="00FA1177">
        <w:t>ong all people who had</w:t>
      </w:r>
      <w:r w:rsidR="000B253C">
        <w:t xml:space="preserve"> an</w:t>
      </w:r>
      <w:r w:rsidRPr="00FA1177">
        <w:t xml:space="preserve"> SGLT2</w:t>
      </w:r>
      <w:r w:rsidR="000B253C">
        <w:t xml:space="preserve"> inhibitor</w:t>
      </w:r>
      <w:r w:rsidRPr="00FA1177">
        <w:t xml:space="preserve"> for HF, approximately 40% were supplied an ARNI, with between 2</w:t>
      </w:r>
      <w:r w:rsidR="000501F0">
        <w:t>5</w:t>
      </w:r>
      <w:r w:rsidRPr="00FA1177">
        <w:t>% and 30% supplied an ACE</w:t>
      </w:r>
      <w:r w:rsidR="003A0616">
        <w:t>i</w:t>
      </w:r>
      <w:r w:rsidRPr="00FA1177">
        <w:t>/ARB concurrently</w:t>
      </w:r>
      <w:r>
        <w:t xml:space="preserve">.  This compares with the estimates that </w:t>
      </w:r>
      <w:r>
        <w:rPr>
          <w:rFonts w:cstheme="minorHAnsi"/>
          <w:lang w:val="en-US"/>
        </w:rPr>
        <w:t>between 11% and 20% of the standard of care population would likely be supplied an ARNI and the remainder would be on ACE</w:t>
      </w:r>
      <w:r w:rsidR="003A0616">
        <w:rPr>
          <w:rFonts w:cstheme="minorHAnsi"/>
          <w:lang w:val="en-US"/>
        </w:rPr>
        <w:t>i</w:t>
      </w:r>
      <w:r>
        <w:rPr>
          <w:rFonts w:cstheme="minorHAnsi"/>
          <w:lang w:val="en-US"/>
        </w:rPr>
        <w:t>/ARB concurrently when dapagliflozin was assessed by the PBAC for PBS listing for heart failure.</w:t>
      </w:r>
    </w:p>
    <w:p w14:paraId="4452CA5F" w14:textId="021C4512" w:rsidR="008F6176" w:rsidRDefault="00A45D75" w:rsidP="008A64AF">
      <w:pPr>
        <w:jc w:val="both"/>
        <w:rPr>
          <w:rFonts w:asciiTheme="majorHAnsi" w:eastAsiaTheme="majorEastAsia" w:hAnsiTheme="majorHAnsi" w:cstheme="majorBidi"/>
          <w:color w:val="365F91" w:themeColor="accent1" w:themeShade="BF"/>
          <w:sz w:val="26"/>
          <w:szCs w:val="26"/>
          <w:lang w:val="en-US"/>
        </w:rPr>
      </w:pPr>
      <w:r>
        <w:rPr>
          <w:rFonts w:cstheme="minorHAnsi"/>
          <w:szCs w:val="18"/>
        </w:rPr>
        <w:t xml:space="preserve">This analysis shows less than half the PBS restricted HF population appear to be on standard of care and there appears to be significant use of PBS restricted HF medicines outside of the restrictions. </w:t>
      </w:r>
      <w:r w:rsidR="008A64AF">
        <w:rPr>
          <w:rFonts w:cstheme="minorHAnsi"/>
          <w:szCs w:val="18"/>
        </w:rPr>
        <w:t>I</w:t>
      </w:r>
      <w:r>
        <w:rPr>
          <w:rFonts w:cstheme="minorHAnsi"/>
          <w:szCs w:val="18"/>
        </w:rPr>
        <w:t xml:space="preserve">n the absence of diagnostic data on disease severity and frailty, it is difficult to conclude the extent to which these analyses represent inappropriate or suboptimal use. It is possible that challenges in implementing quadruple therapy due to frailty or comorbidity are contributing to some of the observed results.  The full extent of the influence of age, frailty, and comorbidity, as well as medicine intolerance and contraindications cannot be determined from the PBS data alone. </w:t>
      </w:r>
      <w:r w:rsidR="008A64AF">
        <w:rPr>
          <w:rFonts w:cstheme="minorHAnsi"/>
          <w:szCs w:val="18"/>
        </w:rPr>
        <w:t xml:space="preserve">The analysis does suggest that PBS restricted HF medicines are being used interchangeably more frequently than as add-on therapy, which may have implications for the realisation of the cost-effectiveness benefits of the listings. </w:t>
      </w:r>
      <w:r w:rsidR="008F6176">
        <w:rPr>
          <w:lang w:val="en-US"/>
        </w:rPr>
        <w:br w:type="page"/>
      </w:r>
    </w:p>
    <w:p w14:paraId="4941C83F" w14:textId="43A24C38" w:rsidR="00B5140B" w:rsidRDefault="00B5140B" w:rsidP="00B5140B">
      <w:pPr>
        <w:pStyle w:val="Heading2"/>
        <w:rPr>
          <w:lang w:val="en-US"/>
        </w:rPr>
      </w:pPr>
      <w:bookmarkStart w:id="38" w:name="_Toc165448412"/>
      <w:r>
        <w:rPr>
          <w:lang w:val="en-US"/>
        </w:rPr>
        <w:t>References</w:t>
      </w:r>
      <w:bookmarkEnd w:id="21"/>
      <w:bookmarkEnd w:id="22"/>
      <w:bookmarkEnd w:id="38"/>
      <w:r w:rsidRPr="002B040B">
        <w:rPr>
          <w:lang w:val="en-US"/>
        </w:rPr>
        <w:t xml:space="preserve"> </w:t>
      </w:r>
    </w:p>
    <w:p w14:paraId="2C615712" w14:textId="08BC2B9A" w:rsidR="0029121A" w:rsidRPr="0029121A" w:rsidRDefault="0029121A" w:rsidP="00E41745">
      <w:pPr>
        <w:numPr>
          <w:ilvl w:val="0"/>
          <w:numId w:val="18"/>
        </w:numPr>
        <w:shd w:val="clear" w:color="auto" w:fill="FFFFFF"/>
        <w:tabs>
          <w:tab w:val="clear" w:pos="1800"/>
          <w:tab w:val="left" w:pos="284"/>
        </w:tabs>
        <w:spacing w:before="100" w:beforeAutospacing="1" w:after="100" w:afterAutospacing="1" w:line="312" w:lineRule="atLeast"/>
        <w:ind w:left="284" w:hanging="284"/>
        <w:jc w:val="both"/>
        <w:rPr>
          <w:rFonts w:eastAsia="Times New Roman" w:cs="Open Sans"/>
          <w:lang w:eastAsia="en-AU"/>
        </w:rPr>
      </w:pPr>
      <w:r w:rsidRPr="0029121A">
        <w:rPr>
          <w:rFonts w:eastAsia="Times New Roman" w:cs="Open Sans"/>
          <w:lang w:eastAsia="en-AU"/>
        </w:rPr>
        <w:t>Australian Medicines Handbook. Adelaide. Australian Medicines Handbook Pty Ltd. 2020.</w:t>
      </w:r>
    </w:p>
    <w:p w14:paraId="7BABFABD" w14:textId="483B42A3" w:rsidR="0064057F" w:rsidRPr="005E17D6" w:rsidRDefault="0064057F" w:rsidP="00C441C0">
      <w:pPr>
        <w:numPr>
          <w:ilvl w:val="0"/>
          <w:numId w:val="18"/>
        </w:numPr>
        <w:shd w:val="clear" w:color="auto" w:fill="FFFFFF"/>
        <w:tabs>
          <w:tab w:val="clear" w:pos="1800"/>
          <w:tab w:val="left" w:pos="284"/>
        </w:tabs>
        <w:spacing w:before="100" w:beforeAutospacing="1" w:after="100" w:afterAutospacing="1" w:line="312" w:lineRule="atLeast"/>
        <w:ind w:left="284" w:hanging="284"/>
        <w:jc w:val="both"/>
        <w:rPr>
          <w:rFonts w:eastAsia="Times New Roman" w:cs="Open Sans"/>
          <w:lang w:eastAsia="en-AU"/>
        </w:rPr>
      </w:pPr>
      <w:r w:rsidRPr="006E6ECF">
        <w:rPr>
          <w:rFonts w:eastAsia="Times New Roman" w:cs="Open Sans"/>
          <w:lang w:eastAsia="en-AU"/>
        </w:rPr>
        <w:t>Atherton J</w:t>
      </w:r>
      <w:r w:rsidR="0029121A">
        <w:rPr>
          <w:rFonts w:eastAsia="Times New Roman" w:cs="Open Sans"/>
          <w:lang w:eastAsia="en-AU"/>
        </w:rPr>
        <w:t>, Sindone A, De Pasquale C,</w:t>
      </w:r>
      <w:r w:rsidRPr="006E6ECF">
        <w:rPr>
          <w:rFonts w:eastAsia="Times New Roman" w:cs="Open Sans"/>
          <w:lang w:eastAsia="en-AU"/>
        </w:rPr>
        <w:t xml:space="preserve"> et al. National Heart Foundation of Australia and Cardiac Society of Australia and New Zealand: Guidelines for the prevention, detection, and management of heart failure in Australia 2018. Heart Lung Circ. 2018; 27</w:t>
      </w:r>
      <w:r w:rsidR="0029121A">
        <w:rPr>
          <w:rFonts w:eastAsia="Times New Roman" w:cs="Open Sans"/>
          <w:lang w:eastAsia="en-AU"/>
        </w:rPr>
        <w:t xml:space="preserve"> (10)</w:t>
      </w:r>
      <w:r w:rsidRPr="006E6ECF">
        <w:rPr>
          <w:rFonts w:eastAsia="Times New Roman" w:cs="Open Sans"/>
          <w:lang w:eastAsia="en-AU"/>
        </w:rPr>
        <w:t>: 1123-1208.</w:t>
      </w:r>
    </w:p>
    <w:p w14:paraId="6F12DB2E" w14:textId="618A4713" w:rsidR="00780B97" w:rsidRDefault="00780B97" w:rsidP="00780B97">
      <w:pPr>
        <w:numPr>
          <w:ilvl w:val="0"/>
          <w:numId w:val="18"/>
        </w:numPr>
        <w:shd w:val="clear" w:color="auto" w:fill="FFFFFF"/>
        <w:tabs>
          <w:tab w:val="clear" w:pos="1800"/>
          <w:tab w:val="left" w:pos="284"/>
        </w:tabs>
        <w:spacing w:before="100" w:beforeAutospacing="1" w:after="100" w:afterAutospacing="1" w:line="312" w:lineRule="atLeast"/>
        <w:ind w:left="284" w:hanging="284"/>
        <w:jc w:val="both"/>
        <w:rPr>
          <w:rFonts w:eastAsia="Times New Roman" w:cs="Open Sans"/>
          <w:lang w:eastAsia="en-AU"/>
        </w:rPr>
      </w:pPr>
      <w:r w:rsidRPr="00780B97">
        <w:rPr>
          <w:rFonts w:eastAsia="Times New Roman" w:cs="Open Sans"/>
          <w:lang w:eastAsia="en-AU"/>
        </w:rPr>
        <w:t>Pratt N, Kerr M, Barratt J, Kemp-Casey A, Kalisch Ellett L, Ramsay E, Roughead E. The validity of the Rx-Risk Comorbidity Index using medicines mapped to the Anatomical Therapeutic Chemical (ATC) Classification System. BMJ Open. 2018 Apr 13;8(4):</w:t>
      </w:r>
      <w:r w:rsidR="00F8523B">
        <w:rPr>
          <w:rFonts w:eastAsia="Times New Roman" w:cs="Open Sans"/>
          <w:lang w:eastAsia="en-AU"/>
        </w:rPr>
        <w:t xml:space="preserve"> </w:t>
      </w:r>
      <w:r w:rsidRPr="00780B97">
        <w:rPr>
          <w:rFonts w:eastAsia="Times New Roman" w:cs="Open Sans"/>
          <w:lang w:eastAsia="en-AU"/>
        </w:rPr>
        <w:t>e021122. doi: 10.1136/bmjopen-2017-021122. Erratum in: BMJ Open. 2020 Sep 6;10(9):</w:t>
      </w:r>
      <w:r w:rsidR="00F8523B">
        <w:rPr>
          <w:rFonts w:eastAsia="Times New Roman" w:cs="Open Sans"/>
          <w:lang w:eastAsia="en-AU"/>
        </w:rPr>
        <w:t xml:space="preserve"> </w:t>
      </w:r>
      <w:r w:rsidRPr="00780B97">
        <w:rPr>
          <w:rFonts w:eastAsia="Times New Roman" w:cs="Open Sans"/>
          <w:lang w:eastAsia="en-AU"/>
        </w:rPr>
        <w:t>e021122corr1. PMID: 29654048; PMCID: PMC5905736.</w:t>
      </w:r>
    </w:p>
    <w:p w14:paraId="0E264831" w14:textId="3144CA92" w:rsidR="0061675C" w:rsidRPr="009B64B8" w:rsidRDefault="0061675C" w:rsidP="00780B97">
      <w:pPr>
        <w:numPr>
          <w:ilvl w:val="0"/>
          <w:numId w:val="18"/>
        </w:numPr>
        <w:shd w:val="clear" w:color="auto" w:fill="FFFFFF"/>
        <w:tabs>
          <w:tab w:val="clear" w:pos="1800"/>
          <w:tab w:val="left" w:pos="284"/>
        </w:tabs>
        <w:spacing w:before="100" w:beforeAutospacing="1" w:after="100" w:afterAutospacing="1" w:line="312" w:lineRule="atLeast"/>
        <w:ind w:left="284" w:hanging="284"/>
        <w:jc w:val="both"/>
        <w:rPr>
          <w:rFonts w:eastAsia="Times New Roman" w:cs="Open Sans"/>
          <w:color w:val="000000" w:themeColor="text1"/>
          <w:lang w:eastAsia="en-AU"/>
        </w:rPr>
      </w:pPr>
      <w:r w:rsidRPr="009B64B8">
        <w:rPr>
          <w:rFonts w:cs="Segoe UI"/>
          <w:color w:val="000000" w:themeColor="text1"/>
          <w:shd w:val="clear" w:color="auto" w:fill="FFFFFF"/>
        </w:rPr>
        <w:t>Vitry A, Wong S, Roughead E, Ramsay E, Barratt J. Validity of medication-based co-morbidity indices in the Australian elderly population. Aust N Z J Public Health. 2009 Apr;</w:t>
      </w:r>
      <w:r w:rsidR="009B64B8">
        <w:rPr>
          <w:rFonts w:cs="Segoe UI"/>
          <w:color w:val="000000" w:themeColor="text1"/>
          <w:shd w:val="clear" w:color="auto" w:fill="FFFFFF"/>
        </w:rPr>
        <w:t xml:space="preserve"> </w:t>
      </w:r>
      <w:r w:rsidRPr="009B64B8">
        <w:rPr>
          <w:rFonts w:cs="Segoe UI"/>
          <w:color w:val="000000" w:themeColor="text1"/>
          <w:shd w:val="clear" w:color="auto" w:fill="FFFFFF"/>
        </w:rPr>
        <w:t>33(2):</w:t>
      </w:r>
      <w:r w:rsidR="009B64B8">
        <w:rPr>
          <w:rFonts w:cs="Segoe UI"/>
          <w:color w:val="000000" w:themeColor="text1"/>
          <w:shd w:val="clear" w:color="auto" w:fill="FFFFFF"/>
        </w:rPr>
        <w:t xml:space="preserve"> </w:t>
      </w:r>
      <w:r w:rsidRPr="009B64B8">
        <w:rPr>
          <w:rFonts w:cs="Segoe UI"/>
          <w:color w:val="000000" w:themeColor="text1"/>
          <w:shd w:val="clear" w:color="auto" w:fill="FFFFFF"/>
        </w:rPr>
        <w:t>126-30. doi: 10.1111/j.1753-6405.2009.00357</w:t>
      </w:r>
    </w:p>
    <w:p w14:paraId="713064C8" w14:textId="7F95C2E4" w:rsidR="005D73A4" w:rsidRPr="005D73A4" w:rsidRDefault="009B64B8" w:rsidP="003E528C">
      <w:pPr>
        <w:numPr>
          <w:ilvl w:val="0"/>
          <w:numId w:val="18"/>
        </w:numPr>
        <w:shd w:val="clear" w:color="auto" w:fill="FFFFFF"/>
        <w:tabs>
          <w:tab w:val="clear" w:pos="1800"/>
          <w:tab w:val="left" w:pos="284"/>
        </w:tabs>
        <w:spacing w:before="100" w:beforeAutospacing="1" w:after="100" w:afterAutospacing="1" w:line="312" w:lineRule="atLeast"/>
        <w:ind w:left="284" w:hanging="284"/>
        <w:jc w:val="both"/>
        <w:rPr>
          <w:rFonts w:eastAsia="Times New Roman" w:cs="Open Sans"/>
          <w:color w:val="000000" w:themeColor="text1"/>
          <w:lang w:eastAsia="en-AU"/>
        </w:rPr>
      </w:pPr>
      <w:r w:rsidRPr="005D73A4">
        <w:rPr>
          <w:rFonts w:cs="Segoe UI"/>
          <w:color w:val="000000" w:themeColor="text1"/>
          <w:shd w:val="clear" w:color="auto" w:fill="FFFFFF"/>
        </w:rPr>
        <w:t>Australian Bureau of Statistics</w:t>
      </w:r>
      <w:r w:rsidR="005D73A4" w:rsidRPr="005D73A4">
        <w:rPr>
          <w:rFonts w:cs="Segoe UI"/>
          <w:color w:val="000000" w:themeColor="text1"/>
          <w:shd w:val="clear" w:color="auto" w:fill="FFFFFF"/>
        </w:rPr>
        <w:t xml:space="preserve"> </w:t>
      </w:r>
      <w:r w:rsidR="005D73A4">
        <w:rPr>
          <w:rFonts w:cs="Segoe UI"/>
          <w:color w:val="000000" w:themeColor="text1"/>
          <w:shd w:val="clear" w:color="auto" w:fill="FFFFFF"/>
        </w:rPr>
        <w:t xml:space="preserve">Estimated Australian resident population. </w:t>
      </w:r>
      <w:r w:rsidR="005D73A4" w:rsidRPr="005D73A4">
        <w:rPr>
          <w:rFonts w:cs="Segoe UI"/>
          <w:color w:val="000000" w:themeColor="text1"/>
          <w:shd w:val="clear" w:color="auto" w:fill="FFFFFF"/>
        </w:rPr>
        <w:t xml:space="preserve">Available from </w:t>
      </w:r>
      <w:hyperlink r:id="rId37" w:history="1">
        <w:r w:rsidR="005D73A4" w:rsidRPr="005D73A4">
          <w:rPr>
            <w:rStyle w:val="Hyperlink"/>
            <w:rFonts w:cs="Segoe UI"/>
            <w:shd w:val="clear" w:color="auto" w:fill="FFFFFF"/>
          </w:rPr>
          <w:t>www.abs.gov.au/population</w:t>
        </w:r>
      </w:hyperlink>
    </w:p>
    <w:p w14:paraId="0641B8C2" w14:textId="3160B42A" w:rsidR="00E877D3" w:rsidRPr="00E877D3" w:rsidRDefault="0054000A" w:rsidP="007164E4">
      <w:pPr>
        <w:numPr>
          <w:ilvl w:val="0"/>
          <w:numId w:val="18"/>
        </w:numPr>
        <w:shd w:val="clear" w:color="auto" w:fill="FFFFFF"/>
        <w:tabs>
          <w:tab w:val="clear" w:pos="1800"/>
          <w:tab w:val="left" w:pos="284"/>
        </w:tabs>
        <w:spacing w:before="100" w:beforeAutospacing="1" w:after="100" w:afterAutospacing="1" w:line="312" w:lineRule="atLeast"/>
        <w:ind w:left="284" w:hanging="284"/>
        <w:jc w:val="both"/>
        <w:rPr>
          <w:rFonts w:eastAsia="Times New Roman" w:cs="Open Sans"/>
          <w:color w:val="000000" w:themeColor="text1"/>
          <w:lang w:eastAsia="en-AU"/>
        </w:rPr>
      </w:pPr>
      <w:r w:rsidRPr="00E877D3">
        <w:rPr>
          <w:rFonts w:eastAsia="Times New Roman" w:cs="Helvetica"/>
          <w:color w:val="000000" w:themeColor="text1"/>
          <w:shd w:val="clear" w:color="auto" w:fill="FFFFFF"/>
          <w:lang w:eastAsia="en-AU"/>
        </w:rPr>
        <w:t xml:space="preserve">Australian </w:t>
      </w:r>
      <w:r w:rsidR="00D10E69" w:rsidRPr="00E877D3">
        <w:rPr>
          <w:rFonts w:eastAsia="Times New Roman" w:cs="Helvetica"/>
          <w:color w:val="000000" w:themeColor="text1"/>
          <w:shd w:val="clear" w:color="auto" w:fill="FFFFFF"/>
          <w:lang w:eastAsia="en-AU"/>
        </w:rPr>
        <w:t>Bureau of Statistics</w:t>
      </w:r>
      <w:r w:rsidRPr="00E877D3">
        <w:rPr>
          <w:rFonts w:eastAsia="Times New Roman" w:cs="Helvetica"/>
          <w:color w:val="000000" w:themeColor="text1"/>
          <w:shd w:val="clear" w:color="auto" w:fill="FFFFFF"/>
          <w:lang w:eastAsia="en-AU"/>
        </w:rPr>
        <w:t>. Heart, stroke and vascular disease</w:t>
      </w:r>
      <w:r w:rsidR="00D10E69" w:rsidRPr="00E877D3">
        <w:rPr>
          <w:rFonts w:eastAsia="Times New Roman" w:cs="Helvetica"/>
          <w:color w:val="000000" w:themeColor="text1"/>
          <w:shd w:val="clear" w:color="auto" w:fill="FFFFFF"/>
          <w:lang w:eastAsia="en-AU"/>
        </w:rPr>
        <w:t>.</w:t>
      </w:r>
      <w:r w:rsidRPr="00E877D3">
        <w:rPr>
          <w:rFonts w:eastAsia="Times New Roman" w:cs="Helvetica"/>
          <w:color w:val="000000" w:themeColor="text1"/>
          <w:shd w:val="clear" w:color="auto" w:fill="FFFFFF"/>
          <w:lang w:eastAsia="en-AU"/>
        </w:rPr>
        <w:t xml:space="preserve"> </w:t>
      </w:r>
      <w:r w:rsidR="008021DE" w:rsidRPr="00E877D3">
        <w:rPr>
          <w:rFonts w:eastAsia="Times New Roman" w:cs="Helvetica"/>
          <w:color w:val="000000" w:themeColor="text1"/>
          <w:shd w:val="clear" w:color="auto" w:fill="FFFFFF"/>
          <w:lang w:eastAsia="en-AU"/>
        </w:rPr>
        <w:t>National Health Survey</w:t>
      </w:r>
      <w:r w:rsidRPr="00E877D3">
        <w:rPr>
          <w:rFonts w:eastAsia="Times New Roman" w:cs="Helvetica"/>
          <w:color w:val="000000" w:themeColor="text1"/>
          <w:shd w:val="clear" w:color="auto" w:fill="FFFFFF"/>
          <w:lang w:eastAsia="en-AU"/>
        </w:rPr>
        <w:t>; 20</w:t>
      </w:r>
      <w:r w:rsidR="00D10E69" w:rsidRPr="00E877D3">
        <w:rPr>
          <w:rFonts w:eastAsia="Times New Roman" w:cs="Helvetica"/>
          <w:color w:val="000000" w:themeColor="text1"/>
          <w:shd w:val="clear" w:color="auto" w:fill="FFFFFF"/>
          <w:lang w:eastAsia="en-AU"/>
        </w:rPr>
        <w:t>22</w:t>
      </w:r>
      <w:r w:rsidRPr="00E877D3">
        <w:rPr>
          <w:rFonts w:eastAsia="Times New Roman" w:cs="Helvetica"/>
          <w:color w:val="000000" w:themeColor="text1"/>
          <w:shd w:val="clear" w:color="auto" w:fill="FFFFFF"/>
          <w:lang w:eastAsia="en-AU"/>
        </w:rPr>
        <w:t xml:space="preserve"> Available from</w:t>
      </w:r>
      <w:r w:rsidRPr="00E877D3">
        <w:rPr>
          <w:color w:val="000000" w:themeColor="text1"/>
        </w:rPr>
        <w:t>:</w:t>
      </w:r>
      <w:r w:rsidR="00D70132" w:rsidRPr="00E877D3">
        <w:rPr>
          <w:color w:val="000000" w:themeColor="text1"/>
        </w:rPr>
        <w:t xml:space="preserve"> </w:t>
      </w:r>
      <w:hyperlink r:id="rId38" w:history="1">
        <w:r w:rsidR="00D10E69" w:rsidRPr="00E877D3">
          <w:rPr>
            <w:rStyle w:val="Hyperlink"/>
            <w:color w:val="000000" w:themeColor="text1"/>
          </w:rPr>
          <w:t>https://www.abs.gov.au/statistics/health/health-conditions-and-risks/heart-stroke-and-vascular-disease/2022</w:t>
        </w:r>
      </w:hyperlink>
    </w:p>
    <w:p w14:paraId="285CD611" w14:textId="0648DCD0" w:rsidR="0061675C" w:rsidRPr="00D10E69" w:rsidRDefault="0061675C" w:rsidP="0061675C">
      <w:pPr>
        <w:numPr>
          <w:ilvl w:val="0"/>
          <w:numId w:val="18"/>
        </w:numPr>
        <w:shd w:val="clear" w:color="auto" w:fill="FFFFFF"/>
        <w:tabs>
          <w:tab w:val="clear" w:pos="1800"/>
          <w:tab w:val="left" w:pos="284"/>
        </w:tabs>
        <w:spacing w:before="100" w:beforeAutospacing="1" w:after="100" w:afterAutospacing="1" w:line="312" w:lineRule="atLeast"/>
        <w:ind w:left="284" w:hanging="284"/>
        <w:jc w:val="both"/>
        <w:rPr>
          <w:rFonts w:eastAsia="Times New Roman" w:cs="Open Sans"/>
          <w:lang w:eastAsia="en-AU"/>
        </w:rPr>
      </w:pPr>
      <w:r>
        <w:rPr>
          <w:rFonts w:eastAsia="Times New Roman" w:cs="Open Sans"/>
          <w:lang w:eastAsia="en-AU"/>
        </w:rPr>
        <w:t xml:space="preserve">Australian Government Department of Health and Aged-Care. Public Summary Document – July 2021 PBAC Meeting. 7.01 Dapagliflozin Tablet 10mg. </w:t>
      </w:r>
      <w:r w:rsidRPr="00DE793F">
        <w:rPr>
          <w:rFonts w:eastAsia="Times New Roman" w:cs="Helvetica"/>
          <w:color w:val="333333"/>
          <w:shd w:val="clear" w:color="auto" w:fill="FFFFFF"/>
          <w:lang w:eastAsia="en-AU"/>
        </w:rPr>
        <w:t xml:space="preserve">Canberra: </w:t>
      </w:r>
      <w:r>
        <w:rPr>
          <w:rFonts w:eastAsia="Times New Roman" w:cs="Helvetica"/>
          <w:color w:val="333333"/>
          <w:shd w:val="clear" w:color="auto" w:fill="FFFFFF"/>
          <w:lang w:eastAsia="en-AU"/>
        </w:rPr>
        <w:t>DoHA</w:t>
      </w:r>
      <w:r w:rsidRPr="00DE793F">
        <w:rPr>
          <w:rFonts w:eastAsia="Times New Roman" w:cs="Helvetica"/>
          <w:color w:val="333333"/>
          <w:shd w:val="clear" w:color="auto" w:fill="FFFFFF"/>
          <w:lang w:eastAsia="en-AU"/>
        </w:rPr>
        <w:t>; 202</w:t>
      </w:r>
      <w:r>
        <w:rPr>
          <w:rFonts w:eastAsia="Times New Roman" w:cs="Helvetica"/>
          <w:color w:val="333333"/>
          <w:shd w:val="clear" w:color="auto" w:fill="FFFFFF"/>
          <w:lang w:eastAsia="en-AU"/>
        </w:rPr>
        <w:t>1</w:t>
      </w:r>
      <w:r w:rsidRPr="00DE793F">
        <w:rPr>
          <w:rFonts w:eastAsia="Times New Roman" w:cs="Helvetica"/>
          <w:color w:val="333333"/>
          <w:shd w:val="clear" w:color="auto" w:fill="FFFFFF"/>
          <w:lang w:eastAsia="en-AU"/>
        </w:rPr>
        <w:t xml:space="preserve"> Available from</w:t>
      </w:r>
      <w:r w:rsidRPr="006E6CAD">
        <w:rPr>
          <w:noProof/>
        </w:rPr>
        <w:t xml:space="preserve">: </w:t>
      </w:r>
      <w:hyperlink r:id="rId39" w:history="1">
        <w:r w:rsidR="00E877D3" w:rsidRPr="002B4FD6">
          <w:rPr>
            <w:rStyle w:val="Hyperlink"/>
            <w:rFonts w:eastAsia="Times New Roman" w:cs="Open Sans"/>
            <w:lang w:eastAsia="en-AU"/>
          </w:rPr>
          <w:t>https://www.pbs.gov.au/industry/listing/elements/pbac-meetings/psd/2021-07/files/dapagliflozin-HF-psd-july-2021.pdf</w:t>
        </w:r>
      </w:hyperlink>
    </w:p>
    <w:p w14:paraId="1E1EBCED" w14:textId="77777777" w:rsidR="00616539" w:rsidRDefault="00616539" w:rsidP="00616539">
      <w:pPr>
        <w:rPr>
          <w:lang w:val="en-US"/>
        </w:rPr>
      </w:pPr>
    </w:p>
    <w:p w14:paraId="1C428A65" w14:textId="77777777" w:rsidR="00616539" w:rsidRPr="00616539" w:rsidRDefault="00616539" w:rsidP="00616539">
      <w:pPr>
        <w:rPr>
          <w:lang w:val="en-US"/>
        </w:rPr>
      </w:pPr>
    </w:p>
    <w:p w14:paraId="3FC4044E" w14:textId="77777777" w:rsidR="00CB167F" w:rsidRDefault="00CB167F">
      <w:pPr>
        <w:rPr>
          <w:rFonts w:asciiTheme="majorHAnsi" w:eastAsiaTheme="majorEastAsia" w:hAnsiTheme="majorHAnsi" w:cstheme="majorBidi"/>
          <w:color w:val="365F91" w:themeColor="accent1" w:themeShade="BF"/>
          <w:sz w:val="26"/>
          <w:szCs w:val="26"/>
          <w:lang w:val="en-US"/>
        </w:rPr>
      </w:pPr>
      <w:r>
        <w:rPr>
          <w:lang w:val="en-US"/>
        </w:rPr>
        <w:br w:type="page"/>
      </w:r>
    </w:p>
    <w:p w14:paraId="5DE60657" w14:textId="65783575" w:rsidR="0064057F" w:rsidRDefault="0064057F" w:rsidP="0079747D">
      <w:pPr>
        <w:pStyle w:val="Heading2"/>
        <w:spacing w:after="240"/>
        <w:rPr>
          <w:lang w:val="en-US"/>
        </w:rPr>
      </w:pPr>
      <w:bookmarkStart w:id="39" w:name="_Toc165448413"/>
      <w:r>
        <w:rPr>
          <w:lang w:val="en-US"/>
        </w:rPr>
        <w:t>Appendix</w:t>
      </w:r>
      <w:r w:rsidR="00D10244">
        <w:rPr>
          <w:lang w:val="en-US"/>
        </w:rPr>
        <w:t xml:space="preserve"> 1</w:t>
      </w:r>
      <w:r w:rsidR="00F332AB">
        <w:rPr>
          <w:lang w:val="en-US"/>
        </w:rPr>
        <w:t>: Rx Risk medicines list and codes</w:t>
      </w:r>
      <w:bookmarkEnd w:id="39"/>
    </w:p>
    <w:p w14:paraId="549E6D4A" w14:textId="77777777" w:rsidR="0081797F" w:rsidRDefault="0081797F" w:rsidP="0081797F">
      <w:r>
        <w:rPr>
          <w:rFonts w:cs="Arial"/>
        </w:rPr>
        <w:t>L</w:t>
      </w:r>
      <w:r w:rsidRPr="006204DB">
        <w:rPr>
          <w:rFonts w:cs="Arial"/>
        </w:rPr>
        <w:t xml:space="preserve">ist of medicines and codes </w:t>
      </w:r>
      <w:r>
        <w:rPr>
          <w:rFonts w:cs="Arial"/>
        </w:rPr>
        <w:t>to determine comorbidity index Rx Risk</w:t>
      </w:r>
      <w:r w:rsidR="00D43D2E">
        <w:rPr>
          <w:rFonts w:cs="Arial"/>
        </w:rPr>
        <w:t xml:space="preserve"> (excluding heart failure medicines)</w:t>
      </w:r>
    </w:p>
    <w:p w14:paraId="5CD38094"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Alcohol dependency</w:t>
      </w:r>
      <w:r>
        <w:tab/>
        <w:t>N07BB01–N07BB99</w:t>
      </w:r>
    </w:p>
    <w:p w14:paraId="38F89FA8"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Allergies</w:t>
      </w:r>
      <w:r>
        <w:tab/>
        <w:t>R01AC01–R01AD60, R06AD02–R06AX27, R06AB04</w:t>
      </w:r>
    </w:p>
    <w:p w14:paraId="3511CD78"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Anticoagulants</w:t>
      </w:r>
      <w:r>
        <w:tab/>
        <w:t>B01AA03–B01AB06, B01AE07, B01AF01, B01AF02, B01AX05</w:t>
      </w:r>
    </w:p>
    <w:p w14:paraId="07043B7B"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Antiplatelets</w:t>
      </w:r>
      <w:r>
        <w:tab/>
        <w:t>B01AC04–B01AC30</w:t>
      </w:r>
    </w:p>
    <w:p w14:paraId="486A8AB7"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Anxiety</w:t>
      </w:r>
      <w:r>
        <w:tab/>
      </w:r>
      <w:r>
        <w:tab/>
        <w:t>N05BA01–N05BA12, N05BE01</w:t>
      </w:r>
    </w:p>
    <w:p w14:paraId="3A586EB0"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Arrhythmia</w:t>
      </w:r>
      <w:r>
        <w:tab/>
        <w:t>C01AA05, C01BA01–C01BD01, C07AA07</w:t>
      </w:r>
      <w:r>
        <w:tab/>
      </w:r>
    </w:p>
    <w:p w14:paraId="6D9B3877"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Benign prostatic hyperplasia</w:t>
      </w:r>
      <w:r>
        <w:tab/>
        <w:t>G04CA01–G04CA99, G04CB01, G04CB02*</w:t>
      </w:r>
    </w:p>
    <w:p w14:paraId="76D227F6"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Bipolar disorder</w:t>
      </w:r>
      <w:r>
        <w:tab/>
      </w:r>
      <w:r>
        <w:tab/>
        <w:t>N05AN01</w:t>
      </w:r>
    </w:p>
    <w:p w14:paraId="7753F695"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Chronic airways disease</w:t>
      </w:r>
      <w:r>
        <w:tab/>
      </w:r>
      <w:r>
        <w:tab/>
        <w:t>R03AC02–R03DC03, R03DX05</w:t>
      </w:r>
    </w:p>
    <w:p w14:paraId="6B27B9D2" w14:textId="77777777" w:rsidR="0081797F" w:rsidRPr="009E41B6"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lang w:val="de-DE"/>
        </w:rPr>
      </w:pPr>
      <w:r w:rsidRPr="009E41B6">
        <w:rPr>
          <w:lang w:val="de-DE"/>
        </w:rPr>
        <w:t>Dementia</w:t>
      </w:r>
      <w:r w:rsidRPr="009E41B6">
        <w:rPr>
          <w:lang w:val="de-DE"/>
        </w:rPr>
        <w:tab/>
        <w:t>N06DA02–N06DA04, N06DX01</w:t>
      </w:r>
    </w:p>
    <w:p w14:paraId="6E10ABB1" w14:textId="77777777" w:rsidR="0081797F" w:rsidRPr="009E41B6"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lang w:val="de-DE"/>
        </w:rPr>
      </w:pPr>
      <w:r w:rsidRPr="009E41B6">
        <w:rPr>
          <w:lang w:val="de-DE"/>
        </w:rPr>
        <w:t>Depression</w:t>
      </w:r>
      <w:r w:rsidRPr="009E41B6">
        <w:rPr>
          <w:lang w:val="de-DE"/>
        </w:rPr>
        <w:tab/>
        <w:t>N06AA01–N06AG02, N06AX03–N06AX11, N06AX13–N06AX18, N06AX21–N06AX26</w:t>
      </w:r>
    </w:p>
    <w:p w14:paraId="10978FA1"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Diabetes</w:t>
      </w:r>
      <w:r>
        <w:tab/>
        <w:t>A10AA01–A10BX99</w:t>
      </w:r>
    </w:p>
    <w:p w14:paraId="216DBD60"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Epilepsy</w:t>
      </w:r>
      <w:r>
        <w:tab/>
        <w:t>N03AA01–N03AX99</w:t>
      </w:r>
    </w:p>
    <w:p w14:paraId="0A06D3F6"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Glaucoma</w:t>
      </w:r>
      <w:r>
        <w:tab/>
        <w:t>S01EA01–S01EB03, S01EC03–S01EX99</w:t>
      </w:r>
    </w:p>
    <w:p w14:paraId="42FE2DCD" w14:textId="77777777" w:rsidR="0081797F" w:rsidRDefault="002B3106"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Gastroesophageal</w:t>
      </w:r>
      <w:r w:rsidR="0081797F">
        <w:t xml:space="preserve"> reflux disease</w:t>
      </w:r>
      <w:r w:rsidR="0081797F">
        <w:tab/>
        <w:t>A02BA01–A02BX05</w:t>
      </w:r>
    </w:p>
    <w:p w14:paraId="2C2FFC79"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Gout</w:t>
      </w:r>
      <w:r>
        <w:tab/>
        <w:t>M04AA01–M04AC01</w:t>
      </w:r>
    </w:p>
    <w:p w14:paraId="47F5701E"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Hepatitis B</w:t>
      </w:r>
      <w:r>
        <w:tab/>
        <w:t>J05AF08, J05AF10, J05AF11</w:t>
      </w:r>
    </w:p>
    <w:p w14:paraId="2DDB17A6" w14:textId="77777777" w:rsidR="0081797F" w:rsidRPr="009E41B6"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lang w:val="de-DE"/>
        </w:rPr>
      </w:pPr>
      <w:r w:rsidRPr="009E41B6">
        <w:rPr>
          <w:lang w:val="de-DE"/>
        </w:rPr>
        <w:t>Hepatitis C</w:t>
      </w:r>
      <w:r w:rsidRPr="009E41B6">
        <w:rPr>
          <w:lang w:val="de-DE"/>
        </w:rPr>
        <w:tab/>
        <w:t>J05AB54, L03AB10, L03AB11, L03AB60, L03AB61, J05AE14, J05AE11–J05AE12, J05AX14, J05AX15, J05AX65, J05AB04</w:t>
      </w:r>
    </w:p>
    <w:p w14:paraId="49271299" w14:textId="77777777" w:rsidR="0081797F" w:rsidRPr="009E41B6"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lang w:val="de-DE"/>
        </w:rPr>
      </w:pPr>
      <w:r w:rsidRPr="009E41B6">
        <w:rPr>
          <w:lang w:val="de-DE"/>
        </w:rPr>
        <w:t>HIV</w:t>
      </w:r>
      <w:r w:rsidRPr="009E41B6">
        <w:rPr>
          <w:lang w:val="de-DE"/>
        </w:rPr>
        <w:tab/>
        <w:t>J05AE01–J05AE10, J05AF12–J05AG05, J05AR01–J05AR99, J05AX07–J05AX09, J05AX12, J05AF01–J05AF07, J05AF09</w:t>
      </w:r>
    </w:p>
    <w:p w14:paraId="7B014282"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Hyperkalaemia</w:t>
      </w:r>
      <w:r>
        <w:tab/>
        <w:t>V03AE01</w:t>
      </w:r>
    </w:p>
    <w:p w14:paraId="7A6167A4"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Hyperlipidaemia</w:t>
      </w:r>
      <w:r>
        <w:tab/>
        <w:t>A10BH03, C10AA01–C10BX09</w:t>
      </w:r>
    </w:p>
    <w:p w14:paraId="05D1E682"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Hypertension</w:t>
      </w:r>
      <w:r>
        <w:tab/>
        <w:t>C03AA01–C03BA11, C03DB01-C03DB99, C03EA01, C09BA02–C09BA09, C09DA02–C09DA08, C02AB01–C02AC05, C02DB02–C02DB99 (C03CA01–C03CCO1 or C09CA01–C09CX</w:t>
      </w:r>
      <w:proofErr w:type="gramStart"/>
      <w:r>
        <w:t>99)§</w:t>
      </w:r>
      <w:proofErr w:type="gramEnd"/>
    </w:p>
    <w:p w14:paraId="6084BA4E"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Hyperthyroidism</w:t>
      </w:r>
      <w:r>
        <w:tab/>
        <w:t>H03BA02, H03BB01</w:t>
      </w:r>
    </w:p>
    <w:p w14:paraId="5EEC1B33"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Hypothyroidism</w:t>
      </w:r>
      <w:r>
        <w:tab/>
      </w:r>
      <w:r>
        <w:tab/>
        <w:t>H03AA01–H03AA02</w:t>
      </w:r>
    </w:p>
    <w:p w14:paraId="22DC5DB4"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Irritable bowel syndrome</w:t>
      </w:r>
      <w:r>
        <w:tab/>
        <w:t>A07EC01–A07EC04, A07EA01–A07EA02, A07EA06, L04AA33</w:t>
      </w:r>
    </w:p>
    <w:p w14:paraId="7B0384A0"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Ischaemic heart disease: angina</w:t>
      </w:r>
      <w:r>
        <w:tab/>
      </w:r>
      <w:r>
        <w:tab/>
        <w:t>C01DA02–C01DA14, C01DX16, C08EX02</w:t>
      </w:r>
      <w:r>
        <w:tab/>
      </w:r>
    </w:p>
    <w:p w14:paraId="5103DDD8"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Ischaemic heart disease: hypertension</w:t>
      </w:r>
      <w:r>
        <w:tab/>
        <w:t>C07AA01–C07AA06, C07AA08–C07AB01, C07AB02—if PBS item code is not 8732N, 8733P, 8734Q, 8735R, C07AG01, C08CA01–C08DB01, C09DB01–C09DB04, C09DX01, C09BB02–C09BB10, C07AB03, C09DX03, C10BX03</w:t>
      </w:r>
    </w:p>
    <w:p w14:paraId="1C627AB7"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Incontinence</w:t>
      </w:r>
      <w:r>
        <w:tab/>
        <w:t>G04BD01–G04BD99</w:t>
      </w:r>
    </w:p>
    <w:p w14:paraId="090A90C1"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Inflammation/pain</w:t>
      </w:r>
      <w:r>
        <w:tab/>
        <w:t>M01AB01–M01AH06</w:t>
      </w:r>
    </w:p>
    <w:p w14:paraId="75600085"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Liver failure</w:t>
      </w:r>
      <w:r>
        <w:tab/>
        <w:t>A06AD11, A07AA11</w:t>
      </w:r>
    </w:p>
    <w:p w14:paraId="7F00E84C"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Malignancies</w:t>
      </w:r>
      <w:r>
        <w:tab/>
        <w:t>L01AA01–L01XX41</w:t>
      </w:r>
    </w:p>
    <w:p w14:paraId="60DCA0B8"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Malnutrition</w:t>
      </w:r>
      <w:r>
        <w:tab/>
        <w:t>B05BA01–B05BA10</w:t>
      </w:r>
    </w:p>
    <w:p w14:paraId="0B0EAF74"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Migraine</w:t>
      </w:r>
      <w:r>
        <w:tab/>
        <w:t>N02CA01–N02CX01</w:t>
      </w:r>
    </w:p>
    <w:p w14:paraId="4D6DAB3D"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Osteoporosis/Paget’s</w:t>
      </w:r>
      <w:r>
        <w:tab/>
        <w:t>M05BA01–M05BB05, M05BX03, M05BX04, G03XC01, H05AA02</w:t>
      </w:r>
    </w:p>
    <w:p w14:paraId="034F228C"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Pain</w:t>
      </w:r>
      <w:r>
        <w:tab/>
        <w:t>N02AA01–N02AX02, N02AX06, N02AX52, N02BE51</w:t>
      </w:r>
    </w:p>
    <w:p w14:paraId="0DED111B"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Pancreatic insufficiency</w:t>
      </w:r>
      <w:r>
        <w:tab/>
      </w:r>
      <w:r>
        <w:tab/>
        <w:t>A09AA02</w:t>
      </w:r>
    </w:p>
    <w:p w14:paraId="5AB5EDC9"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Parkinson’s disease</w:t>
      </w:r>
      <w:r>
        <w:tab/>
        <w:t>N04AA01–N04BX02</w:t>
      </w:r>
    </w:p>
    <w:p w14:paraId="1070129C"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Psoriasis</w:t>
      </w:r>
      <w:r>
        <w:tab/>
        <w:t>D05AA01–D05AA99, D05BB01 D05BB02, D05AX02, D05AC01–D05AC51, D05AX52</w:t>
      </w:r>
    </w:p>
    <w:p w14:paraId="3686B54D" w14:textId="77777777" w:rsidR="0081797F" w:rsidRPr="009E41B6"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lang w:val="de-DE"/>
        </w:rPr>
      </w:pPr>
      <w:r w:rsidRPr="009E41B6">
        <w:rPr>
          <w:lang w:val="de-DE"/>
        </w:rPr>
        <w:t>Psychotic illness</w:t>
      </w:r>
      <w:r w:rsidRPr="009E41B6">
        <w:rPr>
          <w:lang w:val="de-DE"/>
        </w:rPr>
        <w:tab/>
      </w:r>
      <w:r w:rsidRPr="009E41B6">
        <w:rPr>
          <w:lang w:val="de-DE"/>
        </w:rPr>
        <w:tab/>
        <w:t>N05AA01–N05AB02, N05AB06–N05AL07, N05AX07–N05AX13</w:t>
      </w:r>
    </w:p>
    <w:p w14:paraId="68E62183"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Pulmonary hypertension</w:t>
      </w:r>
      <w:r>
        <w:tab/>
        <w:t>C02KX01–C02KX05, PBS item code 9547L, 9605M</w:t>
      </w:r>
    </w:p>
    <w:p w14:paraId="5FA096EC"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Renal disease</w:t>
      </w:r>
      <w:r>
        <w:tab/>
        <w:t>B03XA01–B03XA03, A11CC01–A11CC04, V03AE02, V03AE03, V03AE05</w:t>
      </w:r>
    </w:p>
    <w:p w14:paraId="2ECAD100"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Smoking cessation</w:t>
      </w:r>
      <w:r>
        <w:tab/>
        <w:t>N07BA01–N07BA03, N06AX12</w:t>
      </w:r>
    </w:p>
    <w:p w14:paraId="35C0AABE"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Steroid-responsive disease</w:t>
      </w:r>
      <w:r>
        <w:tab/>
        <w:t>H02AB01–H02AB10</w:t>
      </w:r>
    </w:p>
    <w:p w14:paraId="3B630846" w14:textId="77777777" w:rsidR="0081797F" w:rsidRDefault="0081797F" w:rsidP="002B310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pPr>
      <w:r>
        <w:t>Transplant</w:t>
      </w:r>
      <w:r>
        <w:tab/>
        <w:t>L04AA06, L04AA10, L04AA18, L04AD01, L04AD02</w:t>
      </w:r>
    </w:p>
    <w:p w14:paraId="614149AF" w14:textId="77777777" w:rsidR="002B3106" w:rsidRDefault="0081797F" w:rsidP="0081797F">
      <w:pPr>
        <w:pBdr>
          <w:top w:val="single" w:sz="4" w:space="1" w:color="auto"/>
          <w:left w:val="single" w:sz="4" w:space="4" w:color="auto"/>
          <w:bottom w:val="single" w:sz="4" w:space="1" w:color="auto"/>
          <w:right w:val="single" w:sz="4" w:space="4" w:color="auto"/>
          <w:between w:val="single" w:sz="4" w:space="1" w:color="auto"/>
          <w:bar w:val="single" w:sz="4" w:color="auto"/>
        </w:pBdr>
      </w:pPr>
      <w:r>
        <w:t>Tuberculosis</w:t>
      </w:r>
      <w:r>
        <w:tab/>
        <w:t>J04AC01–J04AC51, J04AM01–J04AM99</w:t>
      </w:r>
    </w:p>
    <w:p w14:paraId="20B499C4" w14:textId="77777777" w:rsidR="0025109F" w:rsidRDefault="0025109F">
      <w:r>
        <w:br w:type="page"/>
      </w:r>
    </w:p>
    <w:p w14:paraId="4B7BA9DA" w14:textId="77777777" w:rsidR="00B469BA" w:rsidRDefault="00B469BA" w:rsidP="00D10244">
      <w:pPr>
        <w:pStyle w:val="Heading2"/>
        <w:rPr>
          <w:lang w:val="en-US"/>
        </w:rPr>
        <w:sectPr w:rsidR="00B469BA" w:rsidSect="008A688C">
          <w:pgSz w:w="11906" w:h="16838"/>
          <w:pgMar w:top="1440" w:right="1440" w:bottom="1440" w:left="1440" w:header="708" w:footer="221" w:gutter="0"/>
          <w:cols w:space="708"/>
          <w:titlePg/>
          <w:docGrid w:linePitch="360"/>
        </w:sectPr>
      </w:pPr>
    </w:p>
    <w:p w14:paraId="622FEC21" w14:textId="73159EBA" w:rsidR="009029AE" w:rsidRDefault="00D10244" w:rsidP="0079747D">
      <w:pPr>
        <w:pStyle w:val="Heading2"/>
        <w:spacing w:after="240"/>
        <w:rPr>
          <w:lang w:val="en-US"/>
        </w:rPr>
      </w:pPr>
      <w:bookmarkStart w:id="40" w:name="_Toc165448414"/>
      <w:r>
        <w:rPr>
          <w:lang w:val="en-US"/>
        </w:rPr>
        <w:t>Appendix 2</w:t>
      </w:r>
      <w:r w:rsidR="00F332AB">
        <w:rPr>
          <w:lang w:val="en-US"/>
        </w:rPr>
        <w:t>: Additional survival analysis</w:t>
      </w:r>
      <w:bookmarkEnd w:id="40"/>
    </w:p>
    <w:p w14:paraId="71F871D8" w14:textId="303C87EA" w:rsidR="00860383" w:rsidRDefault="00860383" w:rsidP="00860383">
      <w:pPr>
        <w:pStyle w:val="Heading3"/>
        <w:rPr>
          <w:lang w:val="en-US"/>
        </w:rPr>
      </w:pPr>
      <w:bookmarkStart w:id="41" w:name="_Toc165448415"/>
      <w:r>
        <w:rPr>
          <w:lang w:val="en-US"/>
        </w:rPr>
        <w:t xml:space="preserve">Survival analysis </w:t>
      </w:r>
      <w:r w:rsidR="000A5A49">
        <w:rPr>
          <w:lang w:val="en-US"/>
        </w:rPr>
        <w:t xml:space="preserve">of 2018-2021 initiators of HF restricted medicines, </w:t>
      </w:r>
      <w:r>
        <w:rPr>
          <w:lang w:val="en-US"/>
        </w:rPr>
        <w:t xml:space="preserve">when considering </w:t>
      </w:r>
      <w:r w:rsidR="000A5A49">
        <w:rPr>
          <w:lang w:val="en-US"/>
        </w:rPr>
        <w:t xml:space="preserve">HF </w:t>
      </w:r>
      <w:r>
        <w:rPr>
          <w:lang w:val="en-US"/>
        </w:rPr>
        <w:t>restricted and unrestricted medicines</w:t>
      </w:r>
      <w:bookmarkEnd w:id="41"/>
      <w:r>
        <w:rPr>
          <w:lang w:val="en-US"/>
        </w:rPr>
        <w:t xml:space="preserve"> </w:t>
      </w:r>
    </w:p>
    <w:p w14:paraId="63345018" w14:textId="77777777" w:rsidR="00860383" w:rsidRPr="000A5A49" w:rsidRDefault="00860383" w:rsidP="000A5A49">
      <w:pPr>
        <w:rPr>
          <w:b/>
          <w:bCs/>
          <w:lang w:val="en-US"/>
        </w:rPr>
      </w:pPr>
      <w:r w:rsidRPr="000A5A49">
        <w:rPr>
          <w:b/>
          <w:bCs/>
          <w:lang w:val="en-US"/>
        </w:rPr>
        <w:t>Overall duration</w:t>
      </w:r>
    </w:p>
    <w:p w14:paraId="68F1A6D2" w14:textId="7755FA07" w:rsidR="00860383" w:rsidRPr="00275A2A" w:rsidRDefault="00860383" w:rsidP="001A4647">
      <w:pPr>
        <w:jc w:val="both"/>
        <w:rPr>
          <w:lang w:val="en-US"/>
        </w:rPr>
      </w:pPr>
      <w:r>
        <w:rPr>
          <w:lang w:val="en-US"/>
        </w:rPr>
        <w:t>Consistent with treatment guidelines, analysis of overall duration shows after starting a PBS restricted HF medicine, individuals did not cease heart failure treatment and stayed on at least one PBS medicine potentially indicated for heart failure (restricted or unrestricted listing)</w:t>
      </w:r>
      <w:r w:rsidR="001A4647">
        <w:rPr>
          <w:lang w:val="en-US"/>
        </w:rPr>
        <w:t>.</w:t>
      </w:r>
    </w:p>
    <w:p w14:paraId="1999BB08" w14:textId="77777777" w:rsidR="00860383" w:rsidRDefault="00860383" w:rsidP="0079747D">
      <w:pPr>
        <w:spacing w:after="0"/>
        <w:rPr>
          <w:bCs/>
        </w:rPr>
      </w:pPr>
      <w:r>
        <w:rPr>
          <w:bCs/>
          <w:noProof/>
        </w:rPr>
        <w:drawing>
          <wp:inline distT="0" distB="0" distL="0" distR="0" wp14:anchorId="27EAAE3A" wp14:editId="224C1C57">
            <wp:extent cx="5731510" cy="4298315"/>
            <wp:effectExtent l="0" t="0" r="2540" b="6985"/>
            <wp:docPr id="3" name="Picture 3" descr="Graph showing that once a heart failure medicine is started, individuals stayed on at least one HF medicine (restricted or unrestricted) continuous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 showing that once a heart failure medicine is started, individuals stayed on at least one HF medicine (restricted or unrestricted) continuously."/>
                    <pic:cNvPicPr/>
                  </pic:nvPicPr>
                  <pic:blipFill>
                    <a:blip r:embed="rId40">
                      <a:extLst>
                        <a:ext uri="{28A0092B-C50C-407E-A947-70E740481C1C}">
                          <a14:useLocalDpi xmlns:a14="http://schemas.microsoft.com/office/drawing/2010/main" val="0"/>
                        </a:ext>
                      </a:extLst>
                    </a:blip>
                    <a:stretch>
                      <a:fillRect/>
                    </a:stretch>
                  </pic:blipFill>
                  <pic:spPr>
                    <a:xfrm>
                      <a:off x="0" y="0"/>
                      <a:ext cx="5731510" cy="4298315"/>
                    </a:xfrm>
                    <a:prstGeom prst="rect">
                      <a:avLst/>
                    </a:prstGeom>
                  </pic:spPr>
                </pic:pic>
              </a:graphicData>
            </a:graphic>
          </wp:inline>
        </w:drawing>
      </w:r>
    </w:p>
    <w:p w14:paraId="39A8D53C" w14:textId="39C6B9DD" w:rsidR="00860383" w:rsidRPr="00275A2A" w:rsidRDefault="00860383" w:rsidP="00860383">
      <w:pPr>
        <w:spacing w:after="0" w:line="240" w:lineRule="auto"/>
        <w:jc w:val="both"/>
        <w:rPr>
          <w:rFonts w:cstheme="minorHAnsi"/>
          <w:b/>
        </w:rPr>
      </w:pPr>
      <w:r w:rsidRPr="00275A2A">
        <w:rPr>
          <w:b/>
        </w:rPr>
        <w:t>Figure A</w:t>
      </w:r>
      <w:r>
        <w:rPr>
          <w:b/>
        </w:rPr>
        <w:t>1.</w:t>
      </w:r>
      <w:r w:rsidRPr="00275A2A">
        <w:rPr>
          <w:b/>
        </w:rPr>
        <w:t xml:space="preserve"> T</w:t>
      </w:r>
      <w:r w:rsidRPr="00275A2A">
        <w:rPr>
          <w:rFonts w:cstheme="minorHAnsi"/>
          <w:b/>
        </w:rPr>
        <w:t>ime from first (index) episode with HF therapy to last treatment episode with any HF medicine (restricted or unrestricted)</w:t>
      </w:r>
    </w:p>
    <w:p w14:paraId="17A248D7" w14:textId="77777777" w:rsidR="00860383" w:rsidRDefault="00860383" w:rsidP="00860383">
      <w:pPr>
        <w:rPr>
          <w:lang w:val="en-US"/>
        </w:rPr>
      </w:pPr>
    </w:p>
    <w:p w14:paraId="783A1C64" w14:textId="77777777" w:rsidR="00860383" w:rsidRDefault="00860383">
      <w:pPr>
        <w:rPr>
          <w:rFonts w:asciiTheme="majorHAnsi" w:eastAsiaTheme="majorEastAsia" w:hAnsiTheme="majorHAnsi" w:cstheme="majorBidi"/>
          <w:i/>
          <w:iCs/>
          <w:color w:val="365F91" w:themeColor="accent1" w:themeShade="BF"/>
          <w:lang w:val="en-US"/>
        </w:rPr>
      </w:pPr>
      <w:r>
        <w:rPr>
          <w:lang w:val="en-US"/>
        </w:rPr>
        <w:br w:type="page"/>
      </w:r>
    </w:p>
    <w:p w14:paraId="1D092289" w14:textId="07751A93" w:rsidR="00860383" w:rsidRPr="000A5A49" w:rsidRDefault="00860383" w:rsidP="000A5A49">
      <w:pPr>
        <w:rPr>
          <w:b/>
          <w:bCs/>
          <w:lang w:val="en-US"/>
        </w:rPr>
      </w:pPr>
      <w:r w:rsidRPr="000A5A49">
        <w:rPr>
          <w:b/>
          <w:bCs/>
          <w:lang w:val="en-US"/>
        </w:rPr>
        <w:t>Time to switch</w:t>
      </w:r>
      <w:r w:rsidR="000A5A49">
        <w:rPr>
          <w:b/>
          <w:bCs/>
          <w:lang w:val="en-US"/>
        </w:rPr>
        <w:t xml:space="preserve"> or cessation</w:t>
      </w:r>
    </w:p>
    <w:p w14:paraId="027E9D0B" w14:textId="3865D3F5" w:rsidR="00860383" w:rsidRDefault="00860383" w:rsidP="00860383">
      <w:pPr>
        <w:spacing w:after="0" w:line="240" w:lineRule="auto"/>
        <w:jc w:val="both"/>
        <w:rPr>
          <w:noProof/>
        </w:rPr>
      </w:pPr>
      <w:r w:rsidRPr="001671C5">
        <w:rPr>
          <w:noProof/>
        </w:rPr>
        <w:t>The time to switch or cessation when considering both restricted and unrestricted medicines was shorter than when considering restricted medicines only, with a m</w:t>
      </w:r>
      <w:r w:rsidRPr="001671C5">
        <w:rPr>
          <w:rFonts w:cstheme="minorHAnsi"/>
        </w:rPr>
        <w:t>edian duration 293 days (</w:t>
      </w:r>
      <w:r>
        <w:rPr>
          <w:rFonts w:cstheme="minorHAnsi"/>
        </w:rPr>
        <w:t xml:space="preserve">95% CI </w:t>
      </w:r>
      <w:r w:rsidRPr="001671C5">
        <w:rPr>
          <w:rFonts w:cstheme="minorHAnsi"/>
        </w:rPr>
        <w:t xml:space="preserve">292-300). This is to be expected as given a wider range of therapies were included, there is more opportunity to switch. </w:t>
      </w:r>
      <w:r w:rsidRPr="001671C5">
        <w:rPr>
          <w:noProof/>
        </w:rPr>
        <w:t>It should be noted that the “index” HF therapy contained at least one HF restricted medicine and that 40% started on PBS restricted HF med only, and 60% started on PBS restricted  heart failure medicine and an unrestricted heart failure medicine.</w:t>
      </w:r>
      <w:r>
        <w:rPr>
          <w:noProof/>
        </w:rPr>
        <w:t xml:space="preserve"> </w:t>
      </w:r>
    </w:p>
    <w:p w14:paraId="4E5B561C" w14:textId="77777777" w:rsidR="00860383" w:rsidRDefault="00860383" w:rsidP="00860383">
      <w:pPr>
        <w:spacing w:after="0" w:line="240" w:lineRule="auto"/>
        <w:jc w:val="both"/>
        <w:rPr>
          <w:noProof/>
        </w:rPr>
      </w:pPr>
    </w:p>
    <w:p w14:paraId="210342F9" w14:textId="77777777" w:rsidR="00860383" w:rsidRDefault="00860383" w:rsidP="0079747D">
      <w:pPr>
        <w:spacing w:after="0"/>
      </w:pPr>
      <w:r>
        <w:rPr>
          <w:noProof/>
        </w:rPr>
        <w:drawing>
          <wp:inline distT="0" distB="0" distL="0" distR="0" wp14:anchorId="10629A61" wp14:editId="4450EB24">
            <wp:extent cx="5731510" cy="4298315"/>
            <wp:effectExtent l="0" t="0" r="2540" b="6985"/>
            <wp:docPr id="7" name="Picture 7" descr="Graph showing a median duration of 10 months from index HF restricted therapy to cessation or a switch to any HF therapy (restricted or unrestric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 showing a median duration of 10 months from index HF restricted therapy to cessation or a switch to any HF therapy (restricted or unrestricted). "/>
                    <pic:cNvPicPr/>
                  </pic:nvPicPr>
                  <pic:blipFill>
                    <a:blip r:embed="rId41">
                      <a:extLst>
                        <a:ext uri="{28A0092B-C50C-407E-A947-70E740481C1C}">
                          <a14:useLocalDpi xmlns:a14="http://schemas.microsoft.com/office/drawing/2010/main" val="0"/>
                        </a:ext>
                      </a:extLst>
                    </a:blip>
                    <a:stretch>
                      <a:fillRect/>
                    </a:stretch>
                  </pic:blipFill>
                  <pic:spPr>
                    <a:xfrm>
                      <a:off x="0" y="0"/>
                      <a:ext cx="5731510" cy="4298315"/>
                    </a:xfrm>
                    <a:prstGeom prst="rect">
                      <a:avLst/>
                    </a:prstGeom>
                  </pic:spPr>
                </pic:pic>
              </a:graphicData>
            </a:graphic>
          </wp:inline>
        </w:drawing>
      </w:r>
    </w:p>
    <w:p w14:paraId="152D09ED" w14:textId="7B242C1D" w:rsidR="00860383" w:rsidRDefault="00860383" w:rsidP="00860383">
      <w:pPr>
        <w:spacing w:after="0" w:line="240" w:lineRule="auto"/>
        <w:jc w:val="both"/>
        <w:rPr>
          <w:rFonts w:cstheme="minorHAnsi"/>
          <w:bCs/>
        </w:rPr>
      </w:pPr>
      <w:r w:rsidRPr="0094196F">
        <w:rPr>
          <w:b/>
          <w:bCs/>
        </w:rPr>
        <w:t xml:space="preserve">Figure </w:t>
      </w:r>
      <w:r>
        <w:rPr>
          <w:b/>
          <w:bCs/>
        </w:rPr>
        <w:t>A2</w:t>
      </w:r>
      <w:r>
        <w:t xml:space="preserve">. </w:t>
      </w:r>
      <w:r w:rsidRPr="00FD0F44">
        <w:rPr>
          <w:rFonts w:cstheme="minorHAnsi"/>
          <w:bCs/>
        </w:rPr>
        <w:t xml:space="preserve">Time to switch or cessation from index </w:t>
      </w:r>
      <w:r>
        <w:rPr>
          <w:rFonts w:cstheme="minorHAnsi"/>
          <w:bCs/>
        </w:rPr>
        <w:t xml:space="preserve">PBS restricted </w:t>
      </w:r>
      <w:r w:rsidRPr="00FD0F44">
        <w:rPr>
          <w:rFonts w:cstheme="minorHAnsi"/>
          <w:bCs/>
        </w:rPr>
        <w:t xml:space="preserve">HF </w:t>
      </w:r>
      <w:r>
        <w:rPr>
          <w:rFonts w:cstheme="minorHAnsi"/>
          <w:bCs/>
        </w:rPr>
        <w:t xml:space="preserve">therapy with the analysis including </w:t>
      </w:r>
      <w:r w:rsidRPr="00FD0F44">
        <w:rPr>
          <w:rFonts w:cstheme="minorHAnsi"/>
          <w:bCs/>
        </w:rPr>
        <w:t>unrestricted medicines</w:t>
      </w:r>
      <w:r>
        <w:rPr>
          <w:rFonts w:cstheme="minorHAnsi"/>
          <w:bCs/>
        </w:rPr>
        <w:t xml:space="preserve">. </w:t>
      </w:r>
    </w:p>
    <w:p w14:paraId="67426107" w14:textId="77777777" w:rsidR="00860383" w:rsidRDefault="00860383">
      <w:pPr>
        <w:rPr>
          <w:rFonts w:asciiTheme="majorHAnsi" w:eastAsiaTheme="majorEastAsia" w:hAnsiTheme="majorHAnsi" w:cstheme="majorBidi"/>
          <w:i/>
          <w:iCs/>
          <w:color w:val="365F91" w:themeColor="accent1" w:themeShade="BF"/>
          <w:lang w:val="en-US"/>
        </w:rPr>
      </w:pPr>
      <w:r>
        <w:rPr>
          <w:lang w:val="en-US"/>
        </w:rPr>
        <w:br w:type="page"/>
      </w:r>
    </w:p>
    <w:p w14:paraId="7BE276CD" w14:textId="17D526E8" w:rsidR="00860383" w:rsidRPr="000A5A49" w:rsidRDefault="00860383" w:rsidP="000A5A49">
      <w:pPr>
        <w:rPr>
          <w:b/>
          <w:bCs/>
          <w:lang w:val="en-US"/>
        </w:rPr>
      </w:pPr>
      <w:r w:rsidRPr="000A5A49">
        <w:rPr>
          <w:b/>
          <w:bCs/>
          <w:lang w:val="en-US"/>
        </w:rPr>
        <w:t>Time to addition or cessation</w:t>
      </w:r>
    </w:p>
    <w:p w14:paraId="39F48F08" w14:textId="77777777" w:rsidR="00860383" w:rsidRPr="00896FC7" w:rsidRDefault="00860383" w:rsidP="00860383">
      <w:pPr>
        <w:spacing w:after="0" w:line="240" w:lineRule="auto"/>
        <w:jc w:val="both"/>
        <w:rPr>
          <w:noProof/>
        </w:rPr>
      </w:pPr>
      <w:r w:rsidRPr="001671C5">
        <w:rPr>
          <w:noProof/>
        </w:rPr>
        <w:t xml:space="preserve">The time to </w:t>
      </w:r>
      <w:r>
        <w:rPr>
          <w:noProof/>
        </w:rPr>
        <w:t>addition</w:t>
      </w:r>
      <w:r w:rsidRPr="001671C5">
        <w:rPr>
          <w:noProof/>
        </w:rPr>
        <w:t xml:space="preserve"> or cessation when considering both </w:t>
      </w:r>
      <w:r>
        <w:rPr>
          <w:noProof/>
        </w:rPr>
        <w:t xml:space="preserve">PBS </w:t>
      </w:r>
      <w:r w:rsidRPr="001671C5">
        <w:rPr>
          <w:noProof/>
        </w:rPr>
        <w:t xml:space="preserve">restricted and unrestricted </w:t>
      </w:r>
      <w:r>
        <w:rPr>
          <w:noProof/>
        </w:rPr>
        <w:t xml:space="preserve">HF </w:t>
      </w:r>
      <w:r w:rsidRPr="001671C5">
        <w:rPr>
          <w:noProof/>
        </w:rPr>
        <w:t xml:space="preserve">medicines was </w:t>
      </w:r>
      <w:r>
        <w:rPr>
          <w:noProof/>
        </w:rPr>
        <w:t>longer</w:t>
      </w:r>
      <w:r w:rsidRPr="001671C5">
        <w:rPr>
          <w:noProof/>
        </w:rPr>
        <w:t xml:space="preserve"> than when considering restricted medicines only, with a </w:t>
      </w:r>
      <w:r>
        <w:rPr>
          <w:noProof/>
        </w:rPr>
        <w:t>m</w:t>
      </w:r>
      <w:r w:rsidRPr="00896FC7">
        <w:rPr>
          <w:noProof/>
        </w:rPr>
        <w:t>edian duration 636 days (95% CI 629-648). This result is to be expected as given a wider range of therapies were included, there is less opportunity to cease.</w:t>
      </w:r>
    </w:p>
    <w:p w14:paraId="762009C8" w14:textId="77777777" w:rsidR="00860383" w:rsidRDefault="00860383" w:rsidP="00860383">
      <w:pPr>
        <w:spacing w:after="0" w:line="240" w:lineRule="auto"/>
        <w:jc w:val="both"/>
        <w:rPr>
          <w:rFonts w:cstheme="minorHAnsi"/>
          <w:bCs/>
        </w:rPr>
      </w:pPr>
    </w:p>
    <w:p w14:paraId="462442BB" w14:textId="77777777" w:rsidR="00860383" w:rsidRDefault="00860383" w:rsidP="0079747D">
      <w:pPr>
        <w:spacing w:after="0"/>
        <w:rPr>
          <w:bCs/>
        </w:rPr>
      </w:pPr>
      <w:r>
        <w:rPr>
          <w:bCs/>
          <w:noProof/>
        </w:rPr>
        <w:drawing>
          <wp:inline distT="0" distB="0" distL="0" distR="0" wp14:anchorId="103F9B11" wp14:editId="0A76A59E">
            <wp:extent cx="5731510" cy="4298315"/>
            <wp:effectExtent l="0" t="0" r="2540" b="6985"/>
            <wp:docPr id="19" name="Picture 19" descr="Graph showing a median duration of 21 months from index HF restricted therapy to cessation or addition of another HF therapy (either restricted or unrestri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 showing a median duration of 21 months from index HF restricted therapy to cessation or addition of another HF therapy (either restricted or unrestricted)"/>
                    <pic:cNvPicPr/>
                  </pic:nvPicPr>
                  <pic:blipFill>
                    <a:blip r:embed="rId42">
                      <a:extLst>
                        <a:ext uri="{28A0092B-C50C-407E-A947-70E740481C1C}">
                          <a14:useLocalDpi xmlns:a14="http://schemas.microsoft.com/office/drawing/2010/main" val="0"/>
                        </a:ext>
                      </a:extLst>
                    </a:blip>
                    <a:stretch>
                      <a:fillRect/>
                    </a:stretch>
                  </pic:blipFill>
                  <pic:spPr>
                    <a:xfrm>
                      <a:off x="0" y="0"/>
                      <a:ext cx="5731510" cy="4298315"/>
                    </a:xfrm>
                    <a:prstGeom prst="rect">
                      <a:avLst/>
                    </a:prstGeom>
                  </pic:spPr>
                </pic:pic>
              </a:graphicData>
            </a:graphic>
          </wp:inline>
        </w:drawing>
      </w:r>
    </w:p>
    <w:p w14:paraId="7820CA2F" w14:textId="3B62E8AB" w:rsidR="00860383" w:rsidRDefault="00860383" w:rsidP="00860383">
      <w:pPr>
        <w:spacing w:after="0" w:line="240" w:lineRule="auto"/>
        <w:jc w:val="both"/>
        <w:rPr>
          <w:rFonts w:cstheme="minorHAnsi"/>
          <w:bCs/>
        </w:rPr>
      </w:pPr>
      <w:r w:rsidRPr="00063A23">
        <w:rPr>
          <w:b/>
        </w:rPr>
        <w:t xml:space="preserve">Figure </w:t>
      </w:r>
      <w:r>
        <w:rPr>
          <w:b/>
        </w:rPr>
        <w:t>A3</w:t>
      </w:r>
      <w:r>
        <w:rPr>
          <w:bCs/>
        </w:rPr>
        <w:t xml:space="preserve">. </w:t>
      </w:r>
      <w:r w:rsidRPr="00063A23">
        <w:rPr>
          <w:rFonts w:cstheme="minorHAnsi"/>
          <w:bCs/>
        </w:rPr>
        <w:t xml:space="preserve">Time to addition or cessation </w:t>
      </w:r>
      <w:r>
        <w:rPr>
          <w:rFonts w:cstheme="minorHAnsi"/>
          <w:bCs/>
        </w:rPr>
        <w:t xml:space="preserve">from </w:t>
      </w:r>
      <w:r w:rsidRPr="00063A23">
        <w:rPr>
          <w:rFonts w:cstheme="minorHAnsi"/>
          <w:bCs/>
        </w:rPr>
        <w:t>index</w:t>
      </w:r>
      <w:r>
        <w:rPr>
          <w:rFonts w:cstheme="minorHAnsi"/>
          <w:bCs/>
        </w:rPr>
        <w:t xml:space="preserve"> PBS restricted</w:t>
      </w:r>
      <w:r w:rsidRPr="00063A23">
        <w:rPr>
          <w:rFonts w:cstheme="minorHAnsi"/>
          <w:bCs/>
        </w:rPr>
        <w:t xml:space="preserve"> HF </w:t>
      </w:r>
      <w:r>
        <w:rPr>
          <w:rFonts w:cstheme="minorHAnsi"/>
          <w:bCs/>
        </w:rPr>
        <w:t xml:space="preserve">therapy with the analysis including </w:t>
      </w:r>
      <w:r w:rsidRPr="00FD0F44">
        <w:rPr>
          <w:rFonts w:cstheme="minorHAnsi"/>
          <w:bCs/>
        </w:rPr>
        <w:t>unrestricted medicines</w:t>
      </w:r>
      <w:r>
        <w:rPr>
          <w:rFonts w:cstheme="minorHAnsi"/>
          <w:bCs/>
        </w:rPr>
        <w:t>.</w:t>
      </w:r>
    </w:p>
    <w:p w14:paraId="1CF96D81" w14:textId="77777777" w:rsidR="00860383" w:rsidRDefault="00860383" w:rsidP="00860383">
      <w:pPr>
        <w:spacing w:after="0" w:line="240" w:lineRule="auto"/>
        <w:jc w:val="both"/>
        <w:rPr>
          <w:rFonts w:cstheme="minorHAnsi"/>
          <w:bCs/>
        </w:rPr>
      </w:pPr>
    </w:p>
    <w:p w14:paraId="39F64B7E" w14:textId="77777777" w:rsidR="00860383" w:rsidRPr="00860383" w:rsidRDefault="00860383" w:rsidP="00860383">
      <w:pPr>
        <w:rPr>
          <w:lang w:val="en-US"/>
        </w:rPr>
      </w:pPr>
    </w:p>
    <w:p w14:paraId="688854C6" w14:textId="77777777" w:rsidR="00860383" w:rsidRDefault="00860383">
      <w:pPr>
        <w:rPr>
          <w:rFonts w:asciiTheme="majorHAnsi" w:eastAsiaTheme="majorEastAsia" w:hAnsiTheme="majorHAnsi" w:cstheme="majorBidi"/>
          <w:color w:val="243F60" w:themeColor="accent1" w:themeShade="7F"/>
          <w:sz w:val="24"/>
          <w:szCs w:val="24"/>
        </w:rPr>
      </w:pPr>
      <w:r>
        <w:br w:type="page"/>
      </w:r>
    </w:p>
    <w:p w14:paraId="63AF9332" w14:textId="4029DB12" w:rsidR="00D10244" w:rsidRDefault="007B150D" w:rsidP="007B150D">
      <w:pPr>
        <w:pStyle w:val="Heading3"/>
      </w:pPr>
      <w:bookmarkStart w:id="42" w:name="_Toc165448416"/>
      <w:r>
        <w:t>Survival analyses</w:t>
      </w:r>
      <w:r w:rsidR="000C435D">
        <w:t xml:space="preserve"> </w:t>
      </w:r>
      <w:r w:rsidR="000A5A49">
        <w:t xml:space="preserve">of 2018-2021 initiators of HF restricted medicines, </w:t>
      </w:r>
      <w:r w:rsidR="001A4647">
        <w:t>when considering HF restricted medicines only</w:t>
      </w:r>
      <w:r w:rsidR="000A5A49">
        <w:t>, stratified by the individual index medicine</w:t>
      </w:r>
      <w:bookmarkEnd w:id="42"/>
    </w:p>
    <w:p w14:paraId="1AD9AABB" w14:textId="354A3703" w:rsidR="008C5B75" w:rsidRPr="000C435D" w:rsidRDefault="008C5B75" w:rsidP="000C435D">
      <w:pPr>
        <w:rPr>
          <w:b/>
          <w:bCs/>
        </w:rPr>
      </w:pPr>
      <w:r w:rsidRPr="000C435D">
        <w:rPr>
          <w:b/>
          <w:bCs/>
        </w:rPr>
        <w:t xml:space="preserve">Time to switch or cessation stratified by individual </w:t>
      </w:r>
      <w:r w:rsidR="000C435D">
        <w:rPr>
          <w:b/>
          <w:bCs/>
        </w:rPr>
        <w:t xml:space="preserve">index </w:t>
      </w:r>
      <w:r w:rsidRPr="000C435D">
        <w:rPr>
          <w:b/>
          <w:bCs/>
        </w:rPr>
        <w:t>PBS restricted HF medicine</w:t>
      </w:r>
    </w:p>
    <w:p w14:paraId="7D9EED8E" w14:textId="0FBA9879" w:rsidR="005C058B" w:rsidRDefault="005C058B" w:rsidP="005C058B">
      <w:pPr>
        <w:jc w:val="both"/>
        <w:rPr>
          <w:rFonts w:cstheme="minorHAnsi"/>
          <w:bCs/>
        </w:rPr>
      </w:pPr>
      <w:r>
        <w:rPr>
          <w:rFonts w:cstheme="minorHAnsi"/>
          <w:bCs/>
        </w:rPr>
        <w:t xml:space="preserve">Results stratified by the individual HF restricted index monotherapy are shown in the Figure </w:t>
      </w:r>
      <w:r w:rsidR="00F332AB">
        <w:rPr>
          <w:rFonts w:cstheme="minorHAnsi"/>
          <w:bCs/>
        </w:rPr>
        <w:t>A</w:t>
      </w:r>
      <w:r w:rsidR="00860383">
        <w:rPr>
          <w:rFonts w:cstheme="minorHAnsi"/>
          <w:bCs/>
        </w:rPr>
        <w:t>4</w:t>
      </w:r>
      <w:r>
        <w:rPr>
          <w:rFonts w:cstheme="minorHAnsi"/>
          <w:bCs/>
        </w:rPr>
        <w:t xml:space="preserve"> and in Table </w:t>
      </w:r>
      <w:r w:rsidR="00F332AB">
        <w:rPr>
          <w:rFonts w:cstheme="minorHAnsi"/>
          <w:bCs/>
        </w:rPr>
        <w:t>A</w:t>
      </w:r>
      <w:r w:rsidR="00860383">
        <w:rPr>
          <w:rFonts w:cstheme="minorHAnsi"/>
          <w:bCs/>
        </w:rPr>
        <w:t>1</w:t>
      </w:r>
      <w:r>
        <w:rPr>
          <w:rFonts w:cstheme="minorHAnsi"/>
          <w:bCs/>
        </w:rPr>
        <w:t xml:space="preserve">. The median duration until switch or cessation for sacubitril + valsartan initiators was 23 months, bisoprolol initiators 19 months and ivabradine initiators was 5 months.  </w:t>
      </w:r>
      <w:r w:rsidR="00BD2757">
        <w:rPr>
          <w:rFonts w:cstheme="minorHAnsi"/>
          <w:bCs/>
        </w:rPr>
        <w:t>Note ivabradine is restricted to a sub-population that in addition to having HF must be in sinus rhythm and must have a resting heart rate at or above 77 beats per minute and a LVEF of 35% or less, which likely accounts for its shorter duration. Similarly, eplerenone is limited to a sub-population post myocardial infarction, which likely accounts for its shorter duration.</w:t>
      </w:r>
    </w:p>
    <w:p w14:paraId="550C6356" w14:textId="77777777" w:rsidR="005C058B" w:rsidRDefault="005C058B" w:rsidP="0079747D">
      <w:pPr>
        <w:spacing w:after="0"/>
        <w:jc w:val="both"/>
        <w:rPr>
          <w:rFonts w:cstheme="minorHAnsi"/>
          <w:bCs/>
        </w:rPr>
      </w:pPr>
      <w:r>
        <w:rPr>
          <w:noProof/>
          <w:lang w:eastAsia="en-AU"/>
        </w:rPr>
        <w:drawing>
          <wp:inline distT="0" distB="0" distL="0" distR="0" wp14:anchorId="6BED2E21" wp14:editId="37BE0DEE">
            <wp:extent cx="5730588" cy="5267325"/>
            <wp:effectExtent l="0" t="0" r="3810" b="0"/>
            <wp:docPr id="17" name="Picture 17" descr="Graph showing time to switch or cessation of seven HF restricted monotherapies (bisoprolol, carvedilol, metoprolol, nebivolol, eplerenone, sacubitril + valsartan, and ivabradine). The median duration was longest for sacubitril + valsartan (23 months) and shortest for ivabradine (5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 showing time to switch or cessation of seven HF restricted monotherapies (bisoprolol, carvedilol, metoprolol, nebivolol, eplerenone, sacubitril + valsartan, and ivabradine). The median duration was longest for sacubitril + valsartan (23 months) and shortest for ivabradine (5 months)."/>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39727" cy="5275725"/>
                    </a:xfrm>
                    <a:prstGeom prst="rect">
                      <a:avLst/>
                    </a:prstGeom>
                    <a:noFill/>
                    <a:ln>
                      <a:noFill/>
                    </a:ln>
                  </pic:spPr>
                </pic:pic>
              </a:graphicData>
            </a:graphic>
          </wp:inline>
        </w:drawing>
      </w:r>
    </w:p>
    <w:p w14:paraId="574BB2BB" w14:textId="33288589" w:rsidR="005C058B" w:rsidRDefault="005C058B" w:rsidP="005C058B">
      <w:pPr>
        <w:spacing w:after="0" w:line="240" w:lineRule="auto"/>
        <w:jc w:val="both"/>
        <w:rPr>
          <w:rFonts w:cstheme="minorHAnsi"/>
          <w:bCs/>
        </w:rPr>
      </w:pPr>
      <w:r w:rsidRPr="00B13194">
        <w:rPr>
          <w:rFonts w:cstheme="minorHAnsi"/>
          <w:b/>
        </w:rPr>
        <w:t xml:space="preserve">Figure </w:t>
      </w:r>
      <w:r w:rsidR="00F332AB">
        <w:rPr>
          <w:rFonts w:cstheme="minorHAnsi"/>
          <w:b/>
        </w:rPr>
        <w:t>A</w:t>
      </w:r>
      <w:r w:rsidR="00860383">
        <w:rPr>
          <w:rFonts w:cstheme="minorHAnsi"/>
          <w:b/>
        </w:rPr>
        <w:t>4</w:t>
      </w:r>
      <w:r>
        <w:rPr>
          <w:rFonts w:cstheme="minorHAnsi"/>
          <w:bCs/>
        </w:rPr>
        <w:t xml:space="preserve"> Kaplan Meier estimate for time from first (index) episode to a switch or cessation, stratified by index HF restricted mono therapy</w:t>
      </w:r>
    </w:p>
    <w:p w14:paraId="0E149DA2" w14:textId="77777777" w:rsidR="005C058B" w:rsidRDefault="005C058B" w:rsidP="005C058B">
      <w:pPr>
        <w:spacing w:after="0" w:line="240" w:lineRule="auto"/>
        <w:rPr>
          <w:rFonts w:cstheme="minorHAnsi"/>
          <w:i/>
          <w:iCs/>
          <w:sz w:val="18"/>
          <w:szCs w:val="18"/>
        </w:rPr>
      </w:pPr>
      <w:r w:rsidRPr="008E2AAA">
        <w:rPr>
          <w:rFonts w:cstheme="minorHAnsi"/>
          <w:i/>
          <w:iCs/>
          <w:sz w:val="18"/>
          <w:szCs w:val="18"/>
        </w:rPr>
        <w:t xml:space="preserve">Legend: </w:t>
      </w:r>
    </w:p>
    <w:p w14:paraId="47F00054" w14:textId="77777777" w:rsidR="005C058B" w:rsidRDefault="005C058B" w:rsidP="005C058B">
      <w:pPr>
        <w:spacing w:after="0" w:line="240" w:lineRule="auto"/>
        <w:rPr>
          <w:rFonts w:cstheme="minorHAnsi"/>
          <w:i/>
          <w:iCs/>
          <w:sz w:val="18"/>
          <w:szCs w:val="18"/>
        </w:rPr>
      </w:pPr>
      <w:r w:rsidRPr="008E2AAA">
        <w:rPr>
          <w:rFonts w:cstheme="minorHAnsi"/>
          <w:i/>
          <w:iCs/>
          <w:sz w:val="18"/>
          <w:szCs w:val="18"/>
        </w:rPr>
        <w:t>B</w:t>
      </w:r>
      <w:r>
        <w:rPr>
          <w:rFonts w:cstheme="minorHAnsi"/>
          <w:i/>
          <w:iCs/>
          <w:sz w:val="18"/>
          <w:szCs w:val="18"/>
        </w:rPr>
        <w:t>iso</w:t>
      </w:r>
      <w:r w:rsidRPr="008E2AAA">
        <w:rPr>
          <w:rFonts w:cstheme="minorHAnsi"/>
          <w:i/>
          <w:iCs/>
          <w:sz w:val="18"/>
          <w:szCs w:val="18"/>
        </w:rPr>
        <w:t xml:space="preserve"> – </w:t>
      </w:r>
      <w:r>
        <w:rPr>
          <w:rFonts w:cstheme="minorHAnsi"/>
          <w:i/>
          <w:iCs/>
          <w:sz w:val="18"/>
          <w:szCs w:val="18"/>
        </w:rPr>
        <w:t>Bisoprolol (BB); Nebi – Nebivolol (BB); Meto – Metoprolol (BB); Carv – Carvedilol (BB); S+V – Sacubitril+Valsartan (ARNI); Eple – Eplerenone (MRA for HF); Ivab - Ivabradine (HCN channel blocker)</w:t>
      </w:r>
    </w:p>
    <w:p w14:paraId="5D49845C" w14:textId="77777777" w:rsidR="005C058B" w:rsidRDefault="005C058B" w:rsidP="005C058B">
      <w:pPr>
        <w:spacing w:after="0" w:line="240" w:lineRule="auto"/>
        <w:rPr>
          <w:rFonts w:cstheme="minorHAnsi"/>
          <w:i/>
          <w:iCs/>
          <w:sz w:val="18"/>
          <w:szCs w:val="18"/>
        </w:rPr>
      </w:pPr>
    </w:p>
    <w:p w14:paraId="22BB5FFD" w14:textId="77777777" w:rsidR="00860383" w:rsidRDefault="00860383">
      <w:pPr>
        <w:rPr>
          <w:rFonts w:cstheme="minorHAnsi"/>
          <w:b/>
        </w:rPr>
      </w:pPr>
      <w:r>
        <w:rPr>
          <w:rFonts w:cstheme="minorHAnsi"/>
          <w:b/>
        </w:rPr>
        <w:br w:type="page"/>
      </w:r>
    </w:p>
    <w:p w14:paraId="6867A233" w14:textId="0ABCA31D" w:rsidR="005C058B" w:rsidRDefault="005C058B" w:rsidP="005C058B">
      <w:pPr>
        <w:jc w:val="both"/>
        <w:rPr>
          <w:rFonts w:cstheme="minorHAnsi"/>
          <w:bCs/>
        </w:rPr>
      </w:pPr>
      <w:r w:rsidRPr="005A5318">
        <w:rPr>
          <w:rFonts w:cstheme="minorHAnsi"/>
          <w:b/>
        </w:rPr>
        <w:t xml:space="preserve">Table </w:t>
      </w:r>
      <w:r w:rsidR="00F332AB">
        <w:rPr>
          <w:rFonts w:cstheme="minorHAnsi"/>
          <w:b/>
        </w:rPr>
        <w:t>A</w:t>
      </w:r>
      <w:r w:rsidR="00860383">
        <w:rPr>
          <w:rFonts w:cstheme="minorHAnsi"/>
          <w:b/>
        </w:rPr>
        <w:t>1</w:t>
      </w:r>
      <w:r w:rsidRPr="005A5318">
        <w:rPr>
          <w:rFonts w:cstheme="minorHAnsi"/>
          <w:b/>
        </w:rPr>
        <w:t>.</w:t>
      </w:r>
      <w:r>
        <w:rPr>
          <w:rFonts w:cstheme="minorHAnsi"/>
          <w:bCs/>
        </w:rPr>
        <w:t xml:space="preserve"> Model summary for Figure </w:t>
      </w:r>
      <w:r w:rsidR="00F332AB">
        <w:rPr>
          <w:rFonts w:cstheme="minorHAnsi"/>
          <w:bCs/>
        </w:rPr>
        <w:t>A</w:t>
      </w:r>
      <w:r w:rsidR="00860383">
        <w:rPr>
          <w:rFonts w:cstheme="minorHAnsi"/>
          <w:bCs/>
        </w:rPr>
        <w:t>4</w:t>
      </w:r>
      <w:r>
        <w:rPr>
          <w:rFonts w:cstheme="minorHAnsi"/>
          <w:bCs/>
        </w:rPr>
        <w:t xml:space="preserve"> (time from index therapy to switch or cessation)</w:t>
      </w:r>
    </w:p>
    <w:tbl>
      <w:tblPr>
        <w:tblStyle w:val="TableGrid"/>
        <w:tblW w:w="0" w:type="auto"/>
        <w:tblLook w:val="04A0" w:firstRow="1" w:lastRow="0" w:firstColumn="1" w:lastColumn="0" w:noHBand="0" w:noVBand="1"/>
      </w:tblPr>
      <w:tblGrid>
        <w:gridCol w:w="2405"/>
        <w:gridCol w:w="1192"/>
        <w:gridCol w:w="2635"/>
        <w:gridCol w:w="2784"/>
      </w:tblGrid>
      <w:tr w:rsidR="005C058B" w14:paraId="1656A037" w14:textId="77777777" w:rsidTr="00FE375A">
        <w:tc>
          <w:tcPr>
            <w:tcW w:w="2405" w:type="dxa"/>
          </w:tcPr>
          <w:p w14:paraId="6AC66421" w14:textId="77777777" w:rsidR="005C058B" w:rsidRDefault="005C058B" w:rsidP="00FE375A">
            <w:pPr>
              <w:jc w:val="both"/>
              <w:rPr>
                <w:rFonts w:cstheme="minorHAnsi"/>
                <w:bCs/>
              </w:rPr>
            </w:pPr>
            <w:r>
              <w:rPr>
                <w:rFonts w:cstheme="minorHAnsi"/>
                <w:bCs/>
              </w:rPr>
              <w:t>Index HF restricted mono therapy</w:t>
            </w:r>
          </w:p>
        </w:tc>
        <w:tc>
          <w:tcPr>
            <w:tcW w:w="1192" w:type="dxa"/>
          </w:tcPr>
          <w:p w14:paraId="57FC2B84" w14:textId="77777777" w:rsidR="005C058B" w:rsidRDefault="005C058B" w:rsidP="00FE375A">
            <w:pPr>
              <w:jc w:val="both"/>
              <w:rPr>
                <w:rFonts w:cstheme="minorHAnsi"/>
                <w:bCs/>
              </w:rPr>
            </w:pPr>
            <w:r>
              <w:rPr>
                <w:rFonts w:cstheme="minorHAnsi"/>
                <w:bCs/>
              </w:rPr>
              <w:t>Number of people</w:t>
            </w:r>
          </w:p>
        </w:tc>
        <w:tc>
          <w:tcPr>
            <w:tcW w:w="2635" w:type="dxa"/>
          </w:tcPr>
          <w:p w14:paraId="001E4597" w14:textId="77777777" w:rsidR="005C058B" w:rsidRDefault="005C058B" w:rsidP="00FE375A">
            <w:pPr>
              <w:jc w:val="both"/>
              <w:rPr>
                <w:rFonts w:cstheme="minorHAnsi"/>
                <w:bCs/>
              </w:rPr>
            </w:pPr>
            <w:r>
              <w:rPr>
                <w:rFonts w:cstheme="minorHAnsi"/>
                <w:bCs/>
              </w:rPr>
              <w:t xml:space="preserve">Median duration in days </w:t>
            </w:r>
          </w:p>
          <w:p w14:paraId="24607525" w14:textId="77777777" w:rsidR="005C058B" w:rsidRDefault="005C058B" w:rsidP="00FE375A">
            <w:pPr>
              <w:jc w:val="both"/>
              <w:rPr>
                <w:rFonts w:cstheme="minorHAnsi"/>
                <w:bCs/>
              </w:rPr>
            </w:pPr>
            <w:r>
              <w:rPr>
                <w:rFonts w:cstheme="minorHAnsi"/>
                <w:bCs/>
              </w:rPr>
              <w:t xml:space="preserve">    (95% CI)</w:t>
            </w:r>
          </w:p>
        </w:tc>
        <w:tc>
          <w:tcPr>
            <w:tcW w:w="2784" w:type="dxa"/>
          </w:tcPr>
          <w:p w14:paraId="237AC444" w14:textId="77777777" w:rsidR="005C058B" w:rsidRDefault="005C058B" w:rsidP="00FE375A">
            <w:pPr>
              <w:jc w:val="both"/>
              <w:rPr>
                <w:rFonts w:cstheme="minorHAnsi"/>
                <w:bCs/>
              </w:rPr>
            </w:pPr>
            <w:r>
              <w:rPr>
                <w:rFonts w:cstheme="minorHAnsi"/>
                <w:bCs/>
              </w:rPr>
              <w:t xml:space="preserve">Adjusted HR (age at initiation is used primary time scale), </w:t>
            </w:r>
          </w:p>
          <w:p w14:paraId="37C832EE" w14:textId="77777777" w:rsidR="005C058B" w:rsidRDefault="005C058B" w:rsidP="00FE375A">
            <w:pPr>
              <w:jc w:val="both"/>
              <w:rPr>
                <w:rFonts w:cstheme="minorHAnsi"/>
                <w:bCs/>
              </w:rPr>
            </w:pPr>
            <w:r>
              <w:rPr>
                <w:rFonts w:cstheme="minorHAnsi"/>
                <w:bCs/>
              </w:rPr>
              <w:t xml:space="preserve">           (95% CI)</w:t>
            </w:r>
          </w:p>
        </w:tc>
      </w:tr>
      <w:tr w:rsidR="005C058B" w14:paraId="0DD8BBE2" w14:textId="77777777" w:rsidTr="00FE375A">
        <w:tc>
          <w:tcPr>
            <w:tcW w:w="2405" w:type="dxa"/>
          </w:tcPr>
          <w:p w14:paraId="144D29F6" w14:textId="77777777" w:rsidR="005C058B" w:rsidRDefault="005C058B" w:rsidP="00FE375A">
            <w:pPr>
              <w:jc w:val="both"/>
              <w:rPr>
                <w:rFonts w:cstheme="minorHAnsi"/>
                <w:bCs/>
              </w:rPr>
            </w:pPr>
            <w:r>
              <w:rPr>
                <w:rFonts w:cstheme="minorHAnsi"/>
                <w:bCs/>
              </w:rPr>
              <w:t>Bisoprolol</w:t>
            </w:r>
          </w:p>
        </w:tc>
        <w:tc>
          <w:tcPr>
            <w:tcW w:w="1192" w:type="dxa"/>
          </w:tcPr>
          <w:p w14:paraId="6F4F7CE2" w14:textId="77777777" w:rsidR="005C058B" w:rsidRDefault="005C058B" w:rsidP="00FE375A">
            <w:pPr>
              <w:jc w:val="right"/>
              <w:rPr>
                <w:rFonts w:cstheme="minorHAnsi"/>
                <w:bCs/>
              </w:rPr>
            </w:pPr>
            <w:r>
              <w:rPr>
                <w:rFonts w:cstheme="minorHAnsi"/>
                <w:bCs/>
              </w:rPr>
              <w:t>114444</w:t>
            </w:r>
          </w:p>
        </w:tc>
        <w:tc>
          <w:tcPr>
            <w:tcW w:w="2635" w:type="dxa"/>
          </w:tcPr>
          <w:p w14:paraId="5776E4FC" w14:textId="77777777" w:rsidR="005C058B" w:rsidRDefault="005C058B" w:rsidP="00FE375A">
            <w:pPr>
              <w:jc w:val="right"/>
              <w:rPr>
                <w:rFonts w:cstheme="minorHAnsi"/>
                <w:bCs/>
              </w:rPr>
            </w:pPr>
            <w:r>
              <w:rPr>
                <w:rFonts w:cstheme="minorHAnsi"/>
                <w:bCs/>
              </w:rPr>
              <w:t>559 (552-566)</w:t>
            </w:r>
          </w:p>
        </w:tc>
        <w:tc>
          <w:tcPr>
            <w:tcW w:w="2784" w:type="dxa"/>
          </w:tcPr>
          <w:p w14:paraId="073B6D32" w14:textId="77777777" w:rsidR="005C058B" w:rsidRDefault="005C058B" w:rsidP="00FE375A">
            <w:pPr>
              <w:jc w:val="right"/>
              <w:rPr>
                <w:rFonts w:cstheme="minorHAnsi"/>
                <w:bCs/>
              </w:rPr>
            </w:pPr>
            <w:r>
              <w:rPr>
                <w:rFonts w:cstheme="minorHAnsi"/>
                <w:bCs/>
              </w:rPr>
              <w:t>Reference</w:t>
            </w:r>
          </w:p>
        </w:tc>
      </w:tr>
      <w:tr w:rsidR="005C058B" w14:paraId="0CA68244" w14:textId="77777777" w:rsidTr="00FE375A">
        <w:tc>
          <w:tcPr>
            <w:tcW w:w="2405" w:type="dxa"/>
          </w:tcPr>
          <w:p w14:paraId="4EAC80BA" w14:textId="77777777" w:rsidR="005C058B" w:rsidRDefault="005C058B" w:rsidP="00FE375A">
            <w:pPr>
              <w:jc w:val="both"/>
              <w:rPr>
                <w:rFonts w:cstheme="minorHAnsi"/>
                <w:bCs/>
              </w:rPr>
            </w:pPr>
            <w:r>
              <w:rPr>
                <w:rFonts w:cstheme="minorHAnsi"/>
                <w:bCs/>
              </w:rPr>
              <w:t>Carvedilol</w:t>
            </w:r>
          </w:p>
        </w:tc>
        <w:tc>
          <w:tcPr>
            <w:tcW w:w="1192" w:type="dxa"/>
          </w:tcPr>
          <w:p w14:paraId="4AD33F2E" w14:textId="77777777" w:rsidR="005C058B" w:rsidRDefault="005C058B" w:rsidP="00FE375A">
            <w:pPr>
              <w:jc w:val="right"/>
              <w:rPr>
                <w:rFonts w:cstheme="minorHAnsi"/>
                <w:bCs/>
              </w:rPr>
            </w:pPr>
            <w:r>
              <w:rPr>
                <w:rFonts w:cstheme="minorHAnsi"/>
                <w:bCs/>
              </w:rPr>
              <w:t>12057</w:t>
            </w:r>
          </w:p>
        </w:tc>
        <w:tc>
          <w:tcPr>
            <w:tcW w:w="2635" w:type="dxa"/>
          </w:tcPr>
          <w:p w14:paraId="252B98DC" w14:textId="77777777" w:rsidR="005C058B" w:rsidRDefault="005C058B" w:rsidP="00FE375A">
            <w:pPr>
              <w:jc w:val="right"/>
              <w:rPr>
                <w:rFonts w:cstheme="minorHAnsi"/>
                <w:bCs/>
              </w:rPr>
            </w:pPr>
            <w:r>
              <w:rPr>
                <w:rFonts w:cstheme="minorHAnsi"/>
                <w:bCs/>
              </w:rPr>
              <w:t>321 (300-335)</w:t>
            </w:r>
          </w:p>
        </w:tc>
        <w:tc>
          <w:tcPr>
            <w:tcW w:w="2784" w:type="dxa"/>
          </w:tcPr>
          <w:p w14:paraId="1493FEE6" w14:textId="77777777" w:rsidR="005C058B" w:rsidRDefault="005C058B" w:rsidP="00FE375A">
            <w:pPr>
              <w:jc w:val="right"/>
              <w:rPr>
                <w:rFonts w:cstheme="minorHAnsi"/>
                <w:bCs/>
              </w:rPr>
            </w:pPr>
            <w:r>
              <w:rPr>
                <w:rFonts w:cstheme="minorHAnsi"/>
                <w:bCs/>
              </w:rPr>
              <w:t>1.37 (1.34-1.40)</w:t>
            </w:r>
          </w:p>
        </w:tc>
      </w:tr>
      <w:tr w:rsidR="005C058B" w14:paraId="240AFFC9" w14:textId="77777777" w:rsidTr="00FE375A">
        <w:tc>
          <w:tcPr>
            <w:tcW w:w="2405" w:type="dxa"/>
          </w:tcPr>
          <w:p w14:paraId="6AE033D5" w14:textId="77777777" w:rsidR="005C058B" w:rsidRDefault="005C058B" w:rsidP="00FE375A">
            <w:pPr>
              <w:jc w:val="both"/>
              <w:rPr>
                <w:rFonts w:cstheme="minorHAnsi"/>
                <w:bCs/>
              </w:rPr>
            </w:pPr>
            <w:r>
              <w:rPr>
                <w:rFonts w:cstheme="minorHAnsi"/>
                <w:bCs/>
              </w:rPr>
              <w:t>Metoprolol</w:t>
            </w:r>
          </w:p>
        </w:tc>
        <w:tc>
          <w:tcPr>
            <w:tcW w:w="1192" w:type="dxa"/>
          </w:tcPr>
          <w:p w14:paraId="36315702" w14:textId="77777777" w:rsidR="005C058B" w:rsidRDefault="005C058B" w:rsidP="00FE375A">
            <w:pPr>
              <w:jc w:val="right"/>
              <w:rPr>
                <w:rFonts w:cstheme="minorHAnsi"/>
                <w:bCs/>
              </w:rPr>
            </w:pPr>
            <w:r>
              <w:rPr>
                <w:rFonts w:cstheme="minorHAnsi"/>
                <w:bCs/>
              </w:rPr>
              <w:t>13920</w:t>
            </w:r>
          </w:p>
        </w:tc>
        <w:tc>
          <w:tcPr>
            <w:tcW w:w="2635" w:type="dxa"/>
          </w:tcPr>
          <w:p w14:paraId="1DE3BF78" w14:textId="77777777" w:rsidR="005C058B" w:rsidRDefault="005C058B" w:rsidP="00FE375A">
            <w:pPr>
              <w:jc w:val="right"/>
              <w:rPr>
                <w:rFonts w:cstheme="minorHAnsi"/>
                <w:bCs/>
              </w:rPr>
            </w:pPr>
            <w:r>
              <w:rPr>
                <w:rFonts w:cstheme="minorHAnsi"/>
                <w:bCs/>
              </w:rPr>
              <w:t>405 (391-424)</w:t>
            </w:r>
          </w:p>
        </w:tc>
        <w:tc>
          <w:tcPr>
            <w:tcW w:w="2784" w:type="dxa"/>
          </w:tcPr>
          <w:p w14:paraId="45352CF8" w14:textId="77777777" w:rsidR="005C058B" w:rsidRDefault="005C058B" w:rsidP="00FE375A">
            <w:pPr>
              <w:jc w:val="right"/>
              <w:rPr>
                <w:rFonts w:cstheme="minorHAnsi"/>
                <w:bCs/>
              </w:rPr>
            </w:pPr>
            <w:r>
              <w:rPr>
                <w:rFonts w:cstheme="minorHAnsi"/>
                <w:bCs/>
              </w:rPr>
              <w:t>1.19 (1.17-1.22)</w:t>
            </w:r>
          </w:p>
        </w:tc>
      </w:tr>
      <w:tr w:rsidR="005C058B" w14:paraId="6223FA74" w14:textId="77777777" w:rsidTr="00FE375A">
        <w:tc>
          <w:tcPr>
            <w:tcW w:w="2405" w:type="dxa"/>
          </w:tcPr>
          <w:p w14:paraId="550385C1" w14:textId="77777777" w:rsidR="005C058B" w:rsidRDefault="005C058B" w:rsidP="00FE375A">
            <w:pPr>
              <w:jc w:val="both"/>
              <w:rPr>
                <w:rFonts w:cstheme="minorHAnsi"/>
                <w:bCs/>
              </w:rPr>
            </w:pPr>
            <w:r>
              <w:rPr>
                <w:rFonts w:cstheme="minorHAnsi"/>
                <w:bCs/>
              </w:rPr>
              <w:t>Nebivolol</w:t>
            </w:r>
          </w:p>
        </w:tc>
        <w:tc>
          <w:tcPr>
            <w:tcW w:w="1192" w:type="dxa"/>
          </w:tcPr>
          <w:p w14:paraId="032F1EC0" w14:textId="77777777" w:rsidR="005C058B" w:rsidRDefault="005C058B" w:rsidP="00FE375A">
            <w:pPr>
              <w:jc w:val="right"/>
              <w:rPr>
                <w:rFonts w:cstheme="minorHAnsi"/>
                <w:bCs/>
              </w:rPr>
            </w:pPr>
            <w:r>
              <w:rPr>
                <w:rFonts w:cstheme="minorHAnsi"/>
                <w:bCs/>
              </w:rPr>
              <w:t>40006</w:t>
            </w:r>
          </w:p>
        </w:tc>
        <w:tc>
          <w:tcPr>
            <w:tcW w:w="2635" w:type="dxa"/>
          </w:tcPr>
          <w:p w14:paraId="41BB52DD" w14:textId="77777777" w:rsidR="005C058B" w:rsidRDefault="005C058B" w:rsidP="00FE375A">
            <w:pPr>
              <w:jc w:val="right"/>
              <w:rPr>
                <w:rFonts w:cstheme="minorHAnsi"/>
                <w:bCs/>
              </w:rPr>
            </w:pPr>
            <w:r>
              <w:rPr>
                <w:rFonts w:cstheme="minorHAnsi"/>
                <w:bCs/>
              </w:rPr>
              <w:t>494 (482-502)</w:t>
            </w:r>
          </w:p>
        </w:tc>
        <w:tc>
          <w:tcPr>
            <w:tcW w:w="2784" w:type="dxa"/>
          </w:tcPr>
          <w:p w14:paraId="4A66BB15" w14:textId="77777777" w:rsidR="005C058B" w:rsidRDefault="005C058B" w:rsidP="00FE375A">
            <w:pPr>
              <w:jc w:val="right"/>
              <w:rPr>
                <w:rFonts w:cstheme="minorHAnsi"/>
                <w:bCs/>
              </w:rPr>
            </w:pPr>
            <w:r>
              <w:rPr>
                <w:rFonts w:cstheme="minorHAnsi"/>
                <w:bCs/>
              </w:rPr>
              <w:t>1.11 (1.09-1.13)</w:t>
            </w:r>
          </w:p>
        </w:tc>
      </w:tr>
      <w:tr w:rsidR="005C058B" w14:paraId="6939AB20" w14:textId="77777777" w:rsidTr="00FE375A">
        <w:tc>
          <w:tcPr>
            <w:tcW w:w="2405" w:type="dxa"/>
          </w:tcPr>
          <w:p w14:paraId="194C2E93" w14:textId="77777777" w:rsidR="005C058B" w:rsidRDefault="005C058B" w:rsidP="00FE375A">
            <w:pPr>
              <w:jc w:val="both"/>
              <w:rPr>
                <w:rFonts w:cstheme="minorHAnsi"/>
                <w:bCs/>
              </w:rPr>
            </w:pPr>
            <w:r>
              <w:rPr>
                <w:rFonts w:cstheme="minorHAnsi"/>
                <w:bCs/>
              </w:rPr>
              <w:t>Eplerenone</w:t>
            </w:r>
          </w:p>
        </w:tc>
        <w:tc>
          <w:tcPr>
            <w:tcW w:w="1192" w:type="dxa"/>
          </w:tcPr>
          <w:p w14:paraId="1AA38F9A" w14:textId="77777777" w:rsidR="005C058B" w:rsidRDefault="005C058B" w:rsidP="00FE375A">
            <w:pPr>
              <w:jc w:val="right"/>
              <w:rPr>
                <w:rFonts w:cstheme="minorHAnsi"/>
                <w:bCs/>
              </w:rPr>
            </w:pPr>
            <w:r>
              <w:rPr>
                <w:rFonts w:cstheme="minorHAnsi"/>
                <w:bCs/>
              </w:rPr>
              <w:t>3220</w:t>
            </w:r>
          </w:p>
        </w:tc>
        <w:tc>
          <w:tcPr>
            <w:tcW w:w="2635" w:type="dxa"/>
          </w:tcPr>
          <w:p w14:paraId="0FC8C464" w14:textId="77777777" w:rsidR="005C058B" w:rsidRDefault="005C058B" w:rsidP="00FE375A">
            <w:pPr>
              <w:jc w:val="right"/>
              <w:rPr>
                <w:rFonts w:cstheme="minorHAnsi"/>
                <w:bCs/>
              </w:rPr>
            </w:pPr>
            <w:r>
              <w:rPr>
                <w:rFonts w:cstheme="minorHAnsi"/>
                <w:bCs/>
              </w:rPr>
              <w:t>286 (265-321)</w:t>
            </w:r>
          </w:p>
        </w:tc>
        <w:tc>
          <w:tcPr>
            <w:tcW w:w="2784" w:type="dxa"/>
          </w:tcPr>
          <w:p w14:paraId="2422E1B5" w14:textId="77777777" w:rsidR="005C058B" w:rsidRDefault="005C058B" w:rsidP="00FE375A">
            <w:pPr>
              <w:jc w:val="right"/>
              <w:rPr>
                <w:rFonts w:cstheme="minorHAnsi"/>
                <w:bCs/>
              </w:rPr>
            </w:pPr>
            <w:r>
              <w:rPr>
                <w:rFonts w:cstheme="minorHAnsi"/>
                <w:bCs/>
              </w:rPr>
              <w:t>1.35 (1.30-1.41)</w:t>
            </w:r>
          </w:p>
        </w:tc>
      </w:tr>
      <w:tr w:rsidR="005C058B" w14:paraId="1813A30A" w14:textId="77777777" w:rsidTr="00FE375A">
        <w:tc>
          <w:tcPr>
            <w:tcW w:w="2405" w:type="dxa"/>
          </w:tcPr>
          <w:p w14:paraId="6466EAAD" w14:textId="77777777" w:rsidR="005C058B" w:rsidRDefault="005C058B" w:rsidP="00FE375A">
            <w:pPr>
              <w:jc w:val="both"/>
              <w:rPr>
                <w:rFonts w:cstheme="minorHAnsi"/>
                <w:bCs/>
              </w:rPr>
            </w:pPr>
            <w:r>
              <w:rPr>
                <w:rFonts w:cstheme="minorHAnsi"/>
                <w:bCs/>
              </w:rPr>
              <w:t>Ivabradine</w:t>
            </w:r>
          </w:p>
        </w:tc>
        <w:tc>
          <w:tcPr>
            <w:tcW w:w="1192" w:type="dxa"/>
          </w:tcPr>
          <w:p w14:paraId="5B45D8F2" w14:textId="77777777" w:rsidR="005C058B" w:rsidRDefault="005C058B" w:rsidP="00FE375A">
            <w:pPr>
              <w:jc w:val="right"/>
              <w:rPr>
                <w:rFonts w:cstheme="minorHAnsi"/>
                <w:bCs/>
              </w:rPr>
            </w:pPr>
            <w:r>
              <w:rPr>
                <w:rFonts w:cstheme="minorHAnsi"/>
                <w:bCs/>
              </w:rPr>
              <w:t>5023</w:t>
            </w:r>
          </w:p>
        </w:tc>
        <w:tc>
          <w:tcPr>
            <w:tcW w:w="2635" w:type="dxa"/>
          </w:tcPr>
          <w:p w14:paraId="21A09D8C" w14:textId="77777777" w:rsidR="005C058B" w:rsidRDefault="005C058B" w:rsidP="00FE375A">
            <w:pPr>
              <w:jc w:val="right"/>
              <w:rPr>
                <w:rFonts w:cstheme="minorHAnsi"/>
                <w:bCs/>
              </w:rPr>
            </w:pPr>
            <w:r>
              <w:rPr>
                <w:rFonts w:cstheme="minorHAnsi"/>
                <w:bCs/>
              </w:rPr>
              <w:t>153 (146-160)</w:t>
            </w:r>
          </w:p>
        </w:tc>
        <w:tc>
          <w:tcPr>
            <w:tcW w:w="2784" w:type="dxa"/>
          </w:tcPr>
          <w:p w14:paraId="29C8D156" w14:textId="77777777" w:rsidR="005C058B" w:rsidRDefault="005C058B" w:rsidP="00FE375A">
            <w:pPr>
              <w:jc w:val="right"/>
              <w:rPr>
                <w:rFonts w:cstheme="minorHAnsi"/>
                <w:bCs/>
              </w:rPr>
            </w:pPr>
            <w:r>
              <w:rPr>
                <w:rFonts w:cstheme="minorHAnsi"/>
                <w:bCs/>
              </w:rPr>
              <w:t>1.79 (1.74-1.85)</w:t>
            </w:r>
          </w:p>
        </w:tc>
      </w:tr>
      <w:tr w:rsidR="005C058B" w14:paraId="7231453D" w14:textId="77777777" w:rsidTr="00FE375A">
        <w:tc>
          <w:tcPr>
            <w:tcW w:w="2405" w:type="dxa"/>
          </w:tcPr>
          <w:p w14:paraId="44628575" w14:textId="77777777" w:rsidR="005C058B" w:rsidRDefault="005C058B" w:rsidP="00FE375A">
            <w:pPr>
              <w:jc w:val="both"/>
              <w:rPr>
                <w:rFonts w:cstheme="minorHAnsi"/>
                <w:bCs/>
              </w:rPr>
            </w:pPr>
            <w:r>
              <w:rPr>
                <w:rFonts w:cstheme="minorHAnsi"/>
                <w:bCs/>
              </w:rPr>
              <w:t>Sacubitril + Valsartan</w:t>
            </w:r>
          </w:p>
        </w:tc>
        <w:tc>
          <w:tcPr>
            <w:tcW w:w="1192" w:type="dxa"/>
          </w:tcPr>
          <w:p w14:paraId="12A6B6A5" w14:textId="77777777" w:rsidR="005C058B" w:rsidRDefault="005C058B" w:rsidP="00FE375A">
            <w:pPr>
              <w:jc w:val="right"/>
              <w:rPr>
                <w:rFonts w:cstheme="minorHAnsi"/>
                <w:bCs/>
              </w:rPr>
            </w:pPr>
            <w:r>
              <w:rPr>
                <w:rFonts w:cstheme="minorHAnsi"/>
                <w:bCs/>
              </w:rPr>
              <w:t>15773</w:t>
            </w:r>
          </w:p>
        </w:tc>
        <w:tc>
          <w:tcPr>
            <w:tcW w:w="2635" w:type="dxa"/>
          </w:tcPr>
          <w:p w14:paraId="20B982F4" w14:textId="77777777" w:rsidR="005C058B" w:rsidRDefault="005C058B" w:rsidP="00FE375A">
            <w:pPr>
              <w:jc w:val="right"/>
              <w:rPr>
                <w:rFonts w:cstheme="minorHAnsi"/>
                <w:bCs/>
              </w:rPr>
            </w:pPr>
            <w:r>
              <w:rPr>
                <w:rFonts w:cstheme="minorHAnsi"/>
                <w:bCs/>
              </w:rPr>
              <w:t>685 (669-705)</w:t>
            </w:r>
          </w:p>
        </w:tc>
        <w:tc>
          <w:tcPr>
            <w:tcW w:w="2784" w:type="dxa"/>
          </w:tcPr>
          <w:p w14:paraId="07E18829" w14:textId="77777777" w:rsidR="005C058B" w:rsidRDefault="005C058B" w:rsidP="00FE375A">
            <w:pPr>
              <w:jc w:val="right"/>
              <w:rPr>
                <w:rFonts w:cstheme="minorHAnsi"/>
                <w:bCs/>
              </w:rPr>
            </w:pPr>
            <w:r>
              <w:rPr>
                <w:rFonts w:cstheme="minorHAnsi"/>
                <w:bCs/>
              </w:rPr>
              <w:t>0.84 (0.82-0.86)</w:t>
            </w:r>
          </w:p>
        </w:tc>
      </w:tr>
    </w:tbl>
    <w:p w14:paraId="673A25C6" w14:textId="77777777" w:rsidR="005C058B" w:rsidRDefault="005C058B" w:rsidP="005C058B">
      <w:pPr>
        <w:jc w:val="both"/>
        <w:rPr>
          <w:rFonts w:cstheme="minorHAnsi"/>
          <w:bCs/>
        </w:rPr>
      </w:pPr>
    </w:p>
    <w:p w14:paraId="3CC81D6F" w14:textId="77777777" w:rsidR="005C058B" w:rsidRDefault="005C058B" w:rsidP="005C058B">
      <w:pPr>
        <w:jc w:val="both"/>
        <w:rPr>
          <w:rFonts w:cstheme="minorHAnsi"/>
          <w:bCs/>
        </w:rPr>
      </w:pPr>
    </w:p>
    <w:p w14:paraId="641DF281" w14:textId="77777777" w:rsidR="005C058B" w:rsidRDefault="005C058B" w:rsidP="005C058B">
      <w:pPr>
        <w:jc w:val="both"/>
        <w:rPr>
          <w:rFonts w:cstheme="minorHAnsi"/>
          <w:bCs/>
        </w:rPr>
      </w:pPr>
    </w:p>
    <w:p w14:paraId="3B4ABC4B" w14:textId="77777777" w:rsidR="008C5B75" w:rsidRDefault="008C5B75">
      <w:pPr>
        <w:rPr>
          <w:b/>
          <w:bCs/>
        </w:rPr>
      </w:pPr>
      <w:r>
        <w:rPr>
          <w:b/>
          <w:bCs/>
        </w:rPr>
        <w:br w:type="page"/>
      </w:r>
    </w:p>
    <w:p w14:paraId="7EEEBE84" w14:textId="5CBF631D" w:rsidR="008C5B75" w:rsidRPr="008C5B75" w:rsidRDefault="008C5B75" w:rsidP="008C5B75">
      <w:pPr>
        <w:spacing w:before="120"/>
        <w:rPr>
          <w:b/>
          <w:bCs/>
        </w:rPr>
      </w:pPr>
      <w:r w:rsidRPr="008C5B75">
        <w:rPr>
          <w:b/>
          <w:bCs/>
        </w:rPr>
        <w:t xml:space="preserve">Time to </w:t>
      </w:r>
      <w:r>
        <w:rPr>
          <w:b/>
          <w:bCs/>
        </w:rPr>
        <w:t>addition</w:t>
      </w:r>
      <w:r w:rsidRPr="008C5B75">
        <w:rPr>
          <w:b/>
          <w:bCs/>
        </w:rPr>
        <w:t xml:space="preserve"> or cessation </w:t>
      </w:r>
      <w:r>
        <w:rPr>
          <w:b/>
          <w:bCs/>
        </w:rPr>
        <w:t xml:space="preserve">stratified </w:t>
      </w:r>
      <w:r w:rsidRPr="008C5B75">
        <w:rPr>
          <w:b/>
          <w:bCs/>
        </w:rPr>
        <w:t xml:space="preserve">by individual </w:t>
      </w:r>
      <w:r w:rsidR="000C435D">
        <w:rPr>
          <w:b/>
          <w:bCs/>
        </w:rPr>
        <w:t xml:space="preserve">index </w:t>
      </w:r>
      <w:r w:rsidRPr="008C5B75">
        <w:rPr>
          <w:b/>
          <w:bCs/>
        </w:rPr>
        <w:t>PBS restricted HF medicine</w:t>
      </w:r>
    </w:p>
    <w:p w14:paraId="4F586020" w14:textId="269FA9F4" w:rsidR="008C5B75" w:rsidRDefault="008C5B75" w:rsidP="008C5B75">
      <w:pPr>
        <w:jc w:val="both"/>
        <w:rPr>
          <w:rFonts w:cstheme="minorHAnsi"/>
          <w:bCs/>
        </w:rPr>
      </w:pPr>
      <w:r>
        <w:rPr>
          <w:rFonts w:cstheme="minorHAnsi"/>
          <w:bCs/>
        </w:rPr>
        <w:t xml:space="preserve">Results stratified by the individual HF restricted index monotherapy are shown in Figure </w:t>
      </w:r>
      <w:r w:rsidR="00F332AB">
        <w:rPr>
          <w:rFonts w:cstheme="minorHAnsi"/>
          <w:bCs/>
        </w:rPr>
        <w:t>A</w:t>
      </w:r>
      <w:r w:rsidR="00860383">
        <w:rPr>
          <w:rFonts w:cstheme="minorHAnsi"/>
          <w:bCs/>
        </w:rPr>
        <w:t>5</w:t>
      </w:r>
      <w:r w:rsidR="001A4647">
        <w:rPr>
          <w:rFonts w:cstheme="minorHAnsi"/>
          <w:bCs/>
        </w:rPr>
        <w:t xml:space="preserve"> </w:t>
      </w:r>
      <w:r>
        <w:rPr>
          <w:rFonts w:cstheme="minorHAnsi"/>
          <w:bCs/>
        </w:rPr>
        <w:t xml:space="preserve">and in Table </w:t>
      </w:r>
      <w:r w:rsidR="00F332AB">
        <w:rPr>
          <w:rFonts w:cstheme="minorHAnsi"/>
          <w:bCs/>
        </w:rPr>
        <w:t>A2</w:t>
      </w:r>
      <w:r>
        <w:rPr>
          <w:rFonts w:cstheme="minorHAnsi"/>
          <w:bCs/>
        </w:rPr>
        <w:t xml:space="preserve">. The duration for time to addition for bisoprolol initiators was 17 months, nebivolol initiators 16 months and ivabradine initiators was 5 months. Note ivabradine is restricted to a sub-population that in addition to having HF must be in sinus rhythm and must have a resting heart rate at or above 77 beats per minute and a LVEF of 35% or less, which likely accounts for its shorter duration. </w:t>
      </w:r>
      <w:r w:rsidR="0030642F">
        <w:rPr>
          <w:rFonts w:cstheme="minorHAnsi"/>
          <w:bCs/>
        </w:rPr>
        <w:t xml:space="preserve">Similarly, eplerenone is limited to a sub-population post myocardial infarction, which likely accounts for its shorter duration. </w:t>
      </w:r>
    </w:p>
    <w:p w14:paraId="468A0CF2" w14:textId="77777777" w:rsidR="008C5B75" w:rsidRDefault="008C5B75" w:rsidP="0079747D">
      <w:pPr>
        <w:spacing w:after="0"/>
        <w:rPr>
          <w:lang w:val="en-US"/>
        </w:rPr>
      </w:pPr>
      <w:r>
        <w:rPr>
          <w:noProof/>
          <w:lang w:eastAsia="en-AU"/>
        </w:rPr>
        <w:drawing>
          <wp:inline distT="0" distB="0" distL="0" distR="0" wp14:anchorId="3232E24B" wp14:editId="6887DEA4">
            <wp:extent cx="5730875" cy="5000625"/>
            <wp:effectExtent l="0" t="0" r="3175" b="9525"/>
            <wp:docPr id="27" name="Picture 27" descr="Graph showing the median duration to cessation or addition of second line therapy for seven HF restricted index monotherapies (bisoprolol, carvedilol, metoprolol, nebivolol, eplerenone, sacubitril + valsartan, and ivabradine). The median duration was longest for sacubitril + valsartan (17 months) and shortest for ivabradine (5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Graph showing the median duration to cessation or addition of second line therapy for seven HF restricted index monotherapies (bisoprolol, carvedilol, metoprolol, nebivolol, eplerenone, sacubitril + valsartan, and ivabradine). The median duration was longest for sacubitril + valsartan (17 months) and shortest for ivabradine (5 months)."/>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34660" cy="5003928"/>
                    </a:xfrm>
                    <a:prstGeom prst="rect">
                      <a:avLst/>
                    </a:prstGeom>
                    <a:noFill/>
                    <a:ln>
                      <a:noFill/>
                    </a:ln>
                  </pic:spPr>
                </pic:pic>
              </a:graphicData>
            </a:graphic>
          </wp:inline>
        </w:drawing>
      </w:r>
    </w:p>
    <w:p w14:paraId="391F71D0" w14:textId="1E814EC5" w:rsidR="008C5B75" w:rsidRDefault="008C5B75" w:rsidP="008C5B75">
      <w:pPr>
        <w:spacing w:after="0" w:line="240" w:lineRule="auto"/>
        <w:jc w:val="both"/>
        <w:rPr>
          <w:rFonts w:cstheme="minorHAnsi"/>
          <w:bCs/>
        </w:rPr>
      </w:pPr>
      <w:r w:rsidRPr="00B13194">
        <w:rPr>
          <w:rFonts w:cstheme="minorHAnsi"/>
          <w:b/>
        </w:rPr>
        <w:t xml:space="preserve">Figure </w:t>
      </w:r>
      <w:r w:rsidR="00F332AB">
        <w:rPr>
          <w:rFonts w:cstheme="minorHAnsi"/>
          <w:b/>
        </w:rPr>
        <w:t>A</w:t>
      </w:r>
      <w:r w:rsidR="00860383">
        <w:rPr>
          <w:rFonts w:cstheme="minorHAnsi"/>
          <w:b/>
        </w:rPr>
        <w:t>5</w:t>
      </w:r>
      <w:r>
        <w:rPr>
          <w:rFonts w:cstheme="minorHAnsi"/>
          <w:bCs/>
        </w:rPr>
        <w:t xml:space="preserve"> Kaplan Meier estimate for time from first (index) episode to addition of a second line therapy restricted for HF or cessation, stratified by index HF restricted mono therapy</w:t>
      </w:r>
    </w:p>
    <w:p w14:paraId="065E007F" w14:textId="77777777" w:rsidR="008C5B75" w:rsidRDefault="008C5B75" w:rsidP="008C5B75">
      <w:pPr>
        <w:spacing w:after="0" w:line="240" w:lineRule="auto"/>
        <w:rPr>
          <w:rFonts w:cstheme="minorHAnsi"/>
          <w:i/>
          <w:iCs/>
          <w:sz w:val="18"/>
          <w:szCs w:val="18"/>
        </w:rPr>
      </w:pPr>
      <w:r w:rsidRPr="008E2AAA">
        <w:rPr>
          <w:rFonts w:cstheme="minorHAnsi"/>
          <w:i/>
          <w:iCs/>
          <w:sz w:val="18"/>
          <w:szCs w:val="18"/>
        </w:rPr>
        <w:t xml:space="preserve">Legend: </w:t>
      </w:r>
    </w:p>
    <w:p w14:paraId="5F45C9FF" w14:textId="77777777" w:rsidR="008C5B75" w:rsidRDefault="008C5B75" w:rsidP="008C5B75">
      <w:pPr>
        <w:spacing w:after="0" w:line="240" w:lineRule="auto"/>
        <w:rPr>
          <w:rFonts w:cstheme="minorHAnsi"/>
          <w:i/>
          <w:iCs/>
          <w:sz w:val="18"/>
          <w:szCs w:val="18"/>
        </w:rPr>
      </w:pPr>
      <w:r w:rsidRPr="008E2AAA">
        <w:rPr>
          <w:rFonts w:cstheme="minorHAnsi"/>
          <w:i/>
          <w:iCs/>
          <w:sz w:val="18"/>
          <w:szCs w:val="18"/>
        </w:rPr>
        <w:t>B</w:t>
      </w:r>
      <w:r>
        <w:rPr>
          <w:rFonts w:cstheme="minorHAnsi"/>
          <w:i/>
          <w:iCs/>
          <w:sz w:val="18"/>
          <w:szCs w:val="18"/>
        </w:rPr>
        <w:t>iso</w:t>
      </w:r>
      <w:r w:rsidRPr="008E2AAA">
        <w:rPr>
          <w:rFonts w:cstheme="minorHAnsi"/>
          <w:i/>
          <w:iCs/>
          <w:sz w:val="18"/>
          <w:szCs w:val="18"/>
        </w:rPr>
        <w:t xml:space="preserve"> – </w:t>
      </w:r>
      <w:r>
        <w:rPr>
          <w:rFonts w:cstheme="minorHAnsi"/>
          <w:i/>
          <w:iCs/>
          <w:sz w:val="18"/>
          <w:szCs w:val="18"/>
        </w:rPr>
        <w:t>Bisoprolol (BB); Nebi – Nebivolol (BB); Meto – Metoprolol (BB); Carv – Carvedilol (BB); S+V – Sacubitril+Valsartan (ARNI); Eple – Eplerenone (MRA for HF); Ivab - Ivabradine (HCN channel blocker)</w:t>
      </w:r>
    </w:p>
    <w:p w14:paraId="13632EE1" w14:textId="77777777" w:rsidR="008C5B75" w:rsidRDefault="008C5B75" w:rsidP="008C5B75">
      <w:pPr>
        <w:spacing w:after="0" w:line="240" w:lineRule="auto"/>
        <w:rPr>
          <w:rFonts w:cstheme="minorHAnsi"/>
          <w:i/>
          <w:iCs/>
          <w:sz w:val="18"/>
          <w:szCs w:val="18"/>
        </w:rPr>
      </w:pPr>
    </w:p>
    <w:p w14:paraId="0B615B3D" w14:textId="77777777" w:rsidR="00BD2757" w:rsidRDefault="00BD2757">
      <w:pPr>
        <w:rPr>
          <w:rFonts w:cstheme="minorHAnsi"/>
          <w:b/>
        </w:rPr>
      </w:pPr>
      <w:r>
        <w:rPr>
          <w:rFonts w:cstheme="minorHAnsi"/>
          <w:b/>
        </w:rPr>
        <w:br w:type="page"/>
      </w:r>
    </w:p>
    <w:p w14:paraId="5F0A2F26" w14:textId="5D6CC2D6" w:rsidR="008C5B75" w:rsidRDefault="008C5B75" w:rsidP="008C5B75">
      <w:pPr>
        <w:jc w:val="both"/>
        <w:rPr>
          <w:rFonts w:cstheme="minorHAnsi"/>
          <w:bCs/>
        </w:rPr>
      </w:pPr>
      <w:r w:rsidRPr="005A5318">
        <w:rPr>
          <w:rFonts w:cstheme="minorHAnsi"/>
          <w:b/>
        </w:rPr>
        <w:t xml:space="preserve">Table </w:t>
      </w:r>
      <w:r w:rsidR="00F332AB">
        <w:rPr>
          <w:rFonts w:cstheme="minorHAnsi"/>
          <w:b/>
        </w:rPr>
        <w:t>A2</w:t>
      </w:r>
      <w:r w:rsidRPr="005A5318">
        <w:rPr>
          <w:rFonts w:cstheme="minorHAnsi"/>
          <w:b/>
        </w:rPr>
        <w:t>.</w:t>
      </w:r>
      <w:r>
        <w:rPr>
          <w:rFonts w:cstheme="minorHAnsi"/>
          <w:bCs/>
        </w:rPr>
        <w:t xml:space="preserve"> Model summary for Figure </w:t>
      </w:r>
      <w:r w:rsidR="00F332AB">
        <w:rPr>
          <w:rFonts w:cstheme="minorHAnsi"/>
          <w:bCs/>
        </w:rPr>
        <w:t>A</w:t>
      </w:r>
      <w:r w:rsidR="00860383">
        <w:rPr>
          <w:rFonts w:cstheme="minorHAnsi"/>
          <w:bCs/>
        </w:rPr>
        <w:t>5</w:t>
      </w:r>
      <w:r>
        <w:rPr>
          <w:rFonts w:cstheme="minorHAnsi"/>
          <w:bCs/>
        </w:rPr>
        <w:t xml:space="preserve"> (time from index therapy to add-on or cessation)</w:t>
      </w:r>
    </w:p>
    <w:tbl>
      <w:tblPr>
        <w:tblStyle w:val="TableGrid"/>
        <w:tblW w:w="0" w:type="auto"/>
        <w:tblLook w:val="04A0" w:firstRow="1" w:lastRow="0" w:firstColumn="1" w:lastColumn="0" w:noHBand="0" w:noVBand="1"/>
      </w:tblPr>
      <w:tblGrid>
        <w:gridCol w:w="2405"/>
        <w:gridCol w:w="1192"/>
        <w:gridCol w:w="2635"/>
        <w:gridCol w:w="2784"/>
      </w:tblGrid>
      <w:tr w:rsidR="008C5B75" w14:paraId="282EED82" w14:textId="77777777" w:rsidTr="00FE375A">
        <w:tc>
          <w:tcPr>
            <w:tcW w:w="2405" w:type="dxa"/>
          </w:tcPr>
          <w:p w14:paraId="24BFB49A" w14:textId="77777777" w:rsidR="008C5B75" w:rsidRDefault="008C5B75" w:rsidP="00FE375A">
            <w:pPr>
              <w:jc w:val="both"/>
              <w:rPr>
                <w:rFonts w:cstheme="minorHAnsi"/>
                <w:bCs/>
              </w:rPr>
            </w:pPr>
            <w:r>
              <w:rPr>
                <w:rFonts w:cstheme="minorHAnsi"/>
                <w:bCs/>
              </w:rPr>
              <w:t>Index HF restricted mono therapy</w:t>
            </w:r>
          </w:p>
        </w:tc>
        <w:tc>
          <w:tcPr>
            <w:tcW w:w="1192" w:type="dxa"/>
          </w:tcPr>
          <w:p w14:paraId="69802BB8" w14:textId="77777777" w:rsidR="008C5B75" w:rsidRDefault="008C5B75" w:rsidP="00FE375A">
            <w:pPr>
              <w:jc w:val="both"/>
              <w:rPr>
                <w:rFonts w:cstheme="minorHAnsi"/>
                <w:bCs/>
              </w:rPr>
            </w:pPr>
            <w:r>
              <w:rPr>
                <w:rFonts w:cstheme="minorHAnsi"/>
                <w:bCs/>
              </w:rPr>
              <w:t>Number of people</w:t>
            </w:r>
          </w:p>
        </w:tc>
        <w:tc>
          <w:tcPr>
            <w:tcW w:w="2635" w:type="dxa"/>
          </w:tcPr>
          <w:p w14:paraId="751A1F63" w14:textId="77777777" w:rsidR="008C5B75" w:rsidRDefault="008C5B75" w:rsidP="00FE375A">
            <w:pPr>
              <w:jc w:val="both"/>
              <w:rPr>
                <w:rFonts w:cstheme="minorHAnsi"/>
                <w:bCs/>
              </w:rPr>
            </w:pPr>
            <w:r>
              <w:rPr>
                <w:rFonts w:cstheme="minorHAnsi"/>
                <w:bCs/>
              </w:rPr>
              <w:t xml:space="preserve">Median duration in days </w:t>
            </w:r>
          </w:p>
          <w:p w14:paraId="0633083D" w14:textId="77777777" w:rsidR="008C5B75" w:rsidRDefault="008C5B75" w:rsidP="00FE375A">
            <w:pPr>
              <w:jc w:val="both"/>
              <w:rPr>
                <w:rFonts w:cstheme="minorHAnsi"/>
                <w:bCs/>
              </w:rPr>
            </w:pPr>
            <w:r>
              <w:rPr>
                <w:rFonts w:cstheme="minorHAnsi"/>
                <w:bCs/>
              </w:rPr>
              <w:t xml:space="preserve">    (95% CI)</w:t>
            </w:r>
          </w:p>
        </w:tc>
        <w:tc>
          <w:tcPr>
            <w:tcW w:w="2784" w:type="dxa"/>
          </w:tcPr>
          <w:p w14:paraId="6ECFB598" w14:textId="77777777" w:rsidR="008C5B75" w:rsidRDefault="008C5B75" w:rsidP="00FE375A">
            <w:pPr>
              <w:jc w:val="both"/>
              <w:rPr>
                <w:rFonts w:cstheme="minorHAnsi"/>
                <w:bCs/>
              </w:rPr>
            </w:pPr>
            <w:r>
              <w:rPr>
                <w:rFonts w:cstheme="minorHAnsi"/>
                <w:bCs/>
              </w:rPr>
              <w:t xml:space="preserve">Adjusted HR (age at initiation is used primary time scale), </w:t>
            </w:r>
          </w:p>
          <w:p w14:paraId="31767338" w14:textId="77777777" w:rsidR="008C5B75" w:rsidRDefault="008C5B75" w:rsidP="00FE375A">
            <w:pPr>
              <w:jc w:val="both"/>
              <w:rPr>
                <w:rFonts w:cstheme="minorHAnsi"/>
                <w:bCs/>
              </w:rPr>
            </w:pPr>
            <w:r>
              <w:rPr>
                <w:rFonts w:cstheme="minorHAnsi"/>
                <w:bCs/>
              </w:rPr>
              <w:t xml:space="preserve">           (95% CI)</w:t>
            </w:r>
          </w:p>
        </w:tc>
      </w:tr>
      <w:tr w:rsidR="008C5B75" w14:paraId="2F69AF15" w14:textId="77777777" w:rsidTr="00FE375A">
        <w:tc>
          <w:tcPr>
            <w:tcW w:w="2405" w:type="dxa"/>
          </w:tcPr>
          <w:p w14:paraId="2B5A569D" w14:textId="77777777" w:rsidR="008C5B75" w:rsidRDefault="008C5B75" w:rsidP="00FE375A">
            <w:pPr>
              <w:jc w:val="both"/>
              <w:rPr>
                <w:rFonts w:cstheme="minorHAnsi"/>
                <w:bCs/>
              </w:rPr>
            </w:pPr>
            <w:r>
              <w:rPr>
                <w:rFonts w:cstheme="minorHAnsi"/>
                <w:bCs/>
              </w:rPr>
              <w:t>Bisoprolol</w:t>
            </w:r>
          </w:p>
        </w:tc>
        <w:tc>
          <w:tcPr>
            <w:tcW w:w="1192" w:type="dxa"/>
          </w:tcPr>
          <w:p w14:paraId="43B99C54" w14:textId="77777777" w:rsidR="008C5B75" w:rsidRDefault="008C5B75" w:rsidP="00FE375A">
            <w:pPr>
              <w:jc w:val="right"/>
              <w:rPr>
                <w:rFonts w:cstheme="minorHAnsi"/>
                <w:bCs/>
              </w:rPr>
            </w:pPr>
            <w:r>
              <w:rPr>
                <w:rFonts w:cstheme="minorHAnsi"/>
                <w:bCs/>
              </w:rPr>
              <w:t>114444</w:t>
            </w:r>
          </w:p>
        </w:tc>
        <w:tc>
          <w:tcPr>
            <w:tcW w:w="2635" w:type="dxa"/>
          </w:tcPr>
          <w:p w14:paraId="42AF0D72" w14:textId="77777777" w:rsidR="008C5B75" w:rsidRDefault="008C5B75" w:rsidP="00FE375A">
            <w:pPr>
              <w:jc w:val="right"/>
              <w:rPr>
                <w:rFonts w:cstheme="minorHAnsi"/>
                <w:bCs/>
              </w:rPr>
            </w:pPr>
            <w:r>
              <w:rPr>
                <w:rFonts w:cstheme="minorHAnsi"/>
                <w:bCs/>
              </w:rPr>
              <w:t>503 (496-517)</w:t>
            </w:r>
          </w:p>
        </w:tc>
        <w:tc>
          <w:tcPr>
            <w:tcW w:w="2784" w:type="dxa"/>
          </w:tcPr>
          <w:p w14:paraId="50A39A77" w14:textId="77777777" w:rsidR="008C5B75" w:rsidRDefault="008C5B75" w:rsidP="00FE375A">
            <w:pPr>
              <w:jc w:val="right"/>
              <w:rPr>
                <w:rFonts w:cstheme="minorHAnsi"/>
                <w:bCs/>
              </w:rPr>
            </w:pPr>
            <w:r>
              <w:rPr>
                <w:rFonts w:cstheme="minorHAnsi"/>
                <w:bCs/>
              </w:rPr>
              <w:t>Reference</w:t>
            </w:r>
          </w:p>
        </w:tc>
      </w:tr>
      <w:tr w:rsidR="008C5B75" w14:paraId="435E2A2C" w14:textId="77777777" w:rsidTr="00FE375A">
        <w:tc>
          <w:tcPr>
            <w:tcW w:w="2405" w:type="dxa"/>
          </w:tcPr>
          <w:p w14:paraId="046E8908" w14:textId="77777777" w:rsidR="008C5B75" w:rsidRDefault="008C5B75" w:rsidP="00FE375A">
            <w:pPr>
              <w:jc w:val="both"/>
              <w:rPr>
                <w:rFonts w:cstheme="minorHAnsi"/>
                <w:bCs/>
              </w:rPr>
            </w:pPr>
            <w:r>
              <w:rPr>
                <w:rFonts w:cstheme="minorHAnsi"/>
                <w:bCs/>
              </w:rPr>
              <w:t>Carvedilol</w:t>
            </w:r>
          </w:p>
        </w:tc>
        <w:tc>
          <w:tcPr>
            <w:tcW w:w="1192" w:type="dxa"/>
          </w:tcPr>
          <w:p w14:paraId="1F8BA790" w14:textId="77777777" w:rsidR="008C5B75" w:rsidRDefault="008C5B75" w:rsidP="00FE375A">
            <w:pPr>
              <w:jc w:val="right"/>
              <w:rPr>
                <w:rFonts w:cstheme="minorHAnsi"/>
                <w:bCs/>
              </w:rPr>
            </w:pPr>
            <w:r>
              <w:rPr>
                <w:rFonts w:cstheme="minorHAnsi"/>
                <w:bCs/>
              </w:rPr>
              <w:t>12057</w:t>
            </w:r>
          </w:p>
        </w:tc>
        <w:tc>
          <w:tcPr>
            <w:tcW w:w="2635" w:type="dxa"/>
          </w:tcPr>
          <w:p w14:paraId="4BA806DE" w14:textId="77777777" w:rsidR="008C5B75" w:rsidRDefault="008C5B75" w:rsidP="00FE375A">
            <w:pPr>
              <w:jc w:val="right"/>
              <w:rPr>
                <w:rFonts w:cstheme="minorHAnsi"/>
                <w:bCs/>
              </w:rPr>
            </w:pPr>
            <w:r>
              <w:rPr>
                <w:rFonts w:cstheme="minorHAnsi"/>
                <w:bCs/>
              </w:rPr>
              <w:t>308 (307-342)</w:t>
            </w:r>
          </w:p>
        </w:tc>
        <w:tc>
          <w:tcPr>
            <w:tcW w:w="2784" w:type="dxa"/>
          </w:tcPr>
          <w:p w14:paraId="081C5E66" w14:textId="77777777" w:rsidR="008C5B75" w:rsidRDefault="008C5B75" w:rsidP="00FE375A">
            <w:pPr>
              <w:jc w:val="right"/>
              <w:rPr>
                <w:rFonts w:cstheme="minorHAnsi"/>
                <w:bCs/>
              </w:rPr>
            </w:pPr>
            <w:r>
              <w:rPr>
                <w:rFonts w:cstheme="minorHAnsi"/>
                <w:bCs/>
              </w:rPr>
              <w:t>1.27 (1.25-1.30)</w:t>
            </w:r>
          </w:p>
        </w:tc>
      </w:tr>
      <w:tr w:rsidR="008C5B75" w14:paraId="360C755E" w14:textId="77777777" w:rsidTr="00FE375A">
        <w:tc>
          <w:tcPr>
            <w:tcW w:w="2405" w:type="dxa"/>
          </w:tcPr>
          <w:p w14:paraId="0E84BFE4" w14:textId="77777777" w:rsidR="008C5B75" w:rsidRDefault="008C5B75" w:rsidP="00FE375A">
            <w:pPr>
              <w:jc w:val="both"/>
              <w:rPr>
                <w:rFonts w:cstheme="minorHAnsi"/>
                <w:bCs/>
              </w:rPr>
            </w:pPr>
            <w:r>
              <w:rPr>
                <w:rFonts w:cstheme="minorHAnsi"/>
                <w:bCs/>
              </w:rPr>
              <w:t>Metoprolol</w:t>
            </w:r>
          </w:p>
        </w:tc>
        <w:tc>
          <w:tcPr>
            <w:tcW w:w="1192" w:type="dxa"/>
          </w:tcPr>
          <w:p w14:paraId="15C24281" w14:textId="77777777" w:rsidR="008C5B75" w:rsidRDefault="008C5B75" w:rsidP="00FE375A">
            <w:pPr>
              <w:jc w:val="right"/>
              <w:rPr>
                <w:rFonts w:cstheme="minorHAnsi"/>
                <w:bCs/>
              </w:rPr>
            </w:pPr>
            <w:r>
              <w:rPr>
                <w:rFonts w:cstheme="minorHAnsi"/>
                <w:bCs/>
              </w:rPr>
              <w:t>13920</w:t>
            </w:r>
          </w:p>
        </w:tc>
        <w:tc>
          <w:tcPr>
            <w:tcW w:w="2635" w:type="dxa"/>
          </w:tcPr>
          <w:p w14:paraId="587E1CF0" w14:textId="77777777" w:rsidR="008C5B75" w:rsidRDefault="008C5B75" w:rsidP="00FE375A">
            <w:pPr>
              <w:jc w:val="right"/>
              <w:rPr>
                <w:rFonts w:cstheme="minorHAnsi"/>
                <w:bCs/>
              </w:rPr>
            </w:pPr>
            <w:r>
              <w:rPr>
                <w:rFonts w:cstheme="minorHAnsi"/>
                <w:bCs/>
              </w:rPr>
              <w:t>405 (384-419)</w:t>
            </w:r>
          </w:p>
        </w:tc>
        <w:tc>
          <w:tcPr>
            <w:tcW w:w="2784" w:type="dxa"/>
          </w:tcPr>
          <w:p w14:paraId="7929075D" w14:textId="77777777" w:rsidR="008C5B75" w:rsidRDefault="008C5B75" w:rsidP="00FE375A">
            <w:pPr>
              <w:jc w:val="right"/>
              <w:rPr>
                <w:rFonts w:cstheme="minorHAnsi"/>
                <w:bCs/>
              </w:rPr>
            </w:pPr>
            <w:r>
              <w:rPr>
                <w:rFonts w:cstheme="minorHAnsi"/>
                <w:bCs/>
              </w:rPr>
              <w:t>1.14 (1.13-1.61)</w:t>
            </w:r>
          </w:p>
        </w:tc>
      </w:tr>
      <w:tr w:rsidR="008C5B75" w14:paraId="303C033F" w14:textId="77777777" w:rsidTr="00FE375A">
        <w:tc>
          <w:tcPr>
            <w:tcW w:w="2405" w:type="dxa"/>
          </w:tcPr>
          <w:p w14:paraId="16FF7749" w14:textId="77777777" w:rsidR="008C5B75" w:rsidRDefault="008C5B75" w:rsidP="00FE375A">
            <w:pPr>
              <w:jc w:val="both"/>
              <w:rPr>
                <w:rFonts w:cstheme="minorHAnsi"/>
                <w:bCs/>
              </w:rPr>
            </w:pPr>
            <w:r>
              <w:rPr>
                <w:rFonts w:cstheme="minorHAnsi"/>
                <w:bCs/>
              </w:rPr>
              <w:t>Nebivolol</w:t>
            </w:r>
          </w:p>
        </w:tc>
        <w:tc>
          <w:tcPr>
            <w:tcW w:w="1192" w:type="dxa"/>
          </w:tcPr>
          <w:p w14:paraId="618FE0B8" w14:textId="77777777" w:rsidR="008C5B75" w:rsidRDefault="008C5B75" w:rsidP="00FE375A">
            <w:pPr>
              <w:jc w:val="right"/>
              <w:rPr>
                <w:rFonts w:cstheme="minorHAnsi"/>
                <w:bCs/>
              </w:rPr>
            </w:pPr>
            <w:r>
              <w:rPr>
                <w:rFonts w:cstheme="minorHAnsi"/>
                <w:bCs/>
              </w:rPr>
              <w:t>40006</w:t>
            </w:r>
          </w:p>
        </w:tc>
        <w:tc>
          <w:tcPr>
            <w:tcW w:w="2635" w:type="dxa"/>
          </w:tcPr>
          <w:p w14:paraId="67ACCB55" w14:textId="77777777" w:rsidR="008C5B75" w:rsidRDefault="008C5B75" w:rsidP="00FE375A">
            <w:pPr>
              <w:jc w:val="right"/>
              <w:rPr>
                <w:rFonts w:cstheme="minorHAnsi"/>
                <w:bCs/>
              </w:rPr>
            </w:pPr>
            <w:r>
              <w:rPr>
                <w:rFonts w:cstheme="minorHAnsi"/>
                <w:bCs/>
              </w:rPr>
              <w:t>468 (461-482)</w:t>
            </w:r>
          </w:p>
        </w:tc>
        <w:tc>
          <w:tcPr>
            <w:tcW w:w="2784" w:type="dxa"/>
          </w:tcPr>
          <w:p w14:paraId="6B016992" w14:textId="77777777" w:rsidR="008C5B75" w:rsidRDefault="008C5B75" w:rsidP="00FE375A">
            <w:pPr>
              <w:jc w:val="right"/>
              <w:rPr>
                <w:rFonts w:cstheme="minorHAnsi"/>
                <w:bCs/>
              </w:rPr>
            </w:pPr>
            <w:r>
              <w:rPr>
                <w:rFonts w:cstheme="minorHAnsi"/>
                <w:bCs/>
              </w:rPr>
              <w:t>1.09 (1.07-1.10)</w:t>
            </w:r>
          </w:p>
        </w:tc>
      </w:tr>
      <w:tr w:rsidR="008C5B75" w14:paraId="4C4DA784" w14:textId="77777777" w:rsidTr="00FE375A">
        <w:tc>
          <w:tcPr>
            <w:tcW w:w="2405" w:type="dxa"/>
          </w:tcPr>
          <w:p w14:paraId="09554F72" w14:textId="77777777" w:rsidR="008C5B75" w:rsidRDefault="008C5B75" w:rsidP="00FE375A">
            <w:pPr>
              <w:jc w:val="both"/>
              <w:rPr>
                <w:rFonts w:cstheme="minorHAnsi"/>
                <w:bCs/>
              </w:rPr>
            </w:pPr>
            <w:r>
              <w:rPr>
                <w:rFonts w:cstheme="minorHAnsi"/>
                <w:bCs/>
              </w:rPr>
              <w:t>Eplerenone</w:t>
            </w:r>
          </w:p>
        </w:tc>
        <w:tc>
          <w:tcPr>
            <w:tcW w:w="1192" w:type="dxa"/>
          </w:tcPr>
          <w:p w14:paraId="28D58DCD" w14:textId="77777777" w:rsidR="008C5B75" w:rsidRDefault="008C5B75" w:rsidP="00FE375A">
            <w:pPr>
              <w:jc w:val="right"/>
              <w:rPr>
                <w:rFonts w:cstheme="minorHAnsi"/>
                <w:bCs/>
              </w:rPr>
            </w:pPr>
            <w:r>
              <w:rPr>
                <w:rFonts w:cstheme="minorHAnsi"/>
                <w:bCs/>
              </w:rPr>
              <w:t>3220</w:t>
            </w:r>
          </w:p>
        </w:tc>
        <w:tc>
          <w:tcPr>
            <w:tcW w:w="2635" w:type="dxa"/>
          </w:tcPr>
          <w:p w14:paraId="23ADAC98" w14:textId="77777777" w:rsidR="008C5B75" w:rsidRDefault="008C5B75" w:rsidP="00FE375A">
            <w:pPr>
              <w:jc w:val="right"/>
              <w:rPr>
                <w:rFonts w:cstheme="minorHAnsi"/>
                <w:bCs/>
              </w:rPr>
            </w:pPr>
            <w:r>
              <w:rPr>
                <w:rFonts w:cstheme="minorHAnsi"/>
                <w:bCs/>
              </w:rPr>
              <w:t>209 (202-223)</w:t>
            </w:r>
          </w:p>
        </w:tc>
        <w:tc>
          <w:tcPr>
            <w:tcW w:w="2784" w:type="dxa"/>
          </w:tcPr>
          <w:p w14:paraId="58C302C2" w14:textId="77777777" w:rsidR="008C5B75" w:rsidRDefault="008C5B75" w:rsidP="00FE375A">
            <w:pPr>
              <w:jc w:val="right"/>
              <w:rPr>
                <w:rFonts w:cstheme="minorHAnsi"/>
                <w:bCs/>
              </w:rPr>
            </w:pPr>
            <w:r>
              <w:rPr>
                <w:rFonts w:cstheme="minorHAnsi"/>
                <w:bCs/>
              </w:rPr>
              <w:t>1.52 (1.46-1.59)</w:t>
            </w:r>
          </w:p>
        </w:tc>
      </w:tr>
      <w:tr w:rsidR="008C5B75" w14:paraId="29D4987F" w14:textId="77777777" w:rsidTr="00FE375A">
        <w:tc>
          <w:tcPr>
            <w:tcW w:w="2405" w:type="dxa"/>
          </w:tcPr>
          <w:p w14:paraId="5A204107" w14:textId="77777777" w:rsidR="008C5B75" w:rsidRDefault="008C5B75" w:rsidP="00FE375A">
            <w:pPr>
              <w:jc w:val="both"/>
              <w:rPr>
                <w:rFonts w:cstheme="minorHAnsi"/>
                <w:bCs/>
              </w:rPr>
            </w:pPr>
            <w:r>
              <w:rPr>
                <w:rFonts w:cstheme="minorHAnsi"/>
                <w:bCs/>
              </w:rPr>
              <w:t>Ivabradine</w:t>
            </w:r>
          </w:p>
        </w:tc>
        <w:tc>
          <w:tcPr>
            <w:tcW w:w="1192" w:type="dxa"/>
          </w:tcPr>
          <w:p w14:paraId="226B8DB9" w14:textId="77777777" w:rsidR="008C5B75" w:rsidRDefault="008C5B75" w:rsidP="00FE375A">
            <w:pPr>
              <w:jc w:val="right"/>
              <w:rPr>
                <w:rFonts w:cstheme="minorHAnsi"/>
                <w:bCs/>
              </w:rPr>
            </w:pPr>
            <w:r>
              <w:rPr>
                <w:rFonts w:cstheme="minorHAnsi"/>
                <w:bCs/>
              </w:rPr>
              <w:t>5023</w:t>
            </w:r>
          </w:p>
        </w:tc>
        <w:tc>
          <w:tcPr>
            <w:tcW w:w="2635" w:type="dxa"/>
          </w:tcPr>
          <w:p w14:paraId="1328C66E" w14:textId="77777777" w:rsidR="008C5B75" w:rsidRDefault="008C5B75" w:rsidP="00FE375A">
            <w:pPr>
              <w:jc w:val="right"/>
              <w:rPr>
                <w:rFonts w:cstheme="minorHAnsi"/>
                <w:bCs/>
              </w:rPr>
            </w:pPr>
            <w:r>
              <w:rPr>
                <w:rFonts w:cstheme="minorHAnsi"/>
                <w:bCs/>
              </w:rPr>
              <w:t>146 (139-153)</w:t>
            </w:r>
          </w:p>
        </w:tc>
        <w:tc>
          <w:tcPr>
            <w:tcW w:w="2784" w:type="dxa"/>
          </w:tcPr>
          <w:p w14:paraId="1E5123BC" w14:textId="77777777" w:rsidR="008C5B75" w:rsidRDefault="008C5B75" w:rsidP="00FE375A">
            <w:pPr>
              <w:jc w:val="right"/>
              <w:rPr>
                <w:rFonts w:cstheme="minorHAnsi"/>
                <w:bCs/>
              </w:rPr>
            </w:pPr>
            <w:r>
              <w:rPr>
                <w:rFonts w:cstheme="minorHAnsi"/>
                <w:bCs/>
              </w:rPr>
              <w:t>1.76 (1.70-1.82)</w:t>
            </w:r>
          </w:p>
        </w:tc>
      </w:tr>
      <w:tr w:rsidR="008C5B75" w14:paraId="77A8F528" w14:textId="77777777" w:rsidTr="00FE375A">
        <w:tc>
          <w:tcPr>
            <w:tcW w:w="2405" w:type="dxa"/>
          </w:tcPr>
          <w:p w14:paraId="5BEB18A0" w14:textId="77777777" w:rsidR="008C5B75" w:rsidRDefault="008C5B75" w:rsidP="00FE375A">
            <w:pPr>
              <w:jc w:val="both"/>
              <w:rPr>
                <w:rFonts w:cstheme="minorHAnsi"/>
                <w:bCs/>
              </w:rPr>
            </w:pPr>
            <w:r>
              <w:rPr>
                <w:rFonts w:cstheme="minorHAnsi"/>
                <w:bCs/>
              </w:rPr>
              <w:t>Sacubitril + Valsartan</w:t>
            </w:r>
          </w:p>
        </w:tc>
        <w:tc>
          <w:tcPr>
            <w:tcW w:w="1192" w:type="dxa"/>
          </w:tcPr>
          <w:p w14:paraId="651C9FD1" w14:textId="77777777" w:rsidR="008C5B75" w:rsidRDefault="008C5B75" w:rsidP="00FE375A">
            <w:pPr>
              <w:jc w:val="right"/>
              <w:rPr>
                <w:rFonts w:cstheme="minorHAnsi"/>
                <w:bCs/>
              </w:rPr>
            </w:pPr>
            <w:r>
              <w:rPr>
                <w:rFonts w:cstheme="minorHAnsi"/>
                <w:bCs/>
              </w:rPr>
              <w:t>15773</w:t>
            </w:r>
          </w:p>
        </w:tc>
        <w:tc>
          <w:tcPr>
            <w:tcW w:w="2635" w:type="dxa"/>
          </w:tcPr>
          <w:p w14:paraId="162C1222" w14:textId="77777777" w:rsidR="008C5B75" w:rsidRDefault="008C5B75" w:rsidP="00FE375A">
            <w:pPr>
              <w:jc w:val="right"/>
              <w:rPr>
                <w:rFonts w:cstheme="minorHAnsi"/>
                <w:bCs/>
              </w:rPr>
            </w:pPr>
            <w:r>
              <w:rPr>
                <w:rFonts w:cstheme="minorHAnsi"/>
                <w:bCs/>
              </w:rPr>
              <w:t>426 (412-440)</w:t>
            </w:r>
          </w:p>
        </w:tc>
        <w:tc>
          <w:tcPr>
            <w:tcW w:w="2784" w:type="dxa"/>
          </w:tcPr>
          <w:p w14:paraId="33C069D6" w14:textId="77777777" w:rsidR="008C5B75" w:rsidRDefault="008C5B75" w:rsidP="00FE375A">
            <w:pPr>
              <w:jc w:val="right"/>
              <w:rPr>
                <w:rFonts w:cstheme="minorHAnsi"/>
                <w:bCs/>
              </w:rPr>
            </w:pPr>
            <w:r>
              <w:rPr>
                <w:rFonts w:cstheme="minorHAnsi"/>
                <w:bCs/>
              </w:rPr>
              <w:t>1.08 (1.05-1.10)</w:t>
            </w:r>
          </w:p>
        </w:tc>
      </w:tr>
    </w:tbl>
    <w:p w14:paraId="27D1E523" w14:textId="77777777" w:rsidR="008C5B75" w:rsidRDefault="008C5B75" w:rsidP="008C5B75">
      <w:pPr>
        <w:rPr>
          <w:lang w:val="en-US"/>
        </w:rPr>
      </w:pPr>
    </w:p>
    <w:p w14:paraId="3A502EE1" w14:textId="77777777" w:rsidR="008C5B75" w:rsidRDefault="008C5B75" w:rsidP="008C5B75">
      <w:pPr>
        <w:rPr>
          <w:lang w:val="en-US"/>
        </w:rPr>
      </w:pPr>
    </w:p>
    <w:p w14:paraId="34EB90A8" w14:textId="77777777" w:rsidR="00BD2757" w:rsidRDefault="00BD2757">
      <w:pPr>
        <w:rPr>
          <w:b/>
          <w:bCs/>
          <w:lang w:val="en-US"/>
        </w:rPr>
      </w:pPr>
      <w:r>
        <w:rPr>
          <w:b/>
          <w:bCs/>
          <w:lang w:val="en-US"/>
        </w:rPr>
        <w:br w:type="page"/>
      </w:r>
    </w:p>
    <w:p w14:paraId="31234C4D" w14:textId="5191ADA5" w:rsidR="008C5B75" w:rsidRPr="008C5B75" w:rsidRDefault="008C5B75" w:rsidP="000C435D">
      <w:pPr>
        <w:jc w:val="both"/>
        <w:rPr>
          <w:b/>
          <w:bCs/>
          <w:lang w:val="en-US"/>
        </w:rPr>
      </w:pPr>
      <w:r w:rsidRPr="008C5B75">
        <w:rPr>
          <w:b/>
          <w:bCs/>
          <w:lang w:val="en-US"/>
        </w:rPr>
        <w:t xml:space="preserve">Cumulative duration of use of PBS restricted HF medicines </w:t>
      </w:r>
      <w:r w:rsidRPr="008C5B75">
        <w:rPr>
          <w:b/>
          <w:bCs/>
        </w:rPr>
        <w:t>stratified by individual</w:t>
      </w:r>
      <w:r w:rsidR="000C435D">
        <w:rPr>
          <w:b/>
          <w:bCs/>
        </w:rPr>
        <w:t xml:space="preserve"> index</w:t>
      </w:r>
      <w:r w:rsidRPr="008C5B75">
        <w:rPr>
          <w:b/>
          <w:bCs/>
        </w:rPr>
        <w:t xml:space="preserve"> PBS restricted HF medicine</w:t>
      </w:r>
    </w:p>
    <w:p w14:paraId="35BA4158" w14:textId="349BE40B" w:rsidR="008C5B75" w:rsidRDefault="008C5B75" w:rsidP="008C5B75">
      <w:pPr>
        <w:jc w:val="both"/>
        <w:rPr>
          <w:rFonts w:cstheme="minorHAnsi"/>
          <w:bCs/>
        </w:rPr>
      </w:pPr>
      <w:r>
        <w:rPr>
          <w:rFonts w:cstheme="minorHAnsi"/>
          <w:bCs/>
        </w:rPr>
        <w:t xml:space="preserve">Results stratified by the individual HF restricted index medicine are shown in Figure </w:t>
      </w:r>
      <w:r w:rsidR="00F332AB">
        <w:rPr>
          <w:rFonts w:cstheme="minorHAnsi"/>
          <w:bCs/>
        </w:rPr>
        <w:t>A</w:t>
      </w:r>
      <w:r w:rsidR="00860383">
        <w:rPr>
          <w:rFonts w:cstheme="minorHAnsi"/>
          <w:bCs/>
        </w:rPr>
        <w:t>6</w:t>
      </w:r>
      <w:r>
        <w:rPr>
          <w:rFonts w:cstheme="minorHAnsi"/>
          <w:bCs/>
        </w:rPr>
        <w:t xml:space="preserve"> and in Table </w:t>
      </w:r>
      <w:r w:rsidR="00F332AB">
        <w:rPr>
          <w:rFonts w:cstheme="minorHAnsi"/>
          <w:bCs/>
        </w:rPr>
        <w:t>A3</w:t>
      </w:r>
      <w:r>
        <w:rPr>
          <w:rFonts w:cstheme="minorHAnsi"/>
          <w:bCs/>
        </w:rPr>
        <w:t>. Overall duration for sacubitril + valsartan initiators was &gt; 5.</w:t>
      </w:r>
      <w:r w:rsidR="001A4647">
        <w:rPr>
          <w:rFonts w:cstheme="minorHAnsi"/>
          <w:bCs/>
        </w:rPr>
        <w:t>5</w:t>
      </w:r>
      <w:r>
        <w:rPr>
          <w:rFonts w:cstheme="minorHAnsi"/>
          <w:bCs/>
        </w:rPr>
        <w:t xml:space="preserve"> years, and ivabradine initiators was 1.5 years. </w:t>
      </w:r>
    </w:p>
    <w:p w14:paraId="456993C7" w14:textId="77777777" w:rsidR="008C5B75" w:rsidRDefault="008C5B75" w:rsidP="0079747D">
      <w:pPr>
        <w:spacing w:after="0"/>
        <w:rPr>
          <w:lang w:val="en-US"/>
        </w:rPr>
      </w:pPr>
      <w:r>
        <w:rPr>
          <w:noProof/>
          <w:lang w:eastAsia="en-AU"/>
        </w:rPr>
        <w:drawing>
          <wp:inline distT="0" distB="0" distL="0" distR="0" wp14:anchorId="423EF018" wp14:editId="5C00A36E">
            <wp:extent cx="5730240" cy="4638675"/>
            <wp:effectExtent l="0" t="0" r="3810" b="9525"/>
            <wp:docPr id="28" name="Picture 28" descr="Graph showing the time from index episode with HF restricted medicine to last treatment episode with any HF restricted medicine, with longest median duration for  sacubitril+valsartan (over 5.5 years) and shortest for ivabradine (1.5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Graph showing the time from index episode with HF restricted medicine to last treatment episode with any HF restricted medicine, with longest median duration for  sacubitril+valsartan (over 5.5 years) and shortest for ivabradine (1.5 years)."/>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38565" cy="4645414"/>
                    </a:xfrm>
                    <a:prstGeom prst="rect">
                      <a:avLst/>
                    </a:prstGeom>
                    <a:noFill/>
                    <a:ln>
                      <a:noFill/>
                    </a:ln>
                  </pic:spPr>
                </pic:pic>
              </a:graphicData>
            </a:graphic>
          </wp:inline>
        </w:drawing>
      </w:r>
    </w:p>
    <w:p w14:paraId="7E5705B7" w14:textId="40D9F55F" w:rsidR="008C5B75" w:rsidRDefault="008C5B75" w:rsidP="008C5B75">
      <w:pPr>
        <w:spacing w:after="0" w:line="240" w:lineRule="auto"/>
        <w:jc w:val="both"/>
        <w:rPr>
          <w:rFonts w:cstheme="minorHAnsi"/>
          <w:bCs/>
        </w:rPr>
      </w:pPr>
      <w:r w:rsidRPr="00B13194">
        <w:rPr>
          <w:rFonts w:cstheme="minorHAnsi"/>
          <w:b/>
        </w:rPr>
        <w:t xml:space="preserve">Figure </w:t>
      </w:r>
      <w:r w:rsidR="00F332AB">
        <w:rPr>
          <w:rFonts w:cstheme="minorHAnsi"/>
          <w:b/>
        </w:rPr>
        <w:t>A</w:t>
      </w:r>
      <w:r w:rsidR="00860383">
        <w:rPr>
          <w:rFonts w:cstheme="minorHAnsi"/>
          <w:b/>
        </w:rPr>
        <w:t>6</w:t>
      </w:r>
      <w:r w:rsidRPr="00B13194">
        <w:rPr>
          <w:rFonts w:cstheme="minorHAnsi"/>
          <w:b/>
        </w:rPr>
        <w:t>.</w:t>
      </w:r>
      <w:r>
        <w:rPr>
          <w:rFonts w:cstheme="minorHAnsi"/>
          <w:bCs/>
        </w:rPr>
        <w:t xml:space="preserve"> Kaplan Meier estimate for time from first (index) episode with a heart failure restricted medicine to last treatment episode with any HF restricted medicine, stratified by index HF restricted mono therapy</w:t>
      </w:r>
    </w:p>
    <w:p w14:paraId="6B83482C" w14:textId="77777777" w:rsidR="008C5B75" w:rsidRDefault="008C5B75" w:rsidP="008C5B75">
      <w:pPr>
        <w:spacing w:after="0" w:line="240" w:lineRule="auto"/>
        <w:rPr>
          <w:rFonts w:cstheme="minorHAnsi"/>
          <w:i/>
          <w:iCs/>
          <w:sz w:val="18"/>
          <w:szCs w:val="18"/>
        </w:rPr>
      </w:pPr>
      <w:r w:rsidRPr="008E2AAA">
        <w:rPr>
          <w:rFonts w:cstheme="minorHAnsi"/>
          <w:i/>
          <w:iCs/>
          <w:sz w:val="18"/>
          <w:szCs w:val="18"/>
        </w:rPr>
        <w:t xml:space="preserve">Legend: </w:t>
      </w:r>
    </w:p>
    <w:p w14:paraId="2674A238" w14:textId="77777777" w:rsidR="008C5B75" w:rsidRDefault="008C5B75" w:rsidP="008C5B75">
      <w:pPr>
        <w:spacing w:after="0" w:line="240" w:lineRule="auto"/>
        <w:rPr>
          <w:rFonts w:cstheme="minorHAnsi"/>
          <w:i/>
          <w:iCs/>
          <w:sz w:val="18"/>
          <w:szCs w:val="18"/>
        </w:rPr>
      </w:pPr>
      <w:r w:rsidRPr="008E2AAA">
        <w:rPr>
          <w:rFonts w:cstheme="minorHAnsi"/>
          <w:i/>
          <w:iCs/>
          <w:sz w:val="18"/>
          <w:szCs w:val="18"/>
        </w:rPr>
        <w:t>B</w:t>
      </w:r>
      <w:r>
        <w:rPr>
          <w:rFonts w:cstheme="minorHAnsi"/>
          <w:i/>
          <w:iCs/>
          <w:sz w:val="18"/>
          <w:szCs w:val="18"/>
        </w:rPr>
        <w:t>iso</w:t>
      </w:r>
      <w:r w:rsidRPr="008E2AAA">
        <w:rPr>
          <w:rFonts w:cstheme="minorHAnsi"/>
          <w:i/>
          <w:iCs/>
          <w:sz w:val="18"/>
          <w:szCs w:val="18"/>
        </w:rPr>
        <w:t xml:space="preserve"> – </w:t>
      </w:r>
      <w:r>
        <w:rPr>
          <w:rFonts w:cstheme="minorHAnsi"/>
          <w:i/>
          <w:iCs/>
          <w:sz w:val="18"/>
          <w:szCs w:val="18"/>
        </w:rPr>
        <w:t>Bisoprolol (BB); Nebi – Nebivolol (BB); Meto – Metoprolol (BB); Carv – Carvedilol (BB); S+V – Sacubitril+Valsartan (ARNI); Eple – Eplerenone (MRA for HF); Ivab - Ivabradine (HCN channel blocker)</w:t>
      </w:r>
    </w:p>
    <w:p w14:paraId="637FF6EA" w14:textId="77777777" w:rsidR="008C5B75" w:rsidRDefault="008C5B75" w:rsidP="008C5B75">
      <w:pPr>
        <w:spacing w:after="0" w:line="240" w:lineRule="auto"/>
        <w:rPr>
          <w:rFonts w:cstheme="minorHAnsi"/>
          <w:i/>
          <w:iCs/>
          <w:sz w:val="18"/>
          <w:szCs w:val="18"/>
        </w:rPr>
      </w:pPr>
    </w:p>
    <w:p w14:paraId="73F776A2" w14:textId="77777777" w:rsidR="00BD2757" w:rsidRDefault="00BD2757">
      <w:pPr>
        <w:rPr>
          <w:rFonts w:cstheme="minorHAnsi"/>
          <w:b/>
        </w:rPr>
      </w:pPr>
      <w:r>
        <w:rPr>
          <w:rFonts w:cstheme="minorHAnsi"/>
          <w:b/>
        </w:rPr>
        <w:br w:type="page"/>
      </w:r>
    </w:p>
    <w:p w14:paraId="3F304E2B" w14:textId="010C593D" w:rsidR="008C5B75" w:rsidRDefault="008C5B75" w:rsidP="008C5B75">
      <w:pPr>
        <w:jc w:val="both"/>
        <w:rPr>
          <w:rFonts w:cstheme="minorHAnsi"/>
          <w:bCs/>
        </w:rPr>
      </w:pPr>
      <w:r w:rsidRPr="005A5318">
        <w:rPr>
          <w:rFonts w:cstheme="minorHAnsi"/>
          <w:b/>
        </w:rPr>
        <w:t xml:space="preserve">Table </w:t>
      </w:r>
      <w:r w:rsidR="00F332AB">
        <w:rPr>
          <w:rFonts w:cstheme="minorHAnsi"/>
          <w:b/>
        </w:rPr>
        <w:t>A3</w:t>
      </w:r>
      <w:r w:rsidRPr="005A5318">
        <w:rPr>
          <w:rFonts w:cstheme="minorHAnsi"/>
          <w:b/>
        </w:rPr>
        <w:t>.</w:t>
      </w:r>
      <w:r>
        <w:rPr>
          <w:rFonts w:cstheme="minorHAnsi"/>
          <w:bCs/>
        </w:rPr>
        <w:t xml:space="preserve"> Model summary for Figure </w:t>
      </w:r>
      <w:r w:rsidR="00F332AB">
        <w:rPr>
          <w:rFonts w:cstheme="minorHAnsi"/>
          <w:bCs/>
        </w:rPr>
        <w:t>A</w:t>
      </w:r>
      <w:r w:rsidR="00860383">
        <w:rPr>
          <w:rFonts w:cstheme="minorHAnsi"/>
          <w:bCs/>
        </w:rPr>
        <w:t>6</w:t>
      </w:r>
      <w:r>
        <w:rPr>
          <w:rFonts w:cstheme="minorHAnsi"/>
          <w:bCs/>
        </w:rPr>
        <w:t xml:space="preserve"> (time from index</w:t>
      </w:r>
      <w:r w:rsidR="000C435D">
        <w:rPr>
          <w:rFonts w:cstheme="minorHAnsi"/>
          <w:bCs/>
        </w:rPr>
        <w:t xml:space="preserve"> HF restricted therapy</w:t>
      </w:r>
      <w:r>
        <w:rPr>
          <w:rFonts w:cstheme="minorHAnsi"/>
          <w:bCs/>
        </w:rPr>
        <w:t xml:space="preserve"> to last </w:t>
      </w:r>
      <w:r w:rsidR="000C435D">
        <w:rPr>
          <w:rFonts w:cstheme="minorHAnsi"/>
          <w:bCs/>
        </w:rPr>
        <w:t>therapy with any HF restricted medicine</w:t>
      </w:r>
      <w:r>
        <w:rPr>
          <w:rFonts w:cstheme="minorHAnsi"/>
          <w:bCs/>
        </w:rPr>
        <w:t>)</w:t>
      </w:r>
    </w:p>
    <w:tbl>
      <w:tblPr>
        <w:tblStyle w:val="TableGrid"/>
        <w:tblW w:w="0" w:type="auto"/>
        <w:tblLook w:val="04A0" w:firstRow="1" w:lastRow="0" w:firstColumn="1" w:lastColumn="0" w:noHBand="0" w:noVBand="1"/>
      </w:tblPr>
      <w:tblGrid>
        <w:gridCol w:w="2405"/>
        <w:gridCol w:w="1192"/>
        <w:gridCol w:w="2635"/>
        <w:gridCol w:w="2784"/>
      </w:tblGrid>
      <w:tr w:rsidR="008C5B75" w14:paraId="4AC6E787" w14:textId="77777777" w:rsidTr="00FE375A">
        <w:tc>
          <w:tcPr>
            <w:tcW w:w="2405" w:type="dxa"/>
          </w:tcPr>
          <w:p w14:paraId="3B339553" w14:textId="77777777" w:rsidR="008C5B75" w:rsidRDefault="008C5B75" w:rsidP="00FE375A">
            <w:pPr>
              <w:jc w:val="both"/>
              <w:rPr>
                <w:rFonts w:cstheme="minorHAnsi"/>
                <w:bCs/>
              </w:rPr>
            </w:pPr>
            <w:r>
              <w:rPr>
                <w:rFonts w:cstheme="minorHAnsi"/>
                <w:bCs/>
              </w:rPr>
              <w:t>Index HF restricted mono therapy</w:t>
            </w:r>
          </w:p>
        </w:tc>
        <w:tc>
          <w:tcPr>
            <w:tcW w:w="1192" w:type="dxa"/>
          </w:tcPr>
          <w:p w14:paraId="44F4527D" w14:textId="77777777" w:rsidR="008C5B75" w:rsidRDefault="008C5B75" w:rsidP="00FE375A">
            <w:pPr>
              <w:jc w:val="both"/>
              <w:rPr>
                <w:rFonts w:cstheme="minorHAnsi"/>
                <w:bCs/>
              </w:rPr>
            </w:pPr>
            <w:r>
              <w:rPr>
                <w:rFonts w:cstheme="minorHAnsi"/>
                <w:bCs/>
              </w:rPr>
              <w:t>Number of people</w:t>
            </w:r>
          </w:p>
        </w:tc>
        <w:tc>
          <w:tcPr>
            <w:tcW w:w="2635" w:type="dxa"/>
          </w:tcPr>
          <w:p w14:paraId="6C0D6E3C" w14:textId="77777777" w:rsidR="008C5B75" w:rsidRDefault="008C5B75" w:rsidP="00FE375A">
            <w:pPr>
              <w:jc w:val="both"/>
              <w:rPr>
                <w:rFonts w:cstheme="minorHAnsi"/>
                <w:bCs/>
              </w:rPr>
            </w:pPr>
            <w:r>
              <w:rPr>
                <w:rFonts w:cstheme="minorHAnsi"/>
                <w:bCs/>
              </w:rPr>
              <w:t xml:space="preserve">Median duration in days </w:t>
            </w:r>
          </w:p>
          <w:p w14:paraId="5A4AD20E" w14:textId="77777777" w:rsidR="008C5B75" w:rsidRDefault="008C5B75" w:rsidP="00FE375A">
            <w:pPr>
              <w:jc w:val="both"/>
              <w:rPr>
                <w:rFonts w:cstheme="minorHAnsi"/>
                <w:bCs/>
              </w:rPr>
            </w:pPr>
            <w:r>
              <w:rPr>
                <w:rFonts w:cstheme="minorHAnsi"/>
                <w:bCs/>
              </w:rPr>
              <w:t xml:space="preserve">    (95% CI)</w:t>
            </w:r>
          </w:p>
        </w:tc>
        <w:tc>
          <w:tcPr>
            <w:tcW w:w="2784" w:type="dxa"/>
          </w:tcPr>
          <w:p w14:paraId="03695069" w14:textId="77777777" w:rsidR="008C5B75" w:rsidRDefault="008C5B75" w:rsidP="00FE375A">
            <w:pPr>
              <w:jc w:val="both"/>
              <w:rPr>
                <w:rFonts w:cstheme="minorHAnsi"/>
                <w:bCs/>
              </w:rPr>
            </w:pPr>
            <w:r>
              <w:rPr>
                <w:rFonts w:cstheme="minorHAnsi"/>
                <w:bCs/>
              </w:rPr>
              <w:t xml:space="preserve">Adjusted HR (age at initiation is used primary time scale), </w:t>
            </w:r>
          </w:p>
          <w:p w14:paraId="7A3E8024" w14:textId="77777777" w:rsidR="008C5B75" w:rsidRDefault="008C5B75" w:rsidP="00FE375A">
            <w:pPr>
              <w:jc w:val="both"/>
              <w:rPr>
                <w:rFonts w:cstheme="minorHAnsi"/>
                <w:bCs/>
              </w:rPr>
            </w:pPr>
            <w:r>
              <w:rPr>
                <w:rFonts w:cstheme="minorHAnsi"/>
                <w:bCs/>
              </w:rPr>
              <w:t xml:space="preserve">           (95% CI)</w:t>
            </w:r>
          </w:p>
        </w:tc>
      </w:tr>
      <w:tr w:rsidR="008C5B75" w14:paraId="496BC739" w14:textId="77777777" w:rsidTr="00FE375A">
        <w:tc>
          <w:tcPr>
            <w:tcW w:w="2405" w:type="dxa"/>
          </w:tcPr>
          <w:p w14:paraId="4BAD0906" w14:textId="77777777" w:rsidR="008C5B75" w:rsidRDefault="008C5B75" w:rsidP="00FE375A">
            <w:pPr>
              <w:jc w:val="both"/>
              <w:rPr>
                <w:rFonts w:cstheme="minorHAnsi"/>
                <w:bCs/>
              </w:rPr>
            </w:pPr>
            <w:r>
              <w:rPr>
                <w:rFonts w:cstheme="minorHAnsi"/>
                <w:bCs/>
              </w:rPr>
              <w:t>Bisoprolol</w:t>
            </w:r>
          </w:p>
        </w:tc>
        <w:tc>
          <w:tcPr>
            <w:tcW w:w="1192" w:type="dxa"/>
          </w:tcPr>
          <w:p w14:paraId="484002FF" w14:textId="77777777" w:rsidR="008C5B75" w:rsidRDefault="008C5B75" w:rsidP="00FE375A">
            <w:pPr>
              <w:jc w:val="right"/>
              <w:rPr>
                <w:rFonts w:cstheme="minorHAnsi"/>
                <w:bCs/>
              </w:rPr>
            </w:pPr>
            <w:r>
              <w:rPr>
                <w:rFonts w:cstheme="minorHAnsi"/>
                <w:bCs/>
              </w:rPr>
              <w:t>114444</w:t>
            </w:r>
          </w:p>
        </w:tc>
        <w:tc>
          <w:tcPr>
            <w:tcW w:w="2635" w:type="dxa"/>
          </w:tcPr>
          <w:p w14:paraId="5ABFC5FB" w14:textId="77777777" w:rsidR="008C5B75" w:rsidRDefault="008C5B75" w:rsidP="00FE375A">
            <w:pPr>
              <w:jc w:val="right"/>
              <w:rPr>
                <w:rFonts w:cstheme="minorHAnsi"/>
                <w:bCs/>
              </w:rPr>
            </w:pPr>
            <w:r>
              <w:rPr>
                <w:rFonts w:cstheme="minorHAnsi"/>
                <w:bCs/>
              </w:rPr>
              <w:t>1203 (1189-1217)</w:t>
            </w:r>
          </w:p>
        </w:tc>
        <w:tc>
          <w:tcPr>
            <w:tcW w:w="2784" w:type="dxa"/>
          </w:tcPr>
          <w:p w14:paraId="0A1B03C1" w14:textId="77777777" w:rsidR="008C5B75" w:rsidRDefault="008C5B75" w:rsidP="00FE375A">
            <w:pPr>
              <w:jc w:val="right"/>
              <w:rPr>
                <w:rFonts w:cstheme="minorHAnsi"/>
                <w:bCs/>
              </w:rPr>
            </w:pPr>
            <w:r>
              <w:rPr>
                <w:rFonts w:cstheme="minorHAnsi"/>
                <w:bCs/>
              </w:rPr>
              <w:t>Reference</w:t>
            </w:r>
          </w:p>
        </w:tc>
      </w:tr>
      <w:tr w:rsidR="008C5B75" w14:paraId="2A7AE807" w14:textId="77777777" w:rsidTr="00FE375A">
        <w:tc>
          <w:tcPr>
            <w:tcW w:w="2405" w:type="dxa"/>
          </w:tcPr>
          <w:p w14:paraId="46C6B3D1" w14:textId="77777777" w:rsidR="008C5B75" w:rsidRDefault="008C5B75" w:rsidP="00FE375A">
            <w:pPr>
              <w:jc w:val="both"/>
              <w:rPr>
                <w:rFonts w:cstheme="minorHAnsi"/>
                <w:bCs/>
              </w:rPr>
            </w:pPr>
            <w:r>
              <w:rPr>
                <w:rFonts w:cstheme="minorHAnsi"/>
                <w:bCs/>
              </w:rPr>
              <w:t>Carvedilol</w:t>
            </w:r>
          </w:p>
        </w:tc>
        <w:tc>
          <w:tcPr>
            <w:tcW w:w="1192" w:type="dxa"/>
          </w:tcPr>
          <w:p w14:paraId="4FED3829" w14:textId="77777777" w:rsidR="008C5B75" w:rsidRDefault="008C5B75" w:rsidP="00FE375A">
            <w:pPr>
              <w:jc w:val="right"/>
              <w:rPr>
                <w:rFonts w:cstheme="minorHAnsi"/>
                <w:bCs/>
              </w:rPr>
            </w:pPr>
            <w:r>
              <w:rPr>
                <w:rFonts w:cstheme="minorHAnsi"/>
                <w:bCs/>
              </w:rPr>
              <w:t>12057</w:t>
            </w:r>
          </w:p>
        </w:tc>
        <w:tc>
          <w:tcPr>
            <w:tcW w:w="2635" w:type="dxa"/>
          </w:tcPr>
          <w:p w14:paraId="5A905190" w14:textId="77777777" w:rsidR="008C5B75" w:rsidRDefault="008C5B75" w:rsidP="00FE375A">
            <w:pPr>
              <w:jc w:val="right"/>
              <w:rPr>
                <w:rFonts w:cstheme="minorHAnsi"/>
                <w:bCs/>
              </w:rPr>
            </w:pPr>
            <w:r>
              <w:rPr>
                <w:rFonts w:cstheme="minorHAnsi"/>
                <w:bCs/>
              </w:rPr>
              <w:t>1077 (1035-1112)</w:t>
            </w:r>
          </w:p>
        </w:tc>
        <w:tc>
          <w:tcPr>
            <w:tcW w:w="2784" w:type="dxa"/>
          </w:tcPr>
          <w:p w14:paraId="6D95E4E4" w14:textId="77777777" w:rsidR="008C5B75" w:rsidRDefault="008C5B75" w:rsidP="00FE375A">
            <w:pPr>
              <w:jc w:val="right"/>
              <w:rPr>
                <w:rFonts w:cstheme="minorHAnsi"/>
                <w:bCs/>
              </w:rPr>
            </w:pPr>
            <w:r>
              <w:rPr>
                <w:rFonts w:cstheme="minorHAnsi"/>
                <w:bCs/>
              </w:rPr>
              <w:t>1.13 (1.10-1.16)</w:t>
            </w:r>
          </w:p>
        </w:tc>
      </w:tr>
      <w:tr w:rsidR="008C5B75" w14:paraId="1151B323" w14:textId="77777777" w:rsidTr="00FE375A">
        <w:tc>
          <w:tcPr>
            <w:tcW w:w="2405" w:type="dxa"/>
          </w:tcPr>
          <w:p w14:paraId="48242F48" w14:textId="77777777" w:rsidR="008C5B75" w:rsidRDefault="008C5B75" w:rsidP="00FE375A">
            <w:pPr>
              <w:jc w:val="both"/>
              <w:rPr>
                <w:rFonts w:cstheme="minorHAnsi"/>
                <w:bCs/>
              </w:rPr>
            </w:pPr>
            <w:r>
              <w:rPr>
                <w:rFonts w:cstheme="minorHAnsi"/>
                <w:bCs/>
              </w:rPr>
              <w:t>Metoprolol</w:t>
            </w:r>
          </w:p>
        </w:tc>
        <w:tc>
          <w:tcPr>
            <w:tcW w:w="1192" w:type="dxa"/>
          </w:tcPr>
          <w:p w14:paraId="2F36B5B9" w14:textId="77777777" w:rsidR="008C5B75" w:rsidRDefault="008C5B75" w:rsidP="00FE375A">
            <w:pPr>
              <w:jc w:val="right"/>
              <w:rPr>
                <w:rFonts w:cstheme="minorHAnsi"/>
                <w:bCs/>
              </w:rPr>
            </w:pPr>
            <w:r>
              <w:rPr>
                <w:rFonts w:cstheme="minorHAnsi"/>
                <w:bCs/>
              </w:rPr>
              <w:t>13920</w:t>
            </w:r>
          </w:p>
        </w:tc>
        <w:tc>
          <w:tcPr>
            <w:tcW w:w="2635" w:type="dxa"/>
          </w:tcPr>
          <w:p w14:paraId="60E64881" w14:textId="77777777" w:rsidR="008C5B75" w:rsidRDefault="008C5B75" w:rsidP="00FE375A">
            <w:pPr>
              <w:jc w:val="right"/>
              <w:rPr>
                <w:rFonts w:cstheme="minorHAnsi"/>
                <w:bCs/>
              </w:rPr>
            </w:pPr>
            <w:r>
              <w:rPr>
                <w:rFonts w:cstheme="minorHAnsi"/>
                <w:bCs/>
              </w:rPr>
              <w:t>1133 (1091-1175)</w:t>
            </w:r>
          </w:p>
        </w:tc>
        <w:tc>
          <w:tcPr>
            <w:tcW w:w="2784" w:type="dxa"/>
          </w:tcPr>
          <w:p w14:paraId="7D7875F2" w14:textId="77777777" w:rsidR="008C5B75" w:rsidRDefault="008C5B75" w:rsidP="00FE375A">
            <w:pPr>
              <w:jc w:val="right"/>
              <w:rPr>
                <w:rFonts w:cstheme="minorHAnsi"/>
                <w:bCs/>
              </w:rPr>
            </w:pPr>
            <w:r>
              <w:rPr>
                <w:rFonts w:cstheme="minorHAnsi"/>
                <w:bCs/>
              </w:rPr>
              <w:t>1.07 (1.04-1.09)</w:t>
            </w:r>
          </w:p>
        </w:tc>
      </w:tr>
      <w:tr w:rsidR="008C5B75" w14:paraId="31F7979A" w14:textId="77777777" w:rsidTr="00FE375A">
        <w:tc>
          <w:tcPr>
            <w:tcW w:w="2405" w:type="dxa"/>
          </w:tcPr>
          <w:p w14:paraId="065200B0" w14:textId="77777777" w:rsidR="008C5B75" w:rsidRDefault="008C5B75" w:rsidP="00FE375A">
            <w:pPr>
              <w:jc w:val="both"/>
              <w:rPr>
                <w:rFonts w:cstheme="minorHAnsi"/>
                <w:bCs/>
              </w:rPr>
            </w:pPr>
            <w:r>
              <w:rPr>
                <w:rFonts w:cstheme="minorHAnsi"/>
                <w:bCs/>
              </w:rPr>
              <w:t>Nebivolol</w:t>
            </w:r>
          </w:p>
        </w:tc>
        <w:tc>
          <w:tcPr>
            <w:tcW w:w="1192" w:type="dxa"/>
          </w:tcPr>
          <w:p w14:paraId="12F1118B" w14:textId="77777777" w:rsidR="008C5B75" w:rsidRDefault="008C5B75" w:rsidP="00FE375A">
            <w:pPr>
              <w:jc w:val="right"/>
              <w:rPr>
                <w:rFonts w:cstheme="minorHAnsi"/>
                <w:bCs/>
              </w:rPr>
            </w:pPr>
            <w:r>
              <w:rPr>
                <w:rFonts w:cstheme="minorHAnsi"/>
                <w:bCs/>
              </w:rPr>
              <w:t>40006</w:t>
            </w:r>
          </w:p>
        </w:tc>
        <w:tc>
          <w:tcPr>
            <w:tcW w:w="2635" w:type="dxa"/>
          </w:tcPr>
          <w:p w14:paraId="453ABE6A" w14:textId="77777777" w:rsidR="008C5B75" w:rsidRDefault="008C5B75" w:rsidP="00FE375A">
            <w:pPr>
              <w:jc w:val="right"/>
              <w:rPr>
                <w:rFonts w:cstheme="minorHAnsi"/>
                <w:bCs/>
              </w:rPr>
            </w:pPr>
            <w:r>
              <w:rPr>
                <w:rFonts w:cstheme="minorHAnsi"/>
                <w:bCs/>
              </w:rPr>
              <w:t>1189 (1168-1210)</w:t>
            </w:r>
          </w:p>
        </w:tc>
        <w:tc>
          <w:tcPr>
            <w:tcW w:w="2784" w:type="dxa"/>
          </w:tcPr>
          <w:p w14:paraId="79A7B5D5" w14:textId="77777777" w:rsidR="008C5B75" w:rsidRDefault="008C5B75" w:rsidP="00FE375A">
            <w:pPr>
              <w:jc w:val="right"/>
              <w:rPr>
                <w:rFonts w:cstheme="minorHAnsi"/>
                <w:bCs/>
              </w:rPr>
            </w:pPr>
            <w:r>
              <w:rPr>
                <w:rFonts w:cstheme="minorHAnsi"/>
                <w:bCs/>
              </w:rPr>
              <w:t>0.98 (0.97-1.00)</w:t>
            </w:r>
          </w:p>
        </w:tc>
      </w:tr>
      <w:tr w:rsidR="008C5B75" w14:paraId="7EE448CE" w14:textId="77777777" w:rsidTr="00FE375A">
        <w:tc>
          <w:tcPr>
            <w:tcW w:w="2405" w:type="dxa"/>
          </w:tcPr>
          <w:p w14:paraId="027FC617" w14:textId="77777777" w:rsidR="008C5B75" w:rsidRDefault="008C5B75" w:rsidP="00FE375A">
            <w:pPr>
              <w:jc w:val="both"/>
              <w:rPr>
                <w:rFonts w:cstheme="minorHAnsi"/>
                <w:bCs/>
              </w:rPr>
            </w:pPr>
            <w:r>
              <w:rPr>
                <w:rFonts w:cstheme="minorHAnsi"/>
                <w:bCs/>
              </w:rPr>
              <w:t>Eplerenone</w:t>
            </w:r>
          </w:p>
        </w:tc>
        <w:tc>
          <w:tcPr>
            <w:tcW w:w="1192" w:type="dxa"/>
          </w:tcPr>
          <w:p w14:paraId="7ADF1D58" w14:textId="77777777" w:rsidR="008C5B75" w:rsidRDefault="008C5B75" w:rsidP="00FE375A">
            <w:pPr>
              <w:jc w:val="right"/>
              <w:rPr>
                <w:rFonts w:cstheme="minorHAnsi"/>
                <w:bCs/>
              </w:rPr>
            </w:pPr>
            <w:r>
              <w:rPr>
                <w:rFonts w:cstheme="minorHAnsi"/>
                <w:bCs/>
              </w:rPr>
              <w:t>3220</w:t>
            </w:r>
          </w:p>
        </w:tc>
        <w:tc>
          <w:tcPr>
            <w:tcW w:w="2635" w:type="dxa"/>
          </w:tcPr>
          <w:p w14:paraId="5C75B3A1" w14:textId="77777777" w:rsidR="008C5B75" w:rsidRDefault="008C5B75" w:rsidP="00FE375A">
            <w:pPr>
              <w:jc w:val="right"/>
              <w:rPr>
                <w:rFonts w:cstheme="minorHAnsi"/>
                <w:bCs/>
              </w:rPr>
            </w:pPr>
            <w:r>
              <w:rPr>
                <w:rFonts w:cstheme="minorHAnsi"/>
                <w:bCs/>
              </w:rPr>
              <w:t>1196 (1112-1294)</w:t>
            </w:r>
          </w:p>
        </w:tc>
        <w:tc>
          <w:tcPr>
            <w:tcW w:w="2784" w:type="dxa"/>
          </w:tcPr>
          <w:p w14:paraId="2A78FF3B" w14:textId="77777777" w:rsidR="008C5B75" w:rsidRDefault="008C5B75" w:rsidP="00FE375A">
            <w:pPr>
              <w:jc w:val="right"/>
              <w:rPr>
                <w:rFonts w:cstheme="minorHAnsi"/>
                <w:bCs/>
              </w:rPr>
            </w:pPr>
            <w:r>
              <w:rPr>
                <w:rFonts w:cstheme="minorHAnsi"/>
                <w:bCs/>
              </w:rPr>
              <w:t>1.03 (0.98-1.08)</w:t>
            </w:r>
          </w:p>
        </w:tc>
      </w:tr>
      <w:tr w:rsidR="008C5B75" w14:paraId="5063B567" w14:textId="77777777" w:rsidTr="00FE375A">
        <w:tc>
          <w:tcPr>
            <w:tcW w:w="2405" w:type="dxa"/>
          </w:tcPr>
          <w:p w14:paraId="16CA06E4" w14:textId="77777777" w:rsidR="008C5B75" w:rsidRDefault="008C5B75" w:rsidP="00FE375A">
            <w:pPr>
              <w:jc w:val="both"/>
              <w:rPr>
                <w:rFonts w:cstheme="minorHAnsi"/>
                <w:bCs/>
              </w:rPr>
            </w:pPr>
            <w:r>
              <w:rPr>
                <w:rFonts w:cstheme="minorHAnsi"/>
                <w:bCs/>
              </w:rPr>
              <w:t>Ivabradine</w:t>
            </w:r>
          </w:p>
        </w:tc>
        <w:tc>
          <w:tcPr>
            <w:tcW w:w="1192" w:type="dxa"/>
          </w:tcPr>
          <w:p w14:paraId="5F771CA3" w14:textId="77777777" w:rsidR="008C5B75" w:rsidRDefault="008C5B75" w:rsidP="00FE375A">
            <w:pPr>
              <w:jc w:val="right"/>
              <w:rPr>
                <w:rFonts w:cstheme="minorHAnsi"/>
                <w:bCs/>
              </w:rPr>
            </w:pPr>
            <w:r>
              <w:rPr>
                <w:rFonts w:cstheme="minorHAnsi"/>
                <w:bCs/>
              </w:rPr>
              <w:t>5023</w:t>
            </w:r>
          </w:p>
        </w:tc>
        <w:tc>
          <w:tcPr>
            <w:tcW w:w="2635" w:type="dxa"/>
          </w:tcPr>
          <w:p w14:paraId="779281D0" w14:textId="77777777" w:rsidR="008C5B75" w:rsidRDefault="008C5B75" w:rsidP="00FE375A">
            <w:pPr>
              <w:jc w:val="right"/>
              <w:rPr>
                <w:rFonts w:cstheme="minorHAnsi"/>
                <w:bCs/>
              </w:rPr>
            </w:pPr>
            <w:r>
              <w:rPr>
                <w:rFonts w:cstheme="minorHAnsi"/>
                <w:bCs/>
              </w:rPr>
              <w:t>559 (517-601)</w:t>
            </w:r>
          </w:p>
        </w:tc>
        <w:tc>
          <w:tcPr>
            <w:tcW w:w="2784" w:type="dxa"/>
          </w:tcPr>
          <w:p w14:paraId="4A8AF848" w14:textId="77777777" w:rsidR="008C5B75" w:rsidRDefault="008C5B75" w:rsidP="00FE375A">
            <w:pPr>
              <w:jc w:val="right"/>
              <w:rPr>
                <w:rFonts w:cstheme="minorHAnsi"/>
                <w:bCs/>
              </w:rPr>
            </w:pPr>
            <w:r>
              <w:rPr>
                <w:rFonts w:cstheme="minorHAnsi"/>
                <w:bCs/>
              </w:rPr>
              <w:t>1.49 (1.43-1.54)</w:t>
            </w:r>
          </w:p>
        </w:tc>
      </w:tr>
      <w:tr w:rsidR="008C5B75" w14:paraId="2AEB4450" w14:textId="77777777" w:rsidTr="00FE375A">
        <w:tc>
          <w:tcPr>
            <w:tcW w:w="2405" w:type="dxa"/>
          </w:tcPr>
          <w:p w14:paraId="1C3302B1" w14:textId="77777777" w:rsidR="008C5B75" w:rsidRDefault="008C5B75" w:rsidP="00FE375A">
            <w:pPr>
              <w:jc w:val="both"/>
              <w:rPr>
                <w:rFonts w:cstheme="minorHAnsi"/>
                <w:bCs/>
              </w:rPr>
            </w:pPr>
            <w:r>
              <w:rPr>
                <w:rFonts w:cstheme="minorHAnsi"/>
                <w:bCs/>
              </w:rPr>
              <w:t>Sacubitril + Valsartan</w:t>
            </w:r>
          </w:p>
        </w:tc>
        <w:tc>
          <w:tcPr>
            <w:tcW w:w="1192" w:type="dxa"/>
          </w:tcPr>
          <w:p w14:paraId="6BFB04B5" w14:textId="77777777" w:rsidR="008C5B75" w:rsidRDefault="008C5B75" w:rsidP="00FE375A">
            <w:pPr>
              <w:jc w:val="right"/>
              <w:rPr>
                <w:rFonts w:cstheme="minorHAnsi"/>
                <w:bCs/>
              </w:rPr>
            </w:pPr>
            <w:r>
              <w:rPr>
                <w:rFonts w:cstheme="minorHAnsi"/>
                <w:bCs/>
              </w:rPr>
              <w:t>15773</w:t>
            </w:r>
          </w:p>
        </w:tc>
        <w:tc>
          <w:tcPr>
            <w:tcW w:w="2635" w:type="dxa"/>
          </w:tcPr>
          <w:p w14:paraId="17F08DBD" w14:textId="77777777" w:rsidR="008C5B75" w:rsidRDefault="008C5B75" w:rsidP="00FE375A">
            <w:pPr>
              <w:jc w:val="right"/>
              <w:rPr>
                <w:rFonts w:cstheme="minorHAnsi"/>
                <w:bCs/>
              </w:rPr>
            </w:pPr>
            <w:r>
              <w:rPr>
                <w:rFonts w:cstheme="minorHAnsi"/>
                <w:bCs/>
              </w:rPr>
              <w:t>&gt; 2000 days (5.5 years)</w:t>
            </w:r>
          </w:p>
        </w:tc>
        <w:tc>
          <w:tcPr>
            <w:tcW w:w="2784" w:type="dxa"/>
          </w:tcPr>
          <w:p w14:paraId="027A5A6A" w14:textId="77777777" w:rsidR="008C5B75" w:rsidRDefault="008C5B75" w:rsidP="00FE375A">
            <w:pPr>
              <w:jc w:val="right"/>
              <w:rPr>
                <w:rFonts w:cstheme="minorHAnsi"/>
                <w:bCs/>
              </w:rPr>
            </w:pPr>
            <w:r>
              <w:rPr>
                <w:rFonts w:cstheme="minorHAnsi"/>
                <w:bCs/>
              </w:rPr>
              <w:t>0.64 (0.59-0.62)</w:t>
            </w:r>
          </w:p>
        </w:tc>
      </w:tr>
    </w:tbl>
    <w:p w14:paraId="1EA8868F" w14:textId="77777777" w:rsidR="008C5B75" w:rsidRDefault="008C5B75" w:rsidP="008C5B75">
      <w:pPr>
        <w:rPr>
          <w:lang w:val="en-US"/>
        </w:rPr>
      </w:pPr>
    </w:p>
    <w:p w14:paraId="43E1FE7C" w14:textId="77777777" w:rsidR="008F6176" w:rsidRDefault="008F6176">
      <w:pPr>
        <w:rPr>
          <w:rFonts w:asciiTheme="majorHAnsi" w:eastAsiaTheme="majorEastAsia" w:hAnsiTheme="majorHAnsi" w:cstheme="majorBidi"/>
          <w:i/>
          <w:iCs/>
          <w:color w:val="365F91" w:themeColor="accent1" w:themeShade="BF"/>
        </w:rPr>
      </w:pPr>
      <w:r>
        <w:br w:type="page"/>
      </w:r>
    </w:p>
    <w:p w14:paraId="36C8BA41" w14:textId="77777777" w:rsidR="00BD2757" w:rsidRDefault="00BD2757" w:rsidP="008F6176">
      <w:pPr>
        <w:pStyle w:val="Heading4"/>
        <w:sectPr w:rsidR="00BD2757" w:rsidSect="00BD2757">
          <w:pgSz w:w="11906" w:h="16838" w:code="9"/>
          <w:pgMar w:top="1440" w:right="1440" w:bottom="1440" w:left="1440" w:header="709" w:footer="221" w:gutter="0"/>
          <w:cols w:space="708"/>
          <w:titlePg/>
          <w:docGrid w:linePitch="360"/>
        </w:sectPr>
      </w:pPr>
    </w:p>
    <w:p w14:paraId="4A8DE9E0" w14:textId="3F0D4D82" w:rsidR="000C435D" w:rsidRDefault="000C435D" w:rsidP="000C435D">
      <w:pPr>
        <w:pStyle w:val="Heading3"/>
      </w:pPr>
      <w:bookmarkStart w:id="43" w:name="_Toc165448417"/>
      <w:r>
        <w:t>Survival analyses</w:t>
      </w:r>
      <w:r w:rsidR="00760AF1">
        <w:t xml:space="preserve"> of </w:t>
      </w:r>
      <w:r>
        <w:t xml:space="preserve">2020 and 2021 </w:t>
      </w:r>
      <w:r w:rsidR="00760AF1">
        <w:t>initiators</w:t>
      </w:r>
      <w:r>
        <w:t xml:space="preserve"> </w:t>
      </w:r>
      <w:r w:rsidR="000A5A49">
        <w:t xml:space="preserve">of HF restricted medicines, </w:t>
      </w:r>
      <w:r>
        <w:t>when considering HF restricted medicines only</w:t>
      </w:r>
      <w:r w:rsidR="000A5A49">
        <w:t>, stratified by the individual index medicine</w:t>
      </w:r>
      <w:bookmarkEnd w:id="43"/>
    </w:p>
    <w:p w14:paraId="23AAE98C" w14:textId="14EA727B" w:rsidR="005C058B" w:rsidRPr="000C435D" w:rsidRDefault="008F6176" w:rsidP="000C435D">
      <w:pPr>
        <w:rPr>
          <w:b/>
          <w:bCs/>
        </w:rPr>
      </w:pPr>
      <w:r w:rsidRPr="000C435D">
        <w:rPr>
          <w:b/>
          <w:bCs/>
        </w:rPr>
        <w:t>Time to switch or cessation by individual medicine: 2020 and 2021 cohorts</w:t>
      </w:r>
    </w:p>
    <w:p w14:paraId="65E8E4E4" w14:textId="6C981C64" w:rsidR="0016490A" w:rsidRPr="00DF69F9" w:rsidRDefault="0016490A" w:rsidP="0016490A">
      <w:pPr>
        <w:jc w:val="both"/>
        <w:rPr>
          <w:rFonts w:cstheme="minorHAnsi"/>
          <w:b/>
          <w:i/>
          <w:iCs/>
        </w:rPr>
      </w:pPr>
      <w:r>
        <w:rPr>
          <w:rFonts w:cstheme="minorHAnsi"/>
          <w:bCs/>
        </w:rPr>
        <w:t xml:space="preserve">Results from the Kaplan Meier survival analysis stratified by the individual HF restricted index mono therapy are shown in Figure </w:t>
      </w:r>
      <w:r w:rsidR="00F332AB">
        <w:rPr>
          <w:rFonts w:cstheme="minorHAnsi"/>
          <w:bCs/>
        </w:rPr>
        <w:t>A</w:t>
      </w:r>
      <w:r w:rsidR="00FA1177">
        <w:rPr>
          <w:rFonts w:cstheme="minorHAnsi"/>
          <w:bCs/>
        </w:rPr>
        <w:t>7</w:t>
      </w:r>
      <w:r w:rsidR="00F332AB">
        <w:rPr>
          <w:rFonts w:cstheme="minorHAnsi"/>
          <w:bCs/>
        </w:rPr>
        <w:t>a</w:t>
      </w:r>
      <w:r>
        <w:rPr>
          <w:rFonts w:cstheme="minorHAnsi"/>
          <w:bCs/>
        </w:rPr>
        <w:t xml:space="preserve">, Figure </w:t>
      </w:r>
      <w:r w:rsidR="00F332AB">
        <w:rPr>
          <w:rFonts w:cstheme="minorHAnsi"/>
          <w:bCs/>
        </w:rPr>
        <w:t>A</w:t>
      </w:r>
      <w:r w:rsidR="00FA1177">
        <w:rPr>
          <w:rFonts w:cstheme="minorHAnsi"/>
          <w:bCs/>
        </w:rPr>
        <w:t>7</w:t>
      </w:r>
      <w:r w:rsidR="00F332AB">
        <w:rPr>
          <w:rFonts w:cstheme="minorHAnsi"/>
          <w:bCs/>
        </w:rPr>
        <w:t xml:space="preserve">b </w:t>
      </w:r>
      <w:r>
        <w:rPr>
          <w:rFonts w:cstheme="minorHAnsi"/>
          <w:bCs/>
        </w:rPr>
        <w:t xml:space="preserve">and in Table </w:t>
      </w:r>
      <w:r w:rsidR="00F332AB">
        <w:rPr>
          <w:rFonts w:cstheme="minorHAnsi"/>
          <w:bCs/>
        </w:rPr>
        <w:t>A4</w:t>
      </w:r>
      <w:r>
        <w:rPr>
          <w:rFonts w:cstheme="minorHAnsi"/>
          <w:bCs/>
        </w:rPr>
        <w:t>. It can be noted that the time to a switch was slightly shorter for some of the HF medicines (carvedilol, metoprolol, eplerenone and ivabradine) in the 2021 cohort of initiators compared to 2020.</w:t>
      </w:r>
    </w:p>
    <w:tbl>
      <w:tblPr>
        <w:tblStyle w:val="TableGrid"/>
        <w:tblW w:w="14879" w:type="dxa"/>
        <w:tblLook w:val="04A0" w:firstRow="1" w:lastRow="0" w:firstColumn="1" w:lastColumn="0" w:noHBand="0" w:noVBand="1"/>
      </w:tblPr>
      <w:tblGrid>
        <w:gridCol w:w="7446"/>
        <w:gridCol w:w="7433"/>
      </w:tblGrid>
      <w:tr w:rsidR="0016490A" w14:paraId="71B46A39" w14:textId="77777777" w:rsidTr="00FE375A">
        <w:trPr>
          <w:trHeight w:val="3671"/>
        </w:trPr>
        <w:tc>
          <w:tcPr>
            <w:tcW w:w="7446" w:type="dxa"/>
          </w:tcPr>
          <w:p w14:paraId="32A1F105" w14:textId="77777777" w:rsidR="0016490A" w:rsidRDefault="0016490A" w:rsidP="00FE375A">
            <w:pPr>
              <w:rPr>
                <w:lang w:val="en-US"/>
              </w:rPr>
            </w:pPr>
            <w:r>
              <w:rPr>
                <w:noProof/>
                <w:lang w:eastAsia="en-AU"/>
              </w:rPr>
              <w:drawing>
                <wp:inline distT="0" distB="0" distL="0" distR="0" wp14:anchorId="597DAA37" wp14:editId="5FBEB04D">
                  <wp:extent cx="4590410" cy="2813050"/>
                  <wp:effectExtent l="0" t="0" r="1270" b="6350"/>
                  <wp:docPr id="29" name="Picture 29" descr="Graph on the left hand side of the page showing that as time (days) elapses, the 2020 cohort of patients are more likely to have changed the index HF medicine or  ceased the index HF medicine. Data for 7 individual medicines have been plot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Graph on the left hand side of the page showing that as time (days) elapses, the 2020 cohort of patients are more likely to have changed the index HF medicine or  ceased the index HF medicine. Data for 7 individual medicines have been plotted. "/>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620484" cy="2831480"/>
                          </a:xfrm>
                          <a:prstGeom prst="rect">
                            <a:avLst/>
                          </a:prstGeom>
                          <a:noFill/>
                          <a:ln>
                            <a:noFill/>
                          </a:ln>
                        </pic:spPr>
                      </pic:pic>
                    </a:graphicData>
                  </a:graphic>
                </wp:inline>
              </w:drawing>
            </w:r>
          </w:p>
          <w:p w14:paraId="09A81FC4" w14:textId="0C2A650F" w:rsidR="0016490A" w:rsidRDefault="0016490A" w:rsidP="00FE375A">
            <w:pPr>
              <w:rPr>
                <w:lang w:val="en-US"/>
              </w:rPr>
            </w:pPr>
            <w:r w:rsidRPr="00906E41">
              <w:rPr>
                <w:b/>
                <w:bCs/>
                <w:lang w:val="en-US"/>
              </w:rPr>
              <w:t xml:space="preserve">Figure </w:t>
            </w:r>
            <w:r w:rsidR="00F332AB">
              <w:rPr>
                <w:b/>
                <w:bCs/>
                <w:lang w:val="en-US"/>
              </w:rPr>
              <w:t>A</w:t>
            </w:r>
            <w:r w:rsidR="00FA1177">
              <w:rPr>
                <w:b/>
                <w:bCs/>
                <w:lang w:val="en-US"/>
              </w:rPr>
              <w:t>7</w:t>
            </w:r>
            <w:r w:rsidRPr="00906E41">
              <w:rPr>
                <w:b/>
                <w:bCs/>
                <w:lang w:val="en-US"/>
              </w:rPr>
              <w:t>a</w:t>
            </w:r>
            <w:r>
              <w:rPr>
                <w:lang w:val="en-US"/>
              </w:rPr>
              <w:t xml:space="preserve"> Time to switch (2020 cohort), by index HF restricted mono therapy</w:t>
            </w:r>
          </w:p>
        </w:tc>
        <w:tc>
          <w:tcPr>
            <w:tcW w:w="7433" w:type="dxa"/>
          </w:tcPr>
          <w:p w14:paraId="11D7589B" w14:textId="77777777" w:rsidR="0016490A" w:rsidRDefault="0016490A" w:rsidP="00FE375A">
            <w:pPr>
              <w:ind w:firstLine="378"/>
              <w:rPr>
                <w:lang w:val="en-US"/>
              </w:rPr>
            </w:pPr>
            <w:r>
              <w:rPr>
                <w:noProof/>
                <w:lang w:eastAsia="en-AU"/>
              </w:rPr>
              <w:drawing>
                <wp:inline distT="0" distB="0" distL="0" distR="0" wp14:anchorId="7665DCB0" wp14:editId="0592C505">
                  <wp:extent cx="4159250" cy="2755900"/>
                  <wp:effectExtent l="0" t="0" r="0" b="6350"/>
                  <wp:docPr id="30" name="Picture 30" descr="Graph on the right hand side of the page showing that as time (days) elapses, the 2021 cohort of patients are more likely to have changed the index HF medicine or  ceased the index HF medicine. Data for 7 individual medicines have been plot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Graph on the right hand side of the page showing that as time (days) elapses, the 2021 cohort of patients are more likely to have changed the index HF medicine or  ceased the index HF medicine. Data for 7 individual medicines have been plotted. "/>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168366" cy="2761940"/>
                          </a:xfrm>
                          <a:prstGeom prst="rect">
                            <a:avLst/>
                          </a:prstGeom>
                          <a:noFill/>
                          <a:ln>
                            <a:noFill/>
                          </a:ln>
                        </pic:spPr>
                      </pic:pic>
                    </a:graphicData>
                  </a:graphic>
                </wp:inline>
              </w:drawing>
            </w:r>
          </w:p>
          <w:p w14:paraId="0D6EE0D8" w14:textId="5C3F2E73" w:rsidR="0016490A" w:rsidRDefault="0016490A" w:rsidP="00FE375A">
            <w:pPr>
              <w:rPr>
                <w:lang w:val="en-US"/>
              </w:rPr>
            </w:pPr>
            <w:r w:rsidRPr="00906E41">
              <w:rPr>
                <w:b/>
                <w:bCs/>
                <w:lang w:val="en-US"/>
              </w:rPr>
              <w:t xml:space="preserve">Figure </w:t>
            </w:r>
            <w:r w:rsidR="00F332AB">
              <w:rPr>
                <w:b/>
                <w:bCs/>
                <w:lang w:val="en-US"/>
              </w:rPr>
              <w:t>A</w:t>
            </w:r>
            <w:r w:rsidR="00FA1177">
              <w:rPr>
                <w:b/>
                <w:bCs/>
                <w:lang w:val="en-US"/>
              </w:rPr>
              <w:t>7</w:t>
            </w:r>
            <w:r w:rsidRPr="00906E41">
              <w:rPr>
                <w:b/>
                <w:bCs/>
                <w:lang w:val="en-US"/>
              </w:rPr>
              <w:t>b</w:t>
            </w:r>
            <w:r>
              <w:rPr>
                <w:lang w:val="en-US"/>
              </w:rPr>
              <w:t xml:space="preserve"> Time to switch (2021 cohort), by index HF restricted mono therapy</w:t>
            </w:r>
          </w:p>
        </w:tc>
      </w:tr>
    </w:tbl>
    <w:p w14:paraId="315C0FE8" w14:textId="77777777" w:rsidR="0016490A" w:rsidRDefault="0016490A" w:rsidP="0016490A">
      <w:pPr>
        <w:spacing w:after="0" w:line="240" w:lineRule="auto"/>
        <w:rPr>
          <w:rFonts w:cstheme="minorHAnsi"/>
          <w:i/>
          <w:iCs/>
          <w:sz w:val="18"/>
          <w:szCs w:val="18"/>
        </w:rPr>
      </w:pPr>
      <w:r w:rsidRPr="008E2AAA">
        <w:rPr>
          <w:rFonts w:cstheme="minorHAnsi"/>
          <w:i/>
          <w:iCs/>
          <w:sz w:val="18"/>
          <w:szCs w:val="18"/>
        </w:rPr>
        <w:t>Legend: B</w:t>
      </w:r>
      <w:r>
        <w:rPr>
          <w:rFonts w:cstheme="minorHAnsi"/>
          <w:i/>
          <w:iCs/>
          <w:sz w:val="18"/>
          <w:szCs w:val="18"/>
        </w:rPr>
        <w:t>iso</w:t>
      </w:r>
      <w:r w:rsidRPr="008E2AAA">
        <w:rPr>
          <w:rFonts w:cstheme="minorHAnsi"/>
          <w:i/>
          <w:iCs/>
          <w:sz w:val="18"/>
          <w:szCs w:val="18"/>
        </w:rPr>
        <w:t xml:space="preserve"> – </w:t>
      </w:r>
      <w:r>
        <w:rPr>
          <w:rFonts w:cstheme="minorHAnsi"/>
          <w:i/>
          <w:iCs/>
          <w:sz w:val="18"/>
          <w:szCs w:val="18"/>
        </w:rPr>
        <w:t>Bisoprolol (BB); Nebi – Nebivolol (BB); Meto – Metoprolol (BB); Carv – Carvedilol (BB); S+V – Sacubitril+Valsartan (ARNI); Eple – Eplerenone (MRA for HF); Ivab - Ivabradine (HCN channel blocker)</w:t>
      </w:r>
    </w:p>
    <w:p w14:paraId="45470B90" w14:textId="77777777" w:rsidR="00F332AB" w:rsidRDefault="00F332AB" w:rsidP="0016490A">
      <w:pPr>
        <w:jc w:val="both"/>
        <w:rPr>
          <w:rFonts w:cstheme="minorHAnsi"/>
          <w:b/>
        </w:rPr>
      </w:pPr>
    </w:p>
    <w:p w14:paraId="486568CF" w14:textId="77777777" w:rsidR="008F6176" w:rsidRDefault="008F6176" w:rsidP="0016490A">
      <w:pPr>
        <w:jc w:val="both"/>
        <w:rPr>
          <w:rFonts w:cstheme="minorHAnsi"/>
          <w:b/>
        </w:rPr>
      </w:pPr>
    </w:p>
    <w:p w14:paraId="33DB1338" w14:textId="7C6359AD" w:rsidR="0016490A" w:rsidRDefault="008F6176" w:rsidP="000A5A49">
      <w:pPr>
        <w:rPr>
          <w:rFonts w:cstheme="minorHAnsi"/>
          <w:bCs/>
        </w:rPr>
      </w:pPr>
      <w:r>
        <w:rPr>
          <w:rFonts w:cstheme="minorHAnsi"/>
          <w:b/>
        </w:rPr>
        <w:br w:type="page"/>
      </w:r>
      <w:r w:rsidR="0016490A" w:rsidRPr="005A5318">
        <w:rPr>
          <w:rFonts w:cstheme="minorHAnsi"/>
          <w:b/>
        </w:rPr>
        <w:t xml:space="preserve">Table </w:t>
      </w:r>
      <w:r w:rsidR="00F332AB">
        <w:rPr>
          <w:rFonts w:cstheme="minorHAnsi"/>
          <w:b/>
        </w:rPr>
        <w:t>A4</w:t>
      </w:r>
      <w:r w:rsidR="0016490A" w:rsidRPr="005A5318">
        <w:rPr>
          <w:rFonts w:cstheme="minorHAnsi"/>
          <w:b/>
        </w:rPr>
        <w:t>.</w:t>
      </w:r>
      <w:r w:rsidR="0016490A">
        <w:rPr>
          <w:rFonts w:cstheme="minorHAnsi"/>
          <w:bCs/>
        </w:rPr>
        <w:t xml:space="preserve"> Model summary </w:t>
      </w:r>
      <w:r w:rsidR="000C435D">
        <w:rPr>
          <w:rFonts w:cstheme="minorHAnsi"/>
          <w:bCs/>
        </w:rPr>
        <w:t xml:space="preserve">for Figure A7b and A7b </w:t>
      </w:r>
      <w:r w:rsidR="0016490A">
        <w:rPr>
          <w:rFonts w:cstheme="minorHAnsi"/>
          <w:bCs/>
        </w:rPr>
        <w:t>(time from index therapy to a switch</w:t>
      </w:r>
      <w:r w:rsidR="000C435D">
        <w:rPr>
          <w:rFonts w:cstheme="minorHAnsi"/>
          <w:bCs/>
        </w:rPr>
        <w:t xml:space="preserve"> or cessation</w:t>
      </w:r>
      <w:r w:rsidR="0016490A">
        <w:rPr>
          <w:rFonts w:cstheme="minorHAnsi"/>
          <w:bCs/>
        </w:rPr>
        <w:t>)</w:t>
      </w:r>
    </w:p>
    <w:tbl>
      <w:tblPr>
        <w:tblStyle w:val="TableGrid"/>
        <w:tblW w:w="0" w:type="auto"/>
        <w:tblLook w:val="04A0" w:firstRow="1" w:lastRow="0" w:firstColumn="1" w:lastColumn="0" w:noHBand="0" w:noVBand="1"/>
      </w:tblPr>
      <w:tblGrid>
        <w:gridCol w:w="2264"/>
        <w:gridCol w:w="1163"/>
        <w:gridCol w:w="2238"/>
        <w:gridCol w:w="1134"/>
        <w:gridCol w:w="2410"/>
      </w:tblGrid>
      <w:tr w:rsidR="0016490A" w14:paraId="6F0B3035" w14:textId="77777777" w:rsidTr="00FE375A">
        <w:tc>
          <w:tcPr>
            <w:tcW w:w="2264" w:type="dxa"/>
          </w:tcPr>
          <w:p w14:paraId="767D204F" w14:textId="77777777" w:rsidR="0016490A" w:rsidRDefault="0016490A" w:rsidP="00FE375A">
            <w:pPr>
              <w:jc w:val="both"/>
              <w:rPr>
                <w:rFonts w:cstheme="minorHAnsi"/>
                <w:bCs/>
              </w:rPr>
            </w:pPr>
          </w:p>
        </w:tc>
        <w:tc>
          <w:tcPr>
            <w:tcW w:w="3401" w:type="dxa"/>
            <w:gridSpan w:val="2"/>
          </w:tcPr>
          <w:p w14:paraId="394D7627" w14:textId="77777777" w:rsidR="0016490A" w:rsidRPr="00906E41" w:rsidRDefault="0016490A" w:rsidP="00FE375A">
            <w:pPr>
              <w:jc w:val="center"/>
              <w:rPr>
                <w:rFonts w:cstheme="minorHAnsi"/>
                <w:b/>
              </w:rPr>
            </w:pPr>
            <w:r w:rsidRPr="00906E41">
              <w:rPr>
                <w:rFonts w:cstheme="minorHAnsi"/>
                <w:b/>
              </w:rPr>
              <w:t>2020 initiators</w:t>
            </w:r>
          </w:p>
        </w:tc>
        <w:tc>
          <w:tcPr>
            <w:tcW w:w="3544" w:type="dxa"/>
            <w:gridSpan w:val="2"/>
          </w:tcPr>
          <w:p w14:paraId="6BBA8EF5" w14:textId="77777777" w:rsidR="0016490A" w:rsidRPr="00906E41" w:rsidRDefault="0016490A" w:rsidP="00FE375A">
            <w:pPr>
              <w:jc w:val="center"/>
              <w:rPr>
                <w:rFonts w:cstheme="minorHAnsi"/>
                <w:b/>
              </w:rPr>
            </w:pPr>
            <w:r w:rsidRPr="00906E41">
              <w:rPr>
                <w:rFonts w:cstheme="minorHAnsi"/>
                <w:b/>
              </w:rPr>
              <w:t>2021 initiators</w:t>
            </w:r>
          </w:p>
        </w:tc>
      </w:tr>
      <w:tr w:rsidR="0016490A" w14:paraId="0176DDF7" w14:textId="77777777" w:rsidTr="00FE375A">
        <w:tc>
          <w:tcPr>
            <w:tcW w:w="2264" w:type="dxa"/>
          </w:tcPr>
          <w:p w14:paraId="1B454DFA" w14:textId="77777777" w:rsidR="0016490A" w:rsidRDefault="0016490A" w:rsidP="00FE375A">
            <w:pPr>
              <w:jc w:val="both"/>
              <w:rPr>
                <w:rFonts w:cstheme="minorHAnsi"/>
                <w:bCs/>
              </w:rPr>
            </w:pPr>
            <w:r>
              <w:rPr>
                <w:rFonts w:cstheme="minorHAnsi"/>
                <w:bCs/>
              </w:rPr>
              <w:t>Index HF restricted mono therapy</w:t>
            </w:r>
          </w:p>
        </w:tc>
        <w:tc>
          <w:tcPr>
            <w:tcW w:w="1163" w:type="dxa"/>
          </w:tcPr>
          <w:p w14:paraId="4CCD38E0" w14:textId="77777777" w:rsidR="0016490A" w:rsidRDefault="0016490A" w:rsidP="00FE375A">
            <w:pPr>
              <w:jc w:val="both"/>
              <w:rPr>
                <w:rFonts w:cstheme="minorHAnsi"/>
                <w:bCs/>
              </w:rPr>
            </w:pPr>
            <w:r>
              <w:rPr>
                <w:rFonts w:cstheme="minorHAnsi"/>
                <w:bCs/>
              </w:rPr>
              <w:t>Number of people</w:t>
            </w:r>
          </w:p>
        </w:tc>
        <w:tc>
          <w:tcPr>
            <w:tcW w:w="2238" w:type="dxa"/>
          </w:tcPr>
          <w:p w14:paraId="780BC708" w14:textId="77777777" w:rsidR="0016490A" w:rsidRDefault="0016490A" w:rsidP="00FE375A">
            <w:pPr>
              <w:jc w:val="both"/>
              <w:rPr>
                <w:rFonts w:cstheme="minorHAnsi"/>
                <w:bCs/>
              </w:rPr>
            </w:pPr>
            <w:r>
              <w:rPr>
                <w:rFonts w:cstheme="minorHAnsi"/>
                <w:bCs/>
              </w:rPr>
              <w:t>Median time to switch in days (95% CI)</w:t>
            </w:r>
          </w:p>
        </w:tc>
        <w:tc>
          <w:tcPr>
            <w:tcW w:w="1134" w:type="dxa"/>
          </w:tcPr>
          <w:p w14:paraId="76DF800E" w14:textId="77777777" w:rsidR="0016490A" w:rsidRDefault="0016490A" w:rsidP="00FE375A">
            <w:pPr>
              <w:jc w:val="both"/>
              <w:rPr>
                <w:rFonts w:cstheme="minorHAnsi"/>
                <w:bCs/>
              </w:rPr>
            </w:pPr>
            <w:r>
              <w:rPr>
                <w:rFonts w:cstheme="minorHAnsi"/>
                <w:bCs/>
              </w:rPr>
              <w:t>Number of people</w:t>
            </w:r>
          </w:p>
        </w:tc>
        <w:tc>
          <w:tcPr>
            <w:tcW w:w="2410" w:type="dxa"/>
          </w:tcPr>
          <w:p w14:paraId="7740868E" w14:textId="77777777" w:rsidR="0016490A" w:rsidRDefault="0016490A" w:rsidP="00FE375A">
            <w:pPr>
              <w:jc w:val="both"/>
              <w:rPr>
                <w:rFonts w:cstheme="minorHAnsi"/>
                <w:bCs/>
              </w:rPr>
            </w:pPr>
            <w:r>
              <w:rPr>
                <w:rFonts w:cstheme="minorHAnsi"/>
                <w:bCs/>
              </w:rPr>
              <w:t>Median time to switch in days (95% CI)</w:t>
            </w:r>
          </w:p>
        </w:tc>
      </w:tr>
      <w:tr w:rsidR="0016490A" w14:paraId="7F52A9C8" w14:textId="77777777" w:rsidTr="00FE375A">
        <w:tc>
          <w:tcPr>
            <w:tcW w:w="2264" w:type="dxa"/>
          </w:tcPr>
          <w:p w14:paraId="482E0141" w14:textId="77777777" w:rsidR="0016490A" w:rsidRDefault="0016490A" w:rsidP="00FE375A">
            <w:pPr>
              <w:jc w:val="both"/>
              <w:rPr>
                <w:rFonts w:cstheme="minorHAnsi"/>
                <w:bCs/>
              </w:rPr>
            </w:pPr>
            <w:r>
              <w:rPr>
                <w:rFonts w:cstheme="minorHAnsi"/>
                <w:bCs/>
              </w:rPr>
              <w:t>Bisoprolol</w:t>
            </w:r>
          </w:p>
        </w:tc>
        <w:tc>
          <w:tcPr>
            <w:tcW w:w="1163" w:type="dxa"/>
          </w:tcPr>
          <w:p w14:paraId="27F3011E" w14:textId="77777777" w:rsidR="0016490A" w:rsidRDefault="0016490A" w:rsidP="00FE375A">
            <w:pPr>
              <w:jc w:val="right"/>
              <w:rPr>
                <w:rFonts w:cstheme="minorHAnsi"/>
                <w:bCs/>
              </w:rPr>
            </w:pPr>
            <w:r>
              <w:rPr>
                <w:rFonts w:cstheme="minorHAnsi"/>
                <w:bCs/>
              </w:rPr>
              <w:t>30349</w:t>
            </w:r>
          </w:p>
        </w:tc>
        <w:tc>
          <w:tcPr>
            <w:tcW w:w="2238" w:type="dxa"/>
          </w:tcPr>
          <w:p w14:paraId="307EAD6C" w14:textId="77777777" w:rsidR="0016490A" w:rsidRPr="00906E41" w:rsidRDefault="0016490A" w:rsidP="00FE375A">
            <w:pPr>
              <w:jc w:val="both"/>
              <w:rPr>
                <w:rFonts w:cstheme="minorHAnsi"/>
                <w:bCs/>
              </w:rPr>
            </w:pPr>
            <w:r>
              <w:rPr>
                <w:rFonts w:cstheme="minorHAnsi"/>
                <w:bCs/>
              </w:rPr>
              <w:t xml:space="preserve">Over </w:t>
            </w:r>
            <w:r w:rsidRPr="00906E41">
              <w:rPr>
                <w:rFonts w:cstheme="minorHAnsi"/>
                <w:bCs/>
              </w:rPr>
              <w:t>365 days</w:t>
            </w:r>
          </w:p>
        </w:tc>
        <w:tc>
          <w:tcPr>
            <w:tcW w:w="1134" w:type="dxa"/>
          </w:tcPr>
          <w:p w14:paraId="06CFD3B1" w14:textId="77777777" w:rsidR="0016490A" w:rsidRDefault="0016490A" w:rsidP="00FE375A">
            <w:pPr>
              <w:jc w:val="right"/>
              <w:rPr>
                <w:rFonts w:cstheme="minorHAnsi"/>
                <w:bCs/>
              </w:rPr>
            </w:pPr>
            <w:r>
              <w:rPr>
                <w:rFonts w:cstheme="minorHAnsi"/>
                <w:bCs/>
              </w:rPr>
              <w:t>30222</w:t>
            </w:r>
          </w:p>
        </w:tc>
        <w:tc>
          <w:tcPr>
            <w:tcW w:w="2410" w:type="dxa"/>
          </w:tcPr>
          <w:p w14:paraId="6DF8DD67" w14:textId="77777777" w:rsidR="0016490A" w:rsidRDefault="0016490A" w:rsidP="00FE375A">
            <w:pPr>
              <w:jc w:val="right"/>
              <w:rPr>
                <w:rFonts w:cstheme="minorHAnsi"/>
                <w:bCs/>
              </w:rPr>
            </w:pPr>
            <w:r>
              <w:rPr>
                <w:rFonts w:cstheme="minorHAnsi"/>
                <w:bCs/>
              </w:rPr>
              <w:t>Over 365 days</w:t>
            </w:r>
          </w:p>
        </w:tc>
      </w:tr>
      <w:tr w:rsidR="0016490A" w14:paraId="0C809B6A" w14:textId="77777777" w:rsidTr="00FE375A">
        <w:tc>
          <w:tcPr>
            <w:tcW w:w="2264" w:type="dxa"/>
          </w:tcPr>
          <w:p w14:paraId="2148571E" w14:textId="77777777" w:rsidR="0016490A" w:rsidRDefault="0016490A" w:rsidP="00FE375A">
            <w:pPr>
              <w:jc w:val="both"/>
              <w:rPr>
                <w:rFonts w:cstheme="minorHAnsi"/>
                <w:bCs/>
              </w:rPr>
            </w:pPr>
            <w:r>
              <w:rPr>
                <w:rFonts w:cstheme="minorHAnsi"/>
                <w:bCs/>
              </w:rPr>
              <w:t>Carvedilol</w:t>
            </w:r>
          </w:p>
        </w:tc>
        <w:tc>
          <w:tcPr>
            <w:tcW w:w="1163" w:type="dxa"/>
          </w:tcPr>
          <w:p w14:paraId="6F42DE4E" w14:textId="77777777" w:rsidR="0016490A" w:rsidRDefault="0016490A" w:rsidP="00FE375A">
            <w:pPr>
              <w:jc w:val="right"/>
              <w:rPr>
                <w:rFonts w:cstheme="minorHAnsi"/>
                <w:bCs/>
              </w:rPr>
            </w:pPr>
            <w:r>
              <w:rPr>
                <w:rFonts w:cstheme="minorHAnsi"/>
                <w:bCs/>
              </w:rPr>
              <w:t>3023</w:t>
            </w:r>
          </w:p>
        </w:tc>
        <w:tc>
          <w:tcPr>
            <w:tcW w:w="2238" w:type="dxa"/>
          </w:tcPr>
          <w:p w14:paraId="73575051" w14:textId="77777777" w:rsidR="0016490A" w:rsidRDefault="0016490A" w:rsidP="00FE375A">
            <w:pPr>
              <w:jc w:val="both"/>
              <w:rPr>
                <w:rFonts w:cstheme="minorHAnsi"/>
                <w:bCs/>
              </w:rPr>
            </w:pPr>
            <w:r>
              <w:rPr>
                <w:rFonts w:cstheme="minorHAnsi"/>
                <w:bCs/>
              </w:rPr>
              <w:t>350 (307-365)</w:t>
            </w:r>
          </w:p>
        </w:tc>
        <w:tc>
          <w:tcPr>
            <w:tcW w:w="1134" w:type="dxa"/>
          </w:tcPr>
          <w:p w14:paraId="77B12889" w14:textId="77777777" w:rsidR="0016490A" w:rsidRDefault="0016490A" w:rsidP="00FE375A">
            <w:pPr>
              <w:jc w:val="right"/>
              <w:rPr>
                <w:rFonts w:cstheme="minorHAnsi"/>
                <w:bCs/>
              </w:rPr>
            </w:pPr>
            <w:r>
              <w:rPr>
                <w:rFonts w:cstheme="minorHAnsi"/>
                <w:bCs/>
              </w:rPr>
              <w:t>2966</w:t>
            </w:r>
          </w:p>
        </w:tc>
        <w:tc>
          <w:tcPr>
            <w:tcW w:w="2410" w:type="dxa"/>
          </w:tcPr>
          <w:p w14:paraId="626D0C60" w14:textId="77777777" w:rsidR="0016490A" w:rsidRDefault="0016490A" w:rsidP="00FE375A">
            <w:pPr>
              <w:jc w:val="right"/>
              <w:rPr>
                <w:rFonts w:cstheme="minorHAnsi"/>
                <w:bCs/>
              </w:rPr>
            </w:pPr>
            <w:r>
              <w:rPr>
                <w:rFonts w:cstheme="minorHAnsi"/>
                <w:bCs/>
              </w:rPr>
              <w:t>307 (272-335)</w:t>
            </w:r>
          </w:p>
        </w:tc>
      </w:tr>
      <w:tr w:rsidR="0016490A" w14:paraId="5A77878C" w14:textId="77777777" w:rsidTr="00FE375A">
        <w:tc>
          <w:tcPr>
            <w:tcW w:w="2264" w:type="dxa"/>
          </w:tcPr>
          <w:p w14:paraId="3CD6F17F" w14:textId="77777777" w:rsidR="0016490A" w:rsidRDefault="0016490A" w:rsidP="00FE375A">
            <w:pPr>
              <w:jc w:val="both"/>
              <w:rPr>
                <w:rFonts w:cstheme="minorHAnsi"/>
                <w:bCs/>
              </w:rPr>
            </w:pPr>
            <w:r>
              <w:rPr>
                <w:rFonts w:cstheme="minorHAnsi"/>
                <w:bCs/>
              </w:rPr>
              <w:t>Metoprolol</w:t>
            </w:r>
          </w:p>
        </w:tc>
        <w:tc>
          <w:tcPr>
            <w:tcW w:w="1163" w:type="dxa"/>
          </w:tcPr>
          <w:p w14:paraId="1CFB73A0" w14:textId="77777777" w:rsidR="0016490A" w:rsidRDefault="0016490A" w:rsidP="00FE375A">
            <w:pPr>
              <w:jc w:val="right"/>
              <w:rPr>
                <w:rFonts w:cstheme="minorHAnsi"/>
                <w:bCs/>
              </w:rPr>
            </w:pPr>
            <w:r>
              <w:rPr>
                <w:rFonts w:cstheme="minorHAnsi"/>
                <w:bCs/>
              </w:rPr>
              <w:t>3539</w:t>
            </w:r>
          </w:p>
        </w:tc>
        <w:tc>
          <w:tcPr>
            <w:tcW w:w="2238" w:type="dxa"/>
          </w:tcPr>
          <w:p w14:paraId="758F7679" w14:textId="77777777" w:rsidR="0016490A" w:rsidRPr="00906E41" w:rsidRDefault="0016490A" w:rsidP="00FE375A">
            <w:pPr>
              <w:jc w:val="both"/>
              <w:rPr>
                <w:rFonts w:cstheme="minorHAnsi"/>
                <w:bCs/>
              </w:rPr>
            </w:pPr>
            <w:r>
              <w:rPr>
                <w:rFonts w:cstheme="minorHAnsi"/>
                <w:bCs/>
              </w:rPr>
              <w:t>Over 365 days</w:t>
            </w:r>
          </w:p>
        </w:tc>
        <w:tc>
          <w:tcPr>
            <w:tcW w:w="1134" w:type="dxa"/>
          </w:tcPr>
          <w:p w14:paraId="1BC0E663" w14:textId="77777777" w:rsidR="0016490A" w:rsidRDefault="0016490A" w:rsidP="00FE375A">
            <w:pPr>
              <w:jc w:val="right"/>
              <w:rPr>
                <w:rFonts w:cstheme="minorHAnsi"/>
                <w:bCs/>
              </w:rPr>
            </w:pPr>
            <w:r>
              <w:rPr>
                <w:rFonts w:cstheme="minorHAnsi"/>
                <w:bCs/>
              </w:rPr>
              <w:t>3690</w:t>
            </w:r>
          </w:p>
        </w:tc>
        <w:tc>
          <w:tcPr>
            <w:tcW w:w="2410" w:type="dxa"/>
          </w:tcPr>
          <w:p w14:paraId="52532321" w14:textId="77777777" w:rsidR="0016490A" w:rsidRDefault="0016490A" w:rsidP="00FE375A">
            <w:pPr>
              <w:jc w:val="right"/>
              <w:rPr>
                <w:rFonts w:cstheme="minorHAnsi"/>
                <w:bCs/>
              </w:rPr>
            </w:pPr>
            <w:r>
              <w:rPr>
                <w:rFonts w:cstheme="minorHAnsi"/>
                <w:bCs/>
              </w:rPr>
              <w:t>328 (313-349)</w:t>
            </w:r>
          </w:p>
        </w:tc>
      </w:tr>
      <w:tr w:rsidR="0016490A" w14:paraId="3C50C292" w14:textId="77777777" w:rsidTr="00FE375A">
        <w:tc>
          <w:tcPr>
            <w:tcW w:w="2264" w:type="dxa"/>
          </w:tcPr>
          <w:p w14:paraId="3697E88A" w14:textId="77777777" w:rsidR="0016490A" w:rsidRDefault="0016490A" w:rsidP="00FE375A">
            <w:pPr>
              <w:jc w:val="both"/>
              <w:rPr>
                <w:rFonts w:cstheme="minorHAnsi"/>
                <w:bCs/>
              </w:rPr>
            </w:pPr>
            <w:r>
              <w:rPr>
                <w:rFonts w:cstheme="minorHAnsi"/>
                <w:bCs/>
              </w:rPr>
              <w:t>Nebivolol</w:t>
            </w:r>
          </w:p>
        </w:tc>
        <w:tc>
          <w:tcPr>
            <w:tcW w:w="1163" w:type="dxa"/>
          </w:tcPr>
          <w:p w14:paraId="7CC0D86F" w14:textId="77777777" w:rsidR="0016490A" w:rsidRDefault="0016490A" w:rsidP="00FE375A">
            <w:pPr>
              <w:jc w:val="right"/>
              <w:rPr>
                <w:rFonts w:cstheme="minorHAnsi"/>
                <w:bCs/>
              </w:rPr>
            </w:pPr>
            <w:r>
              <w:rPr>
                <w:rFonts w:cstheme="minorHAnsi"/>
                <w:bCs/>
              </w:rPr>
              <w:t>9950</w:t>
            </w:r>
          </w:p>
        </w:tc>
        <w:tc>
          <w:tcPr>
            <w:tcW w:w="2238" w:type="dxa"/>
          </w:tcPr>
          <w:p w14:paraId="0D3C2685" w14:textId="77777777" w:rsidR="0016490A" w:rsidRDefault="0016490A" w:rsidP="00FE375A">
            <w:pPr>
              <w:jc w:val="both"/>
              <w:rPr>
                <w:rFonts w:cstheme="minorHAnsi"/>
                <w:bCs/>
              </w:rPr>
            </w:pPr>
            <w:r>
              <w:rPr>
                <w:rFonts w:cstheme="minorHAnsi"/>
                <w:bCs/>
              </w:rPr>
              <w:t>Over 365 days</w:t>
            </w:r>
          </w:p>
        </w:tc>
        <w:tc>
          <w:tcPr>
            <w:tcW w:w="1134" w:type="dxa"/>
          </w:tcPr>
          <w:p w14:paraId="579E6A19" w14:textId="77777777" w:rsidR="0016490A" w:rsidRDefault="0016490A" w:rsidP="00FE375A">
            <w:pPr>
              <w:jc w:val="right"/>
              <w:rPr>
                <w:rFonts w:cstheme="minorHAnsi"/>
                <w:bCs/>
              </w:rPr>
            </w:pPr>
            <w:r>
              <w:rPr>
                <w:rFonts w:cstheme="minorHAnsi"/>
                <w:bCs/>
              </w:rPr>
              <w:t>10573</w:t>
            </w:r>
          </w:p>
        </w:tc>
        <w:tc>
          <w:tcPr>
            <w:tcW w:w="2410" w:type="dxa"/>
          </w:tcPr>
          <w:p w14:paraId="73591A3E" w14:textId="77777777" w:rsidR="0016490A" w:rsidRDefault="0016490A" w:rsidP="00FE375A">
            <w:pPr>
              <w:jc w:val="right"/>
              <w:rPr>
                <w:rFonts w:cstheme="minorHAnsi"/>
                <w:bCs/>
              </w:rPr>
            </w:pPr>
            <w:r>
              <w:rPr>
                <w:rFonts w:cstheme="minorHAnsi"/>
                <w:bCs/>
              </w:rPr>
              <w:t>Over 365 days</w:t>
            </w:r>
          </w:p>
        </w:tc>
      </w:tr>
      <w:tr w:rsidR="0016490A" w14:paraId="1E7CAEA3" w14:textId="77777777" w:rsidTr="00FE375A">
        <w:tc>
          <w:tcPr>
            <w:tcW w:w="2264" w:type="dxa"/>
          </w:tcPr>
          <w:p w14:paraId="0145333C" w14:textId="77777777" w:rsidR="0016490A" w:rsidRDefault="0016490A" w:rsidP="00FE375A">
            <w:pPr>
              <w:jc w:val="both"/>
              <w:rPr>
                <w:rFonts w:cstheme="minorHAnsi"/>
                <w:bCs/>
              </w:rPr>
            </w:pPr>
            <w:r>
              <w:rPr>
                <w:rFonts w:cstheme="minorHAnsi"/>
                <w:bCs/>
              </w:rPr>
              <w:t>Eplerenone</w:t>
            </w:r>
          </w:p>
        </w:tc>
        <w:tc>
          <w:tcPr>
            <w:tcW w:w="1163" w:type="dxa"/>
          </w:tcPr>
          <w:p w14:paraId="56CB3041" w14:textId="77777777" w:rsidR="0016490A" w:rsidRDefault="0016490A" w:rsidP="00FE375A">
            <w:pPr>
              <w:jc w:val="right"/>
              <w:rPr>
                <w:rFonts w:cstheme="minorHAnsi"/>
                <w:bCs/>
              </w:rPr>
            </w:pPr>
            <w:r>
              <w:rPr>
                <w:rFonts w:cstheme="minorHAnsi"/>
                <w:bCs/>
              </w:rPr>
              <w:t>844</w:t>
            </w:r>
          </w:p>
        </w:tc>
        <w:tc>
          <w:tcPr>
            <w:tcW w:w="2238" w:type="dxa"/>
          </w:tcPr>
          <w:p w14:paraId="4C0714F1" w14:textId="77777777" w:rsidR="0016490A" w:rsidRDefault="0016490A" w:rsidP="00FE375A">
            <w:pPr>
              <w:jc w:val="both"/>
              <w:rPr>
                <w:rFonts w:cstheme="minorHAnsi"/>
                <w:bCs/>
              </w:rPr>
            </w:pPr>
            <w:r>
              <w:rPr>
                <w:rFonts w:cstheme="minorHAnsi"/>
                <w:bCs/>
              </w:rPr>
              <w:t>307 (263-362)</w:t>
            </w:r>
          </w:p>
        </w:tc>
        <w:tc>
          <w:tcPr>
            <w:tcW w:w="1134" w:type="dxa"/>
          </w:tcPr>
          <w:p w14:paraId="46BB32FF" w14:textId="77777777" w:rsidR="0016490A" w:rsidRDefault="0016490A" w:rsidP="00FE375A">
            <w:pPr>
              <w:jc w:val="right"/>
              <w:rPr>
                <w:rFonts w:cstheme="minorHAnsi"/>
                <w:bCs/>
              </w:rPr>
            </w:pPr>
            <w:r>
              <w:rPr>
                <w:rFonts w:cstheme="minorHAnsi"/>
                <w:bCs/>
              </w:rPr>
              <w:t>868</w:t>
            </w:r>
          </w:p>
        </w:tc>
        <w:tc>
          <w:tcPr>
            <w:tcW w:w="2410" w:type="dxa"/>
          </w:tcPr>
          <w:p w14:paraId="16A04B7D" w14:textId="77777777" w:rsidR="0016490A" w:rsidRDefault="0016490A" w:rsidP="00FE375A">
            <w:pPr>
              <w:jc w:val="right"/>
              <w:rPr>
                <w:rFonts w:cstheme="minorHAnsi"/>
                <w:bCs/>
              </w:rPr>
            </w:pPr>
            <w:r>
              <w:rPr>
                <w:rFonts w:cstheme="minorHAnsi"/>
                <w:bCs/>
              </w:rPr>
              <w:t>293 (258-342)</w:t>
            </w:r>
          </w:p>
        </w:tc>
      </w:tr>
      <w:tr w:rsidR="0016490A" w14:paraId="7D09D4D3" w14:textId="77777777" w:rsidTr="00FE375A">
        <w:tc>
          <w:tcPr>
            <w:tcW w:w="2264" w:type="dxa"/>
          </w:tcPr>
          <w:p w14:paraId="30446DD8" w14:textId="77777777" w:rsidR="0016490A" w:rsidRDefault="0016490A" w:rsidP="00FE375A">
            <w:pPr>
              <w:jc w:val="both"/>
              <w:rPr>
                <w:rFonts w:cstheme="minorHAnsi"/>
                <w:bCs/>
              </w:rPr>
            </w:pPr>
            <w:r>
              <w:rPr>
                <w:rFonts w:cstheme="minorHAnsi"/>
                <w:bCs/>
              </w:rPr>
              <w:t>Ivabradine</w:t>
            </w:r>
          </w:p>
        </w:tc>
        <w:tc>
          <w:tcPr>
            <w:tcW w:w="1163" w:type="dxa"/>
          </w:tcPr>
          <w:p w14:paraId="4C36CE03" w14:textId="77777777" w:rsidR="0016490A" w:rsidRDefault="0016490A" w:rsidP="00FE375A">
            <w:pPr>
              <w:jc w:val="right"/>
              <w:rPr>
                <w:rFonts w:cstheme="minorHAnsi"/>
                <w:bCs/>
              </w:rPr>
            </w:pPr>
            <w:r>
              <w:rPr>
                <w:rFonts w:cstheme="minorHAnsi"/>
                <w:bCs/>
              </w:rPr>
              <w:t>1282</w:t>
            </w:r>
          </w:p>
        </w:tc>
        <w:tc>
          <w:tcPr>
            <w:tcW w:w="2238" w:type="dxa"/>
          </w:tcPr>
          <w:p w14:paraId="6D8A1B0F" w14:textId="77777777" w:rsidR="0016490A" w:rsidRDefault="0016490A" w:rsidP="00FE375A">
            <w:pPr>
              <w:jc w:val="both"/>
              <w:rPr>
                <w:rFonts w:cstheme="minorHAnsi"/>
                <w:bCs/>
              </w:rPr>
            </w:pPr>
            <w:r>
              <w:rPr>
                <w:rFonts w:cstheme="minorHAnsi"/>
                <w:bCs/>
              </w:rPr>
              <w:t>167 (146-181)</w:t>
            </w:r>
          </w:p>
        </w:tc>
        <w:tc>
          <w:tcPr>
            <w:tcW w:w="1134" w:type="dxa"/>
          </w:tcPr>
          <w:p w14:paraId="663D03B6" w14:textId="77777777" w:rsidR="0016490A" w:rsidRDefault="0016490A" w:rsidP="00FE375A">
            <w:pPr>
              <w:jc w:val="right"/>
              <w:rPr>
                <w:rFonts w:cstheme="minorHAnsi"/>
                <w:bCs/>
              </w:rPr>
            </w:pPr>
            <w:r>
              <w:rPr>
                <w:rFonts w:cstheme="minorHAnsi"/>
                <w:bCs/>
              </w:rPr>
              <w:t>1417</w:t>
            </w:r>
          </w:p>
        </w:tc>
        <w:tc>
          <w:tcPr>
            <w:tcW w:w="2410" w:type="dxa"/>
          </w:tcPr>
          <w:p w14:paraId="4DC4414C" w14:textId="77777777" w:rsidR="0016490A" w:rsidRDefault="0016490A" w:rsidP="00FE375A">
            <w:pPr>
              <w:jc w:val="right"/>
              <w:rPr>
                <w:rFonts w:cstheme="minorHAnsi"/>
                <w:bCs/>
              </w:rPr>
            </w:pPr>
            <w:r>
              <w:rPr>
                <w:rFonts w:cstheme="minorHAnsi"/>
                <w:bCs/>
              </w:rPr>
              <w:t>139 (118-153)</w:t>
            </w:r>
          </w:p>
        </w:tc>
      </w:tr>
      <w:tr w:rsidR="0016490A" w14:paraId="7FE46947" w14:textId="77777777" w:rsidTr="00FE375A">
        <w:tc>
          <w:tcPr>
            <w:tcW w:w="2264" w:type="dxa"/>
          </w:tcPr>
          <w:p w14:paraId="7D36A925" w14:textId="77777777" w:rsidR="0016490A" w:rsidRDefault="0016490A" w:rsidP="00FE375A">
            <w:pPr>
              <w:jc w:val="both"/>
              <w:rPr>
                <w:rFonts w:cstheme="minorHAnsi"/>
                <w:bCs/>
              </w:rPr>
            </w:pPr>
            <w:r>
              <w:rPr>
                <w:rFonts w:cstheme="minorHAnsi"/>
                <w:bCs/>
              </w:rPr>
              <w:t>Sacubitril + Valsartan</w:t>
            </w:r>
          </w:p>
        </w:tc>
        <w:tc>
          <w:tcPr>
            <w:tcW w:w="1163" w:type="dxa"/>
          </w:tcPr>
          <w:p w14:paraId="3503F271" w14:textId="77777777" w:rsidR="0016490A" w:rsidRDefault="0016490A" w:rsidP="00FE375A">
            <w:pPr>
              <w:jc w:val="right"/>
              <w:rPr>
                <w:rFonts w:cstheme="minorHAnsi"/>
                <w:bCs/>
              </w:rPr>
            </w:pPr>
            <w:r>
              <w:rPr>
                <w:rFonts w:cstheme="minorHAnsi"/>
                <w:bCs/>
              </w:rPr>
              <w:t>3887</w:t>
            </w:r>
          </w:p>
        </w:tc>
        <w:tc>
          <w:tcPr>
            <w:tcW w:w="2238" w:type="dxa"/>
          </w:tcPr>
          <w:p w14:paraId="7378B895" w14:textId="77777777" w:rsidR="0016490A" w:rsidRDefault="0016490A" w:rsidP="00FE375A">
            <w:pPr>
              <w:jc w:val="both"/>
              <w:rPr>
                <w:rFonts w:cstheme="minorHAnsi"/>
                <w:bCs/>
              </w:rPr>
            </w:pPr>
            <w:r>
              <w:rPr>
                <w:rFonts w:cstheme="minorHAnsi"/>
                <w:bCs/>
              </w:rPr>
              <w:t>Over 365 days</w:t>
            </w:r>
          </w:p>
        </w:tc>
        <w:tc>
          <w:tcPr>
            <w:tcW w:w="1134" w:type="dxa"/>
          </w:tcPr>
          <w:p w14:paraId="794E1CAB" w14:textId="77777777" w:rsidR="0016490A" w:rsidRDefault="0016490A" w:rsidP="00FE375A">
            <w:pPr>
              <w:jc w:val="right"/>
              <w:rPr>
                <w:rFonts w:cstheme="minorHAnsi"/>
                <w:bCs/>
              </w:rPr>
            </w:pPr>
            <w:r>
              <w:rPr>
                <w:rFonts w:cstheme="minorHAnsi"/>
                <w:bCs/>
              </w:rPr>
              <w:t>4643</w:t>
            </w:r>
          </w:p>
        </w:tc>
        <w:tc>
          <w:tcPr>
            <w:tcW w:w="2410" w:type="dxa"/>
          </w:tcPr>
          <w:p w14:paraId="44AEC5BB" w14:textId="77777777" w:rsidR="0016490A" w:rsidRDefault="0016490A" w:rsidP="00FE375A">
            <w:pPr>
              <w:jc w:val="right"/>
              <w:rPr>
                <w:rFonts w:cstheme="minorHAnsi"/>
                <w:bCs/>
              </w:rPr>
            </w:pPr>
            <w:r>
              <w:rPr>
                <w:rFonts w:cstheme="minorHAnsi"/>
                <w:bCs/>
              </w:rPr>
              <w:t>Over 365 days</w:t>
            </w:r>
          </w:p>
        </w:tc>
      </w:tr>
    </w:tbl>
    <w:p w14:paraId="78A7BA88" w14:textId="77777777" w:rsidR="0016490A" w:rsidRDefault="0016490A" w:rsidP="0016490A">
      <w:pPr>
        <w:rPr>
          <w:lang w:val="en-US"/>
        </w:rPr>
      </w:pPr>
    </w:p>
    <w:p w14:paraId="2B2CE45D" w14:textId="77777777" w:rsidR="008F6176" w:rsidRDefault="008F6176">
      <w:pPr>
        <w:rPr>
          <w:rFonts w:asciiTheme="majorHAnsi" w:eastAsiaTheme="majorEastAsia" w:hAnsiTheme="majorHAnsi" w:cstheme="majorBidi"/>
          <w:i/>
          <w:iCs/>
          <w:color w:val="365F91" w:themeColor="accent1" w:themeShade="BF"/>
        </w:rPr>
      </w:pPr>
      <w:r>
        <w:br w:type="page"/>
      </w:r>
    </w:p>
    <w:p w14:paraId="55ABE96B" w14:textId="6B6C0C9D" w:rsidR="0016490A" w:rsidRPr="000C435D" w:rsidRDefault="008F6176" w:rsidP="000C435D">
      <w:pPr>
        <w:rPr>
          <w:b/>
          <w:bCs/>
        </w:rPr>
      </w:pPr>
      <w:r w:rsidRPr="000C435D">
        <w:rPr>
          <w:b/>
          <w:bCs/>
        </w:rPr>
        <w:t>Time to</w:t>
      </w:r>
      <w:r w:rsidR="0016490A" w:rsidRPr="000C435D">
        <w:rPr>
          <w:b/>
          <w:bCs/>
        </w:rPr>
        <w:t xml:space="preserve"> add-on</w:t>
      </w:r>
      <w:r w:rsidRPr="000C435D">
        <w:rPr>
          <w:b/>
          <w:bCs/>
        </w:rPr>
        <w:t xml:space="preserve"> or cessation by individual medicine:</w:t>
      </w:r>
      <w:r w:rsidR="0016490A" w:rsidRPr="000C435D">
        <w:rPr>
          <w:b/>
          <w:bCs/>
        </w:rPr>
        <w:t xml:space="preserve"> 2020 and 2021 cohorts</w:t>
      </w:r>
    </w:p>
    <w:p w14:paraId="3F268B02" w14:textId="1CB43D81" w:rsidR="0016490A" w:rsidRPr="00DF69F9" w:rsidRDefault="0016490A" w:rsidP="0016490A">
      <w:pPr>
        <w:jc w:val="both"/>
        <w:rPr>
          <w:rFonts w:cstheme="minorHAnsi"/>
          <w:b/>
          <w:i/>
          <w:iCs/>
        </w:rPr>
      </w:pPr>
      <w:r>
        <w:rPr>
          <w:rFonts w:cstheme="minorHAnsi"/>
          <w:bCs/>
        </w:rPr>
        <w:t xml:space="preserve">Results from the Kaplan Meier survival analysis stratified by the individual HF restricted mono therapy are shown in Figure </w:t>
      </w:r>
      <w:r w:rsidR="00F332AB">
        <w:rPr>
          <w:rFonts w:cstheme="minorHAnsi"/>
          <w:bCs/>
        </w:rPr>
        <w:t>A</w:t>
      </w:r>
      <w:r w:rsidR="00FA1177">
        <w:rPr>
          <w:rFonts w:cstheme="minorHAnsi"/>
          <w:bCs/>
        </w:rPr>
        <w:t>8</w:t>
      </w:r>
      <w:r>
        <w:rPr>
          <w:rFonts w:cstheme="minorHAnsi"/>
          <w:bCs/>
        </w:rPr>
        <w:t xml:space="preserve">a, Figure </w:t>
      </w:r>
      <w:r w:rsidR="00F332AB">
        <w:rPr>
          <w:rFonts w:cstheme="minorHAnsi"/>
          <w:bCs/>
        </w:rPr>
        <w:t>A</w:t>
      </w:r>
      <w:r w:rsidR="00FA1177">
        <w:rPr>
          <w:rFonts w:cstheme="minorHAnsi"/>
          <w:bCs/>
        </w:rPr>
        <w:t>8</w:t>
      </w:r>
      <w:r>
        <w:rPr>
          <w:rFonts w:cstheme="minorHAnsi"/>
          <w:bCs/>
        </w:rPr>
        <w:t xml:space="preserve">b and in Table </w:t>
      </w:r>
      <w:r w:rsidR="00F332AB">
        <w:rPr>
          <w:rFonts w:cstheme="minorHAnsi"/>
          <w:bCs/>
        </w:rPr>
        <w:t>A5</w:t>
      </w:r>
      <w:r>
        <w:rPr>
          <w:rFonts w:cstheme="minorHAnsi"/>
          <w:bCs/>
        </w:rPr>
        <w:t xml:space="preserve"> It can be noted that the time to an addition to index therapy was slightly shorter for some of the HF restricted medicines (carvedilol, metoprolol, ivabradine and sacubitril + valsartan) in the 2021 cohort of initiators.</w:t>
      </w:r>
    </w:p>
    <w:tbl>
      <w:tblPr>
        <w:tblStyle w:val="TableGrid"/>
        <w:tblW w:w="14737" w:type="dxa"/>
        <w:tblLook w:val="04A0" w:firstRow="1" w:lastRow="0" w:firstColumn="1" w:lastColumn="0" w:noHBand="0" w:noVBand="1"/>
      </w:tblPr>
      <w:tblGrid>
        <w:gridCol w:w="7338"/>
        <w:gridCol w:w="7399"/>
      </w:tblGrid>
      <w:tr w:rsidR="0016490A" w14:paraId="04F8C062" w14:textId="77777777" w:rsidTr="00FE375A">
        <w:trPr>
          <w:trHeight w:val="6151"/>
        </w:trPr>
        <w:tc>
          <w:tcPr>
            <w:tcW w:w="7338" w:type="dxa"/>
          </w:tcPr>
          <w:p w14:paraId="44AF9D19" w14:textId="57090ACA" w:rsidR="0016490A" w:rsidRDefault="0016490A" w:rsidP="00FE375A">
            <w:pPr>
              <w:rPr>
                <w:lang w:val="en-US"/>
              </w:rPr>
            </w:pPr>
            <w:r>
              <w:rPr>
                <w:lang w:val="en-US"/>
              </w:rPr>
              <w:t xml:space="preserve"> </w:t>
            </w:r>
            <w:r>
              <w:rPr>
                <w:b/>
                <w:bCs/>
                <w:noProof/>
                <w:lang w:eastAsia="en-AU"/>
              </w:rPr>
              <w:drawing>
                <wp:inline distT="0" distB="0" distL="0" distR="0" wp14:anchorId="1B459296" wp14:editId="2305F21A">
                  <wp:extent cx="4349750" cy="3611301"/>
                  <wp:effectExtent l="0" t="0" r="0" b="8255"/>
                  <wp:docPr id="45" name="Picture 45" descr="Graph on the left hand side of the page showing that as time (days) elapses, the 2020 cohort of patients are more likely to have added another medicine to the index HF medicine or ceased the index HF medicine. Data for 7 individual medicines have been plot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Graph on the left hand side of the page showing that as time (days) elapses, the 2020 cohort of patients are more likely to have added another medicine to the index HF medicine or ceased the index HF medicine. Data for 7 individual medicines have been plotted. "/>
                          <pic:cNvPicPr/>
                        </pic:nvPicPr>
                        <pic:blipFill>
                          <a:blip r:embed="rId48">
                            <a:extLst>
                              <a:ext uri="{28A0092B-C50C-407E-A947-70E740481C1C}">
                                <a14:useLocalDpi xmlns:a14="http://schemas.microsoft.com/office/drawing/2010/main" val="0"/>
                              </a:ext>
                            </a:extLst>
                          </a:blip>
                          <a:stretch>
                            <a:fillRect/>
                          </a:stretch>
                        </pic:blipFill>
                        <pic:spPr>
                          <a:xfrm>
                            <a:off x="0" y="0"/>
                            <a:ext cx="4378577" cy="3635234"/>
                          </a:xfrm>
                          <a:prstGeom prst="rect">
                            <a:avLst/>
                          </a:prstGeom>
                        </pic:spPr>
                      </pic:pic>
                    </a:graphicData>
                  </a:graphic>
                </wp:inline>
              </w:drawing>
            </w:r>
            <w:r w:rsidRPr="00906E41">
              <w:rPr>
                <w:b/>
                <w:bCs/>
                <w:lang w:val="en-US"/>
              </w:rPr>
              <w:t xml:space="preserve">Figure </w:t>
            </w:r>
            <w:r w:rsidR="00F332AB">
              <w:rPr>
                <w:b/>
                <w:bCs/>
                <w:lang w:val="en-US"/>
              </w:rPr>
              <w:t>A</w:t>
            </w:r>
            <w:r w:rsidR="00FA1177">
              <w:rPr>
                <w:b/>
                <w:bCs/>
                <w:lang w:val="en-US"/>
              </w:rPr>
              <w:t>8</w:t>
            </w:r>
            <w:r w:rsidRPr="00906E41">
              <w:rPr>
                <w:b/>
                <w:bCs/>
                <w:lang w:val="en-US"/>
              </w:rPr>
              <w:t>a</w:t>
            </w:r>
            <w:r>
              <w:rPr>
                <w:lang w:val="en-US"/>
              </w:rPr>
              <w:t xml:space="preserve"> Time to add-on (2020 cohort), by index Hf restricted mono therapy</w:t>
            </w:r>
          </w:p>
        </w:tc>
        <w:tc>
          <w:tcPr>
            <w:tcW w:w="7399" w:type="dxa"/>
          </w:tcPr>
          <w:p w14:paraId="202AABF7" w14:textId="77777777" w:rsidR="0016490A" w:rsidRDefault="0016490A" w:rsidP="00FE375A">
            <w:pPr>
              <w:rPr>
                <w:noProof/>
              </w:rPr>
            </w:pPr>
          </w:p>
          <w:p w14:paraId="2013DB14" w14:textId="77777777" w:rsidR="0016490A" w:rsidRDefault="0016490A" w:rsidP="00FE375A">
            <w:pPr>
              <w:rPr>
                <w:lang w:val="en-US"/>
              </w:rPr>
            </w:pPr>
            <w:r>
              <w:rPr>
                <w:noProof/>
                <w:lang w:eastAsia="en-AU"/>
              </w:rPr>
              <w:drawing>
                <wp:inline distT="0" distB="0" distL="0" distR="0" wp14:anchorId="67EAEA68" wp14:editId="5A0DB308">
                  <wp:extent cx="4381500" cy="3455043"/>
                  <wp:effectExtent l="0" t="0" r="0" b="0"/>
                  <wp:docPr id="46" name="Picture 46" descr="Graph on the right hand side of the page showing that as time (days) elapses, the 2021 cohort of patients are more likely to have added another medicine to the index HF medicine or ceased the index HF medicine. Data for 7 individual medicines have been plot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Graph on the right hand side of the page showing that as time (days) elapses, the 2021 cohort of patients are more likely to have added another medicine to the index HF medicine or ceased the index HF medicine. Data for 7 individual medicines have been plotted. "/>
                          <pic:cNvPicPr/>
                        </pic:nvPicPr>
                        <pic:blipFill>
                          <a:blip r:embed="rId49">
                            <a:extLst>
                              <a:ext uri="{28A0092B-C50C-407E-A947-70E740481C1C}">
                                <a14:useLocalDpi xmlns:a14="http://schemas.microsoft.com/office/drawing/2010/main" val="0"/>
                              </a:ext>
                            </a:extLst>
                          </a:blip>
                          <a:stretch>
                            <a:fillRect/>
                          </a:stretch>
                        </pic:blipFill>
                        <pic:spPr>
                          <a:xfrm>
                            <a:off x="0" y="0"/>
                            <a:ext cx="4387469" cy="3459750"/>
                          </a:xfrm>
                          <a:prstGeom prst="rect">
                            <a:avLst/>
                          </a:prstGeom>
                        </pic:spPr>
                      </pic:pic>
                    </a:graphicData>
                  </a:graphic>
                </wp:inline>
              </w:drawing>
            </w:r>
          </w:p>
          <w:p w14:paraId="34C85885" w14:textId="5BAE9887" w:rsidR="0016490A" w:rsidRDefault="0016490A" w:rsidP="00FE375A">
            <w:pPr>
              <w:rPr>
                <w:lang w:val="en-US"/>
              </w:rPr>
            </w:pPr>
            <w:r w:rsidRPr="00906E41">
              <w:rPr>
                <w:b/>
                <w:bCs/>
                <w:lang w:val="en-US"/>
              </w:rPr>
              <w:t xml:space="preserve">Figure </w:t>
            </w:r>
            <w:r w:rsidR="00F332AB">
              <w:rPr>
                <w:b/>
                <w:bCs/>
                <w:lang w:val="en-US"/>
              </w:rPr>
              <w:t>A</w:t>
            </w:r>
            <w:r w:rsidR="00FA1177">
              <w:rPr>
                <w:b/>
                <w:bCs/>
                <w:lang w:val="en-US"/>
              </w:rPr>
              <w:t>8</w:t>
            </w:r>
            <w:r w:rsidRPr="00906E41">
              <w:rPr>
                <w:b/>
                <w:bCs/>
                <w:lang w:val="en-US"/>
              </w:rPr>
              <w:t>b</w:t>
            </w:r>
            <w:r>
              <w:rPr>
                <w:lang w:val="en-US"/>
              </w:rPr>
              <w:t xml:space="preserve"> Time to add-on (2021 cohort), by index HF restricted mono therapy</w:t>
            </w:r>
          </w:p>
        </w:tc>
      </w:tr>
    </w:tbl>
    <w:p w14:paraId="55F92FD0" w14:textId="77777777" w:rsidR="0016490A" w:rsidRDefault="0016490A" w:rsidP="0016490A">
      <w:pPr>
        <w:spacing w:after="0" w:line="240" w:lineRule="auto"/>
        <w:rPr>
          <w:rFonts w:cstheme="minorHAnsi"/>
          <w:i/>
          <w:iCs/>
          <w:sz w:val="18"/>
          <w:szCs w:val="18"/>
        </w:rPr>
      </w:pPr>
      <w:r w:rsidRPr="008E2AAA">
        <w:rPr>
          <w:rFonts w:cstheme="minorHAnsi"/>
          <w:i/>
          <w:iCs/>
          <w:sz w:val="18"/>
          <w:szCs w:val="18"/>
        </w:rPr>
        <w:t xml:space="preserve">Legend: </w:t>
      </w:r>
    </w:p>
    <w:p w14:paraId="53AC31F4" w14:textId="77777777" w:rsidR="0016490A" w:rsidRDefault="0016490A" w:rsidP="0016490A">
      <w:pPr>
        <w:spacing w:after="0" w:line="240" w:lineRule="auto"/>
        <w:rPr>
          <w:rFonts w:cstheme="minorHAnsi"/>
          <w:i/>
          <w:iCs/>
          <w:sz w:val="18"/>
          <w:szCs w:val="18"/>
        </w:rPr>
      </w:pPr>
      <w:r w:rsidRPr="008E2AAA">
        <w:rPr>
          <w:rFonts w:cstheme="minorHAnsi"/>
          <w:i/>
          <w:iCs/>
          <w:sz w:val="18"/>
          <w:szCs w:val="18"/>
        </w:rPr>
        <w:t>B</w:t>
      </w:r>
      <w:r>
        <w:rPr>
          <w:rFonts w:cstheme="minorHAnsi"/>
          <w:i/>
          <w:iCs/>
          <w:sz w:val="18"/>
          <w:szCs w:val="18"/>
        </w:rPr>
        <w:t>iso</w:t>
      </w:r>
      <w:r w:rsidRPr="008E2AAA">
        <w:rPr>
          <w:rFonts w:cstheme="minorHAnsi"/>
          <w:i/>
          <w:iCs/>
          <w:sz w:val="18"/>
          <w:szCs w:val="18"/>
        </w:rPr>
        <w:t xml:space="preserve"> – </w:t>
      </w:r>
      <w:r>
        <w:rPr>
          <w:rFonts w:cstheme="minorHAnsi"/>
          <w:i/>
          <w:iCs/>
          <w:sz w:val="18"/>
          <w:szCs w:val="18"/>
        </w:rPr>
        <w:t>Bisoprolol (BB); Nebi – Nebivolol (BB); Meto – Metoprolol (BB); Carv – Carvedilol (BB); S+V – Sacubitril+Valsartan (ARNI); Eple – Eplerenone (MRA for HF); Ivab - Ivabradine (HCN channel blocker)</w:t>
      </w:r>
    </w:p>
    <w:p w14:paraId="10052CFE" w14:textId="77777777" w:rsidR="0016490A" w:rsidRDefault="0016490A" w:rsidP="0016490A">
      <w:pPr>
        <w:spacing w:after="0" w:line="240" w:lineRule="auto"/>
        <w:rPr>
          <w:rFonts w:cstheme="minorHAnsi"/>
          <w:i/>
          <w:iCs/>
          <w:sz w:val="18"/>
          <w:szCs w:val="18"/>
        </w:rPr>
      </w:pPr>
    </w:p>
    <w:p w14:paraId="319BCD76" w14:textId="77777777" w:rsidR="0016490A" w:rsidRDefault="0016490A" w:rsidP="0016490A">
      <w:pPr>
        <w:spacing w:after="0" w:line="240" w:lineRule="auto"/>
        <w:rPr>
          <w:rFonts w:cstheme="minorHAnsi"/>
          <w:i/>
          <w:iCs/>
          <w:sz w:val="18"/>
          <w:szCs w:val="18"/>
        </w:rPr>
      </w:pPr>
    </w:p>
    <w:p w14:paraId="412602C1" w14:textId="77777777" w:rsidR="0016490A" w:rsidRDefault="0016490A" w:rsidP="0016490A">
      <w:pPr>
        <w:spacing w:after="0" w:line="240" w:lineRule="auto"/>
        <w:rPr>
          <w:rFonts w:cstheme="minorHAnsi"/>
          <w:i/>
          <w:iCs/>
          <w:sz w:val="18"/>
          <w:szCs w:val="18"/>
        </w:rPr>
      </w:pPr>
    </w:p>
    <w:p w14:paraId="6A448C9D" w14:textId="6C02D5AB" w:rsidR="0016490A" w:rsidRDefault="0016490A" w:rsidP="0016490A">
      <w:pPr>
        <w:spacing w:after="0"/>
        <w:jc w:val="both"/>
        <w:rPr>
          <w:rFonts w:cstheme="minorHAnsi"/>
          <w:bCs/>
        </w:rPr>
      </w:pPr>
      <w:r w:rsidRPr="005A5318">
        <w:rPr>
          <w:rFonts w:cstheme="minorHAnsi"/>
          <w:b/>
        </w:rPr>
        <w:t xml:space="preserve">Table </w:t>
      </w:r>
      <w:r w:rsidR="00F332AB">
        <w:rPr>
          <w:rFonts w:cstheme="minorHAnsi"/>
          <w:b/>
        </w:rPr>
        <w:t>A5</w:t>
      </w:r>
      <w:r w:rsidRPr="005A5318">
        <w:rPr>
          <w:rFonts w:cstheme="minorHAnsi"/>
          <w:b/>
        </w:rPr>
        <w:t>.</w:t>
      </w:r>
      <w:r>
        <w:rPr>
          <w:rFonts w:cstheme="minorHAnsi"/>
          <w:bCs/>
        </w:rPr>
        <w:t xml:space="preserve"> Model summary </w:t>
      </w:r>
      <w:r w:rsidR="000C435D">
        <w:rPr>
          <w:rFonts w:cstheme="minorHAnsi"/>
          <w:bCs/>
        </w:rPr>
        <w:t xml:space="preserve">for Figure A8a and Figure A8b </w:t>
      </w:r>
      <w:r>
        <w:rPr>
          <w:rFonts w:cstheme="minorHAnsi"/>
          <w:bCs/>
        </w:rPr>
        <w:t>(time from index therapy to an add-on</w:t>
      </w:r>
      <w:r w:rsidR="00583EBB">
        <w:rPr>
          <w:rFonts w:cstheme="minorHAnsi"/>
          <w:bCs/>
        </w:rPr>
        <w:t xml:space="preserve"> or cessation</w:t>
      </w:r>
      <w:r>
        <w:rPr>
          <w:rFonts w:cstheme="minorHAnsi"/>
          <w:bCs/>
        </w:rPr>
        <w:t>)</w:t>
      </w:r>
    </w:p>
    <w:tbl>
      <w:tblPr>
        <w:tblStyle w:val="TableGrid"/>
        <w:tblW w:w="0" w:type="auto"/>
        <w:tblLook w:val="04A0" w:firstRow="1" w:lastRow="0" w:firstColumn="1" w:lastColumn="0" w:noHBand="0" w:noVBand="1"/>
      </w:tblPr>
      <w:tblGrid>
        <w:gridCol w:w="2264"/>
        <w:gridCol w:w="1163"/>
        <w:gridCol w:w="2238"/>
        <w:gridCol w:w="1134"/>
        <w:gridCol w:w="2127"/>
      </w:tblGrid>
      <w:tr w:rsidR="0016490A" w14:paraId="2A6A1E43" w14:textId="77777777" w:rsidTr="00FE375A">
        <w:trPr>
          <w:tblHeader/>
        </w:trPr>
        <w:tc>
          <w:tcPr>
            <w:tcW w:w="2264" w:type="dxa"/>
          </w:tcPr>
          <w:p w14:paraId="62D34F74" w14:textId="77777777" w:rsidR="0016490A" w:rsidRDefault="0016490A" w:rsidP="00FE375A">
            <w:pPr>
              <w:jc w:val="both"/>
              <w:rPr>
                <w:rFonts w:cstheme="minorHAnsi"/>
                <w:bCs/>
              </w:rPr>
            </w:pPr>
          </w:p>
        </w:tc>
        <w:tc>
          <w:tcPr>
            <w:tcW w:w="3401" w:type="dxa"/>
            <w:gridSpan w:val="2"/>
          </w:tcPr>
          <w:p w14:paraId="5F9C0EF9" w14:textId="77777777" w:rsidR="0016490A" w:rsidRPr="00906E41" w:rsidRDefault="0016490A" w:rsidP="00FE375A">
            <w:pPr>
              <w:jc w:val="center"/>
              <w:rPr>
                <w:rFonts w:cstheme="minorHAnsi"/>
                <w:b/>
              </w:rPr>
            </w:pPr>
            <w:r w:rsidRPr="00906E41">
              <w:rPr>
                <w:rFonts w:cstheme="minorHAnsi"/>
                <w:b/>
              </w:rPr>
              <w:t>2020 initiators</w:t>
            </w:r>
          </w:p>
        </w:tc>
        <w:tc>
          <w:tcPr>
            <w:tcW w:w="3261" w:type="dxa"/>
            <w:gridSpan w:val="2"/>
          </w:tcPr>
          <w:p w14:paraId="00F74DA3" w14:textId="77777777" w:rsidR="0016490A" w:rsidRPr="00906E41" w:rsidRDefault="0016490A" w:rsidP="00FE375A">
            <w:pPr>
              <w:jc w:val="center"/>
              <w:rPr>
                <w:rFonts w:cstheme="minorHAnsi"/>
                <w:b/>
              </w:rPr>
            </w:pPr>
            <w:r w:rsidRPr="00906E41">
              <w:rPr>
                <w:rFonts w:cstheme="minorHAnsi"/>
                <w:b/>
              </w:rPr>
              <w:t>2021 initiators</w:t>
            </w:r>
          </w:p>
        </w:tc>
      </w:tr>
      <w:tr w:rsidR="0016490A" w14:paraId="75C11EFD" w14:textId="77777777" w:rsidTr="00FE375A">
        <w:tc>
          <w:tcPr>
            <w:tcW w:w="2264" w:type="dxa"/>
          </w:tcPr>
          <w:p w14:paraId="4417C516" w14:textId="77777777" w:rsidR="0016490A" w:rsidRDefault="0016490A" w:rsidP="00FE375A">
            <w:pPr>
              <w:jc w:val="both"/>
              <w:rPr>
                <w:rFonts w:cstheme="minorHAnsi"/>
                <w:bCs/>
              </w:rPr>
            </w:pPr>
            <w:r>
              <w:rPr>
                <w:rFonts w:cstheme="minorHAnsi"/>
                <w:bCs/>
              </w:rPr>
              <w:t>Index HF restricted mono therapy</w:t>
            </w:r>
          </w:p>
        </w:tc>
        <w:tc>
          <w:tcPr>
            <w:tcW w:w="1163" w:type="dxa"/>
          </w:tcPr>
          <w:p w14:paraId="5EF0ACAD" w14:textId="77777777" w:rsidR="0016490A" w:rsidRDefault="0016490A" w:rsidP="00FE375A">
            <w:pPr>
              <w:jc w:val="both"/>
              <w:rPr>
                <w:rFonts w:cstheme="minorHAnsi"/>
                <w:bCs/>
              </w:rPr>
            </w:pPr>
            <w:r>
              <w:rPr>
                <w:rFonts w:cstheme="minorHAnsi"/>
                <w:bCs/>
              </w:rPr>
              <w:t>Number of people</w:t>
            </w:r>
          </w:p>
        </w:tc>
        <w:tc>
          <w:tcPr>
            <w:tcW w:w="2238" w:type="dxa"/>
          </w:tcPr>
          <w:p w14:paraId="521D5C89" w14:textId="77777777" w:rsidR="0016490A" w:rsidRDefault="0016490A" w:rsidP="00FE375A">
            <w:pPr>
              <w:jc w:val="both"/>
              <w:rPr>
                <w:rFonts w:cstheme="minorHAnsi"/>
                <w:bCs/>
              </w:rPr>
            </w:pPr>
            <w:r>
              <w:rPr>
                <w:rFonts w:cstheme="minorHAnsi"/>
                <w:bCs/>
              </w:rPr>
              <w:t>Median time to add-on in days (95% CI)</w:t>
            </w:r>
          </w:p>
        </w:tc>
        <w:tc>
          <w:tcPr>
            <w:tcW w:w="1134" w:type="dxa"/>
          </w:tcPr>
          <w:p w14:paraId="4B73DEFE" w14:textId="77777777" w:rsidR="0016490A" w:rsidRDefault="0016490A" w:rsidP="00FE375A">
            <w:pPr>
              <w:jc w:val="both"/>
              <w:rPr>
                <w:rFonts w:cstheme="minorHAnsi"/>
                <w:bCs/>
              </w:rPr>
            </w:pPr>
            <w:r>
              <w:rPr>
                <w:rFonts w:cstheme="minorHAnsi"/>
                <w:bCs/>
              </w:rPr>
              <w:t>Number of people</w:t>
            </w:r>
          </w:p>
        </w:tc>
        <w:tc>
          <w:tcPr>
            <w:tcW w:w="2127" w:type="dxa"/>
          </w:tcPr>
          <w:p w14:paraId="373E8D57" w14:textId="77777777" w:rsidR="0016490A" w:rsidRDefault="0016490A" w:rsidP="00FE375A">
            <w:pPr>
              <w:jc w:val="both"/>
              <w:rPr>
                <w:rFonts w:cstheme="minorHAnsi"/>
                <w:bCs/>
              </w:rPr>
            </w:pPr>
            <w:r>
              <w:rPr>
                <w:rFonts w:cstheme="minorHAnsi"/>
                <w:bCs/>
              </w:rPr>
              <w:t>Median time to add-on in days (95% CI)</w:t>
            </w:r>
          </w:p>
        </w:tc>
      </w:tr>
      <w:tr w:rsidR="0016490A" w14:paraId="6753C869" w14:textId="77777777" w:rsidTr="00FE375A">
        <w:tc>
          <w:tcPr>
            <w:tcW w:w="2264" w:type="dxa"/>
          </w:tcPr>
          <w:p w14:paraId="0CCECEB1" w14:textId="77777777" w:rsidR="0016490A" w:rsidRDefault="0016490A" w:rsidP="00FE375A">
            <w:pPr>
              <w:jc w:val="both"/>
              <w:rPr>
                <w:rFonts w:cstheme="minorHAnsi"/>
                <w:bCs/>
              </w:rPr>
            </w:pPr>
            <w:r>
              <w:rPr>
                <w:rFonts w:cstheme="minorHAnsi"/>
                <w:bCs/>
              </w:rPr>
              <w:t>Bisoprolol</w:t>
            </w:r>
          </w:p>
        </w:tc>
        <w:tc>
          <w:tcPr>
            <w:tcW w:w="1163" w:type="dxa"/>
          </w:tcPr>
          <w:p w14:paraId="74DC1CA9" w14:textId="77777777" w:rsidR="0016490A" w:rsidRDefault="0016490A" w:rsidP="00FE375A">
            <w:pPr>
              <w:jc w:val="right"/>
              <w:rPr>
                <w:rFonts w:cstheme="minorHAnsi"/>
                <w:bCs/>
              </w:rPr>
            </w:pPr>
            <w:r>
              <w:rPr>
                <w:rFonts w:cstheme="minorHAnsi"/>
                <w:bCs/>
              </w:rPr>
              <w:t>30349</w:t>
            </w:r>
          </w:p>
        </w:tc>
        <w:tc>
          <w:tcPr>
            <w:tcW w:w="2238" w:type="dxa"/>
          </w:tcPr>
          <w:p w14:paraId="3B4480B9" w14:textId="77777777" w:rsidR="0016490A" w:rsidRPr="00906E41" w:rsidRDefault="0016490A" w:rsidP="00FE375A">
            <w:pPr>
              <w:jc w:val="both"/>
              <w:rPr>
                <w:rFonts w:cstheme="minorHAnsi"/>
                <w:bCs/>
              </w:rPr>
            </w:pPr>
            <w:r>
              <w:rPr>
                <w:rFonts w:cstheme="minorHAnsi"/>
                <w:bCs/>
              </w:rPr>
              <w:t xml:space="preserve">Over </w:t>
            </w:r>
            <w:r w:rsidRPr="00906E41">
              <w:rPr>
                <w:rFonts w:cstheme="minorHAnsi"/>
                <w:bCs/>
              </w:rPr>
              <w:t>365 days</w:t>
            </w:r>
          </w:p>
        </w:tc>
        <w:tc>
          <w:tcPr>
            <w:tcW w:w="1134" w:type="dxa"/>
          </w:tcPr>
          <w:p w14:paraId="4E0B0077" w14:textId="77777777" w:rsidR="0016490A" w:rsidRDefault="0016490A" w:rsidP="00FE375A">
            <w:pPr>
              <w:jc w:val="right"/>
              <w:rPr>
                <w:rFonts w:cstheme="minorHAnsi"/>
                <w:bCs/>
              </w:rPr>
            </w:pPr>
            <w:r>
              <w:rPr>
                <w:rFonts w:cstheme="minorHAnsi"/>
                <w:bCs/>
              </w:rPr>
              <w:t>30222</w:t>
            </w:r>
          </w:p>
        </w:tc>
        <w:tc>
          <w:tcPr>
            <w:tcW w:w="2127" w:type="dxa"/>
          </w:tcPr>
          <w:p w14:paraId="171DA51B" w14:textId="77777777" w:rsidR="0016490A" w:rsidRDefault="0016490A" w:rsidP="00FE375A">
            <w:pPr>
              <w:jc w:val="right"/>
              <w:rPr>
                <w:rFonts w:cstheme="minorHAnsi"/>
                <w:bCs/>
              </w:rPr>
            </w:pPr>
            <w:r>
              <w:rPr>
                <w:rFonts w:cstheme="minorHAnsi"/>
                <w:bCs/>
              </w:rPr>
              <w:t>Over 365 days</w:t>
            </w:r>
          </w:p>
        </w:tc>
      </w:tr>
      <w:tr w:rsidR="0016490A" w14:paraId="5441411C" w14:textId="77777777" w:rsidTr="00FE375A">
        <w:tc>
          <w:tcPr>
            <w:tcW w:w="2264" w:type="dxa"/>
          </w:tcPr>
          <w:p w14:paraId="143C488D" w14:textId="77777777" w:rsidR="0016490A" w:rsidRDefault="0016490A" w:rsidP="00FE375A">
            <w:pPr>
              <w:jc w:val="both"/>
              <w:rPr>
                <w:rFonts w:cstheme="minorHAnsi"/>
                <w:bCs/>
              </w:rPr>
            </w:pPr>
            <w:r>
              <w:rPr>
                <w:rFonts w:cstheme="minorHAnsi"/>
                <w:bCs/>
              </w:rPr>
              <w:t>Carvedilol</w:t>
            </w:r>
          </w:p>
        </w:tc>
        <w:tc>
          <w:tcPr>
            <w:tcW w:w="1163" w:type="dxa"/>
          </w:tcPr>
          <w:p w14:paraId="67B80BFB" w14:textId="77777777" w:rsidR="0016490A" w:rsidRDefault="0016490A" w:rsidP="00FE375A">
            <w:pPr>
              <w:jc w:val="right"/>
              <w:rPr>
                <w:rFonts w:cstheme="minorHAnsi"/>
                <w:bCs/>
              </w:rPr>
            </w:pPr>
            <w:r>
              <w:rPr>
                <w:rFonts w:cstheme="minorHAnsi"/>
                <w:bCs/>
              </w:rPr>
              <w:t>3023</w:t>
            </w:r>
          </w:p>
        </w:tc>
        <w:tc>
          <w:tcPr>
            <w:tcW w:w="2238" w:type="dxa"/>
          </w:tcPr>
          <w:p w14:paraId="1AB09652" w14:textId="77777777" w:rsidR="0016490A" w:rsidRDefault="0016490A" w:rsidP="00FE375A">
            <w:pPr>
              <w:jc w:val="both"/>
              <w:rPr>
                <w:rFonts w:cstheme="minorHAnsi"/>
                <w:bCs/>
              </w:rPr>
            </w:pPr>
            <w:r>
              <w:rPr>
                <w:rFonts w:cstheme="minorHAnsi"/>
                <w:bCs/>
              </w:rPr>
              <w:t>349 (321-365)</w:t>
            </w:r>
          </w:p>
        </w:tc>
        <w:tc>
          <w:tcPr>
            <w:tcW w:w="1134" w:type="dxa"/>
          </w:tcPr>
          <w:p w14:paraId="03837E1E" w14:textId="77777777" w:rsidR="0016490A" w:rsidRDefault="0016490A" w:rsidP="00FE375A">
            <w:pPr>
              <w:jc w:val="right"/>
              <w:rPr>
                <w:rFonts w:cstheme="minorHAnsi"/>
                <w:bCs/>
              </w:rPr>
            </w:pPr>
            <w:r>
              <w:rPr>
                <w:rFonts w:cstheme="minorHAnsi"/>
                <w:bCs/>
              </w:rPr>
              <w:t>2966</w:t>
            </w:r>
          </w:p>
        </w:tc>
        <w:tc>
          <w:tcPr>
            <w:tcW w:w="2127" w:type="dxa"/>
          </w:tcPr>
          <w:p w14:paraId="6689EC75" w14:textId="77777777" w:rsidR="0016490A" w:rsidRDefault="0016490A" w:rsidP="00FE375A">
            <w:pPr>
              <w:jc w:val="right"/>
              <w:rPr>
                <w:rFonts w:cstheme="minorHAnsi"/>
                <w:bCs/>
              </w:rPr>
            </w:pPr>
            <w:r>
              <w:rPr>
                <w:rFonts w:cstheme="minorHAnsi"/>
                <w:bCs/>
              </w:rPr>
              <w:t>300 (279-342)</w:t>
            </w:r>
          </w:p>
        </w:tc>
      </w:tr>
      <w:tr w:rsidR="0016490A" w14:paraId="482DA661" w14:textId="77777777" w:rsidTr="00FE375A">
        <w:tc>
          <w:tcPr>
            <w:tcW w:w="2264" w:type="dxa"/>
          </w:tcPr>
          <w:p w14:paraId="666BABA2" w14:textId="77777777" w:rsidR="0016490A" w:rsidRDefault="0016490A" w:rsidP="00FE375A">
            <w:pPr>
              <w:jc w:val="both"/>
              <w:rPr>
                <w:rFonts w:cstheme="minorHAnsi"/>
                <w:bCs/>
              </w:rPr>
            </w:pPr>
            <w:r>
              <w:rPr>
                <w:rFonts w:cstheme="minorHAnsi"/>
                <w:bCs/>
              </w:rPr>
              <w:t>Metoprolol</w:t>
            </w:r>
          </w:p>
        </w:tc>
        <w:tc>
          <w:tcPr>
            <w:tcW w:w="1163" w:type="dxa"/>
          </w:tcPr>
          <w:p w14:paraId="4BA4453C" w14:textId="77777777" w:rsidR="0016490A" w:rsidRDefault="0016490A" w:rsidP="00FE375A">
            <w:pPr>
              <w:jc w:val="right"/>
              <w:rPr>
                <w:rFonts w:cstheme="minorHAnsi"/>
                <w:bCs/>
              </w:rPr>
            </w:pPr>
            <w:r>
              <w:rPr>
                <w:rFonts w:cstheme="minorHAnsi"/>
                <w:bCs/>
              </w:rPr>
              <w:t>3539</w:t>
            </w:r>
          </w:p>
        </w:tc>
        <w:tc>
          <w:tcPr>
            <w:tcW w:w="2238" w:type="dxa"/>
          </w:tcPr>
          <w:p w14:paraId="7800F166" w14:textId="77777777" w:rsidR="0016490A" w:rsidRPr="00906E41" w:rsidRDefault="0016490A" w:rsidP="00FE375A">
            <w:pPr>
              <w:jc w:val="both"/>
              <w:rPr>
                <w:rFonts w:cstheme="minorHAnsi"/>
                <w:bCs/>
              </w:rPr>
            </w:pPr>
            <w:r>
              <w:rPr>
                <w:rFonts w:cstheme="minorHAnsi"/>
                <w:bCs/>
              </w:rPr>
              <w:t>Over 365 days</w:t>
            </w:r>
          </w:p>
        </w:tc>
        <w:tc>
          <w:tcPr>
            <w:tcW w:w="1134" w:type="dxa"/>
          </w:tcPr>
          <w:p w14:paraId="5739D7C1" w14:textId="77777777" w:rsidR="0016490A" w:rsidRDefault="0016490A" w:rsidP="00FE375A">
            <w:pPr>
              <w:jc w:val="right"/>
              <w:rPr>
                <w:rFonts w:cstheme="minorHAnsi"/>
                <w:bCs/>
              </w:rPr>
            </w:pPr>
            <w:r>
              <w:rPr>
                <w:rFonts w:cstheme="minorHAnsi"/>
                <w:bCs/>
              </w:rPr>
              <w:t>3690</w:t>
            </w:r>
          </w:p>
        </w:tc>
        <w:tc>
          <w:tcPr>
            <w:tcW w:w="2127" w:type="dxa"/>
          </w:tcPr>
          <w:p w14:paraId="6116F123" w14:textId="77777777" w:rsidR="0016490A" w:rsidRDefault="0016490A" w:rsidP="00FE375A">
            <w:pPr>
              <w:jc w:val="right"/>
              <w:rPr>
                <w:rFonts w:cstheme="minorHAnsi"/>
                <w:bCs/>
              </w:rPr>
            </w:pPr>
            <w:r>
              <w:rPr>
                <w:rFonts w:cstheme="minorHAnsi"/>
                <w:bCs/>
              </w:rPr>
              <w:t>321 (300-342)</w:t>
            </w:r>
          </w:p>
        </w:tc>
      </w:tr>
      <w:tr w:rsidR="0016490A" w14:paraId="4375D4E3" w14:textId="77777777" w:rsidTr="00FE375A">
        <w:tc>
          <w:tcPr>
            <w:tcW w:w="2264" w:type="dxa"/>
          </w:tcPr>
          <w:p w14:paraId="1A54A8D6" w14:textId="77777777" w:rsidR="0016490A" w:rsidRDefault="0016490A" w:rsidP="00FE375A">
            <w:pPr>
              <w:jc w:val="both"/>
              <w:rPr>
                <w:rFonts w:cstheme="minorHAnsi"/>
                <w:bCs/>
              </w:rPr>
            </w:pPr>
            <w:r>
              <w:rPr>
                <w:rFonts w:cstheme="minorHAnsi"/>
                <w:bCs/>
              </w:rPr>
              <w:t>Nebivolol</w:t>
            </w:r>
          </w:p>
        </w:tc>
        <w:tc>
          <w:tcPr>
            <w:tcW w:w="1163" w:type="dxa"/>
          </w:tcPr>
          <w:p w14:paraId="3CDDEC2A" w14:textId="77777777" w:rsidR="0016490A" w:rsidRDefault="0016490A" w:rsidP="00FE375A">
            <w:pPr>
              <w:jc w:val="right"/>
              <w:rPr>
                <w:rFonts w:cstheme="minorHAnsi"/>
                <w:bCs/>
              </w:rPr>
            </w:pPr>
            <w:r>
              <w:rPr>
                <w:rFonts w:cstheme="minorHAnsi"/>
                <w:bCs/>
              </w:rPr>
              <w:t>9950</w:t>
            </w:r>
          </w:p>
        </w:tc>
        <w:tc>
          <w:tcPr>
            <w:tcW w:w="2238" w:type="dxa"/>
          </w:tcPr>
          <w:p w14:paraId="28B9D99B" w14:textId="77777777" w:rsidR="0016490A" w:rsidRDefault="0016490A" w:rsidP="00FE375A">
            <w:pPr>
              <w:jc w:val="both"/>
              <w:rPr>
                <w:rFonts w:cstheme="minorHAnsi"/>
                <w:bCs/>
              </w:rPr>
            </w:pPr>
            <w:r>
              <w:rPr>
                <w:rFonts w:cstheme="minorHAnsi"/>
                <w:bCs/>
              </w:rPr>
              <w:t>Over 365 days</w:t>
            </w:r>
          </w:p>
        </w:tc>
        <w:tc>
          <w:tcPr>
            <w:tcW w:w="1134" w:type="dxa"/>
          </w:tcPr>
          <w:p w14:paraId="7CDDDAAF" w14:textId="77777777" w:rsidR="0016490A" w:rsidRDefault="0016490A" w:rsidP="00FE375A">
            <w:pPr>
              <w:jc w:val="right"/>
              <w:rPr>
                <w:rFonts w:cstheme="minorHAnsi"/>
                <w:bCs/>
              </w:rPr>
            </w:pPr>
            <w:r>
              <w:rPr>
                <w:rFonts w:cstheme="minorHAnsi"/>
                <w:bCs/>
              </w:rPr>
              <w:t>10573</w:t>
            </w:r>
          </w:p>
        </w:tc>
        <w:tc>
          <w:tcPr>
            <w:tcW w:w="2127" w:type="dxa"/>
          </w:tcPr>
          <w:p w14:paraId="661B616F" w14:textId="77777777" w:rsidR="0016490A" w:rsidRDefault="0016490A" w:rsidP="00FE375A">
            <w:pPr>
              <w:jc w:val="right"/>
              <w:rPr>
                <w:rFonts w:cstheme="minorHAnsi"/>
                <w:bCs/>
              </w:rPr>
            </w:pPr>
            <w:r>
              <w:rPr>
                <w:rFonts w:cstheme="minorHAnsi"/>
                <w:bCs/>
              </w:rPr>
              <w:t>Over 365 days</w:t>
            </w:r>
          </w:p>
        </w:tc>
      </w:tr>
      <w:tr w:rsidR="0016490A" w14:paraId="7796D65D" w14:textId="77777777" w:rsidTr="00FE375A">
        <w:tc>
          <w:tcPr>
            <w:tcW w:w="2264" w:type="dxa"/>
          </w:tcPr>
          <w:p w14:paraId="1A74E215" w14:textId="77777777" w:rsidR="0016490A" w:rsidRDefault="0016490A" w:rsidP="00FE375A">
            <w:pPr>
              <w:jc w:val="both"/>
              <w:rPr>
                <w:rFonts w:cstheme="minorHAnsi"/>
                <w:bCs/>
              </w:rPr>
            </w:pPr>
            <w:r>
              <w:rPr>
                <w:rFonts w:cstheme="minorHAnsi"/>
                <w:bCs/>
              </w:rPr>
              <w:t>Eplerenone</w:t>
            </w:r>
          </w:p>
        </w:tc>
        <w:tc>
          <w:tcPr>
            <w:tcW w:w="1163" w:type="dxa"/>
          </w:tcPr>
          <w:p w14:paraId="1111FC66" w14:textId="77777777" w:rsidR="0016490A" w:rsidRDefault="0016490A" w:rsidP="00FE375A">
            <w:pPr>
              <w:jc w:val="right"/>
              <w:rPr>
                <w:rFonts w:cstheme="minorHAnsi"/>
                <w:bCs/>
              </w:rPr>
            </w:pPr>
            <w:r>
              <w:rPr>
                <w:rFonts w:cstheme="minorHAnsi"/>
                <w:bCs/>
              </w:rPr>
              <w:t>844</w:t>
            </w:r>
          </w:p>
        </w:tc>
        <w:tc>
          <w:tcPr>
            <w:tcW w:w="2238" w:type="dxa"/>
          </w:tcPr>
          <w:p w14:paraId="7A0C9471" w14:textId="77777777" w:rsidR="0016490A" w:rsidRDefault="0016490A" w:rsidP="00FE375A">
            <w:pPr>
              <w:jc w:val="both"/>
              <w:rPr>
                <w:rFonts w:cstheme="minorHAnsi"/>
                <w:bCs/>
              </w:rPr>
            </w:pPr>
            <w:r>
              <w:rPr>
                <w:rFonts w:cstheme="minorHAnsi"/>
                <w:bCs/>
              </w:rPr>
              <w:t>223 (195-265)</w:t>
            </w:r>
          </w:p>
        </w:tc>
        <w:tc>
          <w:tcPr>
            <w:tcW w:w="1134" w:type="dxa"/>
          </w:tcPr>
          <w:p w14:paraId="4FA7A684" w14:textId="77777777" w:rsidR="0016490A" w:rsidRDefault="0016490A" w:rsidP="00FE375A">
            <w:pPr>
              <w:jc w:val="right"/>
              <w:rPr>
                <w:rFonts w:cstheme="minorHAnsi"/>
                <w:bCs/>
              </w:rPr>
            </w:pPr>
            <w:r>
              <w:rPr>
                <w:rFonts w:cstheme="minorHAnsi"/>
                <w:bCs/>
              </w:rPr>
              <w:t>868</w:t>
            </w:r>
          </w:p>
        </w:tc>
        <w:tc>
          <w:tcPr>
            <w:tcW w:w="2127" w:type="dxa"/>
          </w:tcPr>
          <w:p w14:paraId="6DABEC58" w14:textId="77777777" w:rsidR="0016490A" w:rsidRDefault="0016490A" w:rsidP="00FE375A">
            <w:pPr>
              <w:jc w:val="right"/>
              <w:rPr>
                <w:rFonts w:cstheme="minorHAnsi"/>
                <w:bCs/>
              </w:rPr>
            </w:pPr>
            <w:r>
              <w:rPr>
                <w:rFonts w:cstheme="minorHAnsi"/>
                <w:bCs/>
              </w:rPr>
              <w:t>223 (195-251)</w:t>
            </w:r>
          </w:p>
        </w:tc>
      </w:tr>
      <w:tr w:rsidR="0016490A" w14:paraId="5DA6932A" w14:textId="77777777" w:rsidTr="00FE375A">
        <w:tc>
          <w:tcPr>
            <w:tcW w:w="2264" w:type="dxa"/>
          </w:tcPr>
          <w:p w14:paraId="70AAAB4A" w14:textId="77777777" w:rsidR="0016490A" w:rsidRDefault="0016490A" w:rsidP="00FE375A">
            <w:pPr>
              <w:jc w:val="both"/>
              <w:rPr>
                <w:rFonts w:cstheme="minorHAnsi"/>
                <w:bCs/>
              </w:rPr>
            </w:pPr>
            <w:r>
              <w:rPr>
                <w:rFonts w:cstheme="minorHAnsi"/>
                <w:bCs/>
              </w:rPr>
              <w:t>Ivabradine</w:t>
            </w:r>
          </w:p>
        </w:tc>
        <w:tc>
          <w:tcPr>
            <w:tcW w:w="1163" w:type="dxa"/>
          </w:tcPr>
          <w:p w14:paraId="5E7A1950" w14:textId="77777777" w:rsidR="0016490A" w:rsidRDefault="0016490A" w:rsidP="00FE375A">
            <w:pPr>
              <w:jc w:val="right"/>
              <w:rPr>
                <w:rFonts w:cstheme="minorHAnsi"/>
                <w:bCs/>
              </w:rPr>
            </w:pPr>
            <w:r>
              <w:rPr>
                <w:rFonts w:cstheme="minorHAnsi"/>
                <w:bCs/>
              </w:rPr>
              <w:t>1282</w:t>
            </w:r>
          </w:p>
        </w:tc>
        <w:tc>
          <w:tcPr>
            <w:tcW w:w="2238" w:type="dxa"/>
          </w:tcPr>
          <w:p w14:paraId="0D29ED67" w14:textId="77777777" w:rsidR="0016490A" w:rsidRDefault="0016490A" w:rsidP="00FE375A">
            <w:pPr>
              <w:jc w:val="both"/>
              <w:rPr>
                <w:rFonts w:cstheme="minorHAnsi"/>
                <w:bCs/>
              </w:rPr>
            </w:pPr>
            <w:r>
              <w:rPr>
                <w:rFonts w:cstheme="minorHAnsi"/>
                <w:bCs/>
              </w:rPr>
              <w:t>160 (146-180)</w:t>
            </w:r>
          </w:p>
        </w:tc>
        <w:tc>
          <w:tcPr>
            <w:tcW w:w="1134" w:type="dxa"/>
          </w:tcPr>
          <w:p w14:paraId="1C854C01" w14:textId="77777777" w:rsidR="0016490A" w:rsidRDefault="0016490A" w:rsidP="00FE375A">
            <w:pPr>
              <w:jc w:val="right"/>
              <w:rPr>
                <w:rFonts w:cstheme="minorHAnsi"/>
                <w:bCs/>
              </w:rPr>
            </w:pPr>
            <w:r>
              <w:rPr>
                <w:rFonts w:cstheme="minorHAnsi"/>
                <w:bCs/>
              </w:rPr>
              <w:t>1417</w:t>
            </w:r>
          </w:p>
        </w:tc>
        <w:tc>
          <w:tcPr>
            <w:tcW w:w="2127" w:type="dxa"/>
          </w:tcPr>
          <w:p w14:paraId="40C1960F" w14:textId="77777777" w:rsidR="0016490A" w:rsidRDefault="0016490A" w:rsidP="00FE375A">
            <w:pPr>
              <w:jc w:val="right"/>
              <w:rPr>
                <w:rFonts w:cstheme="minorHAnsi"/>
                <w:bCs/>
              </w:rPr>
            </w:pPr>
            <w:r>
              <w:rPr>
                <w:rFonts w:cstheme="minorHAnsi"/>
                <w:bCs/>
              </w:rPr>
              <w:t>139 (118-152)</w:t>
            </w:r>
          </w:p>
        </w:tc>
      </w:tr>
      <w:tr w:rsidR="0016490A" w14:paraId="3A470FDE" w14:textId="77777777" w:rsidTr="00FE375A">
        <w:tc>
          <w:tcPr>
            <w:tcW w:w="2264" w:type="dxa"/>
          </w:tcPr>
          <w:p w14:paraId="5A68AAAB" w14:textId="77777777" w:rsidR="0016490A" w:rsidRDefault="0016490A" w:rsidP="00FE375A">
            <w:pPr>
              <w:jc w:val="both"/>
              <w:rPr>
                <w:rFonts w:cstheme="minorHAnsi"/>
                <w:bCs/>
              </w:rPr>
            </w:pPr>
            <w:r>
              <w:rPr>
                <w:rFonts w:cstheme="minorHAnsi"/>
                <w:bCs/>
              </w:rPr>
              <w:t>Sacubitril + Valsartan</w:t>
            </w:r>
          </w:p>
        </w:tc>
        <w:tc>
          <w:tcPr>
            <w:tcW w:w="1163" w:type="dxa"/>
          </w:tcPr>
          <w:p w14:paraId="7C6837FC" w14:textId="77777777" w:rsidR="0016490A" w:rsidRDefault="0016490A" w:rsidP="00FE375A">
            <w:pPr>
              <w:jc w:val="right"/>
              <w:rPr>
                <w:rFonts w:cstheme="minorHAnsi"/>
                <w:bCs/>
              </w:rPr>
            </w:pPr>
            <w:r>
              <w:rPr>
                <w:rFonts w:cstheme="minorHAnsi"/>
                <w:bCs/>
              </w:rPr>
              <w:t>3887</w:t>
            </w:r>
          </w:p>
        </w:tc>
        <w:tc>
          <w:tcPr>
            <w:tcW w:w="2238" w:type="dxa"/>
          </w:tcPr>
          <w:p w14:paraId="4538C4E5" w14:textId="77777777" w:rsidR="0016490A" w:rsidRDefault="0016490A" w:rsidP="00FE375A">
            <w:pPr>
              <w:jc w:val="both"/>
              <w:rPr>
                <w:rFonts w:cstheme="minorHAnsi"/>
                <w:bCs/>
              </w:rPr>
            </w:pPr>
            <w:r>
              <w:rPr>
                <w:rFonts w:cstheme="minorHAnsi"/>
                <w:bCs/>
              </w:rPr>
              <w:t>Over 365 days</w:t>
            </w:r>
          </w:p>
        </w:tc>
        <w:tc>
          <w:tcPr>
            <w:tcW w:w="1134" w:type="dxa"/>
          </w:tcPr>
          <w:p w14:paraId="2DE652E5" w14:textId="77777777" w:rsidR="0016490A" w:rsidRDefault="0016490A" w:rsidP="00FE375A">
            <w:pPr>
              <w:jc w:val="right"/>
              <w:rPr>
                <w:rFonts w:cstheme="minorHAnsi"/>
                <w:bCs/>
              </w:rPr>
            </w:pPr>
            <w:r>
              <w:rPr>
                <w:rFonts w:cstheme="minorHAnsi"/>
                <w:bCs/>
              </w:rPr>
              <w:t>4643</w:t>
            </w:r>
          </w:p>
        </w:tc>
        <w:tc>
          <w:tcPr>
            <w:tcW w:w="2127" w:type="dxa"/>
          </w:tcPr>
          <w:p w14:paraId="7806DC87" w14:textId="77777777" w:rsidR="0016490A" w:rsidRDefault="0016490A" w:rsidP="00FE375A">
            <w:pPr>
              <w:jc w:val="right"/>
              <w:rPr>
                <w:rFonts w:cstheme="minorHAnsi"/>
                <w:bCs/>
              </w:rPr>
            </w:pPr>
            <w:r>
              <w:rPr>
                <w:rFonts w:cstheme="minorHAnsi"/>
                <w:bCs/>
              </w:rPr>
              <w:t xml:space="preserve"> 363 (349-365)</w:t>
            </w:r>
          </w:p>
        </w:tc>
      </w:tr>
    </w:tbl>
    <w:p w14:paraId="533895FB" w14:textId="77777777" w:rsidR="0016490A" w:rsidRDefault="0016490A" w:rsidP="0016490A">
      <w:pPr>
        <w:jc w:val="both"/>
        <w:rPr>
          <w:rFonts w:cstheme="minorHAnsi"/>
          <w:b/>
          <w:i/>
          <w:iCs/>
        </w:rPr>
      </w:pPr>
    </w:p>
    <w:p w14:paraId="3CDEB253" w14:textId="77777777" w:rsidR="0016490A" w:rsidRDefault="0016490A" w:rsidP="0016490A">
      <w:pPr>
        <w:jc w:val="both"/>
        <w:rPr>
          <w:rFonts w:cstheme="minorHAnsi"/>
          <w:b/>
          <w:i/>
          <w:iCs/>
        </w:rPr>
      </w:pPr>
    </w:p>
    <w:p w14:paraId="466BE275" w14:textId="77777777" w:rsidR="0016490A" w:rsidRDefault="0016490A" w:rsidP="0016490A">
      <w:pPr>
        <w:jc w:val="both"/>
        <w:rPr>
          <w:rFonts w:cstheme="minorHAnsi"/>
          <w:b/>
          <w:i/>
          <w:iCs/>
        </w:rPr>
      </w:pPr>
    </w:p>
    <w:p w14:paraId="0B80201E" w14:textId="77777777" w:rsidR="0016490A" w:rsidRDefault="0016490A" w:rsidP="0016490A">
      <w:pPr>
        <w:jc w:val="both"/>
        <w:rPr>
          <w:rFonts w:cstheme="minorHAnsi"/>
          <w:b/>
          <w:i/>
          <w:iCs/>
        </w:rPr>
      </w:pPr>
    </w:p>
    <w:p w14:paraId="4D5CD6B8" w14:textId="77777777" w:rsidR="0016490A" w:rsidRDefault="0016490A" w:rsidP="0016490A">
      <w:pPr>
        <w:jc w:val="both"/>
        <w:rPr>
          <w:rFonts w:cstheme="minorHAnsi"/>
          <w:b/>
          <w:i/>
          <w:iCs/>
        </w:rPr>
      </w:pPr>
    </w:p>
    <w:p w14:paraId="7DA6370B" w14:textId="77777777" w:rsidR="0016490A" w:rsidRDefault="0016490A" w:rsidP="0016490A">
      <w:pPr>
        <w:jc w:val="both"/>
        <w:rPr>
          <w:rFonts w:cstheme="minorHAnsi"/>
          <w:b/>
          <w:i/>
          <w:iCs/>
        </w:rPr>
      </w:pPr>
    </w:p>
    <w:p w14:paraId="6C9A97E8" w14:textId="77777777" w:rsidR="0016490A" w:rsidRDefault="0016490A" w:rsidP="0016490A">
      <w:pPr>
        <w:jc w:val="both"/>
        <w:rPr>
          <w:rFonts w:cstheme="minorHAnsi"/>
          <w:b/>
          <w:i/>
          <w:iCs/>
        </w:rPr>
      </w:pPr>
    </w:p>
    <w:p w14:paraId="01C28351" w14:textId="77777777" w:rsidR="0016490A" w:rsidRDefault="0016490A" w:rsidP="0016490A">
      <w:pPr>
        <w:jc w:val="both"/>
        <w:rPr>
          <w:rFonts w:cstheme="minorHAnsi"/>
          <w:b/>
          <w:i/>
          <w:iCs/>
        </w:rPr>
      </w:pPr>
    </w:p>
    <w:p w14:paraId="1E345A6C" w14:textId="77777777" w:rsidR="0016490A" w:rsidRDefault="0016490A" w:rsidP="0016490A">
      <w:pPr>
        <w:jc w:val="both"/>
        <w:rPr>
          <w:rFonts w:cstheme="minorHAnsi"/>
          <w:b/>
          <w:i/>
          <w:iCs/>
        </w:rPr>
      </w:pPr>
    </w:p>
    <w:p w14:paraId="24A84196" w14:textId="117FF4DF" w:rsidR="008F6176" w:rsidRDefault="008F6176">
      <w:r>
        <w:br w:type="page"/>
      </w:r>
    </w:p>
    <w:p w14:paraId="17925D2F" w14:textId="7C55793A" w:rsidR="008F6176" w:rsidRPr="002D66BF" w:rsidRDefault="008F6176" w:rsidP="002D66BF">
      <w:pPr>
        <w:rPr>
          <w:b/>
          <w:bCs/>
        </w:rPr>
      </w:pPr>
      <w:r w:rsidRPr="002D66BF">
        <w:rPr>
          <w:b/>
          <w:bCs/>
        </w:rPr>
        <w:t xml:space="preserve">Time to change (switch, add-on or cessation, whichever is first) </w:t>
      </w:r>
      <w:r w:rsidR="000A5A49">
        <w:rPr>
          <w:b/>
          <w:bCs/>
        </w:rPr>
        <w:t xml:space="preserve">by </w:t>
      </w:r>
      <w:r w:rsidRPr="002D66BF">
        <w:rPr>
          <w:b/>
          <w:bCs/>
        </w:rPr>
        <w:t>individual medicine: 2020 and 2021 cohorts</w:t>
      </w:r>
    </w:p>
    <w:p w14:paraId="66C2BC75" w14:textId="406C1503" w:rsidR="0016490A" w:rsidRDefault="0016490A" w:rsidP="0016490A">
      <w:pPr>
        <w:jc w:val="both"/>
        <w:rPr>
          <w:rFonts w:cstheme="minorHAnsi"/>
          <w:bCs/>
        </w:rPr>
      </w:pPr>
      <w:r>
        <w:rPr>
          <w:rFonts w:cstheme="minorHAnsi"/>
          <w:bCs/>
        </w:rPr>
        <w:t xml:space="preserve">Results stratified by the individual HF restricted mono therapy are shown in Figure </w:t>
      </w:r>
      <w:r w:rsidR="00F332AB">
        <w:rPr>
          <w:rFonts w:cstheme="minorHAnsi"/>
          <w:bCs/>
        </w:rPr>
        <w:t>A</w:t>
      </w:r>
      <w:r w:rsidR="00FA1177">
        <w:rPr>
          <w:rFonts w:cstheme="minorHAnsi"/>
          <w:bCs/>
        </w:rPr>
        <w:t>9</w:t>
      </w:r>
      <w:r w:rsidR="00F332AB">
        <w:rPr>
          <w:rFonts w:cstheme="minorHAnsi"/>
          <w:bCs/>
        </w:rPr>
        <w:t>a</w:t>
      </w:r>
      <w:r>
        <w:rPr>
          <w:rFonts w:cstheme="minorHAnsi"/>
          <w:bCs/>
        </w:rPr>
        <w:t xml:space="preserve">, Figure </w:t>
      </w:r>
      <w:r w:rsidR="00F332AB">
        <w:rPr>
          <w:rFonts w:cstheme="minorHAnsi"/>
          <w:bCs/>
        </w:rPr>
        <w:t>A</w:t>
      </w:r>
      <w:r w:rsidR="00FA1177">
        <w:rPr>
          <w:rFonts w:cstheme="minorHAnsi"/>
          <w:bCs/>
        </w:rPr>
        <w:t>9</w:t>
      </w:r>
      <w:r w:rsidR="00F332AB">
        <w:rPr>
          <w:rFonts w:cstheme="minorHAnsi"/>
          <w:bCs/>
        </w:rPr>
        <w:t>b</w:t>
      </w:r>
      <w:r>
        <w:rPr>
          <w:rFonts w:cstheme="minorHAnsi"/>
          <w:bCs/>
        </w:rPr>
        <w:t xml:space="preserve"> and in Table </w:t>
      </w:r>
      <w:r w:rsidR="00F332AB">
        <w:rPr>
          <w:rFonts w:cstheme="minorHAnsi"/>
          <w:bCs/>
        </w:rPr>
        <w:t>A6</w:t>
      </w:r>
      <w:r>
        <w:rPr>
          <w:rFonts w:cstheme="minorHAnsi"/>
          <w:bCs/>
        </w:rPr>
        <w:t>. It can be noted that the time to a change in index therapy was slightly shorter for some of the HF medicines (carvedilol, metoprolol, ivabradine and sacubitril + valsartan) in the 2021 cohort of initiators.</w:t>
      </w:r>
    </w:p>
    <w:tbl>
      <w:tblPr>
        <w:tblStyle w:val="TableGrid"/>
        <w:tblW w:w="15021" w:type="dxa"/>
        <w:tblLook w:val="04A0" w:firstRow="1" w:lastRow="0" w:firstColumn="1" w:lastColumn="0" w:noHBand="0" w:noVBand="1"/>
      </w:tblPr>
      <w:tblGrid>
        <w:gridCol w:w="7626"/>
        <w:gridCol w:w="7395"/>
      </w:tblGrid>
      <w:tr w:rsidR="0016490A" w14:paraId="409108CD" w14:textId="77777777" w:rsidTr="008F6176">
        <w:trPr>
          <w:trHeight w:val="6825"/>
        </w:trPr>
        <w:tc>
          <w:tcPr>
            <w:tcW w:w="7626" w:type="dxa"/>
          </w:tcPr>
          <w:p w14:paraId="57C4B47C" w14:textId="77777777" w:rsidR="0016490A" w:rsidRDefault="0016490A" w:rsidP="00FE375A">
            <w:pPr>
              <w:rPr>
                <w:lang w:val="en-US"/>
              </w:rPr>
            </w:pPr>
            <w:r>
              <w:rPr>
                <w:noProof/>
                <w:lang w:eastAsia="en-AU"/>
              </w:rPr>
              <w:drawing>
                <wp:inline distT="0" distB="0" distL="0" distR="0" wp14:anchorId="0DE50653" wp14:editId="5A029A76">
                  <wp:extent cx="4704734" cy="3886200"/>
                  <wp:effectExtent l="0" t="0" r="635" b="0"/>
                  <wp:docPr id="37" name="Picture 37" descr="Graph on the left hand side of the page showing that as time (days) elapses, the 2020 cohort of patients are more likely to have any of: (1) added another medicine to the index HF medicine, (2) changed the index HF medicine or (3) ceased the index HF medicine. Data for 7 individual medicines have been plot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Graph on the left hand side of the page showing that as time (days) elapses, the 2020 cohort of patients are more likely to have any of: (1) added another medicine to the index HF medicine, (2) changed the index HF medicine or (3) ceased the index HF medicine. Data for 7 individual medicines have been plotted. "/>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708803" cy="3889561"/>
                          </a:xfrm>
                          <a:prstGeom prst="rect">
                            <a:avLst/>
                          </a:prstGeom>
                          <a:noFill/>
                          <a:ln>
                            <a:noFill/>
                          </a:ln>
                        </pic:spPr>
                      </pic:pic>
                    </a:graphicData>
                  </a:graphic>
                </wp:inline>
              </w:drawing>
            </w:r>
          </w:p>
          <w:p w14:paraId="304CED0A" w14:textId="7149308C" w:rsidR="0016490A" w:rsidRDefault="0016490A" w:rsidP="00FE375A">
            <w:pPr>
              <w:rPr>
                <w:lang w:val="en-US"/>
              </w:rPr>
            </w:pPr>
            <w:r w:rsidRPr="00906E41">
              <w:rPr>
                <w:b/>
                <w:bCs/>
                <w:lang w:val="en-US"/>
              </w:rPr>
              <w:t xml:space="preserve">Figure </w:t>
            </w:r>
            <w:r w:rsidR="00F332AB">
              <w:rPr>
                <w:b/>
                <w:bCs/>
                <w:lang w:val="en-US"/>
              </w:rPr>
              <w:t>A</w:t>
            </w:r>
            <w:r w:rsidR="00FA1177">
              <w:rPr>
                <w:b/>
                <w:bCs/>
                <w:lang w:val="en-US"/>
              </w:rPr>
              <w:t>9</w:t>
            </w:r>
            <w:r w:rsidR="00F332AB">
              <w:rPr>
                <w:b/>
                <w:bCs/>
                <w:lang w:val="en-US"/>
              </w:rPr>
              <w:t>a</w:t>
            </w:r>
            <w:r>
              <w:rPr>
                <w:lang w:val="en-US"/>
              </w:rPr>
              <w:t xml:space="preserve"> Time to change (2020 cohort), by index HF restricted mono therapy</w:t>
            </w:r>
          </w:p>
        </w:tc>
        <w:tc>
          <w:tcPr>
            <w:tcW w:w="7395" w:type="dxa"/>
          </w:tcPr>
          <w:p w14:paraId="122E5301" w14:textId="77777777" w:rsidR="0016490A" w:rsidRDefault="0016490A" w:rsidP="00FE375A">
            <w:pPr>
              <w:rPr>
                <w:lang w:val="en-US"/>
              </w:rPr>
            </w:pPr>
            <w:r>
              <w:rPr>
                <w:noProof/>
                <w:lang w:eastAsia="en-AU"/>
              </w:rPr>
              <w:drawing>
                <wp:inline distT="0" distB="0" distL="0" distR="0" wp14:anchorId="24DB34A1" wp14:editId="7CD89027">
                  <wp:extent cx="4292322" cy="3800475"/>
                  <wp:effectExtent l="0" t="0" r="0" b="0"/>
                  <wp:docPr id="38" name="Picture 38" descr="Graph on the right hand side of the page showing that as time (days) elapses, the 2021 cohort of patients are more likely to have any of: (1) added another medicine to the index HF medicine, (2) changed the index HF medicine or (3) ceased the index HF medicine. Data for 7 individual medicines have been plot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Graph on the right hand side of the page showing that as time (days) elapses, the 2021 cohort of patients are more likely to have any of: (1) added another medicine to the index HF medicine, (2) changed the index HF medicine or (3) ceased the index HF medicine. Data for 7 individual medicines have been plotted. "/>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300776" cy="3807960"/>
                          </a:xfrm>
                          <a:prstGeom prst="rect">
                            <a:avLst/>
                          </a:prstGeom>
                          <a:noFill/>
                          <a:ln>
                            <a:noFill/>
                          </a:ln>
                        </pic:spPr>
                      </pic:pic>
                    </a:graphicData>
                  </a:graphic>
                </wp:inline>
              </w:drawing>
            </w:r>
          </w:p>
          <w:p w14:paraId="163313F3" w14:textId="4B316656" w:rsidR="0016490A" w:rsidRDefault="0016490A" w:rsidP="00FE375A">
            <w:pPr>
              <w:rPr>
                <w:lang w:val="en-US"/>
              </w:rPr>
            </w:pPr>
            <w:r w:rsidRPr="00906E41">
              <w:rPr>
                <w:b/>
                <w:bCs/>
                <w:lang w:val="en-US"/>
              </w:rPr>
              <w:t xml:space="preserve">Figure </w:t>
            </w:r>
            <w:r w:rsidR="00F332AB">
              <w:rPr>
                <w:b/>
                <w:bCs/>
                <w:lang w:val="en-US"/>
              </w:rPr>
              <w:t>A</w:t>
            </w:r>
            <w:r w:rsidR="00FA1177">
              <w:rPr>
                <w:b/>
                <w:bCs/>
                <w:lang w:val="en-US"/>
              </w:rPr>
              <w:t>9</w:t>
            </w:r>
            <w:r w:rsidR="00F332AB">
              <w:rPr>
                <w:b/>
                <w:bCs/>
                <w:lang w:val="en-US"/>
              </w:rPr>
              <w:t>b</w:t>
            </w:r>
            <w:r>
              <w:rPr>
                <w:lang w:val="en-US"/>
              </w:rPr>
              <w:t xml:space="preserve"> Time to change (2021 cohort), by index HF restricted mono therapy</w:t>
            </w:r>
          </w:p>
        </w:tc>
      </w:tr>
    </w:tbl>
    <w:p w14:paraId="170B6ACE" w14:textId="77777777" w:rsidR="0016490A" w:rsidRDefault="0016490A" w:rsidP="0016490A">
      <w:pPr>
        <w:spacing w:after="0" w:line="240" w:lineRule="auto"/>
        <w:rPr>
          <w:rFonts w:cstheme="minorHAnsi"/>
          <w:i/>
          <w:iCs/>
          <w:sz w:val="18"/>
          <w:szCs w:val="18"/>
        </w:rPr>
      </w:pPr>
      <w:r w:rsidRPr="008E2AAA">
        <w:rPr>
          <w:rFonts w:cstheme="minorHAnsi"/>
          <w:i/>
          <w:iCs/>
          <w:sz w:val="18"/>
          <w:szCs w:val="18"/>
        </w:rPr>
        <w:t xml:space="preserve">Legend: </w:t>
      </w:r>
    </w:p>
    <w:p w14:paraId="2C0D1B82" w14:textId="77777777" w:rsidR="0016490A" w:rsidRDefault="0016490A" w:rsidP="0016490A">
      <w:pPr>
        <w:spacing w:after="0" w:line="240" w:lineRule="auto"/>
        <w:rPr>
          <w:rFonts w:cstheme="minorHAnsi"/>
          <w:i/>
          <w:iCs/>
          <w:sz w:val="18"/>
          <w:szCs w:val="18"/>
        </w:rPr>
      </w:pPr>
      <w:r w:rsidRPr="008E2AAA">
        <w:rPr>
          <w:rFonts w:cstheme="minorHAnsi"/>
          <w:i/>
          <w:iCs/>
          <w:sz w:val="18"/>
          <w:szCs w:val="18"/>
        </w:rPr>
        <w:t>B</w:t>
      </w:r>
      <w:r>
        <w:rPr>
          <w:rFonts w:cstheme="minorHAnsi"/>
          <w:i/>
          <w:iCs/>
          <w:sz w:val="18"/>
          <w:szCs w:val="18"/>
        </w:rPr>
        <w:t>iso</w:t>
      </w:r>
      <w:r w:rsidRPr="008E2AAA">
        <w:rPr>
          <w:rFonts w:cstheme="minorHAnsi"/>
          <w:i/>
          <w:iCs/>
          <w:sz w:val="18"/>
          <w:szCs w:val="18"/>
        </w:rPr>
        <w:t xml:space="preserve"> – </w:t>
      </w:r>
      <w:r>
        <w:rPr>
          <w:rFonts w:cstheme="minorHAnsi"/>
          <w:i/>
          <w:iCs/>
          <w:sz w:val="18"/>
          <w:szCs w:val="18"/>
        </w:rPr>
        <w:t>Bisoprolol (BB); Nebi – Nebivolol (BB); Meto – Metoprolol (BB); Carv – Carvedilol (BB); S+V – Sacubitril+Valsartan (ARNI); Eple – Eplerenone (MRA for HF); Ivab - Ivabradine (HCN channel blocker)</w:t>
      </w:r>
    </w:p>
    <w:p w14:paraId="2311CEEA" w14:textId="7E77ABB3" w:rsidR="00DE793F" w:rsidRDefault="008F6176" w:rsidP="002D66BF">
      <w:pPr>
        <w:rPr>
          <w:rFonts w:cstheme="minorHAnsi"/>
          <w:bCs/>
        </w:rPr>
      </w:pPr>
      <w:r>
        <w:rPr>
          <w:rFonts w:cstheme="minorHAnsi"/>
          <w:b/>
        </w:rPr>
        <w:br w:type="page"/>
      </w:r>
      <w:r w:rsidR="00DE793F" w:rsidRPr="005A5318">
        <w:rPr>
          <w:rFonts w:cstheme="minorHAnsi"/>
          <w:b/>
        </w:rPr>
        <w:t xml:space="preserve">Table </w:t>
      </w:r>
      <w:r w:rsidR="00F332AB">
        <w:rPr>
          <w:rFonts w:cstheme="minorHAnsi"/>
          <w:b/>
        </w:rPr>
        <w:t>A6</w:t>
      </w:r>
      <w:r w:rsidR="00DE793F" w:rsidRPr="005A5318">
        <w:rPr>
          <w:rFonts w:cstheme="minorHAnsi"/>
          <w:b/>
        </w:rPr>
        <w:t>.</w:t>
      </w:r>
      <w:r w:rsidR="00DE793F">
        <w:rPr>
          <w:rFonts w:cstheme="minorHAnsi"/>
          <w:bCs/>
        </w:rPr>
        <w:t xml:space="preserve"> Model summary </w:t>
      </w:r>
      <w:r w:rsidR="002D66BF">
        <w:rPr>
          <w:rFonts w:cstheme="minorHAnsi"/>
          <w:bCs/>
        </w:rPr>
        <w:t xml:space="preserve">for Figure A9a and Figure A9b </w:t>
      </w:r>
      <w:r w:rsidR="00577B7E">
        <w:rPr>
          <w:rFonts w:cstheme="minorHAnsi"/>
          <w:bCs/>
        </w:rPr>
        <w:t>(</w:t>
      </w:r>
      <w:r w:rsidR="00DE793F">
        <w:rPr>
          <w:rFonts w:cstheme="minorHAnsi"/>
          <w:bCs/>
        </w:rPr>
        <w:t xml:space="preserve">time </w:t>
      </w:r>
      <w:r w:rsidR="00577B7E">
        <w:rPr>
          <w:rFonts w:cstheme="minorHAnsi"/>
          <w:bCs/>
        </w:rPr>
        <w:t>from index therapy t</w:t>
      </w:r>
      <w:r w:rsidR="00DE793F">
        <w:rPr>
          <w:rFonts w:cstheme="minorHAnsi"/>
          <w:bCs/>
        </w:rPr>
        <w:t>o first change</w:t>
      </w:r>
      <w:r w:rsidR="002D66BF">
        <w:rPr>
          <w:rFonts w:cstheme="minorHAnsi"/>
          <w:bCs/>
        </w:rPr>
        <w:t xml:space="preserve"> (</w:t>
      </w:r>
      <w:r w:rsidR="00DE793F">
        <w:rPr>
          <w:rFonts w:cstheme="minorHAnsi"/>
          <w:bCs/>
        </w:rPr>
        <w:t>either a switch or add-on</w:t>
      </w:r>
      <w:r w:rsidR="002D66BF">
        <w:rPr>
          <w:rFonts w:cstheme="minorHAnsi"/>
          <w:bCs/>
        </w:rPr>
        <w:t xml:space="preserve"> or cessation</w:t>
      </w:r>
      <w:r w:rsidR="00577B7E">
        <w:rPr>
          <w:rFonts w:cstheme="minorHAnsi"/>
          <w:bCs/>
        </w:rPr>
        <w:t>)</w:t>
      </w:r>
      <w:r w:rsidR="002D66BF">
        <w:rPr>
          <w:rFonts w:cstheme="minorHAnsi"/>
          <w:bCs/>
        </w:rPr>
        <w:t>)</w:t>
      </w:r>
    </w:p>
    <w:tbl>
      <w:tblPr>
        <w:tblStyle w:val="TableGrid"/>
        <w:tblW w:w="9209" w:type="dxa"/>
        <w:tblLook w:val="04A0" w:firstRow="1" w:lastRow="0" w:firstColumn="1" w:lastColumn="0" w:noHBand="0" w:noVBand="1"/>
      </w:tblPr>
      <w:tblGrid>
        <w:gridCol w:w="2264"/>
        <w:gridCol w:w="1163"/>
        <w:gridCol w:w="2380"/>
        <w:gridCol w:w="1134"/>
        <w:gridCol w:w="2268"/>
      </w:tblGrid>
      <w:tr w:rsidR="00DE793F" w14:paraId="3C864BDC" w14:textId="77777777" w:rsidTr="00FE375A">
        <w:tc>
          <w:tcPr>
            <w:tcW w:w="2264" w:type="dxa"/>
          </w:tcPr>
          <w:p w14:paraId="7D3B9ED3" w14:textId="77777777" w:rsidR="00DE793F" w:rsidRDefault="00DE793F" w:rsidP="00FE375A">
            <w:pPr>
              <w:jc w:val="both"/>
              <w:rPr>
                <w:rFonts w:cstheme="minorHAnsi"/>
                <w:bCs/>
              </w:rPr>
            </w:pPr>
          </w:p>
        </w:tc>
        <w:tc>
          <w:tcPr>
            <w:tcW w:w="3543" w:type="dxa"/>
            <w:gridSpan w:val="2"/>
          </w:tcPr>
          <w:p w14:paraId="73491137" w14:textId="77777777" w:rsidR="00DE793F" w:rsidRPr="00906E41" w:rsidRDefault="00DE793F" w:rsidP="00FE375A">
            <w:pPr>
              <w:jc w:val="center"/>
              <w:rPr>
                <w:rFonts w:cstheme="minorHAnsi"/>
                <w:b/>
              </w:rPr>
            </w:pPr>
            <w:r w:rsidRPr="00906E41">
              <w:rPr>
                <w:rFonts w:cstheme="minorHAnsi"/>
                <w:b/>
              </w:rPr>
              <w:t>2020 initiators</w:t>
            </w:r>
          </w:p>
        </w:tc>
        <w:tc>
          <w:tcPr>
            <w:tcW w:w="3402" w:type="dxa"/>
            <w:gridSpan w:val="2"/>
          </w:tcPr>
          <w:p w14:paraId="552661E4" w14:textId="77777777" w:rsidR="00DE793F" w:rsidRPr="00906E41" w:rsidRDefault="00DE793F" w:rsidP="00FE375A">
            <w:pPr>
              <w:jc w:val="center"/>
              <w:rPr>
                <w:rFonts w:cstheme="minorHAnsi"/>
                <w:b/>
              </w:rPr>
            </w:pPr>
            <w:r w:rsidRPr="00906E41">
              <w:rPr>
                <w:rFonts w:cstheme="minorHAnsi"/>
                <w:b/>
              </w:rPr>
              <w:t>2021 initiators</w:t>
            </w:r>
          </w:p>
        </w:tc>
      </w:tr>
      <w:tr w:rsidR="00DE793F" w14:paraId="6F2776F3" w14:textId="77777777" w:rsidTr="00FE375A">
        <w:tc>
          <w:tcPr>
            <w:tcW w:w="2264" w:type="dxa"/>
          </w:tcPr>
          <w:p w14:paraId="0718FD35" w14:textId="77777777" w:rsidR="00DE793F" w:rsidRDefault="00DE793F" w:rsidP="00FE375A">
            <w:pPr>
              <w:jc w:val="both"/>
              <w:rPr>
                <w:rFonts w:cstheme="minorHAnsi"/>
                <w:bCs/>
              </w:rPr>
            </w:pPr>
            <w:r>
              <w:rPr>
                <w:rFonts w:cstheme="minorHAnsi"/>
                <w:bCs/>
              </w:rPr>
              <w:t>Index HF restricted mono therapy</w:t>
            </w:r>
          </w:p>
        </w:tc>
        <w:tc>
          <w:tcPr>
            <w:tcW w:w="1163" w:type="dxa"/>
          </w:tcPr>
          <w:p w14:paraId="64B69C44" w14:textId="77777777" w:rsidR="00DE793F" w:rsidRDefault="00DE793F" w:rsidP="00FE375A">
            <w:pPr>
              <w:jc w:val="both"/>
              <w:rPr>
                <w:rFonts w:cstheme="minorHAnsi"/>
                <w:bCs/>
              </w:rPr>
            </w:pPr>
            <w:r>
              <w:rPr>
                <w:rFonts w:cstheme="minorHAnsi"/>
                <w:bCs/>
              </w:rPr>
              <w:t>Number of people</w:t>
            </w:r>
          </w:p>
        </w:tc>
        <w:tc>
          <w:tcPr>
            <w:tcW w:w="2380" w:type="dxa"/>
          </w:tcPr>
          <w:p w14:paraId="4C95B784" w14:textId="77777777" w:rsidR="00DE793F" w:rsidRDefault="00DE793F" w:rsidP="00FE375A">
            <w:pPr>
              <w:jc w:val="both"/>
              <w:rPr>
                <w:rFonts w:cstheme="minorHAnsi"/>
                <w:bCs/>
              </w:rPr>
            </w:pPr>
            <w:r>
              <w:rPr>
                <w:rFonts w:cstheme="minorHAnsi"/>
                <w:bCs/>
              </w:rPr>
              <w:t>Median time to change in days (95% CI)</w:t>
            </w:r>
          </w:p>
        </w:tc>
        <w:tc>
          <w:tcPr>
            <w:tcW w:w="1134" w:type="dxa"/>
          </w:tcPr>
          <w:p w14:paraId="26AE227D" w14:textId="77777777" w:rsidR="00DE793F" w:rsidRDefault="00DE793F" w:rsidP="00FE375A">
            <w:pPr>
              <w:jc w:val="both"/>
              <w:rPr>
                <w:rFonts w:cstheme="minorHAnsi"/>
                <w:bCs/>
              </w:rPr>
            </w:pPr>
            <w:r>
              <w:rPr>
                <w:rFonts w:cstheme="minorHAnsi"/>
                <w:bCs/>
              </w:rPr>
              <w:t>Number of people</w:t>
            </w:r>
          </w:p>
        </w:tc>
        <w:tc>
          <w:tcPr>
            <w:tcW w:w="2268" w:type="dxa"/>
          </w:tcPr>
          <w:p w14:paraId="016DDF98" w14:textId="77777777" w:rsidR="00DE793F" w:rsidRDefault="00DE793F" w:rsidP="00FE375A">
            <w:pPr>
              <w:jc w:val="both"/>
              <w:rPr>
                <w:rFonts w:cstheme="minorHAnsi"/>
                <w:bCs/>
              </w:rPr>
            </w:pPr>
            <w:r>
              <w:rPr>
                <w:rFonts w:cstheme="minorHAnsi"/>
                <w:bCs/>
              </w:rPr>
              <w:t>Median time to change in days (95% CI)</w:t>
            </w:r>
          </w:p>
        </w:tc>
      </w:tr>
      <w:tr w:rsidR="00DE793F" w14:paraId="79BEEF8D" w14:textId="77777777" w:rsidTr="00FE375A">
        <w:tc>
          <w:tcPr>
            <w:tcW w:w="2264" w:type="dxa"/>
          </w:tcPr>
          <w:p w14:paraId="580B32FA" w14:textId="77777777" w:rsidR="00DE793F" w:rsidRDefault="00DE793F" w:rsidP="00FE375A">
            <w:pPr>
              <w:jc w:val="both"/>
              <w:rPr>
                <w:rFonts w:cstheme="minorHAnsi"/>
                <w:bCs/>
              </w:rPr>
            </w:pPr>
            <w:r>
              <w:rPr>
                <w:rFonts w:cstheme="minorHAnsi"/>
                <w:bCs/>
              </w:rPr>
              <w:t>Bisoprolol</w:t>
            </w:r>
          </w:p>
        </w:tc>
        <w:tc>
          <w:tcPr>
            <w:tcW w:w="1163" w:type="dxa"/>
          </w:tcPr>
          <w:p w14:paraId="40AF7903" w14:textId="77777777" w:rsidR="00DE793F" w:rsidRDefault="00DE793F" w:rsidP="00FE375A">
            <w:pPr>
              <w:jc w:val="right"/>
              <w:rPr>
                <w:rFonts w:cstheme="minorHAnsi"/>
                <w:bCs/>
              </w:rPr>
            </w:pPr>
            <w:r>
              <w:rPr>
                <w:rFonts w:cstheme="minorHAnsi"/>
                <w:bCs/>
              </w:rPr>
              <w:t>30349</w:t>
            </w:r>
          </w:p>
        </w:tc>
        <w:tc>
          <w:tcPr>
            <w:tcW w:w="2380" w:type="dxa"/>
          </w:tcPr>
          <w:p w14:paraId="26C239EA" w14:textId="77777777" w:rsidR="00DE793F" w:rsidRPr="00906E41" w:rsidRDefault="00DE793F" w:rsidP="00FE375A">
            <w:pPr>
              <w:jc w:val="both"/>
              <w:rPr>
                <w:rFonts w:cstheme="minorHAnsi"/>
                <w:bCs/>
              </w:rPr>
            </w:pPr>
            <w:r>
              <w:rPr>
                <w:rFonts w:cstheme="minorHAnsi"/>
                <w:bCs/>
              </w:rPr>
              <w:t xml:space="preserve">Over </w:t>
            </w:r>
            <w:r w:rsidRPr="00906E41">
              <w:rPr>
                <w:rFonts w:cstheme="minorHAnsi"/>
                <w:bCs/>
              </w:rPr>
              <w:t>365 days</w:t>
            </w:r>
          </w:p>
        </w:tc>
        <w:tc>
          <w:tcPr>
            <w:tcW w:w="1134" w:type="dxa"/>
          </w:tcPr>
          <w:p w14:paraId="043486FA" w14:textId="77777777" w:rsidR="00DE793F" w:rsidRDefault="00DE793F" w:rsidP="00FE375A">
            <w:pPr>
              <w:jc w:val="right"/>
              <w:rPr>
                <w:rFonts w:cstheme="minorHAnsi"/>
                <w:bCs/>
              </w:rPr>
            </w:pPr>
            <w:r>
              <w:rPr>
                <w:rFonts w:cstheme="minorHAnsi"/>
                <w:bCs/>
              </w:rPr>
              <w:t>30222</w:t>
            </w:r>
          </w:p>
        </w:tc>
        <w:tc>
          <w:tcPr>
            <w:tcW w:w="2268" w:type="dxa"/>
          </w:tcPr>
          <w:p w14:paraId="6E2AC470" w14:textId="77777777" w:rsidR="00DE793F" w:rsidRDefault="00DE793F" w:rsidP="00FE375A">
            <w:pPr>
              <w:jc w:val="right"/>
              <w:rPr>
                <w:rFonts w:cstheme="minorHAnsi"/>
                <w:bCs/>
              </w:rPr>
            </w:pPr>
            <w:r>
              <w:rPr>
                <w:rFonts w:cstheme="minorHAnsi"/>
                <w:bCs/>
              </w:rPr>
              <w:t>Over 365 days</w:t>
            </w:r>
          </w:p>
        </w:tc>
      </w:tr>
      <w:tr w:rsidR="00DE793F" w14:paraId="0A00794C" w14:textId="77777777" w:rsidTr="00FE375A">
        <w:tc>
          <w:tcPr>
            <w:tcW w:w="2264" w:type="dxa"/>
          </w:tcPr>
          <w:p w14:paraId="2CF8DF99" w14:textId="77777777" w:rsidR="00DE793F" w:rsidRDefault="00DE793F" w:rsidP="00FE375A">
            <w:pPr>
              <w:jc w:val="both"/>
              <w:rPr>
                <w:rFonts w:cstheme="minorHAnsi"/>
                <w:bCs/>
              </w:rPr>
            </w:pPr>
            <w:r>
              <w:rPr>
                <w:rFonts w:cstheme="minorHAnsi"/>
                <w:bCs/>
              </w:rPr>
              <w:t>Carvedilol</w:t>
            </w:r>
          </w:p>
        </w:tc>
        <w:tc>
          <w:tcPr>
            <w:tcW w:w="1163" w:type="dxa"/>
          </w:tcPr>
          <w:p w14:paraId="62A6AF4C" w14:textId="77777777" w:rsidR="00DE793F" w:rsidRDefault="00DE793F" w:rsidP="00FE375A">
            <w:pPr>
              <w:jc w:val="right"/>
              <w:rPr>
                <w:rFonts w:cstheme="minorHAnsi"/>
                <w:bCs/>
              </w:rPr>
            </w:pPr>
            <w:r>
              <w:rPr>
                <w:rFonts w:cstheme="minorHAnsi"/>
                <w:bCs/>
              </w:rPr>
              <w:t>3023</w:t>
            </w:r>
          </w:p>
        </w:tc>
        <w:tc>
          <w:tcPr>
            <w:tcW w:w="2380" w:type="dxa"/>
          </w:tcPr>
          <w:p w14:paraId="2F9FD1B9" w14:textId="77777777" w:rsidR="00DE793F" w:rsidRDefault="00DE793F" w:rsidP="00FE375A">
            <w:pPr>
              <w:jc w:val="both"/>
              <w:rPr>
                <w:rFonts w:cstheme="minorHAnsi"/>
                <w:bCs/>
              </w:rPr>
            </w:pPr>
            <w:r>
              <w:rPr>
                <w:rFonts w:cstheme="minorHAnsi"/>
                <w:bCs/>
              </w:rPr>
              <w:t>300 (279-328)</w:t>
            </w:r>
          </w:p>
        </w:tc>
        <w:tc>
          <w:tcPr>
            <w:tcW w:w="1134" w:type="dxa"/>
          </w:tcPr>
          <w:p w14:paraId="213D7B41" w14:textId="77777777" w:rsidR="00DE793F" w:rsidRDefault="00DE793F" w:rsidP="00FE375A">
            <w:pPr>
              <w:jc w:val="right"/>
              <w:rPr>
                <w:rFonts w:cstheme="minorHAnsi"/>
                <w:bCs/>
              </w:rPr>
            </w:pPr>
            <w:r>
              <w:rPr>
                <w:rFonts w:cstheme="minorHAnsi"/>
                <w:bCs/>
              </w:rPr>
              <w:t>2966</w:t>
            </w:r>
          </w:p>
        </w:tc>
        <w:tc>
          <w:tcPr>
            <w:tcW w:w="2268" w:type="dxa"/>
          </w:tcPr>
          <w:p w14:paraId="4EAE264F" w14:textId="77777777" w:rsidR="00DE793F" w:rsidRDefault="00DE793F" w:rsidP="00FE375A">
            <w:pPr>
              <w:jc w:val="right"/>
              <w:rPr>
                <w:rFonts w:cstheme="minorHAnsi"/>
                <w:bCs/>
              </w:rPr>
            </w:pPr>
            <w:r>
              <w:rPr>
                <w:rFonts w:cstheme="minorHAnsi"/>
                <w:bCs/>
              </w:rPr>
              <w:t>272 (251-300)</w:t>
            </w:r>
          </w:p>
        </w:tc>
      </w:tr>
      <w:tr w:rsidR="00DE793F" w14:paraId="1C6CC520" w14:textId="77777777" w:rsidTr="00FE375A">
        <w:tc>
          <w:tcPr>
            <w:tcW w:w="2264" w:type="dxa"/>
          </w:tcPr>
          <w:p w14:paraId="4F3A0EDB" w14:textId="77777777" w:rsidR="00DE793F" w:rsidRDefault="00DE793F" w:rsidP="00FE375A">
            <w:pPr>
              <w:jc w:val="both"/>
              <w:rPr>
                <w:rFonts w:cstheme="minorHAnsi"/>
                <w:bCs/>
              </w:rPr>
            </w:pPr>
            <w:r>
              <w:rPr>
                <w:rFonts w:cstheme="minorHAnsi"/>
                <w:bCs/>
              </w:rPr>
              <w:t>Metoprolol</w:t>
            </w:r>
          </w:p>
        </w:tc>
        <w:tc>
          <w:tcPr>
            <w:tcW w:w="1163" w:type="dxa"/>
          </w:tcPr>
          <w:p w14:paraId="0158D4E2" w14:textId="77777777" w:rsidR="00DE793F" w:rsidRDefault="00DE793F" w:rsidP="00FE375A">
            <w:pPr>
              <w:jc w:val="right"/>
              <w:rPr>
                <w:rFonts w:cstheme="minorHAnsi"/>
                <w:bCs/>
              </w:rPr>
            </w:pPr>
            <w:r>
              <w:rPr>
                <w:rFonts w:cstheme="minorHAnsi"/>
                <w:bCs/>
              </w:rPr>
              <w:t>3539</w:t>
            </w:r>
          </w:p>
        </w:tc>
        <w:tc>
          <w:tcPr>
            <w:tcW w:w="2380" w:type="dxa"/>
          </w:tcPr>
          <w:p w14:paraId="47EB961A" w14:textId="77777777" w:rsidR="00DE793F" w:rsidRPr="00906E41" w:rsidRDefault="00DE793F" w:rsidP="00FE375A">
            <w:pPr>
              <w:jc w:val="both"/>
              <w:rPr>
                <w:rFonts w:cstheme="minorHAnsi"/>
                <w:bCs/>
              </w:rPr>
            </w:pPr>
            <w:r>
              <w:rPr>
                <w:rFonts w:cstheme="minorHAnsi"/>
                <w:bCs/>
              </w:rPr>
              <w:t>Over 365 days</w:t>
            </w:r>
          </w:p>
        </w:tc>
        <w:tc>
          <w:tcPr>
            <w:tcW w:w="1134" w:type="dxa"/>
          </w:tcPr>
          <w:p w14:paraId="33EA3F89" w14:textId="77777777" w:rsidR="00DE793F" w:rsidRDefault="00DE793F" w:rsidP="00FE375A">
            <w:pPr>
              <w:jc w:val="right"/>
              <w:rPr>
                <w:rFonts w:cstheme="minorHAnsi"/>
                <w:bCs/>
              </w:rPr>
            </w:pPr>
            <w:r>
              <w:rPr>
                <w:rFonts w:cstheme="minorHAnsi"/>
                <w:bCs/>
              </w:rPr>
              <w:t>3690</w:t>
            </w:r>
          </w:p>
        </w:tc>
        <w:tc>
          <w:tcPr>
            <w:tcW w:w="2268" w:type="dxa"/>
          </w:tcPr>
          <w:p w14:paraId="3C9432C7" w14:textId="77777777" w:rsidR="00DE793F" w:rsidRDefault="00DE793F" w:rsidP="00FE375A">
            <w:pPr>
              <w:jc w:val="right"/>
              <w:rPr>
                <w:rFonts w:cstheme="minorHAnsi"/>
                <w:bCs/>
              </w:rPr>
            </w:pPr>
            <w:r>
              <w:rPr>
                <w:rFonts w:cstheme="minorHAnsi"/>
                <w:bCs/>
              </w:rPr>
              <w:t>296 (265-314)</w:t>
            </w:r>
          </w:p>
        </w:tc>
      </w:tr>
      <w:tr w:rsidR="00DE793F" w14:paraId="14B32E82" w14:textId="77777777" w:rsidTr="00FE375A">
        <w:tc>
          <w:tcPr>
            <w:tcW w:w="2264" w:type="dxa"/>
          </w:tcPr>
          <w:p w14:paraId="13D32562" w14:textId="77777777" w:rsidR="00DE793F" w:rsidRDefault="00DE793F" w:rsidP="00FE375A">
            <w:pPr>
              <w:jc w:val="both"/>
              <w:rPr>
                <w:rFonts w:cstheme="minorHAnsi"/>
                <w:bCs/>
              </w:rPr>
            </w:pPr>
            <w:r>
              <w:rPr>
                <w:rFonts w:cstheme="minorHAnsi"/>
                <w:bCs/>
              </w:rPr>
              <w:t>Nebivolol</w:t>
            </w:r>
          </w:p>
        </w:tc>
        <w:tc>
          <w:tcPr>
            <w:tcW w:w="1163" w:type="dxa"/>
          </w:tcPr>
          <w:p w14:paraId="264DE264" w14:textId="77777777" w:rsidR="00DE793F" w:rsidRDefault="00DE793F" w:rsidP="00FE375A">
            <w:pPr>
              <w:jc w:val="right"/>
              <w:rPr>
                <w:rFonts w:cstheme="minorHAnsi"/>
                <w:bCs/>
              </w:rPr>
            </w:pPr>
            <w:r>
              <w:rPr>
                <w:rFonts w:cstheme="minorHAnsi"/>
                <w:bCs/>
              </w:rPr>
              <w:t>9950</w:t>
            </w:r>
          </w:p>
        </w:tc>
        <w:tc>
          <w:tcPr>
            <w:tcW w:w="2380" w:type="dxa"/>
          </w:tcPr>
          <w:p w14:paraId="14F2DC3D" w14:textId="77777777" w:rsidR="00DE793F" w:rsidRDefault="00DE793F" w:rsidP="00FE375A">
            <w:pPr>
              <w:jc w:val="both"/>
              <w:rPr>
                <w:rFonts w:cstheme="minorHAnsi"/>
                <w:bCs/>
              </w:rPr>
            </w:pPr>
            <w:r>
              <w:rPr>
                <w:rFonts w:cstheme="minorHAnsi"/>
                <w:bCs/>
              </w:rPr>
              <w:t>Over 365 days</w:t>
            </w:r>
          </w:p>
        </w:tc>
        <w:tc>
          <w:tcPr>
            <w:tcW w:w="1134" w:type="dxa"/>
          </w:tcPr>
          <w:p w14:paraId="43F7D5B2" w14:textId="77777777" w:rsidR="00DE793F" w:rsidRDefault="00DE793F" w:rsidP="00FE375A">
            <w:pPr>
              <w:jc w:val="right"/>
              <w:rPr>
                <w:rFonts w:cstheme="minorHAnsi"/>
                <w:bCs/>
              </w:rPr>
            </w:pPr>
            <w:r>
              <w:rPr>
                <w:rFonts w:cstheme="minorHAnsi"/>
                <w:bCs/>
              </w:rPr>
              <w:t>10573</w:t>
            </w:r>
          </w:p>
        </w:tc>
        <w:tc>
          <w:tcPr>
            <w:tcW w:w="2268" w:type="dxa"/>
          </w:tcPr>
          <w:p w14:paraId="15CDD6B9" w14:textId="77777777" w:rsidR="00DE793F" w:rsidRDefault="00DE793F" w:rsidP="00FE375A">
            <w:pPr>
              <w:jc w:val="right"/>
              <w:rPr>
                <w:rFonts w:cstheme="minorHAnsi"/>
                <w:bCs/>
              </w:rPr>
            </w:pPr>
            <w:r>
              <w:rPr>
                <w:rFonts w:cstheme="minorHAnsi"/>
                <w:bCs/>
              </w:rPr>
              <w:t>Over 365 days</w:t>
            </w:r>
          </w:p>
        </w:tc>
      </w:tr>
      <w:tr w:rsidR="00DE793F" w14:paraId="6A0DAB36" w14:textId="77777777" w:rsidTr="00FE375A">
        <w:tc>
          <w:tcPr>
            <w:tcW w:w="2264" w:type="dxa"/>
          </w:tcPr>
          <w:p w14:paraId="390BE6A7" w14:textId="77777777" w:rsidR="00DE793F" w:rsidRDefault="00DE793F" w:rsidP="00FE375A">
            <w:pPr>
              <w:jc w:val="both"/>
              <w:rPr>
                <w:rFonts w:cstheme="minorHAnsi"/>
                <w:bCs/>
              </w:rPr>
            </w:pPr>
            <w:r>
              <w:rPr>
                <w:rFonts w:cstheme="minorHAnsi"/>
                <w:bCs/>
              </w:rPr>
              <w:t>Eplerenone</w:t>
            </w:r>
          </w:p>
        </w:tc>
        <w:tc>
          <w:tcPr>
            <w:tcW w:w="1163" w:type="dxa"/>
          </w:tcPr>
          <w:p w14:paraId="189C5BB4" w14:textId="77777777" w:rsidR="00DE793F" w:rsidRDefault="00DE793F" w:rsidP="00FE375A">
            <w:pPr>
              <w:jc w:val="right"/>
              <w:rPr>
                <w:rFonts w:cstheme="minorHAnsi"/>
                <w:bCs/>
              </w:rPr>
            </w:pPr>
            <w:r>
              <w:rPr>
                <w:rFonts w:cstheme="minorHAnsi"/>
                <w:bCs/>
              </w:rPr>
              <w:t>844</w:t>
            </w:r>
          </w:p>
        </w:tc>
        <w:tc>
          <w:tcPr>
            <w:tcW w:w="2380" w:type="dxa"/>
          </w:tcPr>
          <w:p w14:paraId="4176C35C" w14:textId="77777777" w:rsidR="00DE793F" w:rsidRDefault="00DE793F" w:rsidP="00FE375A">
            <w:pPr>
              <w:jc w:val="both"/>
              <w:rPr>
                <w:rFonts w:cstheme="minorHAnsi"/>
                <w:bCs/>
              </w:rPr>
            </w:pPr>
            <w:r>
              <w:rPr>
                <w:rFonts w:cstheme="minorHAnsi"/>
                <w:bCs/>
              </w:rPr>
              <w:t>205 (181-223)</w:t>
            </w:r>
          </w:p>
        </w:tc>
        <w:tc>
          <w:tcPr>
            <w:tcW w:w="1134" w:type="dxa"/>
          </w:tcPr>
          <w:p w14:paraId="04317864" w14:textId="77777777" w:rsidR="00DE793F" w:rsidRDefault="00DE793F" w:rsidP="00FE375A">
            <w:pPr>
              <w:jc w:val="right"/>
              <w:rPr>
                <w:rFonts w:cstheme="minorHAnsi"/>
                <w:bCs/>
              </w:rPr>
            </w:pPr>
            <w:r>
              <w:rPr>
                <w:rFonts w:cstheme="minorHAnsi"/>
                <w:bCs/>
              </w:rPr>
              <w:t>868</w:t>
            </w:r>
          </w:p>
        </w:tc>
        <w:tc>
          <w:tcPr>
            <w:tcW w:w="2268" w:type="dxa"/>
          </w:tcPr>
          <w:p w14:paraId="78E4513E" w14:textId="77777777" w:rsidR="00DE793F" w:rsidRDefault="00DE793F" w:rsidP="00FE375A">
            <w:pPr>
              <w:jc w:val="right"/>
              <w:rPr>
                <w:rFonts w:cstheme="minorHAnsi"/>
                <w:bCs/>
              </w:rPr>
            </w:pPr>
            <w:r>
              <w:rPr>
                <w:rFonts w:cstheme="minorHAnsi"/>
                <w:bCs/>
              </w:rPr>
              <w:t>209 (181-230)</w:t>
            </w:r>
          </w:p>
        </w:tc>
      </w:tr>
      <w:tr w:rsidR="00DE793F" w14:paraId="0F42FBC4" w14:textId="77777777" w:rsidTr="00FE375A">
        <w:tc>
          <w:tcPr>
            <w:tcW w:w="2264" w:type="dxa"/>
          </w:tcPr>
          <w:p w14:paraId="296E21D7" w14:textId="77777777" w:rsidR="00DE793F" w:rsidRDefault="00DE793F" w:rsidP="00FE375A">
            <w:pPr>
              <w:jc w:val="both"/>
              <w:rPr>
                <w:rFonts w:cstheme="minorHAnsi"/>
                <w:bCs/>
              </w:rPr>
            </w:pPr>
            <w:r>
              <w:rPr>
                <w:rFonts w:cstheme="minorHAnsi"/>
                <w:bCs/>
              </w:rPr>
              <w:t>Ivabradine</w:t>
            </w:r>
          </w:p>
        </w:tc>
        <w:tc>
          <w:tcPr>
            <w:tcW w:w="1163" w:type="dxa"/>
          </w:tcPr>
          <w:p w14:paraId="01150C2D" w14:textId="77777777" w:rsidR="00DE793F" w:rsidRDefault="00DE793F" w:rsidP="00FE375A">
            <w:pPr>
              <w:jc w:val="right"/>
              <w:rPr>
                <w:rFonts w:cstheme="minorHAnsi"/>
                <w:bCs/>
              </w:rPr>
            </w:pPr>
            <w:r>
              <w:rPr>
                <w:rFonts w:cstheme="minorHAnsi"/>
                <w:bCs/>
              </w:rPr>
              <w:t>1282</w:t>
            </w:r>
          </w:p>
        </w:tc>
        <w:tc>
          <w:tcPr>
            <w:tcW w:w="2380" w:type="dxa"/>
          </w:tcPr>
          <w:p w14:paraId="1F80D060" w14:textId="77777777" w:rsidR="00DE793F" w:rsidRDefault="00DE793F" w:rsidP="00FE375A">
            <w:pPr>
              <w:jc w:val="both"/>
              <w:rPr>
                <w:rFonts w:cstheme="minorHAnsi"/>
                <w:bCs/>
              </w:rPr>
            </w:pPr>
            <w:r>
              <w:rPr>
                <w:rFonts w:cstheme="minorHAnsi"/>
                <w:bCs/>
              </w:rPr>
              <w:t>153 (132-174)</w:t>
            </w:r>
          </w:p>
        </w:tc>
        <w:tc>
          <w:tcPr>
            <w:tcW w:w="1134" w:type="dxa"/>
          </w:tcPr>
          <w:p w14:paraId="2BC6A4EE" w14:textId="77777777" w:rsidR="00DE793F" w:rsidRDefault="00DE793F" w:rsidP="00FE375A">
            <w:pPr>
              <w:jc w:val="right"/>
              <w:rPr>
                <w:rFonts w:cstheme="minorHAnsi"/>
                <w:bCs/>
              </w:rPr>
            </w:pPr>
            <w:r>
              <w:rPr>
                <w:rFonts w:cstheme="minorHAnsi"/>
                <w:bCs/>
              </w:rPr>
              <w:t>1417</w:t>
            </w:r>
          </w:p>
        </w:tc>
        <w:tc>
          <w:tcPr>
            <w:tcW w:w="2268" w:type="dxa"/>
          </w:tcPr>
          <w:p w14:paraId="7EB20A53" w14:textId="77777777" w:rsidR="00DE793F" w:rsidRDefault="00DE793F" w:rsidP="00FE375A">
            <w:pPr>
              <w:jc w:val="right"/>
              <w:rPr>
                <w:rFonts w:cstheme="minorHAnsi"/>
                <w:bCs/>
              </w:rPr>
            </w:pPr>
            <w:r>
              <w:rPr>
                <w:rFonts w:cstheme="minorHAnsi"/>
                <w:bCs/>
              </w:rPr>
              <w:t>125 (111-146)</w:t>
            </w:r>
          </w:p>
        </w:tc>
      </w:tr>
      <w:tr w:rsidR="00DE793F" w14:paraId="531A16E6" w14:textId="77777777" w:rsidTr="00FE375A">
        <w:tc>
          <w:tcPr>
            <w:tcW w:w="2264" w:type="dxa"/>
          </w:tcPr>
          <w:p w14:paraId="17C155C3" w14:textId="77777777" w:rsidR="00DE793F" w:rsidRDefault="00DE793F" w:rsidP="00FE375A">
            <w:pPr>
              <w:jc w:val="both"/>
              <w:rPr>
                <w:rFonts w:cstheme="minorHAnsi"/>
                <w:bCs/>
              </w:rPr>
            </w:pPr>
            <w:r>
              <w:rPr>
                <w:rFonts w:cstheme="minorHAnsi"/>
                <w:bCs/>
              </w:rPr>
              <w:t>Sacubitril + Valsartan</w:t>
            </w:r>
          </w:p>
        </w:tc>
        <w:tc>
          <w:tcPr>
            <w:tcW w:w="1163" w:type="dxa"/>
          </w:tcPr>
          <w:p w14:paraId="6F03DF39" w14:textId="77777777" w:rsidR="00DE793F" w:rsidRDefault="00DE793F" w:rsidP="00FE375A">
            <w:pPr>
              <w:jc w:val="right"/>
              <w:rPr>
                <w:rFonts w:cstheme="minorHAnsi"/>
                <w:bCs/>
              </w:rPr>
            </w:pPr>
            <w:r>
              <w:rPr>
                <w:rFonts w:cstheme="minorHAnsi"/>
                <w:bCs/>
              </w:rPr>
              <w:t>3887</w:t>
            </w:r>
          </w:p>
        </w:tc>
        <w:tc>
          <w:tcPr>
            <w:tcW w:w="2380" w:type="dxa"/>
          </w:tcPr>
          <w:p w14:paraId="02976F31" w14:textId="77777777" w:rsidR="00DE793F" w:rsidRDefault="00DE793F" w:rsidP="00FE375A">
            <w:pPr>
              <w:jc w:val="both"/>
              <w:rPr>
                <w:rFonts w:cstheme="minorHAnsi"/>
                <w:bCs/>
              </w:rPr>
            </w:pPr>
            <w:r>
              <w:rPr>
                <w:rFonts w:cstheme="minorHAnsi"/>
                <w:bCs/>
              </w:rPr>
              <w:t>Over 365 days</w:t>
            </w:r>
          </w:p>
        </w:tc>
        <w:tc>
          <w:tcPr>
            <w:tcW w:w="1134" w:type="dxa"/>
          </w:tcPr>
          <w:p w14:paraId="06916A6B" w14:textId="77777777" w:rsidR="00DE793F" w:rsidRDefault="00DE793F" w:rsidP="00FE375A">
            <w:pPr>
              <w:jc w:val="right"/>
              <w:rPr>
                <w:rFonts w:cstheme="minorHAnsi"/>
                <w:bCs/>
              </w:rPr>
            </w:pPr>
            <w:r>
              <w:rPr>
                <w:rFonts w:cstheme="minorHAnsi"/>
                <w:bCs/>
              </w:rPr>
              <w:t>4643</w:t>
            </w:r>
          </w:p>
        </w:tc>
        <w:tc>
          <w:tcPr>
            <w:tcW w:w="2268" w:type="dxa"/>
          </w:tcPr>
          <w:p w14:paraId="13AC4685" w14:textId="77777777" w:rsidR="00DE793F" w:rsidRDefault="00DE793F" w:rsidP="00FE375A">
            <w:pPr>
              <w:jc w:val="right"/>
              <w:rPr>
                <w:rFonts w:cstheme="minorHAnsi"/>
                <w:bCs/>
              </w:rPr>
            </w:pPr>
            <w:r>
              <w:rPr>
                <w:rFonts w:cstheme="minorHAnsi"/>
                <w:bCs/>
              </w:rPr>
              <w:t xml:space="preserve"> 342 (328-363)</w:t>
            </w:r>
          </w:p>
        </w:tc>
      </w:tr>
    </w:tbl>
    <w:p w14:paraId="2AED6829" w14:textId="77777777" w:rsidR="00DE793F" w:rsidRDefault="00DE793F" w:rsidP="00DE793F">
      <w:pPr>
        <w:rPr>
          <w:lang w:val="en-US"/>
        </w:rPr>
      </w:pPr>
    </w:p>
    <w:p w14:paraId="1EEA5BC5" w14:textId="77777777" w:rsidR="008F6176" w:rsidRDefault="008F6176">
      <w:pPr>
        <w:rPr>
          <w:b/>
          <w:bCs/>
          <w:sz w:val="24"/>
          <w:szCs w:val="24"/>
          <w:lang w:val="en-US"/>
        </w:rPr>
      </w:pPr>
      <w:r>
        <w:rPr>
          <w:b/>
          <w:bCs/>
          <w:sz w:val="24"/>
          <w:szCs w:val="24"/>
          <w:lang w:val="en-US"/>
        </w:rPr>
        <w:br w:type="page"/>
      </w:r>
    </w:p>
    <w:p w14:paraId="70F38653" w14:textId="4EF0F8E5" w:rsidR="007B150D" w:rsidRDefault="007B150D" w:rsidP="008F6176">
      <w:pPr>
        <w:pStyle w:val="Heading3"/>
        <w:rPr>
          <w:lang w:val="en-US"/>
        </w:rPr>
      </w:pPr>
      <w:bookmarkStart w:id="44" w:name="_Toc165448418"/>
      <w:r w:rsidRPr="00B80EC0">
        <w:rPr>
          <w:lang w:val="en-US"/>
        </w:rPr>
        <w:t xml:space="preserve">Survival analysis of 2020 and 2021 initiators </w:t>
      </w:r>
      <w:r>
        <w:rPr>
          <w:lang w:val="en-US"/>
        </w:rPr>
        <w:t>of HF restricted medicines</w:t>
      </w:r>
      <w:r w:rsidR="000A5A49">
        <w:rPr>
          <w:lang w:val="en-US"/>
        </w:rPr>
        <w:t>,</w:t>
      </w:r>
      <w:r>
        <w:rPr>
          <w:lang w:val="en-US"/>
        </w:rPr>
        <w:t xml:space="preserve"> when considering </w:t>
      </w:r>
      <w:r w:rsidR="00C83A9A">
        <w:rPr>
          <w:lang w:val="en-US"/>
        </w:rPr>
        <w:t>HF restricted and</w:t>
      </w:r>
      <w:r w:rsidR="00153D3A">
        <w:rPr>
          <w:lang w:val="en-US"/>
        </w:rPr>
        <w:t xml:space="preserve"> unrestricted </w:t>
      </w:r>
      <w:r>
        <w:rPr>
          <w:lang w:val="en-US"/>
        </w:rPr>
        <w:t>medicines</w:t>
      </w:r>
      <w:r w:rsidR="000A5A49">
        <w:rPr>
          <w:lang w:val="en-US"/>
        </w:rPr>
        <w:t>, stratified by the individual index medicine</w:t>
      </w:r>
      <w:r>
        <w:rPr>
          <w:lang w:val="en-US"/>
        </w:rPr>
        <w:t>.</w:t>
      </w:r>
      <w:bookmarkEnd w:id="44"/>
    </w:p>
    <w:p w14:paraId="4974FF56" w14:textId="04486367" w:rsidR="007B150D" w:rsidRPr="00153D3A" w:rsidRDefault="007B150D" w:rsidP="00153D3A">
      <w:pPr>
        <w:rPr>
          <w:b/>
          <w:bCs/>
        </w:rPr>
      </w:pPr>
      <w:r w:rsidRPr="00153D3A">
        <w:rPr>
          <w:b/>
          <w:bCs/>
        </w:rPr>
        <w:t xml:space="preserve">Duration of first treatment episode with HF restricted therapy (+/- </w:t>
      </w:r>
      <w:r w:rsidR="00153D3A">
        <w:rPr>
          <w:b/>
          <w:bCs/>
        </w:rPr>
        <w:t>unrestricted</w:t>
      </w:r>
      <w:r w:rsidR="00C83A9A">
        <w:rPr>
          <w:b/>
          <w:bCs/>
        </w:rPr>
        <w:t xml:space="preserve"> (Table2)</w:t>
      </w:r>
      <w:r w:rsidR="00153D3A">
        <w:rPr>
          <w:b/>
          <w:bCs/>
        </w:rPr>
        <w:t xml:space="preserve"> </w:t>
      </w:r>
      <w:r w:rsidRPr="00153D3A">
        <w:rPr>
          <w:b/>
          <w:bCs/>
        </w:rPr>
        <w:t xml:space="preserve">medicine) to a switch </w:t>
      </w:r>
      <w:r w:rsidR="00153D3A">
        <w:rPr>
          <w:b/>
          <w:bCs/>
        </w:rPr>
        <w:t>(</w:t>
      </w:r>
      <w:r w:rsidRPr="00153D3A">
        <w:rPr>
          <w:b/>
          <w:bCs/>
        </w:rPr>
        <w:t>defined as a therapy not containing the index</w:t>
      </w:r>
      <w:r w:rsidR="00730F8B" w:rsidRPr="00153D3A">
        <w:rPr>
          <w:b/>
          <w:bCs/>
        </w:rPr>
        <w:t xml:space="preserve"> HF restricted medicin</w:t>
      </w:r>
      <w:r w:rsidRPr="00153D3A">
        <w:rPr>
          <w:b/>
          <w:bCs/>
        </w:rPr>
        <w:t>e</w:t>
      </w:r>
      <w:r w:rsidR="00153D3A">
        <w:rPr>
          <w:b/>
          <w:bCs/>
        </w:rPr>
        <w:t>) or cessation</w:t>
      </w:r>
    </w:p>
    <w:tbl>
      <w:tblPr>
        <w:tblStyle w:val="TableGrid"/>
        <w:tblW w:w="0" w:type="auto"/>
        <w:tblLook w:val="04A0" w:firstRow="1" w:lastRow="0" w:firstColumn="1" w:lastColumn="0" w:noHBand="0" w:noVBand="1"/>
      </w:tblPr>
      <w:tblGrid>
        <w:gridCol w:w="7083"/>
        <w:gridCol w:w="6436"/>
      </w:tblGrid>
      <w:tr w:rsidR="007B150D" w14:paraId="0F2E875B" w14:textId="77777777" w:rsidTr="00FE375A">
        <w:trPr>
          <w:trHeight w:val="5204"/>
        </w:trPr>
        <w:tc>
          <w:tcPr>
            <w:tcW w:w="7083" w:type="dxa"/>
          </w:tcPr>
          <w:p w14:paraId="28745059" w14:textId="77777777" w:rsidR="007B150D" w:rsidRDefault="007B150D" w:rsidP="00FE375A">
            <w:pPr>
              <w:rPr>
                <w:lang w:val="en-US"/>
              </w:rPr>
            </w:pPr>
            <w:r>
              <w:rPr>
                <w:noProof/>
                <w:lang w:eastAsia="en-AU"/>
              </w:rPr>
              <w:drawing>
                <wp:inline distT="0" distB="0" distL="0" distR="0" wp14:anchorId="6D370CB6" wp14:editId="7E3F0AA8">
                  <wp:extent cx="4260850" cy="3067050"/>
                  <wp:effectExtent l="0" t="0" r="6350" b="0"/>
                  <wp:docPr id="18" name="Picture 18" descr="Graph on the left hand side of the page showing that as time (days) elapses, the 2020 cohort of patients are more likely to have either changed the index HF medicine or ceased the index HF medicine. Data for 14 drug regimens have been plot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 on the left hand side of the page showing that as time (days) elapses, the 2020 cohort of patients are more likely to have either changed the index HF medicine or ceased the index HF medicine. Data for 14 drug regimens have been plotted. "/>
                          <pic:cNvPicPr/>
                        </pic:nvPicPr>
                        <pic:blipFill>
                          <a:blip r:embed="rId52">
                            <a:extLst>
                              <a:ext uri="{28A0092B-C50C-407E-A947-70E740481C1C}">
                                <a14:useLocalDpi xmlns:a14="http://schemas.microsoft.com/office/drawing/2010/main" val="0"/>
                              </a:ext>
                            </a:extLst>
                          </a:blip>
                          <a:stretch>
                            <a:fillRect/>
                          </a:stretch>
                        </pic:blipFill>
                        <pic:spPr>
                          <a:xfrm>
                            <a:off x="0" y="0"/>
                            <a:ext cx="4261106" cy="3067234"/>
                          </a:xfrm>
                          <a:prstGeom prst="rect">
                            <a:avLst/>
                          </a:prstGeom>
                        </pic:spPr>
                      </pic:pic>
                    </a:graphicData>
                  </a:graphic>
                </wp:inline>
              </w:drawing>
            </w:r>
          </w:p>
          <w:p w14:paraId="113B3276" w14:textId="221BC79A" w:rsidR="007B150D" w:rsidRDefault="007B150D" w:rsidP="00FE375A">
            <w:pPr>
              <w:rPr>
                <w:lang w:val="en-US"/>
              </w:rPr>
            </w:pPr>
            <w:r w:rsidRPr="00906E41">
              <w:rPr>
                <w:b/>
                <w:bCs/>
                <w:lang w:val="en-US"/>
              </w:rPr>
              <w:t xml:space="preserve">Figure </w:t>
            </w:r>
            <w:r w:rsidR="008F6176">
              <w:rPr>
                <w:b/>
                <w:bCs/>
                <w:lang w:val="en-US"/>
              </w:rPr>
              <w:t>A</w:t>
            </w:r>
            <w:r w:rsidR="00FA1177">
              <w:rPr>
                <w:b/>
                <w:bCs/>
                <w:lang w:val="en-US"/>
              </w:rPr>
              <w:t>10</w:t>
            </w:r>
            <w:r w:rsidRPr="00906E41">
              <w:rPr>
                <w:b/>
                <w:bCs/>
                <w:lang w:val="en-US"/>
              </w:rPr>
              <w:t>a</w:t>
            </w:r>
            <w:r>
              <w:rPr>
                <w:lang w:val="en-US"/>
              </w:rPr>
              <w:t xml:space="preserve"> Time to switch (2020 cohort)</w:t>
            </w:r>
          </w:p>
        </w:tc>
        <w:tc>
          <w:tcPr>
            <w:tcW w:w="6379" w:type="dxa"/>
          </w:tcPr>
          <w:p w14:paraId="270BA153" w14:textId="77777777" w:rsidR="007B150D" w:rsidRDefault="007B150D" w:rsidP="00FE375A">
            <w:pPr>
              <w:rPr>
                <w:lang w:val="en-US"/>
              </w:rPr>
            </w:pPr>
            <w:r>
              <w:rPr>
                <w:noProof/>
                <w:lang w:eastAsia="en-AU"/>
              </w:rPr>
              <w:drawing>
                <wp:inline distT="0" distB="0" distL="0" distR="0" wp14:anchorId="49B7869B" wp14:editId="4206CD81">
                  <wp:extent cx="3949700" cy="3041141"/>
                  <wp:effectExtent l="0" t="0" r="0" b="6985"/>
                  <wp:docPr id="31" name="Picture 31" descr="Graph on the right hand side of the page showing that as time (days) elapses, the 2021 cohort of patients are more likely to have either changed the index HF medicine or ceased the index HF medicine. Data for 14 drug regimens have been plot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Graph on the right hand side of the page showing that as time (days) elapses, the 2021 cohort of patients are more likely to have either changed the index HF medicine or ceased the index HF medicine. Data for 14 drug regimens have been plotted. "/>
                          <pic:cNvPicPr/>
                        </pic:nvPicPr>
                        <pic:blipFill>
                          <a:blip r:embed="rId53">
                            <a:extLst>
                              <a:ext uri="{28A0092B-C50C-407E-A947-70E740481C1C}">
                                <a14:useLocalDpi xmlns:a14="http://schemas.microsoft.com/office/drawing/2010/main" val="0"/>
                              </a:ext>
                            </a:extLst>
                          </a:blip>
                          <a:stretch>
                            <a:fillRect/>
                          </a:stretch>
                        </pic:blipFill>
                        <pic:spPr>
                          <a:xfrm>
                            <a:off x="0" y="0"/>
                            <a:ext cx="3961387" cy="3050139"/>
                          </a:xfrm>
                          <a:prstGeom prst="rect">
                            <a:avLst/>
                          </a:prstGeom>
                        </pic:spPr>
                      </pic:pic>
                    </a:graphicData>
                  </a:graphic>
                </wp:inline>
              </w:drawing>
            </w:r>
          </w:p>
          <w:p w14:paraId="0438B96F" w14:textId="34F5DF7D" w:rsidR="007B150D" w:rsidRDefault="007B150D" w:rsidP="00FE375A">
            <w:pPr>
              <w:rPr>
                <w:lang w:val="en-US"/>
              </w:rPr>
            </w:pPr>
            <w:r w:rsidRPr="00906E41">
              <w:rPr>
                <w:b/>
                <w:bCs/>
                <w:lang w:val="en-US"/>
              </w:rPr>
              <w:t xml:space="preserve">Figure </w:t>
            </w:r>
            <w:r w:rsidR="008F6176">
              <w:rPr>
                <w:b/>
                <w:bCs/>
                <w:lang w:val="en-US"/>
              </w:rPr>
              <w:t>A</w:t>
            </w:r>
            <w:r w:rsidR="00FA1177">
              <w:rPr>
                <w:b/>
                <w:bCs/>
                <w:lang w:val="en-US"/>
              </w:rPr>
              <w:t>10</w:t>
            </w:r>
            <w:r w:rsidRPr="00906E41">
              <w:rPr>
                <w:b/>
                <w:bCs/>
                <w:lang w:val="en-US"/>
              </w:rPr>
              <w:t>b</w:t>
            </w:r>
            <w:r>
              <w:rPr>
                <w:lang w:val="en-US"/>
              </w:rPr>
              <w:t xml:space="preserve"> Time to switch (2021 cohort)</w:t>
            </w:r>
          </w:p>
        </w:tc>
      </w:tr>
    </w:tbl>
    <w:p w14:paraId="070B7219" w14:textId="77777777" w:rsidR="007B150D" w:rsidRDefault="007B150D" w:rsidP="007B150D">
      <w:pPr>
        <w:spacing w:after="0" w:line="240" w:lineRule="auto"/>
        <w:rPr>
          <w:rFonts w:cstheme="minorHAnsi"/>
          <w:i/>
          <w:iCs/>
          <w:sz w:val="18"/>
          <w:szCs w:val="18"/>
        </w:rPr>
      </w:pPr>
      <w:r w:rsidRPr="008E2AAA">
        <w:rPr>
          <w:rFonts w:cstheme="minorHAnsi"/>
          <w:i/>
          <w:iCs/>
          <w:sz w:val="18"/>
          <w:szCs w:val="18"/>
        </w:rPr>
        <w:t xml:space="preserve">Legend: </w:t>
      </w:r>
    </w:p>
    <w:p w14:paraId="5D24D9DC" w14:textId="77777777" w:rsidR="007B150D" w:rsidRDefault="007B150D" w:rsidP="007B150D">
      <w:pPr>
        <w:spacing w:after="0" w:line="240" w:lineRule="auto"/>
        <w:rPr>
          <w:rFonts w:cstheme="minorHAnsi"/>
          <w:i/>
          <w:iCs/>
          <w:sz w:val="18"/>
          <w:szCs w:val="18"/>
        </w:rPr>
      </w:pPr>
      <w:r w:rsidRPr="008E2AAA">
        <w:rPr>
          <w:rFonts w:cstheme="minorHAnsi"/>
          <w:i/>
          <w:iCs/>
          <w:sz w:val="18"/>
          <w:szCs w:val="18"/>
        </w:rPr>
        <w:t>B</w:t>
      </w:r>
      <w:r>
        <w:rPr>
          <w:rFonts w:cstheme="minorHAnsi"/>
          <w:i/>
          <w:iCs/>
          <w:sz w:val="18"/>
          <w:szCs w:val="18"/>
        </w:rPr>
        <w:t>iso</w:t>
      </w:r>
      <w:r w:rsidRPr="008E2AAA">
        <w:rPr>
          <w:rFonts w:cstheme="minorHAnsi"/>
          <w:i/>
          <w:iCs/>
          <w:sz w:val="18"/>
          <w:szCs w:val="18"/>
        </w:rPr>
        <w:t xml:space="preserve"> – </w:t>
      </w:r>
      <w:r>
        <w:rPr>
          <w:rFonts w:cstheme="minorHAnsi"/>
          <w:i/>
          <w:iCs/>
          <w:sz w:val="18"/>
          <w:szCs w:val="18"/>
        </w:rPr>
        <w:t>Bisoprolol (BB); Nebi – Nebivolol (BB); Meto – Metoprolol (BB); Carv – Carvedilol (BB); S+V – Sacubitril+Valsartan (ARNI); Eple – Eplerenone (MRA for HF); Ivab - Ivabradine (HCN channel blocker)</w:t>
      </w:r>
    </w:p>
    <w:p w14:paraId="69C6B046" w14:textId="269E51DB" w:rsidR="007B150D" w:rsidRDefault="007B150D" w:rsidP="007B150D">
      <w:pPr>
        <w:rPr>
          <w:sz w:val="18"/>
          <w:szCs w:val="18"/>
          <w:lang w:val="en-US"/>
        </w:rPr>
      </w:pPr>
      <w:r w:rsidRPr="0025109F">
        <w:rPr>
          <w:sz w:val="18"/>
          <w:szCs w:val="18"/>
          <w:lang w:val="en-US"/>
        </w:rPr>
        <w:t xml:space="preserve">Tb2 </w:t>
      </w:r>
      <w:r>
        <w:rPr>
          <w:sz w:val="18"/>
          <w:szCs w:val="18"/>
          <w:lang w:val="en-US"/>
        </w:rPr>
        <w:t>– any medicine from Table 2</w:t>
      </w:r>
      <w:r w:rsidR="00153D3A">
        <w:rPr>
          <w:sz w:val="18"/>
          <w:szCs w:val="18"/>
          <w:lang w:val="en-US"/>
        </w:rPr>
        <w:t xml:space="preserve"> (unrestricted)</w:t>
      </w:r>
    </w:p>
    <w:p w14:paraId="06656817" w14:textId="77777777" w:rsidR="007B150D" w:rsidRDefault="007B150D" w:rsidP="007B150D">
      <w:pPr>
        <w:rPr>
          <w:sz w:val="18"/>
          <w:szCs w:val="18"/>
          <w:lang w:val="en-US"/>
        </w:rPr>
      </w:pPr>
    </w:p>
    <w:p w14:paraId="7B56FB17" w14:textId="77777777" w:rsidR="007B150D" w:rsidRDefault="007B150D" w:rsidP="007B150D">
      <w:pPr>
        <w:rPr>
          <w:sz w:val="18"/>
          <w:szCs w:val="18"/>
          <w:lang w:val="en-US"/>
        </w:rPr>
      </w:pPr>
    </w:p>
    <w:p w14:paraId="52EB9F29" w14:textId="77777777" w:rsidR="007B150D" w:rsidRDefault="007B150D" w:rsidP="007B150D">
      <w:pPr>
        <w:rPr>
          <w:sz w:val="18"/>
          <w:szCs w:val="18"/>
          <w:lang w:val="en-US"/>
        </w:rPr>
      </w:pPr>
    </w:p>
    <w:p w14:paraId="73039C85" w14:textId="5F8E2A9A" w:rsidR="007B150D" w:rsidRPr="00153D3A" w:rsidRDefault="007B150D" w:rsidP="00153D3A">
      <w:pPr>
        <w:rPr>
          <w:b/>
          <w:bCs/>
        </w:rPr>
      </w:pPr>
      <w:r w:rsidRPr="00153D3A">
        <w:rPr>
          <w:b/>
          <w:bCs/>
        </w:rPr>
        <w:t xml:space="preserve">Duration of first treatment episode with HF restricted therapy (+/- </w:t>
      </w:r>
      <w:r w:rsidR="00C83A9A">
        <w:rPr>
          <w:b/>
          <w:bCs/>
        </w:rPr>
        <w:t>unrestricted (</w:t>
      </w:r>
      <w:r w:rsidRPr="00153D3A">
        <w:rPr>
          <w:b/>
          <w:bCs/>
        </w:rPr>
        <w:t>Table 2</w:t>
      </w:r>
      <w:r w:rsidR="00C83A9A">
        <w:rPr>
          <w:b/>
          <w:bCs/>
        </w:rPr>
        <w:t>)</w:t>
      </w:r>
      <w:r w:rsidR="00153D3A">
        <w:rPr>
          <w:b/>
          <w:bCs/>
        </w:rPr>
        <w:t xml:space="preserve"> </w:t>
      </w:r>
      <w:r w:rsidRPr="00153D3A">
        <w:rPr>
          <w:b/>
          <w:bCs/>
        </w:rPr>
        <w:t xml:space="preserve">medicine) to an add-on </w:t>
      </w:r>
      <w:r w:rsidR="00153D3A">
        <w:rPr>
          <w:b/>
          <w:bCs/>
        </w:rPr>
        <w:t>(</w:t>
      </w:r>
      <w:r w:rsidRPr="00153D3A">
        <w:rPr>
          <w:b/>
          <w:bCs/>
        </w:rPr>
        <w:t xml:space="preserve">either a </w:t>
      </w:r>
      <w:r w:rsidR="00153D3A">
        <w:rPr>
          <w:b/>
          <w:bCs/>
        </w:rPr>
        <w:t xml:space="preserve">HF restricted </w:t>
      </w:r>
      <w:r w:rsidRPr="00153D3A">
        <w:rPr>
          <w:b/>
          <w:bCs/>
        </w:rPr>
        <w:t xml:space="preserve">medicine from Table 1 or </w:t>
      </w:r>
      <w:r w:rsidR="00153D3A">
        <w:rPr>
          <w:b/>
          <w:bCs/>
        </w:rPr>
        <w:t xml:space="preserve">unrestricted medicine from </w:t>
      </w:r>
      <w:r w:rsidRPr="00153D3A">
        <w:rPr>
          <w:b/>
          <w:bCs/>
        </w:rPr>
        <w:t>Table 2</w:t>
      </w:r>
      <w:r w:rsidR="00153D3A">
        <w:rPr>
          <w:b/>
          <w:bCs/>
        </w:rPr>
        <w:t>) or cessation</w:t>
      </w:r>
    </w:p>
    <w:tbl>
      <w:tblPr>
        <w:tblStyle w:val="TableGrid"/>
        <w:tblW w:w="0" w:type="auto"/>
        <w:tblLook w:val="04A0" w:firstRow="1" w:lastRow="0" w:firstColumn="1" w:lastColumn="0" w:noHBand="0" w:noVBand="1"/>
      </w:tblPr>
      <w:tblGrid>
        <w:gridCol w:w="6658"/>
        <w:gridCol w:w="6945"/>
      </w:tblGrid>
      <w:tr w:rsidR="007B150D" w14:paraId="17516BD9" w14:textId="77777777" w:rsidTr="00FE375A">
        <w:trPr>
          <w:trHeight w:val="4874"/>
        </w:trPr>
        <w:tc>
          <w:tcPr>
            <w:tcW w:w="6658" w:type="dxa"/>
          </w:tcPr>
          <w:p w14:paraId="6C987ECB" w14:textId="77777777" w:rsidR="007B150D" w:rsidRDefault="007B150D" w:rsidP="00FE375A">
            <w:pPr>
              <w:rPr>
                <w:lang w:val="en-US"/>
              </w:rPr>
            </w:pPr>
            <w:r>
              <w:rPr>
                <w:noProof/>
                <w:lang w:eastAsia="en-AU"/>
              </w:rPr>
              <w:drawing>
                <wp:inline distT="0" distB="0" distL="0" distR="0" wp14:anchorId="2D316633" wp14:editId="55C5E3B0">
                  <wp:extent cx="4057650" cy="2914650"/>
                  <wp:effectExtent l="0" t="0" r="0" b="0"/>
                  <wp:docPr id="36" name="Picture 36" descr="Graph on the left hand side of the page showing that as time (days) elapses, the 2020 cohort of patients are more likely to have either added another medicine to the index HF medicine or ceased the index HF medicine. Data for 14 drug regimens have been plot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Graph on the left hand side of the page showing that as time (days) elapses, the 2020 cohort of patients are more likely to have either added another medicine to the index HF medicine or ceased the index HF medicine. Data for 14 drug regimens have been plotted. "/>
                          <pic:cNvPicPr/>
                        </pic:nvPicPr>
                        <pic:blipFill>
                          <a:blip r:embed="rId54">
                            <a:extLst>
                              <a:ext uri="{28A0092B-C50C-407E-A947-70E740481C1C}">
                                <a14:useLocalDpi xmlns:a14="http://schemas.microsoft.com/office/drawing/2010/main" val="0"/>
                              </a:ext>
                            </a:extLst>
                          </a:blip>
                          <a:stretch>
                            <a:fillRect/>
                          </a:stretch>
                        </pic:blipFill>
                        <pic:spPr>
                          <a:xfrm>
                            <a:off x="0" y="0"/>
                            <a:ext cx="4093614" cy="2940483"/>
                          </a:xfrm>
                          <a:prstGeom prst="rect">
                            <a:avLst/>
                          </a:prstGeom>
                        </pic:spPr>
                      </pic:pic>
                    </a:graphicData>
                  </a:graphic>
                </wp:inline>
              </w:drawing>
            </w:r>
          </w:p>
          <w:p w14:paraId="314521EA" w14:textId="7E77230A" w:rsidR="007B150D" w:rsidRDefault="007B150D" w:rsidP="00FE375A">
            <w:pPr>
              <w:rPr>
                <w:lang w:val="en-US"/>
              </w:rPr>
            </w:pPr>
            <w:r w:rsidRPr="00906E41">
              <w:rPr>
                <w:b/>
                <w:bCs/>
                <w:lang w:val="en-US"/>
              </w:rPr>
              <w:t xml:space="preserve">Figure </w:t>
            </w:r>
            <w:r w:rsidR="008F6176">
              <w:rPr>
                <w:b/>
                <w:bCs/>
                <w:lang w:val="en-US"/>
              </w:rPr>
              <w:t>A</w:t>
            </w:r>
            <w:r w:rsidR="00FA1177">
              <w:rPr>
                <w:b/>
                <w:bCs/>
                <w:lang w:val="en-US"/>
              </w:rPr>
              <w:t>11</w:t>
            </w:r>
            <w:r w:rsidRPr="00906E41">
              <w:rPr>
                <w:b/>
                <w:bCs/>
                <w:lang w:val="en-US"/>
              </w:rPr>
              <w:t>a</w:t>
            </w:r>
            <w:r>
              <w:rPr>
                <w:lang w:val="en-US"/>
              </w:rPr>
              <w:t xml:space="preserve"> Time to add-on (2020 cohort)</w:t>
            </w:r>
          </w:p>
        </w:tc>
        <w:tc>
          <w:tcPr>
            <w:tcW w:w="6945" w:type="dxa"/>
          </w:tcPr>
          <w:p w14:paraId="4432E4B3" w14:textId="77777777" w:rsidR="007B150D" w:rsidRDefault="007B150D" w:rsidP="00FE375A">
            <w:pPr>
              <w:rPr>
                <w:lang w:val="en-US"/>
              </w:rPr>
            </w:pPr>
            <w:r>
              <w:rPr>
                <w:noProof/>
                <w:lang w:eastAsia="en-AU"/>
              </w:rPr>
              <w:drawing>
                <wp:inline distT="0" distB="0" distL="0" distR="0" wp14:anchorId="08581AD8" wp14:editId="39EE6850">
                  <wp:extent cx="4120166" cy="2895600"/>
                  <wp:effectExtent l="0" t="0" r="0" b="0"/>
                  <wp:docPr id="40" name="Picture 40" descr="Graph on the right hand side of the page showing that as time (days) elapses, the 2021 cohort of patients are more likely to have either added another medicine to the index HF medicine or ceased the index HF medicine. Data for 14 drug regimens have been plot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Graph on the right hand side of the page showing that as time (days) elapses, the 2021 cohort of patients are more likely to have either added another medicine to the index HF medicine or ceased the index HF medicine. Data for 14 drug regimens have been plotted."/>
                          <pic:cNvPicPr/>
                        </pic:nvPicPr>
                        <pic:blipFill>
                          <a:blip r:embed="rId55">
                            <a:extLst>
                              <a:ext uri="{28A0092B-C50C-407E-A947-70E740481C1C}">
                                <a14:useLocalDpi xmlns:a14="http://schemas.microsoft.com/office/drawing/2010/main" val="0"/>
                              </a:ext>
                            </a:extLst>
                          </a:blip>
                          <a:stretch>
                            <a:fillRect/>
                          </a:stretch>
                        </pic:blipFill>
                        <pic:spPr>
                          <a:xfrm>
                            <a:off x="0" y="0"/>
                            <a:ext cx="4167998" cy="2929216"/>
                          </a:xfrm>
                          <a:prstGeom prst="rect">
                            <a:avLst/>
                          </a:prstGeom>
                        </pic:spPr>
                      </pic:pic>
                    </a:graphicData>
                  </a:graphic>
                </wp:inline>
              </w:drawing>
            </w:r>
          </w:p>
          <w:p w14:paraId="6F7C86EF" w14:textId="70EF1D29" w:rsidR="007B150D" w:rsidRDefault="007B150D" w:rsidP="00FE375A">
            <w:pPr>
              <w:rPr>
                <w:lang w:val="en-US"/>
              </w:rPr>
            </w:pPr>
            <w:r w:rsidRPr="00906E41">
              <w:rPr>
                <w:b/>
                <w:bCs/>
                <w:lang w:val="en-US"/>
              </w:rPr>
              <w:t xml:space="preserve">Figure </w:t>
            </w:r>
            <w:r w:rsidR="008F6176">
              <w:rPr>
                <w:b/>
                <w:bCs/>
                <w:lang w:val="en-US"/>
              </w:rPr>
              <w:t>A</w:t>
            </w:r>
            <w:r w:rsidR="00FA1177">
              <w:rPr>
                <w:b/>
                <w:bCs/>
                <w:lang w:val="en-US"/>
              </w:rPr>
              <w:t>11</w:t>
            </w:r>
            <w:r w:rsidRPr="00906E41">
              <w:rPr>
                <w:b/>
                <w:bCs/>
                <w:lang w:val="en-US"/>
              </w:rPr>
              <w:t>b</w:t>
            </w:r>
            <w:r>
              <w:rPr>
                <w:lang w:val="en-US"/>
              </w:rPr>
              <w:t xml:space="preserve"> Time to add-on (2021 cohort)</w:t>
            </w:r>
          </w:p>
        </w:tc>
      </w:tr>
    </w:tbl>
    <w:p w14:paraId="29A32266" w14:textId="77777777" w:rsidR="007B150D" w:rsidRDefault="007B150D" w:rsidP="007B150D">
      <w:pPr>
        <w:spacing w:after="0" w:line="240" w:lineRule="auto"/>
        <w:rPr>
          <w:rFonts w:cstheme="minorHAnsi"/>
          <w:i/>
          <w:iCs/>
          <w:sz w:val="18"/>
          <w:szCs w:val="18"/>
        </w:rPr>
      </w:pPr>
      <w:r w:rsidRPr="008E2AAA">
        <w:rPr>
          <w:rFonts w:cstheme="minorHAnsi"/>
          <w:i/>
          <w:iCs/>
          <w:sz w:val="18"/>
          <w:szCs w:val="18"/>
        </w:rPr>
        <w:t xml:space="preserve">Legend: </w:t>
      </w:r>
    </w:p>
    <w:p w14:paraId="726B703A" w14:textId="77777777" w:rsidR="007B150D" w:rsidRDefault="007B150D" w:rsidP="007B150D">
      <w:pPr>
        <w:spacing w:after="0" w:line="240" w:lineRule="auto"/>
        <w:rPr>
          <w:rFonts w:cstheme="minorHAnsi"/>
          <w:i/>
          <w:iCs/>
          <w:sz w:val="18"/>
          <w:szCs w:val="18"/>
        </w:rPr>
      </w:pPr>
      <w:r w:rsidRPr="008E2AAA">
        <w:rPr>
          <w:rFonts w:cstheme="minorHAnsi"/>
          <w:i/>
          <w:iCs/>
          <w:sz w:val="18"/>
          <w:szCs w:val="18"/>
        </w:rPr>
        <w:t>B</w:t>
      </w:r>
      <w:r>
        <w:rPr>
          <w:rFonts w:cstheme="minorHAnsi"/>
          <w:i/>
          <w:iCs/>
          <w:sz w:val="18"/>
          <w:szCs w:val="18"/>
        </w:rPr>
        <w:t>iso</w:t>
      </w:r>
      <w:r w:rsidRPr="008E2AAA">
        <w:rPr>
          <w:rFonts w:cstheme="minorHAnsi"/>
          <w:i/>
          <w:iCs/>
          <w:sz w:val="18"/>
          <w:szCs w:val="18"/>
        </w:rPr>
        <w:t xml:space="preserve"> – </w:t>
      </w:r>
      <w:r>
        <w:rPr>
          <w:rFonts w:cstheme="minorHAnsi"/>
          <w:i/>
          <w:iCs/>
          <w:sz w:val="18"/>
          <w:szCs w:val="18"/>
        </w:rPr>
        <w:t>Bisoprolol (BB); Nebi – Nebivolol (BB); Meto – Metoprolol (BB); Carv – Carvedilol (BB); S+V – Sacubitril+Valsartan (ARNI); Eple – Eplerenone (MRA for HF); Ivab - Ivabradine (HCN channel blocker)</w:t>
      </w:r>
    </w:p>
    <w:p w14:paraId="1EBD64B9" w14:textId="2358FDF3" w:rsidR="007B150D" w:rsidRDefault="007B150D" w:rsidP="007B150D">
      <w:pPr>
        <w:rPr>
          <w:sz w:val="18"/>
          <w:szCs w:val="18"/>
          <w:lang w:val="en-US"/>
        </w:rPr>
      </w:pPr>
      <w:r w:rsidRPr="0025109F">
        <w:rPr>
          <w:sz w:val="18"/>
          <w:szCs w:val="18"/>
          <w:lang w:val="en-US"/>
        </w:rPr>
        <w:t xml:space="preserve">Tb2 </w:t>
      </w:r>
      <w:r>
        <w:rPr>
          <w:sz w:val="18"/>
          <w:szCs w:val="18"/>
          <w:lang w:val="en-US"/>
        </w:rPr>
        <w:t>– any medicine from Table 2</w:t>
      </w:r>
      <w:r w:rsidR="00153D3A">
        <w:rPr>
          <w:sz w:val="18"/>
          <w:szCs w:val="18"/>
          <w:lang w:val="en-US"/>
        </w:rPr>
        <w:t xml:space="preserve"> (unrestricted)</w:t>
      </w:r>
    </w:p>
    <w:p w14:paraId="62CDC63A" w14:textId="77777777" w:rsidR="007B150D" w:rsidRDefault="007B150D" w:rsidP="007B150D">
      <w:pPr>
        <w:rPr>
          <w:sz w:val="18"/>
          <w:szCs w:val="18"/>
          <w:lang w:val="en-US"/>
        </w:rPr>
      </w:pPr>
    </w:p>
    <w:p w14:paraId="0B3A81AE" w14:textId="77777777" w:rsidR="007B150D" w:rsidRDefault="007B150D" w:rsidP="007B150D">
      <w:pPr>
        <w:rPr>
          <w:sz w:val="18"/>
          <w:szCs w:val="18"/>
          <w:lang w:val="en-US"/>
        </w:rPr>
      </w:pPr>
    </w:p>
    <w:p w14:paraId="5E8DA52F" w14:textId="77777777" w:rsidR="007B150D" w:rsidRDefault="007B150D" w:rsidP="007B150D">
      <w:pPr>
        <w:rPr>
          <w:sz w:val="18"/>
          <w:szCs w:val="18"/>
          <w:lang w:val="en-US"/>
        </w:rPr>
      </w:pPr>
    </w:p>
    <w:p w14:paraId="10EFB24A" w14:textId="77777777" w:rsidR="008F6176" w:rsidRDefault="008F6176">
      <w:pPr>
        <w:rPr>
          <w:rFonts w:cstheme="minorHAnsi"/>
          <w:b/>
          <w:i/>
          <w:iCs/>
        </w:rPr>
      </w:pPr>
      <w:r>
        <w:rPr>
          <w:rFonts w:cstheme="minorHAnsi"/>
          <w:b/>
          <w:i/>
          <w:iCs/>
        </w:rPr>
        <w:br w:type="page"/>
      </w:r>
    </w:p>
    <w:p w14:paraId="7B06E605" w14:textId="38A26D10" w:rsidR="007B150D" w:rsidRPr="00153D3A" w:rsidRDefault="007B150D" w:rsidP="00153D3A">
      <w:pPr>
        <w:rPr>
          <w:b/>
          <w:bCs/>
        </w:rPr>
      </w:pPr>
      <w:r w:rsidRPr="00153D3A">
        <w:rPr>
          <w:b/>
          <w:bCs/>
        </w:rPr>
        <w:t xml:space="preserve">Duration of first treatment episode with HF restricted therapy (+/- </w:t>
      </w:r>
      <w:r w:rsidR="00C83A9A">
        <w:rPr>
          <w:b/>
          <w:bCs/>
        </w:rPr>
        <w:t>unrestricted (</w:t>
      </w:r>
      <w:r w:rsidRPr="00153D3A">
        <w:rPr>
          <w:b/>
          <w:bCs/>
        </w:rPr>
        <w:t>Table 2</w:t>
      </w:r>
      <w:r w:rsidR="00C83A9A">
        <w:rPr>
          <w:b/>
          <w:bCs/>
        </w:rPr>
        <w:t>)</w:t>
      </w:r>
      <w:r w:rsidRPr="00153D3A">
        <w:rPr>
          <w:b/>
          <w:bCs/>
        </w:rPr>
        <w:t xml:space="preserve"> medicine) to a change – either a switch (defined as a therapy not containing the index </w:t>
      </w:r>
      <w:r w:rsidR="0024044B" w:rsidRPr="00153D3A">
        <w:rPr>
          <w:b/>
          <w:bCs/>
        </w:rPr>
        <w:t>HF restricted medicine</w:t>
      </w:r>
      <w:r w:rsidRPr="00153D3A">
        <w:rPr>
          <w:b/>
          <w:bCs/>
        </w:rPr>
        <w:t xml:space="preserve">) or add-on </w:t>
      </w:r>
      <w:r w:rsidR="00153D3A">
        <w:rPr>
          <w:b/>
          <w:bCs/>
        </w:rPr>
        <w:t xml:space="preserve">(of </w:t>
      </w:r>
      <w:r w:rsidRPr="00153D3A">
        <w:rPr>
          <w:b/>
          <w:bCs/>
        </w:rPr>
        <w:t xml:space="preserve">either a </w:t>
      </w:r>
      <w:r w:rsidR="00153D3A">
        <w:rPr>
          <w:b/>
          <w:bCs/>
        </w:rPr>
        <w:t xml:space="preserve">HF restricted medicine </w:t>
      </w:r>
      <w:r w:rsidRPr="00153D3A">
        <w:rPr>
          <w:b/>
          <w:bCs/>
        </w:rPr>
        <w:t xml:space="preserve">from Table 1 or </w:t>
      </w:r>
      <w:r w:rsidR="00153D3A">
        <w:rPr>
          <w:b/>
          <w:bCs/>
        </w:rPr>
        <w:t xml:space="preserve">unrestricted medicine from </w:t>
      </w:r>
      <w:r w:rsidRPr="00153D3A">
        <w:rPr>
          <w:b/>
          <w:bCs/>
        </w:rPr>
        <w:t>Table 2</w:t>
      </w:r>
      <w:r w:rsidR="00153D3A">
        <w:rPr>
          <w:b/>
          <w:bCs/>
        </w:rPr>
        <w:t>) or cessation</w:t>
      </w:r>
      <w:r w:rsidRPr="00153D3A">
        <w:rPr>
          <w:b/>
          <w:bCs/>
        </w:rPr>
        <w:t>.</w:t>
      </w:r>
    </w:p>
    <w:tbl>
      <w:tblPr>
        <w:tblStyle w:val="TableGrid"/>
        <w:tblW w:w="0" w:type="auto"/>
        <w:tblLook w:val="04A0" w:firstRow="1" w:lastRow="0" w:firstColumn="1" w:lastColumn="0" w:noHBand="0" w:noVBand="1"/>
      </w:tblPr>
      <w:tblGrid>
        <w:gridCol w:w="7407"/>
        <w:gridCol w:w="6541"/>
      </w:tblGrid>
      <w:tr w:rsidR="007B150D" w14:paraId="680257B9" w14:textId="77777777" w:rsidTr="00FE375A">
        <w:trPr>
          <w:trHeight w:val="5583"/>
        </w:trPr>
        <w:tc>
          <w:tcPr>
            <w:tcW w:w="7508" w:type="dxa"/>
          </w:tcPr>
          <w:p w14:paraId="52B347E0" w14:textId="77777777" w:rsidR="007B150D" w:rsidRDefault="007B150D" w:rsidP="00FE375A">
            <w:pPr>
              <w:rPr>
                <w:lang w:val="en-US"/>
              </w:rPr>
            </w:pPr>
            <w:r>
              <w:rPr>
                <w:noProof/>
                <w:lang w:eastAsia="en-AU"/>
              </w:rPr>
              <w:drawing>
                <wp:inline distT="0" distB="0" distL="0" distR="0" wp14:anchorId="2A15A558" wp14:editId="06C44751">
                  <wp:extent cx="4584293" cy="3365500"/>
                  <wp:effectExtent l="0" t="0" r="6985" b="6350"/>
                  <wp:docPr id="49" name="Picture 49" descr="Graph on the left hand side of the page showing that as time (days) elapses, the 2020 cohort of patients are more likely to have any of: (1) added another medicine to the index HF medicine, (2) changed the index HF medicine or (3) ceased the index HF medicine. Data for 14 drug regimens have been plot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Graph on the left hand side of the page showing that as time (days) elapses, the 2020 cohort of patients are more likely to have any of: (1) added another medicine to the index HF medicine, (2) changed the index HF medicine or (3) ceased the index HF medicine. Data for 14 drug regimens have been plotted."/>
                          <pic:cNvPicPr/>
                        </pic:nvPicPr>
                        <pic:blipFill>
                          <a:blip r:embed="rId56">
                            <a:extLst>
                              <a:ext uri="{28A0092B-C50C-407E-A947-70E740481C1C}">
                                <a14:useLocalDpi xmlns:a14="http://schemas.microsoft.com/office/drawing/2010/main" val="0"/>
                              </a:ext>
                            </a:extLst>
                          </a:blip>
                          <a:stretch>
                            <a:fillRect/>
                          </a:stretch>
                        </pic:blipFill>
                        <pic:spPr>
                          <a:xfrm>
                            <a:off x="0" y="0"/>
                            <a:ext cx="4622014" cy="3393192"/>
                          </a:xfrm>
                          <a:prstGeom prst="rect">
                            <a:avLst/>
                          </a:prstGeom>
                        </pic:spPr>
                      </pic:pic>
                    </a:graphicData>
                  </a:graphic>
                </wp:inline>
              </w:drawing>
            </w:r>
          </w:p>
          <w:p w14:paraId="42D9322B" w14:textId="6227E4BE" w:rsidR="007B150D" w:rsidRDefault="007B150D" w:rsidP="00FE375A">
            <w:pPr>
              <w:rPr>
                <w:lang w:val="en-US"/>
              </w:rPr>
            </w:pPr>
            <w:r w:rsidRPr="00906E41">
              <w:rPr>
                <w:b/>
                <w:bCs/>
                <w:lang w:val="en-US"/>
              </w:rPr>
              <w:t xml:space="preserve">Figure </w:t>
            </w:r>
            <w:r w:rsidR="008F6176">
              <w:rPr>
                <w:b/>
                <w:bCs/>
                <w:lang w:val="en-US"/>
              </w:rPr>
              <w:t>A</w:t>
            </w:r>
            <w:r w:rsidR="00FA1177">
              <w:rPr>
                <w:b/>
                <w:bCs/>
                <w:lang w:val="en-US"/>
              </w:rPr>
              <w:t>12</w:t>
            </w:r>
            <w:r w:rsidRPr="00906E41">
              <w:rPr>
                <w:b/>
                <w:bCs/>
                <w:lang w:val="en-US"/>
              </w:rPr>
              <w:t>a</w:t>
            </w:r>
            <w:r>
              <w:rPr>
                <w:lang w:val="en-US"/>
              </w:rPr>
              <w:t xml:space="preserve"> Time to change (2020 cohort)</w:t>
            </w:r>
          </w:p>
        </w:tc>
        <w:tc>
          <w:tcPr>
            <w:tcW w:w="6379" w:type="dxa"/>
          </w:tcPr>
          <w:p w14:paraId="216674A3" w14:textId="77777777" w:rsidR="007B150D" w:rsidRDefault="007B150D" w:rsidP="00FE375A">
            <w:pPr>
              <w:rPr>
                <w:lang w:val="en-US"/>
              </w:rPr>
            </w:pPr>
            <w:r>
              <w:rPr>
                <w:noProof/>
                <w:lang w:eastAsia="en-AU"/>
              </w:rPr>
              <w:drawing>
                <wp:inline distT="0" distB="0" distL="0" distR="0" wp14:anchorId="719E6AAE" wp14:editId="1C06D932">
                  <wp:extent cx="4037965" cy="3345948"/>
                  <wp:effectExtent l="0" t="0" r="635" b="6985"/>
                  <wp:docPr id="50" name="Picture 50" descr="Graph on the right hand side of the page showing that as time (days) elapses, the 2021 cohort of patients are more likely to have any of: (1) added another medicine to the index HF medicine, (2) changed the index HF medicine or (3) ceased the index HF medicine. Data for 14 drug regimens have been plot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Graph on the right hand side of the page showing that as time (days) elapses, the 2021 cohort of patients are more likely to have any of: (1) added another medicine to the index HF medicine, (2) changed the index HF medicine or (3) ceased the index HF medicine. Data for 14 drug regimens have been plotted."/>
                          <pic:cNvPicPr/>
                        </pic:nvPicPr>
                        <pic:blipFill>
                          <a:blip r:embed="rId57">
                            <a:extLst>
                              <a:ext uri="{28A0092B-C50C-407E-A947-70E740481C1C}">
                                <a14:useLocalDpi xmlns:a14="http://schemas.microsoft.com/office/drawing/2010/main" val="0"/>
                              </a:ext>
                            </a:extLst>
                          </a:blip>
                          <a:stretch>
                            <a:fillRect/>
                          </a:stretch>
                        </pic:blipFill>
                        <pic:spPr>
                          <a:xfrm>
                            <a:off x="0" y="0"/>
                            <a:ext cx="4077893" cy="3379033"/>
                          </a:xfrm>
                          <a:prstGeom prst="rect">
                            <a:avLst/>
                          </a:prstGeom>
                        </pic:spPr>
                      </pic:pic>
                    </a:graphicData>
                  </a:graphic>
                </wp:inline>
              </w:drawing>
            </w:r>
          </w:p>
          <w:p w14:paraId="729562F5" w14:textId="2C02976E" w:rsidR="007B150D" w:rsidRDefault="007B150D" w:rsidP="00FE375A">
            <w:pPr>
              <w:rPr>
                <w:lang w:val="en-US"/>
              </w:rPr>
            </w:pPr>
            <w:r w:rsidRPr="00906E41">
              <w:rPr>
                <w:b/>
                <w:bCs/>
                <w:lang w:val="en-US"/>
              </w:rPr>
              <w:t xml:space="preserve">Figure </w:t>
            </w:r>
            <w:r w:rsidR="008F6176">
              <w:rPr>
                <w:b/>
                <w:bCs/>
                <w:lang w:val="en-US"/>
              </w:rPr>
              <w:t>A</w:t>
            </w:r>
            <w:r w:rsidR="00FA1177">
              <w:rPr>
                <w:b/>
                <w:bCs/>
                <w:lang w:val="en-US"/>
              </w:rPr>
              <w:t>12</w:t>
            </w:r>
            <w:r w:rsidRPr="00906E41">
              <w:rPr>
                <w:b/>
                <w:bCs/>
                <w:lang w:val="en-US"/>
              </w:rPr>
              <w:t>b</w:t>
            </w:r>
            <w:r>
              <w:rPr>
                <w:lang w:val="en-US"/>
              </w:rPr>
              <w:t xml:space="preserve"> Time to change (2021 cohort)</w:t>
            </w:r>
          </w:p>
        </w:tc>
      </w:tr>
    </w:tbl>
    <w:p w14:paraId="3CEC44D3" w14:textId="77777777" w:rsidR="007B150D" w:rsidRDefault="007B150D" w:rsidP="007B150D">
      <w:pPr>
        <w:spacing w:after="0" w:line="240" w:lineRule="auto"/>
        <w:rPr>
          <w:rFonts w:cstheme="minorHAnsi"/>
          <w:i/>
          <w:iCs/>
          <w:sz w:val="18"/>
          <w:szCs w:val="18"/>
        </w:rPr>
      </w:pPr>
      <w:r w:rsidRPr="008E2AAA">
        <w:rPr>
          <w:rFonts w:cstheme="minorHAnsi"/>
          <w:i/>
          <w:iCs/>
          <w:sz w:val="18"/>
          <w:szCs w:val="18"/>
        </w:rPr>
        <w:t xml:space="preserve">Legend: </w:t>
      </w:r>
    </w:p>
    <w:p w14:paraId="4F192CB7" w14:textId="77777777" w:rsidR="007B150D" w:rsidRDefault="007B150D" w:rsidP="007B150D">
      <w:pPr>
        <w:spacing w:after="0" w:line="240" w:lineRule="auto"/>
        <w:rPr>
          <w:rFonts w:cstheme="minorHAnsi"/>
          <w:i/>
          <w:iCs/>
          <w:sz w:val="18"/>
          <w:szCs w:val="18"/>
        </w:rPr>
      </w:pPr>
      <w:r w:rsidRPr="008E2AAA">
        <w:rPr>
          <w:rFonts w:cstheme="minorHAnsi"/>
          <w:i/>
          <w:iCs/>
          <w:sz w:val="18"/>
          <w:szCs w:val="18"/>
        </w:rPr>
        <w:t>B</w:t>
      </w:r>
      <w:r>
        <w:rPr>
          <w:rFonts w:cstheme="minorHAnsi"/>
          <w:i/>
          <w:iCs/>
          <w:sz w:val="18"/>
          <w:szCs w:val="18"/>
        </w:rPr>
        <w:t>iso</w:t>
      </w:r>
      <w:r w:rsidRPr="008E2AAA">
        <w:rPr>
          <w:rFonts w:cstheme="minorHAnsi"/>
          <w:i/>
          <w:iCs/>
          <w:sz w:val="18"/>
          <w:szCs w:val="18"/>
        </w:rPr>
        <w:t xml:space="preserve"> – </w:t>
      </w:r>
      <w:r>
        <w:rPr>
          <w:rFonts w:cstheme="minorHAnsi"/>
          <w:i/>
          <w:iCs/>
          <w:sz w:val="18"/>
          <w:szCs w:val="18"/>
        </w:rPr>
        <w:t>Bisoprolol (BB); Nebi – Nebivolol (BB); Meto – Metoprolol (BB); Carv – Carvedilol (BB); S+V – Sacubitril+Valsartan (ARNI); Eple – Eplerenone (MRA for HF); Ivab - Ivabradine (HCN channel blocker)</w:t>
      </w:r>
    </w:p>
    <w:p w14:paraId="13D54F0F" w14:textId="13330587" w:rsidR="007B150D" w:rsidRDefault="007B150D" w:rsidP="007B150D">
      <w:pPr>
        <w:rPr>
          <w:sz w:val="18"/>
          <w:szCs w:val="18"/>
          <w:lang w:val="en-US"/>
        </w:rPr>
      </w:pPr>
      <w:r w:rsidRPr="0025109F">
        <w:rPr>
          <w:sz w:val="18"/>
          <w:szCs w:val="18"/>
          <w:lang w:val="en-US"/>
        </w:rPr>
        <w:t xml:space="preserve">Tb2 </w:t>
      </w:r>
      <w:r>
        <w:rPr>
          <w:sz w:val="18"/>
          <w:szCs w:val="18"/>
          <w:lang w:val="en-US"/>
        </w:rPr>
        <w:t>– any medicine from Table 2</w:t>
      </w:r>
      <w:r w:rsidR="00153D3A">
        <w:rPr>
          <w:sz w:val="18"/>
          <w:szCs w:val="18"/>
          <w:lang w:val="en-US"/>
        </w:rPr>
        <w:t xml:space="preserve"> (unrestricted)</w:t>
      </w:r>
    </w:p>
    <w:p w14:paraId="7946BF79" w14:textId="77777777" w:rsidR="007B150D" w:rsidRPr="0025109F" w:rsidRDefault="007B150D" w:rsidP="007B150D">
      <w:pPr>
        <w:rPr>
          <w:sz w:val="18"/>
          <w:szCs w:val="18"/>
          <w:lang w:val="en-US"/>
        </w:rPr>
      </w:pPr>
    </w:p>
    <w:p w14:paraId="1CDD0984" w14:textId="3A2B417C" w:rsidR="0016490A" w:rsidRDefault="004C58B8" w:rsidP="00153268">
      <w:r>
        <w:fldChar w:fldCharType="begin"/>
      </w:r>
      <w:r>
        <w:instrText xml:space="preserve"> ADDIN EN.REFLIST </w:instrText>
      </w:r>
      <w:r>
        <w:fldChar w:fldCharType="end"/>
      </w:r>
    </w:p>
    <w:sectPr w:rsidR="0016490A" w:rsidSect="00B469BA">
      <w:pgSz w:w="16838" w:h="11906" w:orient="landscape" w:code="9"/>
      <w:pgMar w:top="1440" w:right="1440" w:bottom="1440" w:left="1440" w:header="709" w:footer="2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9AE7A" w14:textId="77777777" w:rsidR="00105B96" w:rsidRDefault="00105B96" w:rsidP="009C46BE">
      <w:pPr>
        <w:spacing w:after="0" w:line="240" w:lineRule="auto"/>
      </w:pPr>
      <w:r>
        <w:separator/>
      </w:r>
    </w:p>
  </w:endnote>
  <w:endnote w:type="continuationSeparator" w:id="0">
    <w:p w14:paraId="71BF27A3" w14:textId="77777777" w:rsidR="00105B96" w:rsidRDefault="00105B96" w:rsidP="009C46BE">
      <w:pPr>
        <w:spacing w:after="0" w:line="240" w:lineRule="auto"/>
      </w:pPr>
      <w:r>
        <w:continuationSeparator/>
      </w:r>
    </w:p>
  </w:endnote>
  <w:endnote w:type="continuationNotice" w:id="1">
    <w:p w14:paraId="0BC74996" w14:textId="77777777" w:rsidR="00105B96" w:rsidRDefault="00105B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436072"/>
      <w:docPartObj>
        <w:docPartGallery w:val="Page Numbers (Bottom of Page)"/>
        <w:docPartUnique/>
      </w:docPartObj>
    </w:sdtPr>
    <w:sdtEndPr>
      <w:rPr>
        <w:noProof/>
      </w:rPr>
    </w:sdtEndPr>
    <w:sdtContent>
      <w:p w14:paraId="0615E0B3" w14:textId="421E51BC" w:rsidR="004C58B8" w:rsidRDefault="004C58B8">
        <w:pPr>
          <w:pStyle w:val="Footer"/>
          <w:jc w:val="right"/>
        </w:pPr>
        <w:r>
          <w:fldChar w:fldCharType="begin"/>
        </w:r>
        <w:r>
          <w:instrText xml:space="preserve"> PAGE   \* MERGEFORMAT </w:instrText>
        </w:r>
        <w:r>
          <w:fldChar w:fldCharType="separate"/>
        </w:r>
        <w:r>
          <w:rPr>
            <w:noProof/>
          </w:rPr>
          <w:t>48</w:t>
        </w:r>
        <w:r>
          <w:rPr>
            <w:noProof/>
          </w:rPr>
          <w:fldChar w:fldCharType="end"/>
        </w:r>
      </w:p>
    </w:sdtContent>
  </w:sdt>
  <w:p w14:paraId="1059F411" w14:textId="17CD6513" w:rsidR="004C58B8" w:rsidRDefault="004C5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3F148" w14:textId="77777777" w:rsidR="00105B96" w:rsidRDefault="00105B96" w:rsidP="009C46BE">
      <w:pPr>
        <w:spacing w:after="0" w:line="240" w:lineRule="auto"/>
      </w:pPr>
      <w:r>
        <w:separator/>
      </w:r>
    </w:p>
  </w:footnote>
  <w:footnote w:type="continuationSeparator" w:id="0">
    <w:p w14:paraId="25307229" w14:textId="77777777" w:rsidR="00105B96" w:rsidRDefault="00105B96" w:rsidP="009C46BE">
      <w:pPr>
        <w:spacing w:after="0" w:line="240" w:lineRule="auto"/>
      </w:pPr>
      <w:r>
        <w:continuationSeparator/>
      </w:r>
    </w:p>
  </w:footnote>
  <w:footnote w:type="continuationNotice" w:id="1">
    <w:p w14:paraId="43EED466" w14:textId="77777777" w:rsidR="00105B96" w:rsidRDefault="00105B96">
      <w:pPr>
        <w:spacing w:after="0" w:line="240" w:lineRule="auto"/>
      </w:pPr>
    </w:p>
  </w:footnote>
  <w:footnote w:id="2">
    <w:p w14:paraId="65D13B4F" w14:textId="41C64106" w:rsidR="00AA70C1" w:rsidRDefault="00AA70C1">
      <w:pPr>
        <w:pStyle w:val="FootnoteText"/>
      </w:pPr>
      <w:r>
        <w:rPr>
          <w:rStyle w:val="FootnoteReference"/>
        </w:rPr>
        <w:footnoteRef/>
      </w:r>
      <w:r>
        <w:t xml:space="preserve"> Although ARNI is a FDC of sacubitril and valsartan, it was treated as a single agent in the analysis because sacubitril is only available in this combination.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FA360" w14:textId="77777777" w:rsidR="004C58B8" w:rsidRDefault="004C58B8">
    <w:pPr>
      <w:pStyle w:val="Header"/>
    </w:pPr>
    <w:r>
      <w:rPr>
        <w:noProof/>
        <w:lang w:eastAsia="en-AU"/>
      </w:rPr>
      <w:drawing>
        <wp:inline distT="0" distB="0" distL="0" distR="0" wp14:anchorId="22D87B80" wp14:editId="63CCD298">
          <wp:extent cx="1476375" cy="738813"/>
          <wp:effectExtent l="0" t="0" r="0" b="0"/>
          <wp:docPr id="8" name="Picture 8" descr="A blue and white logo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ue and white logo on a black background"/>
                  <pic:cNvPicPr/>
                </pic:nvPicPr>
                <pic:blipFill>
                  <a:blip r:embed="rId1">
                    <a:extLst>
                      <a:ext uri="{28A0092B-C50C-407E-A947-70E740481C1C}">
                        <a14:useLocalDpi xmlns:a14="http://schemas.microsoft.com/office/drawing/2010/main" val="0"/>
                      </a:ext>
                    </a:extLst>
                  </a:blip>
                  <a:stretch>
                    <a:fillRect/>
                  </a:stretch>
                </pic:blipFill>
                <pic:spPr>
                  <a:xfrm>
                    <a:off x="0" y="0"/>
                    <a:ext cx="1539564" cy="770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03029"/>
    <w:multiLevelType w:val="hybridMultilevel"/>
    <w:tmpl w:val="9E0CA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42010A"/>
    <w:multiLevelType w:val="multilevel"/>
    <w:tmpl w:val="398E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E73D9"/>
    <w:multiLevelType w:val="hybridMultilevel"/>
    <w:tmpl w:val="FB9642B2"/>
    <w:lvl w:ilvl="0" w:tplc="E16C89C0">
      <w:numFmt w:val="bullet"/>
      <w:lvlText w:val="•"/>
      <w:lvlJc w:val="left"/>
      <w:pPr>
        <w:ind w:left="786" w:hanging="360"/>
      </w:pPr>
      <w:rPr>
        <w:rFonts w:ascii="Calibri" w:eastAsiaTheme="minorHAnsi" w:hAnsi="Calibri" w:cs="Calibri"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 w15:restartNumberingAfterBreak="0">
    <w:nsid w:val="0BCC495D"/>
    <w:multiLevelType w:val="hybridMultilevel"/>
    <w:tmpl w:val="97A07286"/>
    <w:lvl w:ilvl="0" w:tplc="605645DC">
      <w:start w:val="350"/>
      <w:numFmt w:val="bullet"/>
      <w:lvlText w:val=""/>
      <w:lvlJc w:val="left"/>
      <w:pPr>
        <w:ind w:left="720" w:hanging="360"/>
      </w:pPr>
      <w:rPr>
        <w:rFonts w:ascii="Wingdings" w:eastAsiaTheme="minorHAnsi" w:hAnsi="Wingding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5A4650"/>
    <w:multiLevelType w:val="hybridMultilevel"/>
    <w:tmpl w:val="7B0CF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2F3009"/>
    <w:multiLevelType w:val="hybridMultilevel"/>
    <w:tmpl w:val="7EE0F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424844"/>
    <w:multiLevelType w:val="hybridMultilevel"/>
    <w:tmpl w:val="45E02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3F3377"/>
    <w:multiLevelType w:val="hybridMultilevel"/>
    <w:tmpl w:val="4DC291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8BD432C"/>
    <w:multiLevelType w:val="multilevel"/>
    <w:tmpl w:val="86026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B01043"/>
    <w:multiLevelType w:val="hybridMultilevel"/>
    <w:tmpl w:val="FB4A0940"/>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9A083C"/>
    <w:multiLevelType w:val="hybridMultilevel"/>
    <w:tmpl w:val="247AA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D02B57"/>
    <w:multiLevelType w:val="hybridMultilevel"/>
    <w:tmpl w:val="1E24C0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FC419D"/>
    <w:multiLevelType w:val="hybridMultilevel"/>
    <w:tmpl w:val="0786189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1D7DF0"/>
    <w:multiLevelType w:val="multilevel"/>
    <w:tmpl w:val="6A2C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BC3978"/>
    <w:multiLevelType w:val="hybridMultilevel"/>
    <w:tmpl w:val="CBF6232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5" w15:restartNumberingAfterBreak="0">
    <w:nsid w:val="2F18724B"/>
    <w:multiLevelType w:val="multilevel"/>
    <w:tmpl w:val="CE982C2E"/>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842171"/>
    <w:multiLevelType w:val="hybridMultilevel"/>
    <w:tmpl w:val="D89A4956"/>
    <w:lvl w:ilvl="0" w:tplc="F918BEB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F5122F"/>
    <w:multiLevelType w:val="multilevel"/>
    <w:tmpl w:val="7B5E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F01B88"/>
    <w:multiLevelType w:val="hybridMultilevel"/>
    <w:tmpl w:val="BE7E6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3A2D57"/>
    <w:multiLevelType w:val="hybridMultilevel"/>
    <w:tmpl w:val="0786189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D24249A"/>
    <w:multiLevelType w:val="hybridMultilevel"/>
    <w:tmpl w:val="E1A4CF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D545B06"/>
    <w:multiLevelType w:val="hybridMultilevel"/>
    <w:tmpl w:val="B97420DA"/>
    <w:lvl w:ilvl="0" w:tplc="0C09000F">
      <w:start w:val="1"/>
      <w:numFmt w:val="decimal"/>
      <w:lvlText w:val="%1."/>
      <w:lvlJc w:val="left"/>
      <w:pPr>
        <w:ind w:left="720" w:hanging="360"/>
      </w:pPr>
      <w:rPr>
        <w:rFonts w:hint="default"/>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2A07E2"/>
    <w:multiLevelType w:val="multilevel"/>
    <w:tmpl w:val="4E44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D33188"/>
    <w:multiLevelType w:val="hybridMultilevel"/>
    <w:tmpl w:val="F5567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DF2792"/>
    <w:multiLevelType w:val="hybridMultilevel"/>
    <w:tmpl w:val="BE6CB87E"/>
    <w:lvl w:ilvl="0" w:tplc="52C027C2">
      <w:start w:val="350"/>
      <w:numFmt w:val="bullet"/>
      <w:lvlText w:val=""/>
      <w:lvlJc w:val="left"/>
      <w:pPr>
        <w:ind w:left="720" w:hanging="360"/>
      </w:pPr>
      <w:rPr>
        <w:rFonts w:ascii="Wingdings" w:eastAsiaTheme="minorHAnsi" w:hAnsi="Wingding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EC6568"/>
    <w:multiLevelType w:val="hybridMultilevel"/>
    <w:tmpl w:val="4B36C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5C3CD6"/>
    <w:multiLevelType w:val="hybridMultilevel"/>
    <w:tmpl w:val="682CC718"/>
    <w:lvl w:ilvl="0" w:tplc="EDDA485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455935"/>
    <w:multiLevelType w:val="hybridMultilevel"/>
    <w:tmpl w:val="A48C1FE8"/>
    <w:lvl w:ilvl="0" w:tplc="C8CE0DAA">
      <w:numFmt w:val="bullet"/>
      <w:lvlText w:val="-"/>
      <w:lvlJc w:val="left"/>
      <w:pPr>
        <w:ind w:left="720" w:hanging="360"/>
      </w:pPr>
      <w:rPr>
        <w:rFonts w:ascii="Calibri" w:eastAsiaTheme="minorEastAsia" w:hAnsi="Calibr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6D962DA"/>
    <w:multiLevelType w:val="hybridMultilevel"/>
    <w:tmpl w:val="D858226E"/>
    <w:lvl w:ilvl="0" w:tplc="50728B3A">
      <w:numFmt w:val="bullet"/>
      <w:lvlText w:val="-"/>
      <w:lvlJc w:val="left"/>
      <w:pPr>
        <w:ind w:left="720" w:hanging="360"/>
      </w:pPr>
      <w:rPr>
        <w:rFonts w:ascii="Calibri" w:eastAsiaTheme="minorHAnsi" w:hAnsi="Calibr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3526F3"/>
    <w:multiLevelType w:val="hybridMultilevel"/>
    <w:tmpl w:val="9006C758"/>
    <w:lvl w:ilvl="0" w:tplc="80AA87CE">
      <w:numFmt w:val="bullet"/>
      <w:lvlText w:val="-"/>
      <w:lvlJc w:val="left"/>
      <w:pPr>
        <w:ind w:left="410" w:hanging="360"/>
      </w:pPr>
      <w:rPr>
        <w:rFonts w:ascii="Calibri" w:eastAsiaTheme="minorHAnsi" w:hAnsi="Calibri" w:cstheme="minorHAnsi"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30" w15:restartNumberingAfterBreak="0">
    <w:nsid w:val="6D6A4277"/>
    <w:multiLevelType w:val="multilevel"/>
    <w:tmpl w:val="3E6A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C14C34"/>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4A11B8D"/>
    <w:multiLevelType w:val="hybridMultilevel"/>
    <w:tmpl w:val="D13CAA5C"/>
    <w:lvl w:ilvl="0" w:tplc="631223DA">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74C2136F"/>
    <w:multiLevelType w:val="hybridMultilevel"/>
    <w:tmpl w:val="7AC6A12E"/>
    <w:lvl w:ilvl="0" w:tplc="C2CA7664">
      <w:start w:val="3"/>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DC75A4"/>
    <w:multiLevelType w:val="hybridMultilevel"/>
    <w:tmpl w:val="5A9C663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56332BF"/>
    <w:multiLevelType w:val="hybridMultilevel"/>
    <w:tmpl w:val="6A44441E"/>
    <w:lvl w:ilvl="0" w:tplc="99F03464">
      <w:start w:val="2021"/>
      <w:numFmt w:val="bullet"/>
      <w:lvlText w:val=""/>
      <w:lvlJc w:val="left"/>
      <w:pPr>
        <w:ind w:left="720" w:hanging="360"/>
      </w:pPr>
      <w:rPr>
        <w:rFonts w:ascii="Wingdings" w:eastAsiaTheme="minorHAnsi" w:hAnsi="Wingding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D631F9"/>
    <w:multiLevelType w:val="hybridMultilevel"/>
    <w:tmpl w:val="9AA89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5A48BF"/>
    <w:multiLevelType w:val="hybridMultilevel"/>
    <w:tmpl w:val="F0DAA32A"/>
    <w:lvl w:ilvl="0" w:tplc="53626C22">
      <w:start w:val="1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7A7405"/>
    <w:multiLevelType w:val="hybridMultilevel"/>
    <w:tmpl w:val="0786189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A8D33EF"/>
    <w:multiLevelType w:val="multilevel"/>
    <w:tmpl w:val="2C98088E"/>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40" w15:restartNumberingAfterBreak="0">
    <w:nsid w:val="7AFF5F12"/>
    <w:multiLevelType w:val="hybridMultilevel"/>
    <w:tmpl w:val="F4A2AB0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99522470">
    <w:abstractNumId w:val="20"/>
  </w:num>
  <w:num w:numId="2" w16cid:durableId="408619429">
    <w:abstractNumId w:val="15"/>
  </w:num>
  <w:num w:numId="3" w16cid:durableId="1791362100">
    <w:abstractNumId w:val="9"/>
  </w:num>
  <w:num w:numId="4" w16cid:durableId="792988860">
    <w:abstractNumId w:val="11"/>
  </w:num>
  <w:num w:numId="5" w16cid:durableId="1902054696">
    <w:abstractNumId w:val="21"/>
  </w:num>
  <w:num w:numId="6" w16cid:durableId="930938939">
    <w:abstractNumId w:val="33"/>
  </w:num>
  <w:num w:numId="7" w16cid:durableId="858543925">
    <w:abstractNumId w:val="31"/>
  </w:num>
  <w:num w:numId="8" w16cid:durableId="1861972396">
    <w:abstractNumId w:val="27"/>
  </w:num>
  <w:num w:numId="9" w16cid:durableId="638922135">
    <w:abstractNumId w:val="32"/>
  </w:num>
  <w:num w:numId="10" w16cid:durableId="1016616639">
    <w:abstractNumId w:val="1"/>
  </w:num>
  <w:num w:numId="11" w16cid:durableId="193691419">
    <w:abstractNumId w:val="30"/>
  </w:num>
  <w:num w:numId="12" w16cid:durableId="522212769">
    <w:abstractNumId w:val="22"/>
  </w:num>
  <w:num w:numId="13" w16cid:durableId="969088772">
    <w:abstractNumId w:val="17"/>
  </w:num>
  <w:num w:numId="14" w16cid:durableId="1066151671">
    <w:abstractNumId w:val="13"/>
  </w:num>
  <w:num w:numId="15" w16cid:durableId="1998223615">
    <w:abstractNumId w:val="7"/>
  </w:num>
  <w:num w:numId="16" w16cid:durableId="123551315">
    <w:abstractNumId w:val="28"/>
  </w:num>
  <w:num w:numId="17" w16cid:durableId="2035111428">
    <w:abstractNumId w:val="40"/>
  </w:num>
  <w:num w:numId="18" w16cid:durableId="34895397">
    <w:abstractNumId w:val="39"/>
  </w:num>
  <w:num w:numId="19" w16cid:durableId="43874239">
    <w:abstractNumId w:val="34"/>
  </w:num>
  <w:num w:numId="20" w16cid:durableId="792558763">
    <w:abstractNumId w:val="14"/>
  </w:num>
  <w:num w:numId="21" w16cid:durableId="139930179">
    <w:abstractNumId w:val="2"/>
  </w:num>
  <w:num w:numId="22" w16cid:durableId="1652949959">
    <w:abstractNumId w:val="25"/>
  </w:num>
  <w:num w:numId="23" w16cid:durableId="676926489">
    <w:abstractNumId w:val="0"/>
  </w:num>
  <w:num w:numId="24" w16cid:durableId="1090666092">
    <w:abstractNumId w:val="19"/>
  </w:num>
  <w:num w:numId="25" w16cid:durableId="369300669">
    <w:abstractNumId w:val="12"/>
  </w:num>
  <w:num w:numId="26" w16cid:durableId="124279318">
    <w:abstractNumId w:val="37"/>
  </w:num>
  <w:num w:numId="27" w16cid:durableId="2146195630">
    <w:abstractNumId w:val="36"/>
  </w:num>
  <w:num w:numId="28" w16cid:durableId="967784474">
    <w:abstractNumId w:val="35"/>
  </w:num>
  <w:num w:numId="29" w16cid:durableId="350648990">
    <w:abstractNumId w:val="24"/>
  </w:num>
  <w:num w:numId="30" w16cid:durableId="951861802">
    <w:abstractNumId w:val="3"/>
  </w:num>
  <w:num w:numId="31" w16cid:durableId="1961187556">
    <w:abstractNumId w:val="38"/>
  </w:num>
  <w:num w:numId="32" w16cid:durableId="950892312">
    <w:abstractNumId w:val="4"/>
  </w:num>
  <w:num w:numId="33" w16cid:durableId="884291162">
    <w:abstractNumId w:val="18"/>
  </w:num>
  <w:num w:numId="34" w16cid:durableId="212012217">
    <w:abstractNumId w:val="10"/>
  </w:num>
  <w:num w:numId="35" w16cid:durableId="207496684">
    <w:abstractNumId w:val="6"/>
  </w:num>
  <w:num w:numId="36" w16cid:durableId="795027566">
    <w:abstractNumId w:val="5"/>
  </w:num>
  <w:num w:numId="37" w16cid:durableId="1737169792">
    <w:abstractNumId w:val="8"/>
  </w:num>
  <w:num w:numId="38" w16cid:durableId="1889798770">
    <w:abstractNumId w:val="16"/>
  </w:num>
  <w:num w:numId="39" w16cid:durableId="1968778474">
    <w:abstractNumId w:val="26"/>
  </w:num>
  <w:num w:numId="40" w16cid:durableId="1558467284">
    <w:abstractNumId w:val="23"/>
  </w:num>
  <w:num w:numId="41" w16cid:durableId="178076128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59vs9e5gxste3e952v592evt5saptvrr9st&quot;&gt;HF EndNote Library&lt;record-ids&gt;&lt;item&gt;2&lt;/item&gt;&lt;/record-ids&gt;&lt;/item&gt;&lt;/Libraries&gt;"/>
  </w:docVars>
  <w:rsids>
    <w:rsidRoot w:val="009C46BE"/>
    <w:rsid w:val="00002E2B"/>
    <w:rsid w:val="000063FD"/>
    <w:rsid w:val="000066CF"/>
    <w:rsid w:val="00010E3E"/>
    <w:rsid w:val="00011034"/>
    <w:rsid w:val="000126F4"/>
    <w:rsid w:val="00012D90"/>
    <w:rsid w:val="00013E8D"/>
    <w:rsid w:val="00016F2E"/>
    <w:rsid w:val="00017D0C"/>
    <w:rsid w:val="00017F20"/>
    <w:rsid w:val="00020C92"/>
    <w:rsid w:val="0002383C"/>
    <w:rsid w:val="00026636"/>
    <w:rsid w:val="00027F7D"/>
    <w:rsid w:val="00032190"/>
    <w:rsid w:val="0003254E"/>
    <w:rsid w:val="0003471A"/>
    <w:rsid w:val="00034C4D"/>
    <w:rsid w:val="00035B28"/>
    <w:rsid w:val="00036583"/>
    <w:rsid w:val="00045342"/>
    <w:rsid w:val="0004581F"/>
    <w:rsid w:val="00047EF6"/>
    <w:rsid w:val="000501F0"/>
    <w:rsid w:val="000542D3"/>
    <w:rsid w:val="00054D3C"/>
    <w:rsid w:val="00063F39"/>
    <w:rsid w:val="0006499C"/>
    <w:rsid w:val="00064CD6"/>
    <w:rsid w:val="000655CB"/>
    <w:rsid w:val="00065F95"/>
    <w:rsid w:val="000668CA"/>
    <w:rsid w:val="00067DB0"/>
    <w:rsid w:val="00070522"/>
    <w:rsid w:val="00071962"/>
    <w:rsid w:val="00072A14"/>
    <w:rsid w:val="00073ADD"/>
    <w:rsid w:val="00074C50"/>
    <w:rsid w:val="00076B5D"/>
    <w:rsid w:val="00080787"/>
    <w:rsid w:val="000816BB"/>
    <w:rsid w:val="000847C3"/>
    <w:rsid w:val="00086BA8"/>
    <w:rsid w:val="0009080D"/>
    <w:rsid w:val="0009304A"/>
    <w:rsid w:val="00094527"/>
    <w:rsid w:val="0009772C"/>
    <w:rsid w:val="000A3727"/>
    <w:rsid w:val="000A3E5C"/>
    <w:rsid w:val="000A3F77"/>
    <w:rsid w:val="000A4E04"/>
    <w:rsid w:val="000A526B"/>
    <w:rsid w:val="000A5A49"/>
    <w:rsid w:val="000B0973"/>
    <w:rsid w:val="000B253C"/>
    <w:rsid w:val="000B3C8E"/>
    <w:rsid w:val="000B4D5D"/>
    <w:rsid w:val="000B5C3A"/>
    <w:rsid w:val="000B62E9"/>
    <w:rsid w:val="000C01FC"/>
    <w:rsid w:val="000C0294"/>
    <w:rsid w:val="000C16DC"/>
    <w:rsid w:val="000C3088"/>
    <w:rsid w:val="000C33C9"/>
    <w:rsid w:val="000C3DCD"/>
    <w:rsid w:val="000C435D"/>
    <w:rsid w:val="000C4C0A"/>
    <w:rsid w:val="000C562F"/>
    <w:rsid w:val="000C57DE"/>
    <w:rsid w:val="000C597F"/>
    <w:rsid w:val="000D1499"/>
    <w:rsid w:val="000D249A"/>
    <w:rsid w:val="000D5175"/>
    <w:rsid w:val="000D5689"/>
    <w:rsid w:val="000D74D9"/>
    <w:rsid w:val="000E1415"/>
    <w:rsid w:val="000E25AB"/>
    <w:rsid w:val="000E29D8"/>
    <w:rsid w:val="000E3669"/>
    <w:rsid w:val="000E5B48"/>
    <w:rsid w:val="000E6F80"/>
    <w:rsid w:val="000F4118"/>
    <w:rsid w:val="000F485A"/>
    <w:rsid w:val="000F4AFB"/>
    <w:rsid w:val="000F50B3"/>
    <w:rsid w:val="00105B96"/>
    <w:rsid w:val="00106388"/>
    <w:rsid w:val="00107936"/>
    <w:rsid w:val="00111204"/>
    <w:rsid w:val="0011164F"/>
    <w:rsid w:val="00113CF7"/>
    <w:rsid w:val="00114EDC"/>
    <w:rsid w:val="0011706F"/>
    <w:rsid w:val="001175BE"/>
    <w:rsid w:val="00120E86"/>
    <w:rsid w:val="001240F5"/>
    <w:rsid w:val="001248BA"/>
    <w:rsid w:val="00125273"/>
    <w:rsid w:val="001278A9"/>
    <w:rsid w:val="00127951"/>
    <w:rsid w:val="001301F5"/>
    <w:rsid w:val="001346DB"/>
    <w:rsid w:val="00136F56"/>
    <w:rsid w:val="00137606"/>
    <w:rsid w:val="00143668"/>
    <w:rsid w:val="00144047"/>
    <w:rsid w:val="00145283"/>
    <w:rsid w:val="00146A14"/>
    <w:rsid w:val="00146CC8"/>
    <w:rsid w:val="00146D30"/>
    <w:rsid w:val="00152E43"/>
    <w:rsid w:val="00153268"/>
    <w:rsid w:val="00153D3A"/>
    <w:rsid w:val="0015570D"/>
    <w:rsid w:val="00157CF3"/>
    <w:rsid w:val="001602B8"/>
    <w:rsid w:val="0016056A"/>
    <w:rsid w:val="001609EE"/>
    <w:rsid w:val="0016327F"/>
    <w:rsid w:val="00163CD1"/>
    <w:rsid w:val="00164852"/>
    <w:rsid w:val="0016490A"/>
    <w:rsid w:val="001671C5"/>
    <w:rsid w:val="001673C9"/>
    <w:rsid w:val="00172737"/>
    <w:rsid w:val="00172D57"/>
    <w:rsid w:val="001737A4"/>
    <w:rsid w:val="00176394"/>
    <w:rsid w:val="001816B8"/>
    <w:rsid w:val="00181850"/>
    <w:rsid w:val="00182FA3"/>
    <w:rsid w:val="00183F9A"/>
    <w:rsid w:val="00185868"/>
    <w:rsid w:val="00190039"/>
    <w:rsid w:val="0019017B"/>
    <w:rsid w:val="00193B9B"/>
    <w:rsid w:val="00195C38"/>
    <w:rsid w:val="00195EF7"/>
    <w:rsid w:val="00196954"/>
    <w:rsid w:val="001A19CE"/>
    <w:rsid w:val="001A19EB"/>
    <w:rsid w:val="001A2647"/>
    <w:rsid w:val="001A2DE0"/>
    <w:rsid w:val="001A4647"/>
    <w:rsid w:val="001A5934"/>
    <w:rsid w:val="001A5DA9"/>
    <w:rsid w:val="001B1165"/>
    <w:rsid w:val="001B21E2"/>
    <w:rsid w:val="001B263B"/>
    <w:rsid w:val="001B2746"/>
    <w:rsid w:val="001B422C"/>
    <w:rsid w:val="001B44C4"/>
    <w:rsid w:val="001B497B"/>
    <w:rsid w:val="001B6ED8"/>
    <w:rsid w:val="001B74C6"/>
    <w:rsid w:val="001C07F4"/>
    <w:rsid w:val="001C0845"/>
    <w:rsid w:val="001C0B89"/>
    <w:rsid w:val="001C1065"/>
    <w:rsid w:val="001C1080"/>
    <w:rsid w:val="001C2D22"/>
    <w:rsid w:val="001C3DE4"/>
    <w:rsid w:val="001C403B"/>
    <w:rsid w:val="001C4E66"/>
    <w:rsid w:val="001C649F"/>
    <w:rsid w:val="001C6B60"/>
    <w:rsid w:val="001C745B"/>
    <w:rsid w:val="001C7475"/>
    <w:rsid w:val="001C7C1D"/>
    <w:rsid w:val="001D1021"/>
    <w:rsid w:val="001D1133"/>
    <w:rsid w:val="001D137D"/>
    <w:rsid w:val="001D22F9"/>
    <w:rsid w:val="001D24F9"/>
    <w:rsid w:val="001D3D61"/>
    <w:rsid w:val="001D5585"/>
    <w:rsid w:val="001D6D29"/>
    <w:rsid w:val="001D7E23"/>
    <w:rsid w:val="001E0399"/>
    <w:rsid w:val="001E0424"/>
    <w:rsid w:val="001E0DFF"/>
    <w:rsid w:val="001E2901"/>
    <w:rsid w:val="001E29E0"/>
    <w:rsid w:val="001F112C"/>
    <w:rsid w:val="001F4830"/>
    <w:rsid w:val="001F73E5"/>
    <w:rsid w:val="001F7D32"/>
    <w:rsid w:val="001F7EDB"/>
    <w:rsid w:val="00202BB2"/>
    <w:rsid w:val="002038C4"/>
    <w:rsid w:val="002043BE"/>
    <w:rsid w:val="00204BB2"/>
    <w:rsid w:val="0020778B"/>
    <w:rsid w:val="002109C4"/>
    <w:rsid w:val="00212107"/>
    <w:rsid w:val="0021311C"/>
    <w:rsid w:val="00213F5F"/>
    <w:rsid w:val="00214238"/>
    <w:rsid w:val="002145A3"/>
    <w:rsid w:val="0021539F"/>
    <w:rsid w:val="002178FB"/>
    <w:rsid w:val="002226CF"/>
    <w:rsid w:val="0022332D"/>
    <w:rsid w:val="00223595"/>
    <w:rsid w:val="0022385F"/>
    <w:rsid w:val="00226638"/>
    <w:rsid w:val="002279CD"/>
    <w:rsid w:val="002312B9"/>
    <w:rsid w:val="0023206C"/>
    <w:rsid w:val="002324FC"/>
    <w:rsid w:val="00232F9A"/>
    <w:rsid w:val="00233C9D"/>
    <w:rsid w:val="00235537"/>
    <w:rsid w:val="002357FF"/>
    <w:rsid w:val="00236458"/>
    <w:rsid w:val="00236647"/>
    <w:rsid w:val="002366BD"/>
    <w:rsid w:val="0023695C"/>
    <w:rsid w:val="0023703F"/>
    <w:rsid w:val="002379F2"/>
    <w:rsid w:val="0024032C"/>
    <w:rsid w:val="0024044B"/>
    <w:rsid w:val="00240E37"/>
    <w:rsid w:val="002434AD"/>
    <w:rsid w:val="00243638"/>
    <w:rsid w:val="0024430A"/>
    <w:rsid w:val="002459B9"/>
    <w:rsid w:val="002466F1"/>
    <w:rsid w:val="0025109F"/>
    <w:rsid w:val="00252EC1"/>
    <w:rsid w:val="00253D13"/>
    <w:rsid w:val="00260117"/>
    <w:rsid w:val="002640ED"/>
    <w:rsid w:val="00265EB9"/>
    <w:rsid w:val="00274011"/>
    <w:rsid w:val="0027409C"/>
    <w:rsid w:val="00275A2A"/>
    <w:rsid w:val="002760BB"/>
    <w:rsid w:val="0027614C"/>
    <w:rsid w:val="00282FE0"/>
    <w:rsid w:val="002843B3"/>
    <w:rsid w:val="002851AE"/>
    <w:rsid w:val="002874D8"/>
    <w:rsid w:val="00290575"/>
    <w:rsid w:val="0029121A"/>
    <w:rsid w:val="00292916"/>
    <w:rsid w:val="002934F6"/>
    <w:rsid w:val="0029684C"/>
    <w:rsid w:val="002A1A10"/>
    <w:rsid w:val="002A29D3"/>
    <w:rsid w:val="002A482A"/>
    <w:rsid w:val="002A4D74"/>
    <w:rsid w:val="002B1F47"/>
    <w:rsid w:val="002B3106"/>
    <w:rsid w:val="002B5A0A"/>
    <w:rsid w:val="002B5D07"/>
    <w:rsid w:val="002B684E"/>
    <w:rsid w:val="002C08E8"/>
    <w:rsid w:val="002C11D9"/>
    <w:rsid w:val="002C3863"/>
    <w:rsid w:val="002C4D8D"/>
    <w:rsid w:val="002C7899"/>
    <w:rsid w:val="002C7F34"/>
    <w:rsid w:val="002D08A2"/>
    <w:rsid w:val="002D0A2A"/>
    <w:rsid w:val="002D0C52"/>
    <w:rsid w:val="002D1294"/>
    <w:rsid w:val="002D2572"/>
    <w:rsid w:val="002D2B84"/>
    <w:rsid w:val="002D3037"/>
    <w:rsid w:val="002D66BF"/>
    <w:rsid w:val="002D7511"/>
    <w:rsid w:val="002D7FF8"/>
    <w:rsid w:val="002E29EF"/>
    <w:rsid w:val="002E2DF8"/>
    <w:rsid w:val="002E3C84"/>
    <w:rsid w:val="002E451A"/>
    <w:rsid w:val="002E4FC6"/>
    <w:rsid w:val="002E532C"/>
    <w:rsid w:val="002E5FB8"/>
    <w:rsid w:val="002F00AE"/>
    <w:rsid w:val="002F115A"/>
    <w:rsid w:val="002F29AD"/>
    <w:rsid w:val="002F464F"/>
    <w:rsid w:val="002F5B57"/>
    <w:rsid w:val="002F7A20"/>
    <w:rsid w:val="0030032D"/>
    <w:rsid w:val="003023C1"/>
    <w:rsid w:val="0030642F"/>
    <w:rsid w:val="00307E34"/>
    <w:rsid w:val="00310FBA"/>
    <w:rsid w:val="00312DE8"/>
    <w:rsid w:val="00320FB3"/>
    <w:rsid w:val="003219FE"/>
    <w:rsid w:val="00322DC8"/>
    <w:rsid w:val="00323B6B"/>
    <w:rsid w:val="00323F55"/>
    <w:rsid w:val="00330422"/>
    <w:rsid w:val="0033048F"/>
    <w:rsid w:val="0033131D"/>
    <w:rsid w:val="00331FB9"/>
    <w:rsid w:val="00332E18"/>
    <w:rsid w:val="0033767C"/>
    <w:rsid w:val="00337D01"/>
    <w:rsid w:val="0034272E"/>
    <w:rsid w:val="00345500"/>
    <w:rsid w:val="00351127"/>
    <w:rsid w:val="003537C7"/>
    <w:rsid w:val="00356202"/>
    <w:rsid w:val="0036059D"/>
    <w:rsid w:val="00360DE8"/>
    <w:rsid w:val="00360F2D"/>
    <w:rsid w:val="00362493"/>
    <w:rsid w:val="00366DFF"/>
    <w:rsid w:val="00366E2E"/>
    <w:rsid w:val="0037002A"/>
    <w:rsid w:val="00376D54"/>
    <w:rsid w:val="0038008D"/>
    <w:rsid w:val="003802EE"/>
    <w:rsid w:val="003845CB"/>
    <w:rsid w:val="003956C1"/>
    <w:rsid w:val="003A0616"/>
    <w:rsid w:val="003A24FC"/>
    <w:rsid w:val="003A32A5"/>
    <w:rsid w:val="003A5B1E"/>
    <w:rsid w:val="003B1691"/>
    <w:rsid w:val="003B1D77"/>
    <w:rsid w:val="003B20E2"/>
    <w:rsid w:val="003B2D96"/>
    <w:rsid w:val="003B5999"/>
    <w:rsid w:val="003B5BF5"/>
    <w:rsid w:val="003B6E61"/>
    <w:rsid w:val="003C06F1"/>
    <w:rsid w:val="003C32F1"/>
    <w:rsid w:val="003D050E"/>
    <w:rsid w:val="003D4223"/>
    <w:rsid w:val="003D5E66"/>
    <w:rsid w:val="003E1B32"/>
    <w:rsid w:val="003E536F"/>
    <w:rsid w:val="003E631A"/>
    <w:rsid w:val="003E6F17"/>
    <w:rsid w:val="003E7A32"/>
    <w:rsid w:val="003F3F1E"/>
    <w:rsid w:val="00400F7B"/>
    <w:rsid w:val="0040237E"/>
    <w:rsid w:val="004031D7"/>
    <w:rsid w:val="0040593E"/>
    <w:rsid w:val="00405EC4"/>
    <w:rsid w:val="00406D42"/>
    <w:rsid w:val="00410FCC"/>
    <w:rsid w:val="00411A71"/>
    <w:rsid w:val="004158F3"/>
    <w:rsid w:val="00415FF4"/>
    <w:rsid w:val="0041773D"/>
    <w:rsid w:val="00417AB6"/>
    <w:rsid w:val="00421F01"/>
    <w:rsid w:val="00422856"/>
    <w:rsid w:val="00422E87"/>
    <w:rsid w:val="00425AF8"/>
    <w:rsid w:val="00430823"/>
    <w:rsid w:val="0043202B"/>
    <w:rsid w:val="00432429"/>
    <w:rsid w:val="00433C81"/>
    <w:rsid w:val="00434E7D"/>
    <w:rsid w:val="00434F85"/>
    <w:rsid w:val="00437912"/>
    <w:rsid w:val="0044463B"/>
    <w:rsid w:val="00445E15"/>
    <w:rsid w:val="00450A6A"/>
    <w:rsid w:val="00454EF1"/>
    <w:rsid w:val="004563D2"/>
    <w:rsid w:val="00457E81"/>
    <w:rsid w:val="00457EB6"/>
    <w:rsid w:val="00460DD8"/>
    <w:rsid w:val="0046352D"/>
    <w:rsid w:val="004642DA"/>
    <w:rsid w:val="004674E1"/>
    <w:rsid w:val="00467DC1"/>
    <w:rsid w:val="004704E9"/>
    <w:rsid w:val="00470871"/>
    <w:rsid w:val="00483771"/>
    <w:rsid w:val="00484FE4"/>
    <w:rsid w:val="004865D8"/>
    <w:rsid w:val="00487B6F"/>
    <w:rsid w:val="00490D5B"/>
    <w:rsid w:val="004922D5"/>
    <w:rsid w:val="00492F95"/>
    <w:rsid w:val="00493853"/>
    <w:rsid w:val="00494ACA"/>
    <w:rsid w:val="004958FE"/>
    <w:rsid w:val="004961AD"/>
    <w:rsid w:val="00496486"/>
    <w:rsid w:val="00496AF7"/>
    <w:rsid w:val="00497AF1"/>
    <w:rsid w:val="004A03A3"/>
    <w:rsid w:val="004A099D"/>
    <w:rsid w:val="004A78D8"/>
    <w:rsid w:val="004A7C00"/>
    <w:rsid w:val="004B132A"/>
    <w:rsid w:val="004B2386"/>
    <w:rsid w:val="004B34B9"/>
    <w:rsid w:val="004B4304"/>
    <w:rsid w:val="004B5024"/>
    <w:rsid w:val="004B53D7"/>
    <w:rsid w:val="004B54CA"/>
    <w:rsid w:val="004B5E8C"/>
    <w:rsid w:val="004B7E9D"/>
    <w:rsid w:val="004C0B4D"/>
    <w:rsid w:val="004C20A8"/>
    <w:rsid w:val="004C3E15"/>
    <w:rsid w:val="004C58B8"/>
    <w:rsid w:val="004D23DA"/>
    <w:rsid w:val="004D4BF3"/>
    <w:rsid w:val="004D511F"/>
    <w:rsid w:val="004D7824"/>
    <w:rsid w:val="004E2907"/>
    <w:rsid w:val="004E368D"/>
    <w:rsid w:val="004E77A9"/>
    <w:rsid w:val="004F06BE"/>
    <w:rsid w:val="004F090B"/>
    <w:rsid w:val="004F3360"/>
    <w:rsid w:val="004F3C95"/>
    <w:rsid w:val="004F4A9F"/>
    <w:rsid w:val="00502F22"/>
    <w:rsid w:val="005030A4"/>
    <w:rsid w:val="005052EF"/>
    <w:rsid w:val="00510AAF"/>
    <w:rsid w:val="00513471"/>
    <w:rsid w:val="00513892"/>
    <w:rsid w:val="0051625D"/>
    <w:rsid w:val="00521801"/>
    <w:rsid w:val="00530C9A"/>
    <w:rsid w:val="00532A55"/>
    <w:rsid w:val="00534AE7"/>
    <w:rsid w:val="00535F18"/>
    <w:rsid w:val="0054000A"/>
    <w:rsid w:val="0054297D"/>
    <w:rsid w:val="00546F0F"/>
    <w:rsid w:val="00547DE6"/>
    <w:rsid w:val="005522C4"/>
    <w:rsid w:val="005524AE"/>
    <w:rsid w:val="00552C55"/>
    <w:rsid w:val="00553C51"/>
    <w:rsid w:val="00555F0A"/>
    <w:rsid w:val="00556973"/>
    <w:rsid w:val="00557367"/>
    <w:rsid w:val="0056103F"/>
    <w:rsid w:val="00563878"/>
    <w:rsid w:val="00564D4A"/>
    <w:rsid w:val="005653DE"/>
    <w:rsid w:val="005654F4"/>
    <w:rsid w:val="005660B9"/>
    <w:rsid w:val="00567342"/>
    <w:rsid w:val="00567DB6"/>
    <w:rsid w:val="00570F9D"/>
    <w:rsid w:val="0057165D"/>
    <w:rsid w:val="00572CCD"/>
    <w:rsid w:val="00573234"/>
    <w:rsid w:val="00574C59"/>
    <w:rsid w:val="00575377"/>
    <w:rsid w:val="00576E9E"/>
    <w:rsid w:val="005771E6"/>
    <w:rsid w:val="00577B7E"/>
    <w:rsid w:val="00580557"/>
    <w:rsid w:val="00580C73"/>
    <w:rsid w:val="0058235A"/>
    <w:rsid w:val="00583EBB"/>
    <w:rsid w:val="00584E20"/>
    <w:rsid w:val="00585AEC"/>
    <w:rsid w:val="005865CD"/>
    <w:rsid w:val="005902E6"/>
    <w:rsid w:val="00594392"/>
    <w:rsid w:val="0059462C"/>
    <w:rsid w:val="005A2868"/>
    <w:rsid w:val="005A5318"/>
    <w:rsid w:val="005A681D"/>
    <w:rsid w:val="005A7B49"/>
    <w:rsid w:val="005B1B34"/>
    <w:rsid w:val="005B1E7D"/>
    <w:rsid w:val="005B7549"/>
    <w:rsid w:val="005C058B"/>
    <w:rsid w:val="005C112A"/>
    <w:rsid w:val="005C1A05"/>
    <w:rsid w:val="005C2549"/>
    <w:rsid w:val="005C2E98"/>
    <w:rsid w:val="005C3A3B"/>
    <w:rsid w:val="005C5F4C"/>
    <w:rsid w:val="005C6637"/>
    <w:rsid w:val="005C737D"/>
    <w:rsid w:val="005D0F66"/>
    <w:rsid w:val="005D1939"/>
    <w:rsid w:val="005D2E30"/>
    <w:rsid w:val="005D413F"/>
    <w:rsid w:val="005D450E"/>
    <w:rsid w:val="005D4A88"/>
    <w:rsid w:val="005D4C3C"/>
    <w:rsid w:val="005D54E7"/>
    <w:rsid w:val="005D73A4"/>
    <w:rsid w:val="005D749F"/>
    <w:rsid w:val="005D7AE6"/>
    <w:rsid w:val="005E0B8D"/>
    <w:rsid w:val="005E0EEA"/>
    <w:rsid w:val="005E175B"/>
    <w:rsid w:val="005E1FB0"/>
    <w:rsid w:val="005E4D3C"/>
    <w:rsid w:val="005E6373"/>
    <w:rsid w:val="005F283D"/>
    <w:rsid w:val="005F2F6B"/>
    <w:rsid w:val="005F57B7"/>
    <w:rsid w:val="00600E09"/>
    <w:rsid w:val="00602C42"/>
    <w:rsid w:val="006047B9"/>
    <w:rsid w:val="00605544"/>
    <w:rsid w:val="0060676C"/>
    <w:rsid w:val="0060702C"/>
    <w:rsid w:val="0060755B"/>
    <w:rsid w:val="006137A8"/>
    <w:rsid w:val="00613904"/>
    <w:rsid w:val="00613994"/>
    <w:rsid w:val="00613A39"/>
    <w:rsid w:val="00614F40"/>
    <w:rsid w:val="00616301"/>
    <w:rsid w:val="00616539"/>
    <w:rsid w:val="0061675C"/>
    <w:rsid w:val="00616ED0"/>
    <w:rsid w:val="00617D16"/>
    <w:rsid w:val="006241F0"/>
    <w:rsid w:val="00625E6B"/>
    <w:rsid w:val="00631CAC"/>
    <w:rsid w:val="006325D0"/>
    <w:rsid w:val="006347A7"/>
    <w:rsid w:val="006403DB"/>
    <w:rsid w:val="0064057F"/>
    <w:rsid w:val="00640590"/>
    <w:rsid w:val="00640E45"/>
    <w:rsid w:val="006434C9"/>
    <w:rsid w:val="00643532"/>
    <w:rsid w:val="006437F0"/>
    <w:rsid w:val="0064603F"/>
    <w:rsid w:val="00647ACC"/>
    <w:rsid w:val="00652B72"/>
    <w:rsid w:val="00654108"/>
    <w:rsid w:val="00654845"/>
    <w:rsid w:val="00654D21"/>
    <w:rsid w:val="0066050B"/>
    <w:rsid w:val="00660BBA"/>
    <w:rsid w:val="00661285"/>
    <w:rsid w:val="00661D9E"/>
    <w:rsid w:val="00662227"/>
    <w:rsid w:val="00664161"/>
    <w:rsid w:val="00670391"/>
    <w:rsid w:val="00670D67"/>
    <w:rsid w:val="00671235"/>
    <w:rsid w:val="0067572D"/>
    <w:rsid w:val="00680DA3"/>
    <w:rsid w:val="00682343"/>
    <w:rsid w:val="0068235A"/>
    <w:rsid w:val="00686E11"/>
    <w:rsid w:val="00687B71"/>
    <w:rsid w:val="00691E62"/>
    <w:rsid w:val="00693F5A"/>
    <w:rsid w:val="00694515"/>
    <w:rsid w:val="00695D5F"/>
    <w:rsid w:val="006967F6"/>
    <w:rsid w:val="006974C4"/>
    <w:rsid w:val="006A0152"/>
    <w:rsid w:val="006A058A"/>
    <w:rsid w:val="006A10A8"/>
    <w:rsid w:val="006A331F"/>
    <w:rsid w:val="006A3608"/>
    <w:rsid w:val="006A4152"/>
    <w:rsid w:val="006A49A8"/>
    <w:rsid w:val="006A5ED2"/>
    <w:rsid w:val="006A64AF"/>
    <w:rsid w:val="006A6D4C"/>
    <w:rsid w:val="006A7717"/>
    <w:rsid w:val="006A7B52"/>
    <w:rsid w:val="006B01E6"/>
    <w:rsid w:val="006B5036"/>
    <w:rsid w:val="006B7F5D"/>
    <w:rsid w:val="006C028C"/>
    <w:rsid w:val="006C31B5"/>
    <w:rsid w:val="006C6763"/>
    <w:rsid w:val="006C6C8A"/>
    <w:rsid w:val="006C742D"/>
    <w:rsid w:val="006C788B"/>
    <w:rsid w:val="006C7D23"/>
    <w:rsid w:val="006D3D5A"/>
    <w:rsid w:val="006D68CF"/>
    <w:rsid w:val="006D6AA8"/>
    <w:rsid w:val="006D76EC"/>
    <w:rsid w:val="006E2779"/>
    <w:rsid w:val="006E2CE7"/>
    <w:rsid w:val="006E5B1A"/>
    <w:rsid w:val="006E661B"/>
    <w:rsid w:val="006E6A68"/>
    <w:rsid w:val="006E6CAD"/>
    <w:rsid w:val="006F0932"/>
    <w:rsid w:val="006F3EB1"/>
    <w:rsid w:val="006F485D"/>
    <w:rsid w:val="006F5CE2"/>
    <w:rsid w:val="006F63CA"/>
    <w:rsid w:val="006F75CD"/>
    <w:rsid w:val="006F79CE"/>
    <w:rsid w:val="0070013D"/>
    <w:rsid w:val="0070119D"/>
    <w:rsid w:val="00701E17"/>
    <w:rsid w:val="00703EAC"/>
    <w:rsid w:val="0070769B"/>
    <w:rsid w:val="00712984"/>
    <w:rsid w:val="0071456E"/>
    <w:rsid w:val="00714B4D"/>
    <w:rsid w:val="007218B4"/>
    <w:rsid w:val="007218C2"/>
    <w:rsid w:val="0072293A"/>
    <w:rsid w:val="007256CF"/>
    <w:rsid w:val="00725851"/>
    <w:rsid w:val="00726F4C"/>
    <w:rsid w:val="00727DCE"/>
    <w:rsid w:val="007306BB"/>
    <w:rsid w:val="00730F8B"/>
    <w:rsid w:val="007312CD"/>
    <w:rsid w:val="00740478"/>
    <w:rsid w:val="007411F7"/>
    <w:rsid w:val="00741F52"/>
    <w:rsid w:val="0074458F"/>
    <w:rsid w:val="0074560B"/>
    <w:rsid w:val="00745FEF"/>
    <w:rsid w:val="00747901"/>
    <w:rsid w:val="00752E7B"/>
    <w:rsid w:val="0075369F"/>
    <w:rsid w:val="00753ED7"/>
    <w:rsid w:val="00754EC9"/>
    <w:rsid w:val="00755813"/>
    <w:rsid w:val="00755A61"/>
    <w:rsid w:val="00760720"/>
    <w:rsid w:val="00760AF1"/>
    <w:rsid w:val="00761E05"/>
    <w:rsid w:val="007623FA"/>
    <w:rsid w:val="00763478"/>
    <w:rsid w:val="00763B25"/>
    <w:rsid w:val="007656FB"/>
    <w:rsid w:val="00767B6A"/>
    <w:rsid w:val="00773A60"/>
    <w:rsid w:val="00775311"/>
    <w:rsid w:val="007766E8"/>
    <w:rsid w:val="00776F13"/>
    <w:rsid w:val="00776F9D"/>
    <w:rsid w:val="00777D9C"/>
    <w:rsid w:val="00780095"/>
    <w:rsid w:val="00780B97"/>
    <w:rsid w:val="00780E23"/>
    <w:rsid w:val="007833CC"/>
    <w:rsid w:val="007839F2"/>
    <w:rsid w:val="00783FBC"/>
    <w:rsid w:val="00783FC0"/>
    <w:rsid w:val="0078537E"/>
    <w:rsid w:val="00785FC4"/>
    <w:rsid w:val="0078689F"/>
    <w:rsid w:val="007913FD"/>
    <w:rsid w:val="007936E2"/>
    <w:rsid w:val="0079747D"/>
    <w:rsid w:val="007A02AF"/>
    <w:rsid w:val="007A59FE"/>
    <w:rsid w:val="007A5A12"/>
    <w:rsid w:val="007A62D2"/>
    <w:rsid w:val="007A66F0"/>
    <w:rsid w:val="007A7CEC"/>
    <w:rsid w:val="007B0697"/>
    <w:rsid w:val="007B150D"/>
    <w:rsid w:val="007B17F7"/>
    <w:rsid w:val="007B38FF"/>
    <w:rsid w:val="007B610C"/>
    <w:rsid w:val="007B7247"/>
    <w:rsid w:val="007C1F93"/>
    <w:rsid w:val="007C221C"/>
    <w:rsid w:val="007C2CF6"/>
    <w:rsid w:val="007C396F"/>
    <w:rsid w:val="007D1616"/>
    <w:rsid w:val="007D26D8"/>
    <w:rsid w:val="007D640E"/>
    <w:rsid w:val="007D69C4"/>
    <w:rsid w:val="007D746F"/>
    <w:rsid w:val="007E0ED8"/>
    <w:rsid w:val="007E3D6B"/>
    <w:rsid w:val="007E6285"/>
    <w:rsid w:val="007E636F"/>
    <w:rsid w:val="007E723F"/>
    <w:rsid w:val="007E733D"/>
    <w:rsid w:val="007F07D1"/>
    <w:rsid w:val="007F1A49"/>
    <w:rsid w:val="007F3F6F"/>
    <w:rsid w:val="007F6001"/>
    <w:rsid w:val="007F6330"/>
    <w:rsid w:val="007F63BE"/>
    <w:rsid w:val="008021DE"/>
    <w:rsid w:val="00803F4F"/>
    <w:rsid w:val="0080536F"/>
    <w:rsid w:val="008054B6"/>
    <w:rsid w:val="00806271"/>
    <w:rsid w:val="008062C4"/>
    <w:rsid w:val="008071BA"/>
    <w:rsid w:val="00807677"/>
    <w:rsid w:val="008108F9"/>
    <w:rsid w:val="00811AA7"/>
    <w:rsid w:val="00814116"/>
    <w:rsid w:val="00816F88"/>
    <w:rsid w:val="0081797F"/>
    <w:rsid w:val="00821F5C"/>
    <w:rsid w:val="00823C29"/>
    <w:rsid w:val="0082493D"/>
    <w:rsid w:val="00825B9E"/>
    <w:rsid w:val="00830CCD"/>
    <w:rsid w:val="0083487B"/>
    <w:rsid w:val="00836185"/>
    <w:rsid w:val="00837BBE"/>
    <w:rsid w:val="00840D58"/>
    <w:rsid w:val="0084149C"/>
    <w:rsid w:val="00842D40"/>
    <w:rsid w:val="008436BB"/>
    <w:rsid w:val="00851051"/>
    <w:rsid w:val="00851B87"/>
    <w:rsid w:val="00852B38"/>
    <w:rsid w:val="008537E9"/>
    <w:rsid w:val="00855D37"/>
    <w:rsid w:val="00860383"/>
    <w:rsid w:val="00860DDB"/>
    <w:rsid w:val="00861357"/>
    <w:rsid w:val="008615CB"/>
    <w:rsid w:val="00863347"/>
    <w:rsid w:val="00863CB0"/>
    <w:rsid w:val="00865683"/>
    <w:rsid w:val="00865FE5"/>
    <w:rsid w:val="008724E3"/>
    <w:rsid w:val="008727DE"/>
    <w:rsid w:val="00872B3E"/>
    <w:rsid w:val="0087373B"/>
    <w:rsid w:val="00873811"/>
    <w:rsid w:val="0087532A"/>
    <w:rsid w:val="00875531"/>
    <w:rsid w:val="00876892"/>
    <w:rsid w:val="00881E07"/>
    <w:rsid w:val="00883564"/>
    <w:rsid w:val="00884309"/>
    <w:rsid w:val="008878B2"/>
    <w:rsid w:val="0089049F"/>
    <w:rsid w:val="00892178"/>
    <w:rsid w:val="00894952"/>
    <w:rsid w:val="00896692"/>
    <w:rsid w:val="00896B3A"/>
    <w:rsid w:val="00896FC7"/>
    <w:rsid w:val="008A1012"/>
    <w:rsid w:val="008A3ED9"/>
    <w:rsid w:val="008A4BCF"/>
    <w:rsid w:val="008A527D"/>
    <w:rsid w:val="008A64AF"/>
    <w:rsid w:val="008A688C"/>
    <w:rsid w:val="008A7B9F"/>
    <w:rsid w:val="008B0243"/>
    <w:rsid w:val="008B0344"/>
    <w:rsid w:val="008B4D70"/>
    <w:rsid w:val="008B5D6E"/>
    <w:rsid w:val="008C2A60"/>
    <w:rsid w:val="008C3AFE"/>
    <w:rsid w:val="008C4246"/>
    <w:rsid w:val="008C5B04"/>
    <w:rsid w:val="008C5B75"/>
    <w:rsid w:val="008C7B2D"/>
    <w:rsid w:val="008D0248"/>
    <w:rsid w:val="008D2CBD"/>
    <w:rsid w:val="008E2AAA"/>
    <w:rsid w:val="008E3CB7"/>
    <w:rsid w:val="008E6905"/>
    <w:rsid w:val="008F0F6D"/>
    <w:rsid w:val="008F2E80"/>
    <w:rsid w:val="008F5E7A"/>
    <w:rsid w:val="008F6176"/>
    <w:rsid w:val="008F6C34"/>
    <w:rsid w:val="008F72BE"/>
    <w:rsid w:val="00900CA3"/>
    <w:rsid w:val="009029AE"/>
    <w:rsid w:val="009046F4"/>
    <w:rsid w:val="0090472A"/>
    <w:rsid w:val="00904898"/>
    <w:rsid w:val="00905DDE"/>
    <w:rsid w:val="00905DE9"/>
    <w:rsid w:val="00906137"/>
    <w:rsid w:val="00906B66"/>
    <w:rsid w:val="00906E41"/>
    <w:rsid w:val="00914977"/>
    <w:rsid w:val="00914C3E"/>
    <w:rsid w:val="0091562E"/>
    <w:rsid w:val="0091633C"/>
    <w:rsid w:val="00916601"/>
    <w:rsid w:val="00916F00"/>
    <w:rsid w:val="00917605"/>
    <w:rsid w:val="00920481"/>
    <w:rsid w:val="009205E4"/>
    <w:rsid w:val="00920F66"/>
    <w:rsid w:val="00924A0F"/>
    <w:rsid w:val="009255BA"/>
    <w:rsid w:val="00927977"/>
    <w:rsid w:val="0093719D"/>
    <w:rsid w:val="009374CB"/>
    <w:rsid w:val="00937E74"/>
    <w:rsid w:val="009425C9"/>
    <w:rsid w:val="00943F79"/>
    <w:rsid w:val="00943FD7"/>
    <w:rsid w:val="00944F41"/>
    <w:rsid w:val="009468AB"/>
    <w:rsid w:val="00950DF2"/>
    <w:rsid w:val="00954215"/>
    <w:rsid w:val="0095515B"/>
    <w:rsid w:val="00955EF7"/>
    <w:rsid w:val="00957E58"/>
    <w:rsid w:val="0096198E"/>
    <w:rsid w:val="009619DB"/>
    <w:rsid w:val="00962163"/>
    <w:rsid w:val="00964244"/>
    <w:rsid w:val="00966644"/>
    <w:rsid w:val="00967308"/>
    <w:rsid w:val="00967D5B"/>
    <w:rsid w:val="009710F6"/>
    <w:rsid w:val="00971F33"/>
    <w:rsid w:val="00972D51"/>
    <w:rsid w:val="0097763A"/>
    <w:rsid w:val="00977E16"/>
    <w:rsid w:val="0098047B"/>
    <w:rsid w:val="009806C4"/>
    <w:rsid w:val="00983B99"/>
    <w:rsid w:val="009856CB"/>
    <w:rsid w:val="009875E1"/>
    <w:rsid w:val="00991188"/>
    <w:rsid w:val="00991BDD"/>
    <w:rsid w:val="009922A3"/>
    <w:rsid w:val="00993CA5"/>
    <w:rsid w:val="00993E7B"/>
    <w:rsid w:val="00995135"/>
    <w:rsid w:val="009968BE"/>
    <w:rsid w:val="0099764E"/>
    <w:rsid w:val="009A47AE"/>
    <w:rsid w:val="009A4994"/>
    <w:rsid w:val="009B05FC"/>
    <w:rsid w:val="009B0F54"/>
    <w:rsid w:val="009B195B"/>
    <w:rsid w:val="009B2259"/>
    <w:rsid w:val="009B50AB"/>
    <w:rsid w:val="009B64B8"/>
    <w:rsid w:val="009B68D0"/>
    <w:rsid w:val="009B69DD"/>
    <w:rsid w:val="009B720E"/>
    <w:rsid w:val="009B77FC"/>
    <w:rsid w:val="009C4595"/>
    <w:rsid w:val="009C46BE"/>
    <w:rsid w:val="009C47F1"/>
    <w:rsid w:val="009C4909"/>
    <w:rsid w:val="009C4A3F"/>
    <w:rsid w:val="009C4B85"/>
    <w:rsid w:val="009C4C2B"/>
    <w:rsid w:val="009C6D29"/>
    <w:rsid w:val="009C6F88"/>
    <w:rsid w:val="009C7993"/>
    <w:rsid w:val="009D1758"/>
    <w:rsid w:val="009D1DB8"/>
    <w:rsid w:val="009D211F"/>
    <w:rsid w:val="009D324D"/>
    <w:rsid w:val="009D3B59"/>
    <w:rsid w:val="009D697E"/>
    <w:rsid w:val="009D6CCD"/>
    <w:rsid w:val="009E41B6"/>
    <w:rsid w:val="009E6C9E"/>
    <w:rsid w:val="009E7EFF"/>
    <w:rsid w:val="009F25C5"/>
    <w:rsid w:val="009F3CC1"/>
    <w:rsid w:val="009F471C"/>
    <w:rsid w:val="009F595D"/>
    <w:rsid w:val="009F6517"/>
    <w:rsid w:val="009F6F72"/>
    <w:rsid w:val="009F7274"/>
    <w:rsid w:val="00A01056"/>
    <w:rsid w:val="00A01675"/>
    <w:rsid w:val="00A103B6"/>
    <w:rsid w:val="00A10D30"/>
    <w:rsid w:val="00A1117F"/>
    <w:rsid w:val="00A11301"/>
    <w:rsid w:val="00A1358D"/>
    <w:rsid w:val="00A149A2"/>
    <w:rsid w:val="00A14EEF"/>
    <w:rsid w:val="00A16F15"/>
    <w:rsid w:val="00A20120"/>
    <w:rsid w:val="00A2127C"/>
    <w:rsid w:val="00A21A1B"/>
    <w:rsid w:val="00A22754"/>
    <w:rsid w:val="00A227E8"/>
    <w:rsid w:val="00A26091"/>
    <w:rsid w:val="00A26120"/>
    <w:rsid w:val="00A266A4"/>
    <w:rsid w:val="00A301DE"/>
    <w:rsid w:val="00A31B2C"/>
    <w:rsid w:val="00A42300"/>
    <w:rsid w:val="00A42849"/>
    <w:rsid w:val="00A439EA"/>
    <w:rsid w:val="00A44BCF"/>
    <w:rsid w:val="00A44FD9"/>
    <w:rsid w:val="00A45D75"/>
    <w:rsid w:val="00A46642"/>
    <w:rsid w:val="00A47994"/>
    <w:rsid w:val="00A510FE"/>
    <w:rsid w:val="00A51F99"/>
    <w:rsid w:val="00A53A5C"/>
    <w:rsid w:val="00A63722"/>
    <w:rsid w:val="00A6405B"/>
    <w:rsid w:val="00A653ED"/>
    <w:rsid w:val="00A669FE"/>
    <w:rsid w:val="00A66E2A"/>
    <w:rsid w:val="00A66F22"/>
    <w:rsid w:val="00A74A78"/>
    <w:rsid w:val="00A750BF"/>
    <w:rsid w:val="00A751F6"/>
    <w:rsid w:val="00A76522"/>
    <w:rsid w:val="00A77CFB"/>
    <w:rsid w:val="00A80B60"/>
    <w:rsid w:val="00A80CC9"/>
    <w:rsid w:val="00A824B6"/>
    <w:rsid w:val="00A835C9"/>
    <w:rsid w:val="00A84AF6"/>
    <w:rsid w:val="00A85843"/>
    <w:rsid w:val="00A85CBC"/>
    <w:rsid w:val="00A872DA"/>
    <w:rsid w:val="00A872DC"/>
    <w:rsid w:val="00A901B4"/>
    <w:rsid w:val="00A91137"/>
    <w:rsid w:val="00A9234B"/>
    <w:rsid w:val="00A94EB1"/>
    <w:rsid w:val="00A9500C"/>
    <w:rsid w:val="00A96E31"/>
    <w:rsid w:val="00A970AB"/>
    <w:rsid w:val="00A972E0"/>
    <w:rsid w:val="00AA09D8"/>
    <w:rsid w:val="00AA14C6"/>
    <w:rsid w:val="00AA28F0"/>
    <w:rsid w:val="00AA4344"/>
    <w:rsid w:val="00AA634D"/>
    <w:rsid w:val="00AA66B5"/>
    <w:rsid w:val="00AA70C1"/>
    <w:rsid w:val="00AA79BC"/>
    <w:rsid w:val="00AB2861"/>
    <w:rsid w:val="00AB2B3C"/>
    <w:rsid w:val="00AB30CD"/>
    <w:rsid w:val="00AB5F28"/>
    <w:rsid w:val="00AC025C"/>
    <w:rsid w:val="00AC21EF"/>
    <w:rsid w:val="00AC2A37"/>
    <w:rsid w:val="00AC2D9E"/>
    <w:rsid w:val="00AC31FC"/>
    <w:rsid w:val="00AC3728"/>
    <w:rsid w:val="00AC44E7"/>
    <w:rsid w:val="00AC4CAA"/>
    <w:rsid w:val="00AC4E05"/>
    <w:rsid w:val="00AC663D"/>
    <w:rsid w:val="00AC724B"/>
    <w:rsid w:val="00AC7FE0"/>
    <w:rsid w:val="00AD0302"/>
    <w:rsid w:val="00AD0455"/>
    <w:rsid w:val="00AD13E5"/>
    <w:rsid w:val="00AD1BC7"/>
    <w:rsid w:val="00AD1D6E"/>
    <w:rsid w:val="00AD20A0"/>
    <w:rsid w:val="00AE024D"/>
    <w:rsid w:val="00AE076F"/>
    <w:rsid w:val="00AE2F6B"/>
    <w:rsid w:val="00AE3C78"/>
    <w:rsid w:val="00AF2A35"/>
    <w:rsid w:val="00AF34FF"/>
    <w:rsid w:val="00AF3874"/>
    <w:rsid w:val="00AF57D6"/>
    <w:rsid w:val="00AF644B"/>
    <w:rsid w:val="00AF7AEA"/>
    <w:rsid w:val="00B01DE1"/>
    <w:rsid w:val="00B02447"/>
    <w:rsid w:val="00B03A25"/>
    <w:rsid w:val="00B07860"/>
    <w:rsid w:val="00B102BD"/>
    <w:rsid w:val="00B10615"/>
    <w:rsid w:val="00B1269A"/>
    <w:rsid w:val="00B13194"/>
    <w:rsid w:val="00B14CEC"/>
    <w:rsid w:val="00B1565A"/>
    <w:rsid w:val="00B15AF0"/>
    <w:rsid w:val="00B17F6D"/>
    <w:rsid w:val="00B217DA"/>
    <w:rsid w:val="00B222B4"/>
    <w:rsid w:val="00B25E15"/>
    <w:rsid w:val="00B26A25"/>
    <w:rsid w:val="00B322FC"/>
    <w:rsid w:val="00B33314"/>
    <w:rsid w:val="00B406B3"/>
    <w:rsid w:val="00B439DA"/>
    <w:rsid w:val="00B44A1B"/>
    <w:rsid w:val="00B45BD8"/>
    <w:rsid w:val="00B45C83"/>
    <w:rsid w:val="00B469BA"/>
    <w:rsid w:val="00B4758A"/>
    <w:rsid w:val="00B5140B"/>
    <w:rsid w:val="00B51CDA"/>
    <w:rsid w:val="00B52641"/>
    <w:rsid w:val="00B537E2"/>
    <w:rsid w:val="00B54EDA"/>
    <w:rsid w:val="00B574D9"/>
    <w:rsid w:val="00B62007"/>
    <w:rsid w:val="00B62E95"/>
    <w:rsid w:val="00B65270"/>
    <w:rsid w:val="00B6568B"/>
    <w:rsid w:val="00B65BF6"/>
    <w:rsid w:val="00B668E1"/>
    <w:rsid w:val="00B66EA6"/>
    <w:rsid w:val="00B703EF"/>
    <w:rsid w:val="00B721D6"/>
    <w:rsid w:val="00B726EB"/>
    <w:rsid w:val="00B7527C"/>
    <w:rsid w:val="00B7539A"/>
    <w:rsid w:val="00B7551D"/>
    <w:rsid w:val="00B75A37"/>
    <w:rsid w:val="00B802A4"/>
    <w:rsid w:val="00B8061C"/>
    <w:rsid w:val="00B80EC0"/>
    <w:rsid w:val="00B818EF"/>
    <w:rsid w:val="00B81C32"/>
    <w:rsid w:val="00B868BB"/>
    <w:rsid w:val="00B86D40"/>
    <w:rsid w:val="00B86DFA"/>
    <w:rsid w:val="00B87206"/>
    <w:rsid w:val="00B90E7C"/>
    <w:rsid w:val="00B91CE8"/>
    <w:rsid w:val="00B93EE4"/>
    <w:rsid w:val="00B93FB5"/>
    <w:rsid w:val="00B94581"/>
    <w:rsid w:val="00B95168"/>
    <w:rsid w:val="00B95CF5"/>
    <w:rsid w:val="00B96903"/>
    <w:rsid w:val="00B96967"/>
    <w:rsid w:val="00B97D38"/>
    <w:rsid w:val="00BA0C66"/>
    <w:rsid w:val="00BA0CCB"/>
    <w:rsid w:val="00BA171D"/>
    <w:rsid w:val="00BA5D20"/>
    <w:rsid w:val="00BA652A"/>
    <w:rsid w:val="00BA799B"/>
    <w:rsid w:val="00BA7A4B"/>
    <w:rsid w:val="00BB55F0"/>
    <w:rsid w:val="00BB703C"/>
    <w:rsid w:val="00BC002F"/>
    <w:rsid w:val="00BC1512"/>
    <w:rsid w:val="00BC1D8D"/>
    <w:rsid w:val="00BC271A"/>
    <w:rsid w:val="00BC35A8"/>
    <w:rsid w:val="00BC71BB"/>
    <w:rsid w:val="00BC71E7"/>
    <w:rsid w:val="00BD0A47"/>
    <w:rsid w:val="00BD103A"/>
    <w:rsid w:val="00BD2757"/>
    <w:rsid w:val="00BD36A3"/>
    <w:rsid w:val="00BD42BB"/>
    <w:rsid w:val="00BD45E6"/>
    <w:rsid w:val="00BD4E21"/>
    <w:rsid w:val="00BD71BF"/>
    <w:rsid w:val="00BE00CD"/>
    <w:rsid w:val="00BE1470"/>
    <w:rsid w:val="00BE3126"/>
    <w:rsid w:val="00BE5D7F"/>
    <w:rsid w:val="00BE6667"/>
    <w:rsid w:val="00BF07A4"/>
    <w:rsid w:val="00BF381F"/>
    <w:rsid w:val="00BF3878"/>
    <w:rsid w:val="00BF7863"/>
    <w:rsid w:val="00BF7872"/>
    <w:rsid w:val="00C01E45"/>
    <w:rsid w:val="00C0300A"/>
    <w:rsid w:val="00C04BAD"/>
    <w:rsid w:val="00C119A1"/>
    <w:rsid w:val="00C11E02"/>
    <w:rsid w:val="00C16860"/>
    <w:rsid w:val="00C20035"/>
    <w:rsid w:val="00C203D2"/>
    <w:rsid w:val="00C20592"/>
    <w:rsid w:val="00C207A8"/>
    <w:rsid w:val="00C207FB"/>
    <w:rsid w:val="00C22686"/>
    <w:rsid w:val="00C22C1F"/>
    <w:rsid w:val="00C24298"/>
    <w:rsid w:val="00C249E5"/>
    <w:rsid w:val="00C271CC"/>
    <w:rsid w:val="00C31DA1"/>
    <w:rsid w:val="00C32198"/>
    <w:rsid w:val="00C32330"/>
    <w:rsid w:val="00C32A21"/>
    <w:rsid w:val="00C32A74"/>
    <w:rsid w:val="00C32BF8"/>
    <w:rsid w:val="00C33159"/>
    <w:rsid w:val="00C33BE5"/>
    <w:rsid w:val="00C342BC"/>
    <w:rsid w:val="00C3625E"/>
    <w:rsid w:val="00C36D09"/>
    <w:rsid w:val="00C37926"/>
    <w:rsid w:val="00C40135"/>
    <w:rsid w:val="00C41AB8"/>
    <w:rsid w:val="00C43518"/>
    <w:rsid w:val="00C43DF1"/>
    <w:rsid w:val="00C441C0"/>
    <w:rsid w:val="00C444E9"/>
    <w:rsid w:val="00C44B51"/>
    <w:rsid w:val="00C45E7A"/>
    <w:rsid w:val="00C465D3"/>
    <w:rsid w:val="00C46A21"/>
    <w:rsid w:val="00C5141B"/>
    <w:rsid w:val="00C55C2C"/>
    <w:rsid w:val="00C577D2"/>
    <w:rsid w:val="00C57C81"/>
    <w:rsid w:val="00C6087C"/>
    <w:rsid w:val="00C61EF3"/>
    <w:rsid w:val="00C63C47"/>
    <w:rsid w:val="00C6474E"/>
    <w:rsid w:val="00C662B7"/>
    <w:rsid w:val="00C66339"/>
    <w:rsid w:val="00C66754"/>
    <w:rsid w:val="00C70287"/>
    <w:rsid w:val="00C70EB7"/>
    <w:rsid w:val="00C72565"/>
    <w:rsid w:val="00C72847"/>
    <w:rsid w:val="00C75101"/>
    <w:rsid w:val="00C83A2A"/>
    <w:rsid w:val="00C83A9A"/>
    <w:rsid w:val="00C861C9"/>
    <w:rsid w:val="00C87A09"/>
    <w:rsid w:val="00C9156F"/>
    <w:rsid w:val="00C92432"/>
    <w:rsid w:val="00C92F30"/>
    <w:rsid w:val="00C93AAA"/>
    <w:rsid w:val="00C94321"/>
    <w:rsid w:val="00C953EA"/>
    <w:rsid w:val="00C9763C"/>
    <w:rsid w:val="00CA0626"/>
    <w:rsid w:val="00CA0823"/>
    <w:rsid w:val="00CA291E"/>
    <w:rsid w:val="00CA4956"/>
    <w:rsid w:val="00CA57D5"/>
    <w:rsid w:val="00CA60F4"/>
    <w:rsid w:val="00CA6EB5"/>
    <w:rsid w:val="00CA7FEA"/>
    <w:rsid w:val="00CB167F"/>
    <w:rsid w:val="00CB231E"/>
    <w:rsid w:val="00CB472D"/>
    <w:rsid w:val="00CC1666"/>
    <w:rsid w:val="00CC1C11"/>
    <w:rsid w:val="00CC2072"/>
    <w:rsid w:val="00CC238E"/>
    <w:rsid w:val="00CC3DEA"/>
    <w:rsid w:val="00CC4940"/>
    <w:rsid w:val="00CC5195"/>
    <w:rsid w:val="00CC5E0F"/>
    <w:rsid w:val="00CD20A8"/>
    <w:rsid w:val="00CD5E07"/>
    <w:rsid w:val="00CD60EA"/>
    <w:rsid w:val="00CD632D"/>
    <w:rsid w:val="00CD7468"/>
    <w:rsid w:val="00CE50A0"/>
    <w:rsid w:val="00CE5BB7"/>
    <w:rsid w:val="00CF1459"/>
    <w:rsid w:val="00CF5415"/>
    <w:rsid w:val="00CF5A6C"/>
    <w:rsid w:val="00CF5B02"/>
    <w:rsid w:val="00CF5BD2"/>
    <w:rsid w:val="00CF5CF4"/>
    <w:rsid w:val="00CF612C"/>
    <w:rsid w:val="00CF66C6"/>
    <w:rsid w:val="00CF753F"/>
    <w:rsid w:val="00D01226"/>
    <w:rsid w:val="00D01288"/>
    <w:rsid w:val="00D01968"/>
    <w:rsid w:val="00D060ED"/>
    <w:rsid w:val="00D06319"/>
    <w:rsid w:val="00D10244"/>
    <w:rsid w:val="00D10E69"/>
    <w:rsid w:val="00D11171"/>
    <w:rsid w:val="00D1161E"/>
    <w:rsid w:val="00D12DC6"/>
    <w:rsid w:val="00D13208"/>
    <w:rsid w:val="00D140FD"/>
    <w:rsid w:val="00D14EDB"/>
    <w:rsid w:val="00D15F1F"/>
    <w:rsid w:val="00D16419"/>
    <w:rsid w:val="00D16E45"/>
    <w:rsid w:val="00D209F2"/>
    <w:rsid w:val="00D23045"/>
    <w:rsid w:val="00D235EE"/>
    <w:rsid w:val="00D24B10"/>
    <w:rsid w:val="00D25EE5"/>
    <w:rsid w:val="00D26360"/>
    <w:rsid w:val="00D31E5E"/>
    <w:rsid w:val="00D32F53"/>
    <w:rsid w:val="00D33026"/>
    <w:rsid w:val="00D34B8C"/>
    <w:rsid w:val="00D35468"/>
    <w:rsid w:val="00D35AC4"/>
    <w:rsid w:val="00D40DC7"/>
    <w:rsid w:val="00D41DA1"/>
    <w:rsid w:val="00D42396"/>
    <w:rsid w:val="00D439A2"/>
    <w:rsid w:val="00D43D2E"/>
    <w:rsid w:val="00D43F50"/>
    <w:rsid w:val="00D44129"/>
    <w:rsid w:val="00D469DD"/>
    <w:rsid w:val="00D53A44"/>
    <w:rsid w:val="00D53F7E"/>
    <w:rsid w:val="00D544DB"/>
    <w:rsid w:val="00D554B6"/>
    <w:rsid w:val="00D60BE0"/>
    <w:rsid w:val="00D6177A"/>
    <w:rsid w:val="00D61C59"/>
    <w:rsid w:val="00D620BF"/>
    <w:rsid w:val="00D62327"/>
    <w:rsid w:val="00D62563"/>
    <w:rsid w:val="00D6283F"/>
    <w:rsid w:val="00D63E3B"/>
    <w:rsid w:val="00D64412"/>
    <w:rsid w:val="00D64B30"/>
    <w:rsid w:val="00D67224"/>
    <w:rsid w:val="00D70132"/>
    <w:rsid w:val="00D70563"/>
    <w:rsid w:val="00D70FEF"/>
    <w:rsid w:val="00D727B7"/>
    <w:rsid w:val="00D72EEE"/>
    <w:rsid w:val="00D75620"/>
    <w:rsid w:val="00D75964"/>
    <w:rsid w:val="00D765A9"/>
    <w:rsid w:val="00D7717A"/>
    <w:rsid w:val="00D8061C"/>
    <w:rsid w:val="00D82042"/>
    <w:rsid w:val="00D8469C"/>
    <w:rsid w:val="00D860F9"/>
    <w:rsid w:val="00D86481"/>
    <w:rsid w:val="00D86B4F"/>
    <w:rsid w:val="00D87D08"/>
    <w:rsid w:val="00D90242"/>
    <w:rsid w:val="00D90984"/>
    <w:rsid w:val="00D91B4D"/>
    <w:rsid w:val="00D9294A"/>
    <w:rsid w:val="00D92C08"/>
    <w:rsid w:val="00D93F69"/>
    <w:rsid w:val="00DA3366"/>
    <w:rsid w:val="00DA3DE9"/>
    <w:rsid w:val="00DA4E39"/>
    <w:rsid w:val="00DA4E6F"/>
    <w:rsid w:val="00DA5337"/>
    <w:rsid w:val="00DB04C7"/>
    <w:rsid w:val="00DB36EA"/>
    <w:rsid w:val="00DB3992"/>
    <w:rsid w:val="00DB4FF8"/>
    <w:rsid w:val="00DB6524"/>
    <w:rsid w:val="00DB6555"/>
    <w:rsid w:val="00DB6C57"/>
    <w:rsid w:val="00DB7431"/>
    <w:rsid w:val="00DC2162"/>
    <w:rsid w:val="00DC3DED"/>
    <w:rsid w:val="00DC4585"/>
    <w:rsid w:val="00DC4E87"/>
    <w:rsid w:val="00DC5AF5"/>
    <w:rsid w:val="00DC786F"/>
    <w:rsid w:val="00DC7FE6"/>
    <w:rsid w:val="00DD393B"/>
    <w:rsid w:val="00DD474A"/>
    <w:rsid w:val="00DE15EA"/>
    <w:rsid w:val="00DE5626"/>
    <w:rsid w:val="00DE777D"/>
    <w:rsid w:val="00DE793F"/>
    <w:rsid w:val="00DE7A69"/>
    <w:rsid w:val="00DE7C9A"/>
    <w:rsid w:val="00DF69F9"/>
    <w:rsid w:val="00DF7173"/>
    <w:rsid w:val="00E041E9"/>
    <w:rsid w:val="00E062C1"/>
    <w:rsid w:val="00E10542"/>
    <w:rsid w:val="00E129FF"/>
    <w:rsid w:val="00E15717"/>
    <w:rsid w:val="00E15B87"/>
    <w:rsid w:val="00E21D15"/>
    <w:rsid w:val="00E22B14"/>
    <w:rsid w:val="00E248F1"/>
    <w:rsid w:val="00E25965"/>
    <w:rsid w:val="00E27482"/>
    <w:rsid w:val="00E27F27"/>
    <w:rsid w:val="00E305F1"/>
    <w:rsid w:val="00E32761"/>
    <w:rsid w:val="00E32F65"/>
    <w:rsid w:val="00E35B52"/>
    <w:rsid w:val="00E3644C"/>
    <w:rsid w:val="00E36F87"/>
    <w:rsid w:val="00E37ADD"/>
    <w:rsid w:val="00E41745"/>
    <w:rsid w:val="00E4277B"/>
    <w:rsid w:val="00E42A94"/>
    <w:rsid w:val="00E4333F"/>
    <w:rsid w:val="00E435B1"/>
    <w:rsid w:val="00E442CB"/>
    <w:rsid w:val="00E47B4E"/>
    <w:rsid w:val="00E51860"/>
    <w:rsid w:val="00E5257C"/>
    <w:rsid w:val="00E53E6F"/>
    <w:rsid w:val="00E54D3B"/>
    <w:rsid w:val="00E5604A"/>
    <w:rsid w:val="00E56945"/>
    <w:rsid w:val="00E5712E"/>
    <w:rsid w:val="00E63F87"/>
    <w:rsid w:val="00E64782"/>
    <w:rsid w:val="00E65BBE"/>
    <w:rsid w:val="00E65D0E"/>
    <w:rsid w:val="00E67023"/>
    <w:rsid w:val="00E67090"/>
    <w:rsid w:val="00E673DF"/>
    <w:rsid w:val="00E71B33"/>
    <w:rsid w:val="00E72741"/>
    <w:rsid w:val="00E73769"/>
    <w:rsid w:val="00E74531"/>
    <w:rsid w:val="00E75E4F"/>
    <w:rsid w:val="00E82D2A"/>
    <w:rsid w:val="00E848E2"/>
    <w:rsid w:val="00E85131"/>
    <w:rsid w:val="00E86CC1"/>
    <w:rsid w:val="00E87080"/>
    <w:rsid w:val="00E871EF"/>
    <w:rsid w:val="00E87750"/>
    <w:rsid w:val="00E877D3"/>
    <w:rsid w:val="00E90B05"/>
    <w:rsid w:val="00E90BD7"/>
    <w:rsid w:val="00E91655"/>
    <w:rsid w:val="00E928FD"/>
    <w:rsid w:val="00E93769"/>
    <w:rsid w:val="00E94545"/>
    <w:rsid w:val="00E9460E"/>
    <w:rsid w:val="00E959CE"/>
    <w:rsid w:val="00E964FD"/>
    <w:rsid w:val="00EA28F8"/>
    <w:rsid w:val="00EA3716"/>
    <w:rsid w:val="00EA3876"/>
    <w:rsid w:val="00EA7C1E"/>
    <w:rsid w:val="00EB13D9"/>
    <w:rsid w:val="00EB1A03"/>
    <w:rsid w:val="00EB7211"/>
    <w:rsid w:val="00EC01D6"/>
    <w:rsid w:val="00EC2405"/>
    <w:rsid w:val="00EC2434"/>
    <w:rsid w:val="00EC2C69"/>
    <w:rsid w:val="00EC4A8D"/>
    <w:rsid w:val="00EC6215"/>
    <w:rsid w:val="00EC66C5"/>
    <w:rsid w:val="00ED1A95"/>
    <w:rsid w:val="00ED1ADE"/>
    <w:rsid w:val="00ED34DC"/>
    <w:rsid w:val="00ED3E1D"/>
    <w:rsid w:val="00ED3E8B"/>
    <w:rsid w:val="00ED463C"/>
    <w:rsid w:val="00ED5D16"/>
    <w:rsid w:val="00EE4C03"/>
    <w:rsid w:val="00EE62BA"/>
    <w:rsid w:val="00EE6862"/>
    <w:rsid w:val="00EE7768"/>
    <w:rsid w:val="00EE79DD"/>
    <w:rsid w:val="00EF000C"/>
    <w:rsid w:val="00EF0C90"/>
    <w:rsid w:val="00EF0DDF"/>
    <w:rsid w:val="00EF1E4F"/>
    <w:rsid w:val="00EF27DB"/>
    <w:rsid w:val="00EF5F7B"/>
    <w:rsid w:val="00EF7DCF"/>
    <w:rsid w:val="00F00326"/>
    <w:rsid w:val="00F04420"/>
    <w:rsid w:val="00F0526E"/>
    <w:rsid w:val="00F0527C"/>
    <w:rsid w:val="00F0586E"/>
    <w:rsid w:val="00F0590B"/>
    <w:rsid w:val="00F074CE"/>
    <w:rsid w:val="00F07B40"/>
    <w:rsid w:val="00F1239B"/>
    <w:rsid w:val="00F12E05"/>
    <w:rsid w:val="00F130B8"/>
    <w:rsid w:val="00F1347B"/>
    <w:rsid w:val="00F14A33"/>
    <w:rsid w:val="00F22144"/>
    <w:rsid w:val="00F2220E"/>
    <w:rsid w:val="00F2550D"/>
    <w:rsid w:val="00F30A85"/>
    <w:rsid w:val="00F32407"/>
    <w:rsid w:val="00F332AB"/>
    <w:rsid w:val="00F338C0"/>
    <w:rsid w:val="00F35371"/>
    <w:rsid w:val="00F353C0"/>
    <w:rsid w:val="00F36496"/>
    <w:rsid w:val="00F36E33"/>
    <w:rsid w:val="00F379B4"/>
    <w:rsid w:val="00F37E49"/>
    <w:rsid w:val="00F412B5"/>
    <w:rsid w:val="00F45A06"/>
    <w:rsid w:val="00F46BB1"/>
    <w:rsid w:val="00F46E29"/>
    <w:rsid w:val="00F47F92"/>
    <w:rsid w:val="00F47FF1"/>
    <w:rsid w:val="00F50194"/>
    <w:rsid w:val="00F50972"/>
    <w:rsid w:val="00F53436"/>
    <w:rsid w:val="00F53F84"/>
    <w:rsid w:val="00F5498A"/>
    <w:rsid w:val="00F54A60"/>
    <w:rsid w:val="00F555FF"/>
    <w:rsid w:val="00F60C68"/>
    <w:rsid w:val="00F61301"/>
    <w:rsid w:val="00F62916"/>
    <w:rsid w:val="00F64BD3"/>
    <w:rsid w:val="00F672F1"/>
    <w:rsid w:val="00F67889"/>
    <w:rsid w:val="00F7425A"/>
    <w:rsid w:val="00F80E51"/>
    <w:rsid w:val="00F81AB5"/>
    <w:rsid w:val="00F8348E"/>
    <w:rsid w:val="00F841A1"/>
    <w:rsid w:val="00F845D2"/>
    <w:rsid w:val="00F848E8"/>
    <w:rsid w:val="00F8523B"/>
    <w:rsid w:val="00F859D2"/>
    <w:rsid w:val="00F86775"/>
    <w:rsid w:val="00F90A4E"/>
    <w:rsid w:val="00F91909"/>
    <w:rsid w:val="00F92396"/>
    <w:rsid w:val="00F924D0"/>
    <w:rsid w:val="00F94090"/>
    <w:rsid w:val="00F955C6"/>
    <w:rsid w:val="00F960C3"/>
    <w:rsid w:val="00F96849"/>
    <w:rsid w:val="00FA03F7"/>
    <w:rsid w:val="00FA1177"/>
    <w:rsid w:val="00FA4736"/>
    <w:rsid w:val="00FA6689"/>
    <w:rsid w:val="00FA6892"/>
    <w:rsid w:val="00FA6DB2"/>
    <w:rsid w:val="00FA7273"/>
    <w:rsid w:val="00FA7D61"/>
    <w:rsid w:val="00FA7EE7"/>
    <w:rsid w:val="00FB11D2"/>
    <w:rsid w:val="00FB1922"/>
    <w:rsid w:val="00FB6AD7"/>
    <w:rsid w:val="00FC09A7"/>
    <w:rsid w:val="00FC463A"/>
    <w:rsid w:val="00FD1221"/>
    <w:rsid w:val="00FD2DB4"/>
    <w:rsid w:val="00FD3114"/>
    <w:rsid w:val="00FD3155"/>
    <w:rsid w:val="00FD320D"/>
    <w:rsid w:val="00FD4CDA"/>
    <w:rsid w:val="00FD5021"/>
    <w:rsid w:val="00FD5DD5"/>
    <w:rsid w:val="00FD5FE5"/>
    <w:rsid w:val="00FD7E4C"/>
    <w:rsid w:val="00FE0ABB"/>
    <w:rsid w:val="00FE375A"/>
    <w:rsid w:val="00FE3A6B"/>
    <w:rsid w:val="00FE51BC"/>
    <w:rsid w:val="00FE59E7"/>
    <w:rsid w:val="00FE641C"/>
    <w:rsid w:val="00FE77E6"/>
    <w:rsid w:val="00FF0D5C"/>
    <w:rsid w:val="00FF1AB2"/>
    <w:rsid w:val="00FF5C55"/>
    <w:rsid w:val="00FF5E77"/>
    <w:rsid w:val="00FF72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6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4E"/>
  </w:style>
  <w:style w:type="paragraph" w:styleId="Heading1">
    <w:name w:val="heading 1"/>
    <w:basedOn w:val="Normal"/>
    <w:next w:val="Normal"/>
    <w:link w:val="Heading1Char"/>
    <w:uiPriority w:val="9"/>
    <w:qFormat/>
    <w:rsid w:val="00A21A1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5140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85AEC"/>
    <w:pPr>
      <w:keepNext/>
      <w:keepLines/>
      <w:spacing w:before="40" w:after="0" w:line="36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332A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note,BulletPoints"/>
    <w:basedOn w:val="Normal"/>
    <w:link w:val="ListParagraphChar"/>
    <w:uiPriority w:val="34"/>
    <w:qFormat/>
    <w:rsid w:val="009C46BE"/>
    <w:pPr>
      <w:spacing w:after="0" w:line="240" w:lineRule="auto"/>
      <w:ind w:left="720"/>
      <w:contextualSpacing/>
    </w:pPr>
    <w:rPr>
      <w:rFonts w:ascii="Times New Roman" w:eastAsia="Times New Roman" w:hAnsi="Times New Roman" w:cs="Times New Roman"/>
      <w:sz w:val="24"/>
      <w:szCs w:val="20"/>
      <w:lang w:eastAsia="en-AU"/>
    </w:rPr>
  </w:style>
  <w:style w:type="character" w:customStyle="1" w:styleId="ListParagraphChar">
    <w:name w:val="List Paragraph Char"/>
    <w:aliases w:val="Footnote Char,BulletPoints Char"/>
    <w:link w:val="ListParagraph"/>
    <w:uiPriority w:val="72"/>
    <w:locked/>
    <w:rsid w:val="009C46BE"/>
    <w:rPr>
      <w:rFonts w:ascii="Times New Roman" w:eastAsia="Times New Roman" w:hAnsi="Times New Roman" w:cs="Times New Roman"/>
      <w:sz w:val="24"/>
      <w:szCs w:val="20"/>
      <w:lang w:eastAsia="en-AU"/>
    </w:rPr>
  </w:style>
  <w:style w:type="paragraph" w:styleId="FootnoteText">
    <w:name w:val="footnote text"/>
    <w:basedOn w:val="Normal"/>
    <w:link w:val="FootnoteTextChar"/>
    <w:uiPriority w:val="99"/>
    <w:rsid w:val="009C46BE"/>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uiPriority w:val="99"/>
    <w:rsid w:val="009C46BE"/>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9C46BE"/>
    <w:rPr>
      <w:vertAlign w:val="superscript"/>
    </w:rPr>
  </w:style>
  <w:style w:type="character" w:styleId="Hyperlink">
    <w:name w:val="Hyperlink"/>
    <w:basedOn w:val="DefaultParagraphFont"/>
    <w:uiPriority w:val="99"/>
    <w:rsid w:val="006974C4"/>
    <w:rPr>
      <w:color w:val="0000FF"/>
      <w:u w:val="single"/>
    </w:rPr>
  </w:style>
  <w:style w:type="character" w:styleId="FollowedHyperlink">
    <w:name w:val="FollowedHyperlink"/>
    <w:basedOn w:val="DefaultParagraphFont"/>
    <w:uiPriority w:val="99"/>
    <w:semiHidden/>
    <w:unhideWhenUsed/>
    <w:rsid w:val="00D26360"/>
    <w:rPr>
      <w:color w:val="800080" w:themeColor="followedHyperlink"/>
      <w:u w:val="single"/>
    </w:rPr>
  </w:style>
  <w:style w:type="table" w:styleId="TableGrid">
    <w:name w:val="Table Grid"/>
    <w:basedOn w:val="TableNormal"/>
    <w:uiPriority w:val="39"/>
    <w:rsid w:val="00E27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5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39A"/>
    <w:rPr>
      <w:rFonts w:ascii="Tahoma" w:hAnsi="Tahoma" w:cs="Tahoma"/>
      <w:sz w:val="16"/>
      <w:szCs w:val="16"/>
    </w:rPr>
  </w:style>
  <w:style w:type="character" w:customStyle="1" w:styleId="UnresolvedMention1">
    <w:name w:val="Unresolved Mention1"/>
    <w:basedOn w:val="DefaultParagraphFont"/>
    <w:uiPriority w:val="99"/>
    <w:semiHidden/>
    <w:unhideWhenUsed/>
    <w:rsid w:val="00F8348E"/>
    <w:rPr>
      <w:color w:val="605E5C"/>
      <w:shd w:val="clear" w:color="auto" w:fill="E1DFDD"/>
    </w:rPr>
  </w:style>
  <w:style w:type="paragraph" w:styleId="Header">
    <w:name w:val="header"/>
    <w:basedOn w:val="Normal"/>
    <w:link w:val="HeaderChar"/>
    <w:uiPriority w:val="99"/>
    <w:unhideWhenUsed/>
    <w:rsid w:val="007479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901"/>
  </w:style>
  <w:style w:type="paragraph" w:styleId="Footer">
    <w:name w:val="footer"/>
    <w:basedOn w:val="Normal"/>
    <w:link w:val="FooterChar"/>
    <w:uiPriority w:val="99"/>
    <w:unhideWhenUsed/>
    <w:rsid w:val="007479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901"/>
  </w:style>
  <w:style w:type="character" w:customStyle="1" w:styleId="Heading3Char">
    <w:name w:val="Heading 3 Char"/>
    <w:basedOn w:val="DefaultParagraphFont"/>
    <w:link w:val="Heading3"/>
    <w:uiPriority w:val="9"/>
    <w:rsid w:val="00585AEC"/>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B5140B"/>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EB1A03"/>
    <w:rPr>
      <w:sz w:val="16"/>
      <w:szCs w:val="16"/>
    </w:rPr>
  </w:style>
  <w:style w:type="paragraph" w:styleId="CommentText">
    <w:name w:val="annotation text"/>
    <w:basedOn w:val="Normal"/>
    <w:link w:val="CommentTextChar"/>
    <w:uiPriority w:val="99"/>
    <w:unhideWhenUsed/>
    <w:rsid w:val="00EB1A03"/>
    <w:pPr>
      <w:spacing w:line="240" w:lineRule="auto"/>
    </w:pPr>
    <w:rPr>
      <w:sz w:val="20"/>
      <w:szCs w:val="20"/>
    </w:rPr>
  </w:style>
  <w:style w:type="character" w:customStyle="1" w:styleId="CommentTextChar">
    <w:name w:val="Comment Text Char"/>
    <w:basedOn w:val="DefaultParagraphFont"/>
    <w:link w:val="CommentText"/>
    <w:uiPriority w:val="99"/>
    <w:rsid w:val="00EB1A03"/>
    <w:rPr>
      <w:sz w:val="20"/>
      <w:szCs w:val="20"/>
    </w:rPr>
  </w:style>
  <w:style w:type="paragraph" w:styleId="CommentSubject">
    <w:name w:val="annotation subject"/>
    <w:basedOn w:val="CommentText"/>
    <w:next w:val="CommentText"/>
    <w:link w:val="CommentSubjectChar"/>
    <w:uiPriority w:val="99"/>
    <w:semiHidden/>
    <w:unhideWhenUsed/>
    <w:rsid w:val="00EB1A03"/>
    <w:rPr>
      <w:b/>
      <w:bCs/>
    </w:rPr>
  </w:style>
  <w:style w:type="character" w:customStyle="1" w:styleId="CommentSubjectChar">
    <w:name w:val="Comment Subject Char"/>
    <w:basedOn w:val="CommentTextChar"/>
    <w:link w:val="CommentSubject"/>
    <w:uiPriority w:val="99"/>
    <w:semiHidden/>
    <w:rsid w:val="00EB1A03"/>
    <w:rPr>
      <w:b/>
      <w:bCs/>
      <w:sz w:val="20"/>
      <w:szCs w:val="20"/>
    </w:rPr>
  </w:style>
  <w:style w:type="paragraph" w:styleId="NormalWeb">
    <w:name w:val="Normal (Web)"/>
    <w:basedOn w:val="Normal"/>
    <w:uiPriority w:val="99"/>
    <w:semiHidden/>
    <w:unhideWhenUsed/>
    <w:rsid w:val="00EC243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74560B"/>
    <w:rPr>
      <w:color w:val="605E5C"/>
      <w:shd w:val="clear" w:color="auto" w:fill="E1DFDD"/>
    </w:rPr>
  </w:style>
  <w:style w:type="character" w:customStyle="1" w:styleId="Heading1Char">
    <w:name w:val="Heading 1 Char"/>
    <w:basedOn w:val="DefaultParagraphFont"/>
    <w:link w:val="Heading1"/>
    <w:uiPriority w:val="9"/>
    <w:rsid w:val="00A21A1B"/>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A21A1B"/>
    <w:pPr>
      <w:spacing w:line="259" w:lineRule="auto"/>
      <w:outlineLvl w:val="9"/>
    </w:pPr>
    <w:rPr>
      <w:lang w:val="en-US"/>
    </w:rPr>
  </w:style>
  <w:style w:type="paragraph" w:styleId="TOC2">
    <w:name w:val="toc 2"/>
    <w:basedOn w:val="Normal"/>
    <w:next w:val="Normal"/>
    <w:autoRedefine/>
    <w:uiPriority w:val="39"/>
    <w:unhideWhenUsed/>
    <w:rsid w:val="00E928FD"/>
    <w:pPr>
      <w:tabs>
        <w:tab w:val="right" w:leader="dot" w:pos="9016"/>
      </w:tabs>
      <w:spacing w:after="100"/>
      <w:ind w:left="220"/>
    </w:pPr>
  </w:style>
  <w:style w:type="paragraph" w:styleId="TOC3">
    <w:name w:val="toc 3"/>
    <w:basedOn w:val="Normal"/>
    <w:next w:val="Normal"/>
    <w:autoRedefine/>
    <w:uiPriority w:val="39"/>
    <w:unhideWhenUsed/>
    <w:rsid w:val="00A21A1B"/>
    <w:pPr>
      <w:spacing w:after="100"/>
      <w:ind w:left="440"/>
    </w:pPr>
  </w:style>
  <w:style w:type="paragraph" w:styleId="PlainText">
    <w:name w:val="Plain Text"/>
    <w:basedOn w:val="Normal"/>
    <w:link w:val="PlainTextChar"/>
    <w:uiPriority w:val="99"/>
    <w:semiHidden/>
    <w:unhideWhenUsed/>
    <w:rsid w:val="00617D1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17D16"/>
    <w:rPr>
      <w:rFonts w:ascii="Calibri" w:hAnsi="Calibri"/>
      <w:szCs w:val="21"/>
    </w:rPr>
  </w:style>
  <w:style w:type="character" w:customStyle="1" w:styleId="muxgbd">
    <w:name w:val="muxgbd"/>
    <w:basedOn w:val="DefaultParagraphFont"/>
    <w:rsid w:val="00C61EF3"/>
  </w:style>
  <w:style w:type="character" w:styleId="Emphasis">
    <w:name w:val="Emphasis"/>
    <w:basedOn w:val="DefaultParagraphFont"/>
    <w:uiPriority w:val="20"/>
    <w:qFormat/>
    <w:rsid w:val="00C61EF3"/>
    <w:rPr>
      <w:i/>
      <w:iCs/>
    </w:rPr>
  </w:style>
  <w:style w:type="paragraph" w:styleId="Revision">
    <w:name w:val="Revision"/>
    <w:hidden/>
    <w:uiPriority w:val="99"/>
    <w:semiHidden/>
    <w:rsid w:val="00502F22"/>
    <w:pPr>
      <w:spacing w:after="0" w:line="240" w:lineRule="auto"/>
    </w:pPr>
  </w:style>
  <w:style w:type="character" w:customStyle="1" w:styleId="UnresolvedMention3">
    <w:name w:val="Unresolved Mention3"/>
    <w:basedOn w:val="DefaultParagraphFont"/>
    <w:uiPriority w:val="99"/>
    <w:semiHidden/>
    <w:unhideWhenUsed/>
    <w:rsid w:val="00CD60EA"/>
    <w:rPr>
      <w:color w:val="605E5C"/>
      <w:shd w:val="clear" w:color="auto" w:fill="E1DFDD"/>
    </w:rPr>
  </w:style>
  <w:style w:type="character" w:customStyle="1" w:styleId="cit-auth">
    <w:name w:val="cit-auth"/>
    <w:basedOn w:val="DefaultParagraphFont"/>
    <w:rsid w:val="00DC4585"/>
  </w:style>
  <w:style w:type="character" w:customStyle="1" w:styleId="cit-name-surname">
    <w:name w:val="cit-name-surname"/>
    <w:basedOn w:val="DefaultParagraphFont"/>
    <w:rsid w:val="00DC4585"/>
  </w:style>
  <w:style w:type="character" w:customStyle="1" w:styleId="cit-name-given-names">
    <w:name w:val="cit-name-given-names"/>
    <w:basedOn w:val="DefaultParagraphFont"/>
    <w:rsid w:val="00DC4585"/>
  </w:style>
  <w:style w:type="character" w:customStyle="1" w:styleId="cit-etal">
    <w:name w:val="cit-etal"/>
    <w:basedOn w:val="DefaultParagraphFont"/>
    <w:rsid w:val="00DC4585"/>
  </w:style>
  <w:style w:type="character" w:styleId="HTMLCite">
    <w:name w:val="HTML Cite"/>
    <w:basedOn w:val="DefaultParagraphFont"/>
    <w:uiPriority w:val="99"/>
    <w:semiHidden/>
    <w:unhideWhenUsed/>
    <w:rsid w:val="00DC4585"/>
    <w:rPr>
      <w:i/>
      <w:iCs/>
    </w:rPr>
  </w:style>
  <w:style w:type="character" w:customStyle="1" w:styleId="cit-article-title">
    <w:name w:val="cit-article-title"/>
    <w:basedOn w:val="DefaultParagraphFont"/>
    <w:rsid w:val="00DC4585"/>
  </w:style>
  <w:style w:type="character" w:customStyle="1" w:styleId="cit-pub-date">
    <w:name w:val="cit-pub-date"/>
    <w:basedOn w:val="DefaultParagraphFont"/>
    <w:rsid w:val="00DC4585"/>
  </w:style>
  <w:style w:type="character" w:customStyle="1" w:styleId="cit-vol">
    <w:name w:val="cit-vol"/>
    <w:basedOn w:val="DefaultParagraphFont"/>
    <w:rsid w:val="00DC4585"/>
  </w:style>
  <w:style w:type="character" w:customStyle="1" w:styleId="cit-fpage">
    <w:name w:val="cit-fpage"/>
    <w:basedOn w:val="DefaultParagraphFont"/>
    <w:rsid w:val="00DC4585"/>
  </w:style>
  <w:style w:type="character" w:customStyle="1" w:styleId="cit-lpage">
    <w:name w:val="cit-lpage"/>
    <w:basedOn w:val="DefaultParagraphFont"/>
    <w:rsid w:val="00DC4585"/>
  </w:style>
  <w:style w:type="paragraph" w:customStyle="1" w:styleId="EndNoteBibliographyTitle">
    <w:name w:val="EndNote Bibliography Title"/>
    <w:basedOn w:val="Normal"/>
    <w:link w:val="EndNoteBibliographyTitleChar"/>
    <w:rsid w:val="006E6CA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E6CAD"/>
    <w:rPr>
      <w:rFonts w:ascii="Calibri" w:hAnsi="Calibri" w:cs="Calibri"/>
      <w:noProof/>
      <w:lang w:val="en-US"/>
    </w:rPr>
  </w:style>
  <w:style w:type="paragraph" w:customStyle="1" w:styleId="EndNoteBibliography">
    <w:name w:val="EndNote Bibliography"/>
    <w:basedOn w:val="Normal"/>
    <w:link w:val="EndNoteBibliographyChar"/>
    <w:rsid w:val="006E6CA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E6CAD"/>
    <w:rPr>
      <w:rFonts w:ascii="Calibri" w:hAnsi="Calibri" w:cs="Calibri"/>
      <w:noProof/>
      <w:lang w:val="en-US"/>
    </w:rPr>
  </w:style>
  <w:style w:type="character" w:customStyle="1" w:styleId="Heading4Char">
    <w:name w:val="Heading 4 Char"/>
    <w:basedOn w:val="DefaultParagraphFont"/>
    <w:link w:val="Heading4"/>
    <w:uiPriority w:val="9"/>
    <w:rsid w:val="00F332AB"/>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6325D0"/>
    <w:rPr>
      <w:color w:val="605E5C"/>
      <w:shd w:val="clear" w:color="auto" w:fill="E1DFDD"/>
    </w:rPr>
  </w:style>
  <w:style w:type="paragraph" w:styleId="EndnoteText">
    <w:name w:val="endnote text"/>
    <w:basedOn w:val="Normal"/>
    <w:link w:val="EndnoteTextChar"/>
    <w:uiPriority w:val="99"/>
    <w:semiHidden/>
    <w:unhideWhenUsed/>
    <w:rsid w:val="00AA70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70C1"/>
    <w:rPr>
      <w:sz w:val="20"/>
      <w:szCs w:val="20"/>
    </w:rPr>
  </w:style>
  <w:style w:type="character" w:styleId="EndnoteReference">
    <w:name w:val="endnote reference"/>
    <w:basedOn w:val="DefaultParagraphFont"/>
    <w:uiPriority w:val="99"/>
    <w:semiHidden/>
    <w:unhideWhenUsed/>
    <w:rsid w:val="00AA70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059643">
      <w:bodyDiv w:val="1"/>
      <w:marLeft w:val="0"/>
      <w:marRight w:val="0"/>
      <w:marTop w:val="0"/>
      <w:marBottom w:val="0"/>
      <w:divBdr>
        <w:top w:val="none" w:sz="0" w:space="0" w:color="auto"/>
        <w:left w:val="none" w:sz="0" w:space="0" w:color="auto"/>
        <w:bottom w:val="none" w:sz="0" w:space="0" w:color="auto"/>
        <w:right w:val="none" w:sz="0" w:space="0" w:color="auto"/>
      </w:divBdr>
    </w:div>
    <w:div w:id="461575304">
      <w:bodyDiv w:val="1"/>
      <w:marLeft w:val="0"/>
      <w:marRight w:val="0"/>
      <w:marTop w:val="0"/>
      <w:marBottom w:val="0"/>
      <w:divBdr>
        <w:top w:val="none" w:sz="0" w:space="0" w:color="auto"/>
        <w:left w:val="none" w:sz="0" w:space="0" w:color="auto"/>
        <w:bottom w:val="none" w:sz="0" w:space="0" w:color="auto"/>
        <w:right w:val="none" w:sz="0" w:space="0" w:color="auto"/>
      </w:divBdr>
    </w:div>
    <w:div w:id="524246146">
      <w:bodyDiv w:val="1"/>
      <w:marLeft w:val="0"/>
      <w:marRight w:val="0"/>
      <w:marTop w:val="0"/>
      <w:marBottom w:val="0"/>
      <w:divBdr>
        <w:top w:val="none" w:sz="0" w:space="0" w:color="auto"/>
        <w:left w:val="none" w:sz="0" w:space="0" w:color="auto"/>
        <w:bottom w:val="none" w:sz="0" w:space="0" w:color="auto"/>
        <w:right w:val="none" w:sz="0" w:space="0" w:color="auto"/>
      </w:divBdr>
    </w:div>
    <w:div w:id="617755558">
      <w:bodyDiv w:val="1"/>
      <w:marLeft w:val="0"/>
      <w:marRight w:val="0"/>
      <w:marTop w:val="0"/>
      <w:marBottom w:val="0"/>
      <w:divBdr>
        <w:top w:val="none" w:sz="0" w:space="0" w:color="auto"/>
        <w:left w:val="none" w:sz="0" w:space="0" w:color="auto"/>
        <w:bottom w:val="none" w:sz="0" w:space="0" w:color="auto"/>
        <w:right w:val="none" w:sz="0" w:space="0" w:color="auto"/>
      </w:divBdr>
    </w:div>
    <w:div w:id="654459526">
      <w:bodyDiv w:val="1"/>
      <w:marLeft w:val="0"/>
      <w:marRight w:val="0"/>
      <w:marTop w:val="0"/>
      <w:marBottom w:val="0"/>
      <w:divBdr>
        <w:top w:val="none" w:sz="0" w:space="0" w:color="auto"/>
        <w:left w:val="none" w:sz="0" w:space="0" w:color="auto"/>
        <w:bottom w:val="none" w:sz="0" w:space="0" w:color="auto"/>
        <w:right w:val="none" w:sz="0" w:space="0" w:color="auto"/>
      </w:divBdr>
    </w:div>
    <w:div w:id="753936896">
      <w:bodyDiv w:val="1"/>
      <w:marLeft w:val="0"/>
      <w:marRight w:val="0"/>
      <w:marTop w:val="0"/>
      <w:marBottom w:val="0"/>
      <w:divBdr>
        <w:top w:val="none" w:sz="0" w:space="0" w:color="auto"/>
        <w:left w:val="none" w:sz="0" w:space="0" w:color="auto"/>
        <w:bottom w:val="none" w:sz="0" w:space="0" w:color="auto"/>
        <w:right w:val="none" w:sz="0" w:space="0" w:color="auto"/>
      </w:divBdr>
    </w:div>
    <w:div w:id="916745058">
      <w:bodyDiv w:val="1"/>
      <w:marLeft w:val="0"/>
      <w:marRight w:val="0"/>
      <w:marTop w:val="0"/>
      <w:marBottom w:val="0"/>
      <w:divBdr>
        <w:top w:val="none" w:sz="0" w:space="0" w:color="auto"/>
        <w:left w:val="none" w:sz="0" w:space="0" w:color="auto"/>
        <w:bottom w:val="none" w:sz="0" w:space="0" w:color="auto"/>
        <w:right w:val="none" w:sz="0" w:space="0" w:color="auto"/>
      </w:divBdr>
    </w:div>
    <w:div w:id="1013386567">
      <w:bodyDiv w:val="1"/>
      <w:marLeft w:val="0"/>
      <w:marRight w:val="0"/>
      <w:marTop w:val="0"/>
      <w:marBottom w:val="0"/>
      <w:divBdr>
        <w:top w:val="none" w:sz="0" w:space="0" w:color="auto"/>
        <w:left w:val="none" w:sz="0" w:space="0" w:color="auto"/>
        <w:bottom w:val="none" w:sz="0" w:space="0" w:color="auto"/>
        <w:right w:val="none" w:sz="0" w:space="0" w:color="auto"/>
      </w:divBdr>
    </w:div>
    <w:div w:id="1039208946">
      <w:bodyDiv w:val="1"/>
      <w:marLeft w:val="0"/>
      <w:marRight w:val="0"/>
      <w:marTop w:val="0"/>
      <w:marBottom w:val="0"/>
      <w:divBdr>
        <w:top w:val="none" w:sz="0" w:space="0" w:color="auto"/>
        <w:left w:val="none" w:sz="0" w:space="0" w:color="auto"/>
        <w:bottom w:val="none" w:sz="0" w:space="0" w:color="auto"/>
        <w:right w:val="none" w:sz="0" w:space="0" w:color="auto"/>
      </w:divBdr>
    </w:div>
    <w:div w:id="1064332281">
      <w:bodyDiv w:val="1"/>
      <w:marLeft w:val="0"/>
      <w:marRight w:val="0"/>
      <w:marTop w:val="0"/>
      <w:marBottom w:val="0"/>
      <w:divBdr>
        <w:top w:val="none" w:sz="0" w:space="0" w:color="auto"/>
        <w:left w:val="none" w:sz="0" w:space="0" w:color="auto"/>
        <w:bottom w:val="none" w:sz="0" w:space="0" w:color="auto"/>
        <w:right w:val="none" w:sz="0" w:space="0" w:color="auto"/>
      </w:divBdr>
    </w:div>
    <w:div w:id="1166362484">
      <w:bodyDiv w:val="1"/>
      <w:marLeft w:val="0"/>
      <w:marRight w:val="0"/>
      <w:marTop w:val="0"/>
      <w:marBottom w:val="0"/>
      <w:divBdr>
        <w:top w:val="none" w:sz="0" w:space="0" w:color="auto"/>
        <w:left w:val="none" w:sz="0" w:space="0" w:color="auto"/>
        <w:bottom w:val="none" w:sz="0" w:space="0" w:color="auto"/>
        <w:right w:val="none" w:sz="0" w:space="0" w:color="auto"/>
      </w:divBdr>
    </w:div>
    <w:div w:id="1359239954">
      <w:bodyDiv w:val="1"/>
      <w:marLeft w:val="0"/>
      <w:marRight w:val="0"/>
      <w:marTop w:val="0"/>
      <w:marBottom w:val="0"/>
      <w:divBdr>
        <w:top w:val="none" w:sz="0" w:space="0" w:color="auto"/>
        <w:left w:val="none" w:sz="0" w:space="0" w:color="auto"/>
        <w:bottom w:val="none" w:sz="0" w:space="0" w:color="auto"/>
        <w:right w:val="none" w:sz="0" w:space="0" w:color="auto"/>
      </w:divBdr>
    </w:div>
    <w:div w:id="1608347332">
      <w:bodyDiv w:val="1"/>
      <w:marLeft w:val="0"/>
      <w:marRight w:val="0"/>
      <w:marTop w:val="0"/>
      <w:marBottom w:val="0"/>
      <w:divBdr>
        <w:top w:val="none" w:sz="0" w:space="0" w:color="auto"/>
        <w:left w:val="none" w:sz="0" w:space="0" w:color="auto"/>
        <w:bottom w:val="none" w:sz="0" w:space="0" w:color="auto"/>
        <w:right w:val="none" w:sz="0" w:space="0" w:color="auto"/>
      </w:divBdr>
    </w:div>
    <w:div w:id="1670788905">
      <w:bodyDiv w:val="1"/>
      <w:marLeft w:val="0"/>
      <w:marRight w:val="0"/>
      <w:marTop w:val="0"/>
      <w:marBottom w:val="0"/>
      <w:divBdr>
        <w:top w:val="none" w:sz="0" w:space="0" w:color="auto"/>
        <w:left w:val="none" w:sz="0" w:space="0" w:color="auto"/>
        <w:bottom w:val="none" w:sz="0" w:space="0" w:color="auto"/>
        <w:right w:val="none" w:sz="0" w:space="0" w:color="auto"/>
      </w:divBdr>
    </w:div>
    <w:div w:id="1768043528">
      <w:bodyDiv w:val="1"/>
      <w:marLeft w:val="0"/>
      <w:marRight w:val="0"/>
      <w:marTop w:val="0"/>
      <w:marBottom w:val="0"/>
      <w:divBdr>
        <w:top w:val="none" w:sz="0" w:space="0" w:color="auto"/>
        <w:left w:val="none" w:sz="0" w:space="0" w:color="auto"/>
        <w:bottom w:val="none" w:sz="0" w:space="0" w:color="auto"/>
        <w:right w:val="none" w:sz="0" w:space="0" w:color="auto"/>
      </w:divBdr>
    </w:div>
    <w:div w:id="1792505610">
      <w:bodyDiv w:val="1"/>
      <w:marLeft w:val="0"/>
      <w:marRight w:val="0"/>
      <w:marTop w:val="0"/>
      <w:marBottom w:val="0"/>
      <w:divBdr>
        <w:top w:val="none" w:sz="0" w:space="0" w:color="auto"/>
        <w:left w:val="none" w:sz="0" w:space="0" w:color="auto"/>
        <w:bottom w:val="none" w:sz="0" w:space="0" w:color="auto"/>
        <w:right w:val="none" w:sz="0" w:space="0" w:color="auto"/>
      </w:divBdr>
    </w:div>
    <w:div w:id="1795519760">
      <w:bodyDiv w:val="1"/>
      <w:marLeft w:val="0"/>
      <w:marRight w:val="0"/>
      <w:marTop w:val="0"/>
      <w:marBottom w:val="0"/>
      <w:divBdr>
        <w:top w:val="none" w:sz="0" w:space="0" w:color="auto"/>
        <w:left w:val="none" w:sz="0" w:space="0" w:color="auto"/>
        <w:bottom w:val="none" w:sz="0" w:space="0" w:color="auto"/>
        <w:right w:val="none" w:sz="0" w:space="0" w:color="auto"/>
      </w:divBdr>
    </w:div>
    <w:div w:id="1823346368">
      <w:bodyDiv w:val="1"/>
      <w:marLeft w:val="0"/>
      <w:marRight w:val="0"/>
      <w:marTop w:val="0"/>
      <w:marBottom w:val="0"/>
      <w:divBdr>
        <w:top w:val="none" w:sz="0" w:space="0" w:color="auto"/>
        <w:left w:val="none" w:sz="0" w:space="0" w:color="auto"/>
        <w:bottom w:val="none" w:sz="0" w:space="0" w:color="auto"/>
        <w:right w:val="none" w:sz="0" w:space="0" w:color="auto"/>
      </w:divBdr>
    </w:div>
    <w:div w:id="1844201714">
      <w:bodyDiv w:val="1"/>
      <w:marLeft w:val="0"/>
      <w:marRight w:val="0"/>
      <w:marTop w:val="0"/>
      <w:marBottom w:val="0"/>
      <w:divBdr>
        <w:top w:val="none" w:sz="0" w:space="0" w:color="auto"/>
        <w:left w:val="none" w:sz="0" w:space="0" w:color="auto"/>
        <w:bottom w:val="none" w:sz="0" w:space="0" w:color="auto"/>
        <w:right w:val="none" w:sz="0" w:space="0" w:color="auto"/>
      </w:divBdr>
    </w:div>
    <w:div w:id="1904441102">
      <w:bodyDiv w:val="1"/>
      <w:marLeft w:val="0"/>
      <w:marRight w:val="0"/>
      <w:marTop w:val="0"/>
      <w:marBottom w:val="0"/>
      <w:divBdr>
        <w:top w:val="none" w:sz="0" w:space="0" w:color="auto"/>
        <w:left w:val="none" w:sz="0" w:space="0" w:color="auto"/>
        <w:bottom w:val="none" w:sz="0" w:space="0" w:color="auto"/>
        <w:right w:val="none" w:sz="0" w:space="0" w:color="auto"/>
      </w:divBdr>
    </w:div>
    <w:div w:id="1949655333">
      <w:bodyDiv w:val="1"/>
      <w:marLeft w:val="0"/>
      <w:marRight w:val="0"/>
      <w:marTop w:val="0"/>
      <w:marBottom w:val="0"/>
      <w:divBdr>
        <w:top w:val="none" w:sz="0" w:space="0" w:color="auto"/>
        <w:left w:val="none" w:sz="0" w:space="0" w:color="auto"/>
        <w:bottom w:val="none" w:sz="0" w:space="0" w:color="auto"/>
        <w:right w:val="none" w:sz="0" w:space="0" w:color="auto"/>
      </w:divBdr>
    </w:div>
    <w:div w:id="2046979897">
      <w:bodyDiv w:val="1"/>
      <w:marLeft w:val="0"/>
      <w:marRight w:val="0"/>
      <w:marTop w:val="0"/>
      <w:marBottom w:val="0"/>
      <w:divBdr>
        <w:top w:val="none" w:sz="0" w:space="0" w:color="auto"/>
        <w:left w:val="none" w:sz="0" w:space="0" w:color="auto"/>
        <w:bottom w:val="none" w:sz="0" w:space="0" w:color="auto"/>
        <w:right w:val="none" w:sz="0" w:space="0" w:color="auto"/>
      </w:divBdr>
    </w:div>
    <w:div w:id="2087261051">
      <w:bodyDiv w:val="1"/>
      <w:marLeft w:val="0"/>
      <w:marRight w:val="0"/>
      <w:marTop w:val="0"/>
      <w:marBottom w:val="0"/>
      <w:divBdr>
        <w:top w:val="none" w:sz="0" w:space="0" w:color="auto"/>
        <w:left w:val="none" w:sz="0" w:space="0" w:color="auto"/>
        <w:bottom w:val="none" w:sz="0" w:space="0" w:color="auto"/>
        <w:right w:val="none" w:sz="0" w:space="0" w:color="auto"/>
      </w:divBdr>
    </w:div>
    <w:div w:id="210148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hyperlink" Target="https://www.pbs.gov.au/industry/listing/elements/pbac-meetings/psd/2021-07/files/dapagliflozin-HF-psd-july-2021.pdf" TargetMode="External"/><Relationship Id="rId21" Type="http://schemas.openxmlformats.org/officeDocument/2006/relationships/chart" Target="charts/chart13.xml"/><Relationship Id="rId34" Type="http://schemas.openxmlformats.org/officeDocument/2006/relationships/chart" Target="charts/chart19.xml"/><Relationship Id="rId42" Type="http://schemas.openxmlformats.org/officeDocument/2006/relationships/image" Target="media/image9.png"/><Relationship Id="rId47" Type="http://schemas.openxmlformats.org/officeDocument/2006/relationships/image" Target="media/image14.png"/><Relationship Id="rId50" Type="http://schemas.openxmlformats.org/officeDocument/2006/relationships/image" Target="media/image17.png"/><Relationship Id="rId55" Type="http://schemas.openxmlformats.org/officeDocument/2006/relationships/image" Target="media/image22.png"/><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image" Target="media/image6.png"/><Relationship Id="rId38" Type="http://schemas.openxmlformats.org/officeDocument/2006/relationships/hyperlink" Target="https://www.abs.gov.au/statistics/health/health-conditions-and-risks/heart-stroke-and-vascular-disease/2022" TargetMode="External"/><Relationship Id="rId46" Type="http://schemas.openxmlformats.org/officeDocument/2006/relationships/image" Target="media/image13.png"/><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image" Target="media/image3.png"/><Relationship Id="rId41" Type="http://schemas.openxmlformats.org/officeDocument/2006/relationships/image" Target="media/image8.png"/><Relationship Id="rId54"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image" Target="media/image5.png"/><Relationship Id="rId37" Type="http://schemas.openxmlformats.org/officeDocument/2006/relationships/hyperlink" Target="http://www.abs.gov.au/population" TargetMode="External"/><Relationship Id="rId40" Type="http://schemas.openxmlformats.org/officeDocument/2006/relationships/image" Target="media/image7.png"/><Relationship Id="rId45" Type="http://schemas.openxmlformats.org/officeDocument/2006/relationships/image" Target="media/image12.png"/><Relationship Id="rId53" Type="http://schemas.openxmlformats.org/officeDocument/2006/relationships/image" Target="media/image20.png"/><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image" Target="media/image2.png"/><Relationship Id="rId36" Type="http://schemas.openxmlformats.org/officeDocument/2006/relationships/chart" Target="charts/chart21.xml"/><Relationship Id="rId49" Type="http://schemas.openxmlformats.org/officeDocument/2006/relationships/image" Target="media/image16.png"/><Relationship Id="rId57" Type="http://schemas.openxmlformats.org/officeDocument/2006/relationships/image" Target="media/image24.png"/><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header" Target="header1.xml"/><Relationship Id="rId44" Type="http://schemas.openxmlformats.org/officeDocument/2006/relationships/image" Target="media/image11.png"/><Relationship Id="rId52"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image" Target="media/image1.png"/><Relationship Id="rId30" Type="http://schemas.openxmlformats.org/officeDocument/2006/relationships/footer" Target="footer1.xml"/><Relationship Id="rId35" Type="http://schemas.openxmlformats.org/officeDocument/2006/relationships/chart" Target="charts/chart20.xml"/><Relationship Id="rId43" Type="http://schemas.openxmlformats.org/officeDocument/2006/relationships/image" Target="media/image10.png"/><Relationship Id="rId48" Type="http://schemas.openxmlformats.org/officeDocument/2006/relationships/image" Target="media/image15.png"/><Relationship Id="rId56" Type="http://schemas.openxmlformats.org/officeDocument/2006/relationships/image" Target="media/image23.png"/><Relationship Id="rId8" Type="http://schemas.openxmlformats.org/officeDocument/2006/relationships/hyperlink" Target="https://www.heartlungcirc.org/article/S1443-9506(18)31777-3/fulltext" TargetMode="External"/><Relationship Id="rId51" Type="http://schemas.openxmlformats.org/officeDocument/2006/relationships/image" Target="media/image18.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C:\HF\Results\Trends.xls"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C:\HF\Results\Comb_Classes_noCCB.xls" TargetMode="External"/><Relationship Id="rId2" Type="http://schemas.microsoft.com/office/2011/relationships/chartColorStyle" Target="colors2.xml"/><Relationship Id="rId1" Type="http://schemas.microsoft.com/office/2011/relationships/chartStyle" Target="style2.xml"/></Relationships>
</file>

<file path=word/charts/_rels/chart11.xml.rels><?xml version="1.0" encoding="UTF-8" standalone="yes"?>
<Relationships xmlns="http://schemas.openxmlformats.org/package/2006/relationships"><Relationship Id="rId1" Type="http://schemas.openxmlformats.org/officeDocument/2006/relationships/oleObject" Target="file:///C:\Users\Babeshki\Desktop\HF\Results\Comb_Classes_noCCB_FDC_DI.xls" TargetMode="External"/></Relationships>
</file>

<file path=word/charts/_rels/chart12.xml.rels><?xml version="1.0" encoding="UTF-8" standalone="yes"?>
<Relationships xmlns="http://schemas.openxmlformats.org/package/2006/relationships"><Relationship Id="rId3" Type="http://schemas.openxmlformats.org/officeDocument/2006/relationships/oleObject" Target="file:///C:\Users\Babeshki\Desktop\HF\Results\Comb_Classes_noCCB_FDC_DI.xls" TargetMode="External"/><Relationship Id="rId2" Type="http://schemas.microsoft.com/office/2011/relationships/chartColorStyle" Target="colors3.xml"/><Relationship Id="rId1" Type="http://schemas.microsoft.com/office/2011/relationships/chartStyle" Target="style3.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Babeshki\Desktop\HF\Results\Comb_Classes_noCCB_FDC_DI.xls" TargetMode="External"/><Relationship Id="rId2" Type="http://schemas.microsoft.com/office/2011/relationships/chartColorStyle" Target="colors4.xml"/><Relationship Id="rId1" Type="http://schemas.microsoft.com/office/2011/relationships/chartStyle" Target="style4.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Babeshki\Desktop\HF\Results\Comb_Classes_noCCB_FDC_DI.xls" TargetMode="External"/><Relationship Id="rId2" Type="http://schemas.microsoft.com/office/2011/relationships/chartColorStyle" Target="colors5.xml"/><Relationship Id="rId1" Type="http://schemas.microsoft.com/office/2011/relationships/chartStyle" Target="style5.xml"/></Relationships>
</file>

<file path=word/charts/_rels/chart15.xml.rels><?xml version="1.0" encoding="UTF-8" standalone="yes"?>
<Relationships xmlns="http://schemas.openxmlformats.org/package/2006/relationships"><Relationship Id="rId1" Type="http://schemas.openxmlformats.org/officeDocument/2006/relationships/oleObject" Target="file:///C:\Users\rougheae\AppData\Local\Microsoft\Windows\INetCache\Content.Outlook\5GQGIVSU\Standard_Care_Prev%20(003).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HF\Results\Standard_Care_Prev_noCCB_FDC_DI_byAge.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HF\Results\Pathways.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HF\Results\Pathways.xls" TargetMode="External"/></Relationships>
</file>

<file path=word/charts/_rels/chart19.xml.rels><?xml version="1.0" encoding="UTF-8" standalone="yes"?>
<Relationships xmlns="http://schemas.openxmlformats.org/package/2006/relationships"><Relationship Id="rId3" Type="http://schemas.openxmlformats.org/officeDocument/2006/relationships/oleObject" Target="file:///C:\HF\Results\HF_SGLT1.xls" TargetMode="External"/><Relationship Id="rId2" Type="http://schemas.microsoft.com/office/2011/relationships/chartColorStyle" Target="colors6.xml"/><Relationship Id="rId1" Type="http://schemas.microsoft.com/office/2011/relationships/chartStyle" Target="style6.xml"/></Relationships>
</file>

<file path=word/charts/_rels/chart2.xml.rels><?xml version="1.0" encoding="UTF-8" standalone="yes"?>
<Relationships xmlns="http://schemas.openxmlformats.org/package/2006/relationships"><Relationship Id="rId1" Type="http://schemas.openxmlformats.org/officeDocument/2006/relationships/oleObject" Target="file:///C:\HF\Results\Trends.xls"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C:\Users\Babeshki\Desktop\HF\HF_SGLT.xls" TargetMode="External"/><Relationship Id="rId2" Type="http://schemas.microsoft.com/office/2011/relationships/chartColorStyle" Target="colors7.xml"/><Relationship Id="rId1" Type="http://schemas.microsoft.com/office/2011/relationships/chartStyle" Target="style7.xml"/></Relationships>
</file>

<file path=word/charts/_rels/chart21.xml.rels><?xml version="1.0" encoding="UTF-8" standalone="yes"?>
<Relationships xmlns="http://schemas.openxmlformats.org/package/2006/relationships"><Relationship Id="rId1" Type="http://schemas.openxmlformats.org/officeDocument/2006/relationships/oleObject" Target="file:///C:\Users\Babeshki\Desktop\HF\Results\SGLT_ARNI_ACEARB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abeshki\Desktop\HF\Results\Trends.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Babeshki\Desktop\HF\Results\Trends.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HF\Results\Trends.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HF\Results\Trends.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Babeshki\Desktop\HF\Results\Trends.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HF\Results\Comb_Classes.xls"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file:///C:\HF\Results\Comb_Classes_noCCB.xls"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Prev_HF!$D$2</c:f>
              <c:strCache>
                <c:ptCount val="1"/>
                <c:pt idx="0">
                  <c:v>num_scr</c:v>
                </c:pt>
              </c:strCache>
            </c:strRef>
          </c:tx>
          <c:spPr>
            <a:ln w="28575" cap="rnd">
              <a:solidFill>
                <a:schemeClr val="accent1"/>
              </a:solidFill>
              <a:round/>
            </a:ln>
            <a:effectLst/>
          </c:spPr>
          <c:marker>
            <c:symbol val="none"/>
          </c:marker>
          <c:cat>
            <c:numRef>
              <c:f>Prev_HF!$C$3:$C$80</c:f>
              <c:numCache>
                <c:formatCode>mmm\-yy</c:formatCode>
                <c:ptCount val="78"/>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numCache>
            </c:numRef>
          </c:cat>
          <c:val>
            <c:numRef>
              <c:f>Prev_HF!$D$3:$D$80</c:f>
              <c:numCache>
                <c:formatCode>General</c:formatCode>
                <c:ptCount val="78"/>
                <c:pt idx="0">
                  <c:v>124500</c:v>
                </c:pt>
                <c:pt idx="1">
                  <c:v>129126</c:v>
                </c:pt>
                <c:pt idx="2">
                  <c:v>147863</c:v>
                </c:pt>
                <c:pt idx="3">
                  <c:v>134881</c:v>
                </c:pt>
                <c:pt idx="4">
                  <c:v>150780</c:v>
                </c:pt>
                <c:pt idx="5">
                  <c:v>148946</c:v>
                </c:pt>
                <c:pt idx="6">
                  <c:v>151065</c:v>
                </c:pt>
                <c:pt idx="7">
                  <c:v>161629</c:v>
                </c:pt>
                <c:pt idx="8">
                  <c:v>156626</c:v>
                </c:pt>
                <c:pt idx="9">
                  <c:v>165628</c:v>
                </c:pt>
                <c:pt idx="10">
                  <c:v>171011</c:v>
                </c:pt>
                <c:pt idx="11">
                  <c:v>187243</c:v>
                </c:pt>
                <c:pt idx="12">
                  <c:v>148404</c:v>
                </c:pt>
                <c:pt idx="13">
                  <c:v>149526</c:v>
                </c:pt>
                <c:pt idx="14">
                  <c:v>168074</c:v>
                </c:pt>
                <c:pt idx="15">
                  <c:v>160977</c:v>
                </c:pt>
                <c:pt idx="16">
                  <c:v>176873</c:v>
                </c:pt>
                <c:pt idx="17">
                  <c:v>168726</c:v>
                </c:pt>
                <c:pt idx="18">
                  <c:v>176739</c:v>
                </c:pt>
                <c:pt idx="19">
                  <c:v>184170</c:v>
                </c:pt>
                <c:pt idx="20">
                  <c:v>173029</c:v>
                </c:pt>
                <c:pt idx="21">
                  <c:v>193774</c:v>
                </c:pt>
                <c:pt idx="22">
                  <c:v>194486</c:v>
                </c:pt>
                <c:pt idx="23">
                  <c:v>211920</c:v>
                </c:pt>
                <c:pt idx="24">
                  <c:v>167737</c:v>
                </c:pt>
                <c:pt idx="25">
                  <c:v>169420</c:v>
                </c:pt>
                <c:pt idx="26">
                  <c:v>185073</c:v>
                </c:pt>
                <c:pt idx="27">
                  <c:v>185397</c:v>
                </c:pt>
                <c:pt idx="28">
                  <c:v>200177</c:v>
                </c:pt>
                <c:pt idx="29">
                  <c:v>184857</c:v>
                </c:pt>
                <c:pt idx="30">
                  <c:v>205005</c:v>
                </c:pt>
                <c:pt idx="31">
                  <c:v>204669</c:v>
                </c:pt>
                <c:pt idx="32">
                  <c:v>199632</c:v>
                </c:pt>
                <c:pt idx="33">
                  <c:v>218173</c:v>
                </c:pt>
                <c:pt idx="34">
                  <c:v>213461</c:v>
                </c:pt>
                <c:pt idx="35">
                  <c:v>241614</c:v>
                </c:pt>
                <c:pt idx="36">
                  <c:v>189359</c:v>
                </c:pt>
                <c:pt idx="37">
                  <c:v>197212</c:v>
                </c:pt>
                <c:pt idx="38">
                  <c:v>238776</c:v>
                </c:pt>
                <c:pt idx="39">
                  <c:v>202028</c:v>
                </c:pt>
                <c:pt idx="40">
                  <c:v>211316</c:v>
                </c:pt>
                <c:pt idx="41">
                  <c:v>221304</c:v>
                </c:pt>
                <c:pt idx="42">
                  <c:v>237724</c:v>
                </c:pt>
                <c:pt idx="43">
                  <c:v>230821</c:v>
                </c:pt>
                <c:pt idx="44">
                  <c:v>237331</c:v>
                </c:pt>
                <c:pt idx="45">
                  <c:v>246226</c:v>
                </c:pt>
                <c:pt idx="46">
                  <c:v>242730</c:v>
                </c:pt>
                <c:pt idx="47">
                  <c:v>285472</c:v>
                </c:pt>
                <c:pt idx="48">
                  <c:v>204809</c:v>
                </c:pt>
                <c:pt idx="49">
                  <c:v>216071</c:v>
                </c:pt>
                <c:pt idx="50">
                  <c:v>252555</c:v>
                </c:pt>
                <c:pt idx="51">
                  <c:v>236026</c:v>
                </c:pt>
                <c:pt idx="52">
                  <c:v>244607</c:v>
                </c:pt>
                <c:pt idx="53">
                  <c:v>249100</c:v>
                </c:pt>
                <c:pt idx="54">
                  <c:v>259684</c:v>
                </c:pt>
                <c:pt idx="55">
                  <c:v>261932</c:v>
                </c:pt>
                <c:pt idx="56">
                  <c:v>261022</c:v>
                </c:pt>
                <c:pt idx="57">
                  <c:v>264207</c:v>
                </c:pt>
                <c:pt idx="58">
                  <c:v>275327</c:v>
                </c:pt>
                <c:pt idx="59">
                  <c:v>308388</c:v>
                </c:pt>
                <c:pt idx="60">
                  <c:v>226213</c:v>
                </c:pt>
                <c:pt idx="61">
                  <c:v>235613</c:v>
                </c:pt>
                <c:pt idx="62">
                  <c:v>272357</c:v>
                </c:pt>
                <c:pt idx="63">
                  <c:v>254816</c:v>
                </c:pt>
                <c:pt idx="64">
                  <c:v>272793</c:v>
                </c:pt>
                <c:pt idx="65">
                  <c:v>273306</c:v>
                </c:pt>
                <c:pt idx="66">
                  <c:v>277747</c:v>
                </c:pt>
                <c:pt idx="67">
                  <c:v>299946</c:v>
                </c:pt>
                <c:pt idx="68">
                  <c:v>295912</c:v>
                </c:pt>
                <c:pt idx="69">
                  <c:v>302339</c:v>
                </c:pt>
                <c:pt idx="70">
                  <c:v>315016</c:v>
                </c:pt>
                <c:pt idx="71">
                  <c:v>357480</c:v>
                </c:pt>
                <c:pt idx="72">
                  <c:v>270822</c:v>
                </c:pt>
                <c:pt idx="73">
                  <c:v>280718</c:v>
                </c:pt>
                <c:pt idx="74">
                  <c:v>325413</c:v>
                </c:pt>
                <c:pt idx="75">
                  <c:v>297149</c:v>
                </c:pt>
                <c:pt idx="76">
                  <c:v>336545</c:v>
                </c:pt>
                <c:pt idx="77">
                  <c:v>327391</c:v>
                </c:pt>
              </c:numCache>
            </c:numRef>
          </c:val>
          <c:smooth val="0"/>
          <c:extLst>
            <c:ext xmlns:c16="http://schemas.microsoft.com/office/drawing/2014/chart" uri="{C3380CC4-5D6E-409C-BE32-E72D297353CC}">
              <c16:uniqueId val="{00000000-2523-4DE9-9E8D-150961E3A13D}"/>
            </c:ext>
          </c:extLst>
        </c:ser>
        <c:dLbls>
          <c:showLegendKey val="0"/>
          <c:showVal val="0"/>
          <c:showCatName val="0"/>
          <c:showSerName val="0"/>
          <c:showPercent val="0"/>
          <c:showBubbleSize val="0"/>
        </c:dLbls>
        <c:smooth val="0"/>
        <c:axId val="211135032"/>
        <c:axId val="1"/>
      </c:lineChart>
      <c:dateAx>
        <c:axId val="211135032"/>
        <c:scaling>
          <c:orientation val="minMax"/>
        </c:scaling>
        <c:delete val="0"/>
        <c:axPos val="b"/>
        <c:numFmt formatCode="mmm\-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Offset val="100"/>
        <c:baseTimeUnit val="months"/>
        <c:majorUnit val="4"/>
        <c:majorTimeUnit val="months"/>
      </c:dateAx>
      <c:valAx>
        <c:axId val="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prescriptions</a:t>
                </a:r>
              </a:p>
            </c:rich>
          </c:tx>
          <c:overlay val="0"/>
          <c:spPr>
            <a:noFill/>
            <a:ln w="25400">
              <a:noFill/>
            </a:ln>
          </c:spPr>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13503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'Table1 only'!$F$2</c:f>
              <c:strCache>
                <c:ptCount val="1"/>
                <c:pt idx="0">
                  <c:v>BB+HCN</c:v>
                </c:pt>
              </c:strCache>
            </c:strRef>
          </c:tx>
          <c:spPr>
            <a:ln w="28575" cap="rnd">
              <a:solidFill>
                <a:schemeClr val="accent2"/>
              </a:solidFill>
              <a:round/>
            </a:ln>
            <a:effectLst/>
          </c:spPr>
          <c:marker>
            <c:symbol val="none"/>
          </c:marker>
          <c:cat>
            <c:numRef>
              <c:f>'Table1 only'!$C$3:$C$80</c:f>
              <c:numCache>
                <c:formatCode>mmm\-yy</c:formatCode>
                <c:ptCount val="78"/>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numCache>
            </c:numRef>
          </c:cat>
          <c:val>
            <c:numRef>
              <c:f>'Table1 only'!$F$3:$F$80</c:f>
              <c:numCache>
                <c:formatCode>General</c:formatCode>
                <c:ptCount val="78"/>
                <c:pt idx="0">
                  <c:v>1082</c:v>
                </c:pt>
                <c:pt idx="1">
                  <c:v>1152</c:v>
                </c:pt>
                <c:pt idx="2">
                  <c:v>1305</c:v>
                </c:pt>
                <c:pt idx="3">
                  <c:v>1250</c:v>
                </c:pt>
                <c:pt idx="4">
                  <c:v>1358</c:v>
                </c:pt>
                <c:pt idx="5">
                  <c:v>1301</c:v>
                </c:pt>
                <c:pt idx="6">
                  <c:v>1246</c:v>
                </c:pt>
                <c:pt idx="7">
                  <c:v>1288</c:v>
                </c:pt>
                <c:pt idx="8">
                  <c:v>1222</c:v>
                </c:pt>
                <c:pt idx="9">
                  <c:v>1274</c:v>
                </c:pt>
                <c:pt idx="10">
                  <c:v>1283</c:v>
                </c:pt>
                <c:pt idx="11">
                  <c:v>1397</c:v>
                </c:pt>
                <c:pt idx="12">
                  <c:v>999</c:v>
                </c:pt>
                <c:pt idx="13">
                  <c:v>1015</c:v>
                </c:pt>
                <c:pt idx="14">
                  <c:v>1129</c:v>
                </c:pt>
                <c:pt idx="15">
                  <c:v>1052</c:v>
                </c:pt>
                <c:pt idx="16">
                  <c:v>1127</c:v>
                </c:pt>
                <c:pt idx="17">
                  <c:v>1080</c:v>
                </c:pt>
                <c:pt idx="18">
                  <c:v>1132</c:v>
                </c:pt>
                <c:pt idx="19">
                  <c:v>1170</c:v>
                </c:pt>
                <c:pt idx="20">
                  <c:v>1132</c:v>
                </c:pt>
                <c:pt idx="21">
                  <c:v>1221</c:v>
                </c:pt>
                <c:pt idx="22">
                  <c:v>1229</c:v>
                </c:pt>
                <c:pt idx="23">
                  <c:v>1325</c:v>
                </c:pt>
                <c:pt idx="24">
                  <c:v>941</c:v>
                </c:pt>
                <c:pt idx="25">
                  <c:v>1004</c:v>
                </c:pt>
                <c:pt idx="26">
                  <c:v>1080</c:v>
                </c:pt>
                <c:pt idx="27">
                  <c:v>1060</c:v>
                </c:pt>
                <c:pt idx="28">
                  <c:v>1129</c:v>
                </c:pt>
                <c:pt idx="29">
                  <c:v>1099</c:v>
                </c:pt>
                <c:pt idx="30">
                  <c:v>1177</c:v>
                </c:pt>
                <c:pt idx="31">
                  <c:v>1181</c:v>
                </c:pt>
                <c:pt idx="32">
                  <c:v>1183</c:v>
                </c:pt>
                <c:pt idx="33">
                  <c:v>1237</c:v>
                </c:pt>
                <c:pt idx="34">
                  <c:v>1238</c:v>
                </c:pt>
                <c:pt idx="35">
                  <c:v>1342</c:v>
                </c:pt>
                <c:pt idx="36">
                  <c:v>941</c:v>
                </c:pt>
                <c:pt idx="37">
                  <c:v>1040</c:v>
                </c:pt>
                <c:pt idx="38">
                  <c:v>1161</c:v>
                </c:pt>
                <c:pt idx="39">
                  <c:v>1060</c:v>
                </c:pt>
                <c:pt idx="40">
                  <c:v>1107</c:v>
                </c:pt>
                <c:pt idx="41">
                  <c:v>1151</c:v>
                </c:pt>
                <c:pt idx="42">
                  <c:v>1227</c:v>
                </c:pt>
                <c:pt idx="43">
                  <c:v>1208</c:v>
                </c:pt>
                <c:pt idx="44">
                  <c:v>1219</c:v>
                </c:pt>
                <c:pt idx="45">
                  <c:v>1239</c:v>
                </c:pt>
                <c:pt idx="46">
                  <c:v>1275</c:v>
                </c:pt>
                <c:pt idx="47">
                  <c:v>1361</c:v>
                </c:pt>
                <c:pt idx="48">
                  <c:v>905</c:v>
                </c:pt>
                <c:pt idx="49">
                  <c:v>987</c:v>
                </c:pt>
                <c:pt idx="50">
                  <c:v>1130</c:v>
                </c:pt>
                <c:pt idx="51">
                  <c:v>1040</c:v>
                </c:pt>
                <c:pt idx="52">
                  <c:v>1101</c:v>
                </c:pt>
                <c:pt idx="53">
                  <c:v>1098</c:v>
                </c:pt>
                <c:pt idx="54">
                  <c:v>1171</c:v>
                </c:pt>
                <c:pt idx="55">
                  <c:v>1187</c:v>
                </c:pt>
                <c:pt idx="56">
                  <c:v>1171</c:v>
                </c:pt>
                <c:pt idx="57">
                  <c:v>1188</c:v>
                </c:pt>
                <c:pt idx="58">
                  <c:v>1231</c:v>
                </c:pt>
                <c:pt idx="59">
                  <c:v>1315</c:v>
                </c:pt>
                <c:pt idx="60">
                  <c:v>911</c:v>
                </c:pt>
                <c:pt idx="61">
                  <c:v>923</c:v>
                </c:pt>
                <c:pt idx="62">
                  <c:v>1038</c:v>
                </c:pt>
                <c:pt idx="63">
                  <c:v>985</c:v>
                </c:pt>
                <c:pt idx="64">
                  <c:v>1027</c:v>
                </c:pt>
                <c:pt idx="65">
                  <c:v>1046</c:v>
                </c:pt>
                <c:pt idx="66">
                  <c:v>1009</c:v>
                </c:pt>
                <c:pt idx="67">
                  <c:v>1101</c:v>
                </c:pt>
                <c:pt idx="68">
                  <c:v>1048</c:v>
                </c:pt>
                <c:pt idx="69">
                  <c:v>1070</c:v>
                </c:pt>
                <c:pt idx="70">
                  <c:v>1102</c:v>
                </c:pt>
                <c:pt idx="71">
                  <c:v>1160</c:v>
                </c:pt>
                <c:pt idx="72">
                  <c:v>810</c:v>
                </c:pt>
                <c:pt idx="73">
                  <c:v>886</c:v>
                </c:pt>
                <c:pt idx="74">
                  <c:v>910</c:v>
                </c:pt>
                <c:pt idx="75">
                  <c:v>858</c:v>
                </c:pt>
                <c:pt idx="76">
                  <c:v>934</c:v>
                </c:pt>
                <c:pt idx="77">
                  <c:v>910</c:v>
                </c:pt>
              </c:numCache>
            </c:numRef>
          </c:val>
          <c:smooth val="0"/>
          <c:extLst>
            <c:ext xmlns:c16="http://schemas.microsoft.com/office/drawing/2014/chart" uri="{C3380CC4-5D6E-409C-BE32-E72D297353CC}">
              <c16:uniqueId val="{00000001-220C-4457-A6B9-089EA7FACA36}"/>
            </c:ext>
          </c:extLst>
        </c:ser>
        <c:ser>
          <c:idx val="2"/>
          <c:order val="1"/>
          <c:tx>
            <c:strRef>
              <c:f>'Table1 only'!$G$2</c:f>
              <c:strCache>
                <c:ptCount val="1"/>
                <c:pt idx="0">
                  <c:v>BB+MRA (for HF)</c:v>
                </c:pt>
              </c:strCache>
            </c:strRef>
          </c:tx>
          <c:spPr>
            <a:ln w="28575" cap="rnd">
              <a:solidFill>
                <a:schemeClr val="accent3"/>
              </a:solidFill>
              <a:round/>
            </a:ln>
            <a:effectLst/>
          </c:spPr>
          <c:marker>
            <c:symbol val="none"/>
          </c:marker>
          <c:cat>
            <c:numRef>
              <c:f>'Table1 only'!$C$3:$C$80</c:f>
              <c:numCache>
                <c:formatCode>mmm\-yy</c:formatCode>
                <c:ptCount val="78"/>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numCache>
            </c:numRef>
          </c:cat>
          <c:val>
            <c:numRef>
              <c:f>'Table1 only'!$G$3:$G$80</c:f>
              <c:numCache>
                <c:formatCode>General</c:formatCode>
                <c:ptCount val="78"/>
                <c:pt idx="0">
                  <c:v>1238</c:v>
                </c:pt>
                <c:pt idx="1">
                  <c:v>1352</c:v>
                </c:pt>
                <c:pt idx="2">
                  <c:v>1455</c:v>
                </c:pt>
                <c:pt idx="3">
                  <c:v>1397</c:v>
                </c:pt>
                <c:pt idx="4">
                  <c:v>1548</c:v>
                </c:pt>
                <c:pt idx="5">
                  <c:v>1505</c:v>
                </c:pt>
                <c:pt idx="6">
                  <c:v>1522</c:v>
                </c:pt>
                <c:pt idx="7">
                  <c:v>1556</c:v>
                </c:pt>
                <c:pt idx="8">
                  <c:v>1525</c:v>
                </c:pt>
                <c:pt idx="9">
                  <c:v>1591</c:v>
                </c:pt>
                <c:pt idx="10">
                  <c:v>1622</c:v>
                </c:pt>
                <c:pt idx="11">
                  <c:v>1739</c:v>
                </c:pt>
                <c:pt idx="12">
                  <c:v>1287</c:v>
                </c:pt>
                <c:pt idx="13">
                  <c:v>1326</c:v>
                </c:pt>
                <c:pt idx="14">
                  <c:v>1464</c:v>
                </c:pt>
                <c:pt idx="15">
                  <c:v>1391</c:v>
                </c:pt>
                <c:pt idx="16">
                  <c:v>1521</c:v>
                </c:pt>
                <c:pt idx="17">
                  <c:v>1453</c:v>
                </c:pt>
                <c:pt idx="18">
                  <c:v>1523</c:v>
                </c:pt>
                <c:pt idx="19">
                  <c:v>1517</c:v>
                </c:pt>
                <c:pt idx="20">
                  <c:v>1487</c:v>
                </c:pt>
                <c:pt idx="21">
                  <c:v>1632</c:v>
                </c:pt>
                <c:pt idx="22">
                  <c:v>1652</c:v>
                </c:pt>
                <c:pt idx="23">
                  <c:v>1787</c:v>
                </c:pt>
                <c:pt idx="24">
                  <c:v>1320</c:v>
                </c:pt>
                <c:pt idx="25">
                  <c:v>1341</c:v>
                </c:pt>
                <c:pt idx="26">
                  <c:v>1438</c:v>
                </c:pt>
                <c:pt idx="27">
                  <c:v>1445</c:v>
                </c:pt>
                <c:pt idx="28">
                  <c:v>1559</c:v>
                </c:pt>
                <c:pt idx="29">
                  <c:v>1478</c:v>
                </c:pt>
                <c:pt idx="30">
                  <c:v>1556</c:v>
                </c:pt>
                <c:pt idx="31">
                  <c:v>1600</c:v>
                </c:pt>
                <c:pt idx="32">
                  <c:v>1571</c:v>
                </c:pt>
                <c:pt idx="33">
                  <c:v>1684</c:v>
                </c:pt>
                <c:pt idx="34">
                  <c:v>1690</c:v>
                </c:pt>
                <c:pt idx="35">
                  <c:v>1893</c:v>
                </c:pt>
                <c:pt idx="36">
                  <c:v>1359</c:v>
                </c:pt>
                <c:pt idx="37">
                  <c:v>1469</c:v>
                </c:pt>
                <c:pt idx="38">
                  <c:v>1710</c:v>
                </c:pt>
                <c:pt idx="39">
                  <c:v>1518</c:v>
                </c:pt>
                <c:pt idx="40">
                  <c:v>1668</c:v>
                </c:pt>
                <c:pt idx="41">
                  <c:v>1705</c:v>
                </c:pt>
                <c:pt idx="42">
                  <c:v>1818</c:v>
                </c:pt>
                <c:pt idx="43">
                  <c:v>1778</c:v>
                </c:pt>
                <c:pt idx="44">
                  <c:v>1798</c:v>
                </c:pt>
                <c:pt idx="45">
                  <c:v>1890</c:v>
                </c:pt>
                <c:pt idx="46">
                  <c:v>1896</c:v>
                </c:pt>
                <c:pt idx="47">
                  <c:v>2125</c:v>
                </c:pt>
                <c:pt idx="48">
                  <c:v>1421</c:v>
                </c:pt>
                <c:pt idx="49">
                  <c:v>1539</c:v>
                </c:pt>
                <c:pt idx="50">
                  <c:v>1799</c:v>
                </c:pt>
                <c:pt idx="51">
                  <c:v>1699</c:v>
                </c:pt>
                <c:pt idx="52">
                  <c:v>1733</c:v>
                </c:pt>
                <c:pt idx="53">
                  <c:v>1752</c:v>
                </c:pt>
                <c:pt idx="54">
                  <c:v>1808</c:v>
                </c:pt>
                <c:pt idx="55">
                  <c:v>1870</c:v>
                </c:pt>
                <c:pt idx="56">
                  <c:v>1884</c:v>
                </c:pt>
                <c:pt idx="57">
                  <c:v>1939</c:v>
                </c:pt>
                <c:pt idx="58">
                  <c:v>2028</c:v>
                </c:pt>
                <c:pt idx="59">
                  <c:v>2173</c:v>
                </c:pt>
                <c:pt idx="60">
                  <c:v>1481</c:v>
                </c:pt>
                <c:pt idx="61">
                  <c:v>1551</c:v>
                </c:pt>
                <c:pt idx="62">
                  <c:v>1698</c:v>
                </c:pt>
                <c:pt idx="63">
                  <c:v>1639</c:v>
                </c:pt>
                <c:pt idx="64">
                  <c:v>1730</c:v>
                </c:pt>
                <c:pt idx="65">
                  <c:v>1717</c:v>
                </c:pt>
                <c:pt idx="66">
                  <c:v>1735</c:v>
                </c:pt>
                <c:pt idx="67">
                  <c:v>1826</c:v>
                </c:pt>
                <c:pt idx="68">
                  <c:v>1823</c:v>
                </c:pt>
                <c:pt idx="69">
                  <c:v>1845</c:v>
                </c:pt>
                <c:pt idx="70">
                  <c:v>1936</c:v>
                </c:pt>
                <c:pt idx="71">
                  <c:v>2139</c:v>
                </c:pt>
                <c:pt idx="72">
                  <c:v>1463</c:v>
                </c:pt>
                <c:pt idx="73">
                  <c:v>1525</c:v>
                </c:pt>
                <c:pt idx="74">
                  <c:v>1693</c:v>
                </c:pt>
                <c:pt idx="75">
                  <c:v>1567</c:v>
                </c:pt>
                <c:pt idx="76">
                  <c:v>1714</c:v>
                </c:pt>
                <c:pt idx="77">
                  <c:v>1685</c:v>
                </c:pt>
              </c:numCache>
            </c:numRef>
          </c:val>
          <c:smooth val="0"/>
          <c:extLst>
            <c:ext xmlns:c16="http://schemas.microsoft.com/office/drawing/2014/chart" uri="{C3380CC4-5D6E-409C-BE32-E72D297353CC}">
              <c16:uniqueId val="{00000002-220C-4457-A6B9-089EA7FACA36}"/>
            </c:ext>
          </c:extLst>
        </c:ser>
        <c:ser>
          <c:idx val="3"/>
          <c:order val="2"/>
          <c:tx>
            <c:strRef>
              <c:f>'Table1 only'!$H$2</c:f>
              <c:strCache>
                <c:ptCount val="1"/>
                <c:pt idx="0">
                  <c:v>HCN</c:v>
                </c:pt>
              </c:strCache>
            </c:strRef>
          </c:tx>
          <c:spPr>
            <a:ln w="28575" cap="rnd">
              <a:solidFill>
                <a:schemeClr val="accent4"/>
              </a:solidFill>
              <a:round/>
            </a:ln>
            <a:effectLst/>
          </c:spPr>
          <c:marker>
            <c:symbol val="none"/>
          </c:marker>
          <c:cat>
            <c:numRef>
              <c:f>'Table1 only'!$C$3:$C$80</c:f>
              <c:numCache>
                <c:formatCode>mmm\-yy</c:formatCode>
                <c:ptCount val="78"/>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numCache>
            </c:numRef>
          </c:cat>
          <c:val>
            <c:numRef>
              <c:f>'Table1 only'!$H$3:$H$80</c:f>
              <c:numCache>
                <c:formatCode>General</c:formatCode>
                <c:ptCount val="78"/>
                <c:pt idx="0">
                  <c:v>2343</c:v>
                </c:pt>
                <c:pt idx="1">
                  <c:v>2458</c:v>
                </c:pt>
                <c:pt idx="2">
                  <c:v>2586</c:v>
                </c:pt>
                <c:pt idx="3">
                  <c:v>2533</c:v>
                </c:pt>
                <c:pt idx="4">
                  <c:v>2674</c:v>
                </c:pt>
                <c:pt idx="5">
                  <c:v>2598</c:v>
                </c:pt>
                <c:pt idx="6">
                  <c:v>2564</c:v>
                </c:pt>
                <c:pt idx="7">
                  <c:v>2560</c:v>
                </c:pt>
                <c:pt idx="8">
                  <c:v>2483</c:v>
                </c:pt>
                <c:pt idx="9">
                  <c:v>2521</c:v>
                </c:pt>
                <c:pt idx="10">
                  <c:v>2504</c:v>
                </c:pt>
                <c:pt idx="11">
                  <c:v>2589</c:v>
                </c:pt>
                <c:pt idx="12">
                  <c:v>2334</c:v>
                </c:pt>
                <c:pt idx="13">
                  <c:v>2453</c:v>
                </c:pt>
                <c:pt idx="14">
                  <c:v>2580</c:v>
                </c:pt>
                <c:pt idx="15">
                  <c:v>2511</c:v>
                </c:pt>
                <c:pt idx="16">
                  <c:v>2600</c:v>
                </c:pt>
                <c:pt idx="17">
                  <c:v>2545</c:v>
                </c:pt>
                <c:pt idx="18">
                  <c:v>2539</c:v>
                </c:pt>
                <c:pt idx="19">
                  <c:v>2531</c:v>
                </c:pt>
                <c:pt idx="20">
                  <c:v>2436</c:v>
                </c:pt>
                <c:pt idx="21">
                  <c:v>2520</c:v>
                </c:pt>
                <c:pt idx="22">
                  <c:v>2506</c:v>
                </c:pt>
                <c:pt idx="23">
                  <c:v>2472</c:v>
                </c:pt>
                <c:pt idx="24">
                  <c:v>2063</c:v>
                </c:pt>
                <c:pt idx="25">
                  <c:v>2182</c:v>
                </c:pt>
                <c:pt idx="26">
                  <c:v>2250</c:v>
                </c:pt>
                <c:pt idx="27">
                  <c:v>2265</c:v>
                </c:pt>
                <c:pt idx="28">
                  <c:v>2351</c:v>
                </c:pt>
                <c:pt idx="29">
                  <c:v>2276</c:v>
                </c:pt>
                <c:pt idx="30">
                  <c:v>2457</c:v>
                </c:pt>
                <c:pt idx="31">
                  <c:v>2514</c:v>
                </c:pt>
                <c:pt idx="32">
                  <c:v>2457</c:v>
                </c:pt>
                <c:pt idx="33">
                  <c:v>2516</c:v>
                </c:pt>
                <c:pt idx="34">
                  <c:v>2490</c:v>
                </c:pt>
                <c:pt idx="35">
                  <c:v>2521</c:v>
                </c:pt>
                <c:pt idx="36">
                  <c:v>2228</c:v>
                </c:pt>
                <c:pt idx="37">
                  <c:v>2430</c:v>
                </c:pt>
                <c:pt idx="38">
                  <c:v>2738</c:v>
                </c:pt>
                <c:pt idx="39">
                  <c:v>2420</c:v>
                </c:pt>
                <c:pt idx="40">
                  <c:v>2521</c:v>
                </c:pt>
                <c:pt idx="41">
                  <c:v>2590</c:v>
                </c:pt>
                <c:pt idx="42">
                  <c:v>2644</c:v>
                </c:pt>
                <c:pt idx="43">
                  <c:v>2635</c:v>
                </c:pt>
                <c:pt idx="44">
                  <c:v>2649</c:v>
                </c:pt>
                <c:pt idx="45">
                  <c:v>2619</c:v>
                </c:pt>
                <c:pt idx="46">
                  <c:v>2577</c:v>
                </c:pt>
                <c:pt idx="47">
                  <c:v>2735</c:v>
                </c:pt>
                <c:pt idx="48">
                  <c:v>2387</c:v>
                </c:pt>
                <c:pt idx="49">
                  <c:v>2545</c:v>
                </c:pt>
                <c:pt idx="50">
                  <c:v>2758</c:v>
                </c:pt>
                <c:pt idx="51">
                  <c:v>2661</c:v>
                </c:pt>
                <c:pt idx="52">
                  <c:v>2770</c:v>
                </c:pt>
                <c:pt idx="53">
                  <c:v>2744</c:v>
                </c:pt>
                <c:pt idx="54">
                  <c:v>2860</c:v>
                </c:pt>
                <c:pt idx="55">
                  <c:v>2828</c:v>
                </c:pt>
                <c:pt idx="56">
                  <c:v>2767</c:v>
                </c:pt>
                <c:pt idx="57">
                  <c:v>2763</c:v>
                </c:pt>
                <c:pt idx="58">
                  <c:v>2857</c:v>
                </c:pt>
                <c:pt idx="59">
                  <c:v>2896</c:v>
                </c:pt>
                <c:pt idx="60">
                  <c:v>2392</c:v>
                </c:pt>
                <c:pt idx="61">
                  <c:v>2460</c:v>
                </c:pt>
                <c:pt idx="62">
                  <c:v>2591</c:v>
                </c:pt>
                <c:pt idx="63">
                  <c:v>2538</c:v>
                </c:pt>
                <c:pt idx="64">
                  <c:v>2586</c:v>
                </c:pt>
                <c:pt idx="65">
                  <c:v>2613</c:v>
                </c:pt>
                <c:pt idx="66">
                  <c:v>2622</c:v>
                </c:pt>
                <c:pt idx="67">
                  <c:v>2627</c:v>
                </c:pt>
                <c:pt idx="68">
                  <c:v>2638</c:v>
                </c:pt>
                <c:pt idx="69">
                  <c:v>2602</c:v>
                </c:pt>
                <c:pt idx="70">
                  <c:v>2634</c:v>
                </c:pt>
                <c:pt idx="71">
                  <c:v>2740</c:v>
                </c:pt>
                <c:pt idx="72">
                  <c:v>2654</c:v>
                </c:pt>
                <c:pt idx="73">
                  <c:v>2782</c:v>
                </c:pt>
                <c:pt idx="74">
                  <c:v>2954</c:v>
                </c:pt>
                <c:pt idx="75">
                  <c:v>2925</c:v>
                </c:pt>
                <c:pt idx="76">
                  <c:v>3018</c:v>
                </c:pt>
                <c:pt idx="77">
                  <c:v>3029</c:v>
                </c:pt>
              </c:numCache>
            </c:numRef>
          </c:val>
          <c:smooth val="0"/>
          <c:extLst>
            <c:ext xmlns:c16="http://schemas.microsoft.com/office/drawing/2014/chart" uri="{C3380CC4-5D6E-409C-BE32-E72D297353CC}">
              <c16:uniqueId val="{00000003-220C-4457-A6B9-089EA7FACA36}"/>
            </c:ext>
          </c:extLst>
        </c:ser>
        <c:ser>
          <c:idx val="4"/>
          <c:order val="3"/>
          <c:tx>
            <c:strRef>
              <c:f>'Table1 only'!$I$2</c:f>
              <c:strCache>
                <c:ptCount val="1"/>
                <c:pt idx="0">
                  <c:v>MRA (for HF)</c:v>
                </c:pt>
              </c:strCache>
            </c:strRef>
          </c:tx>
          <c:spPr>
            <a:ln w="28575" cap="rnd">
              <a:solidFill>
                <a:schemeClr val="accent5"/>
              </a:solidFill>
              <a:round/>
            </a:ln>
            <a:effectLst/>
          </c:spPr>
          <c:marker>
            <c:symbol val="none"/>
          </c:marker>
          <c:cat>
            <c:numRef>
              <c:f>'Table1 only'!$C$3:$C$80</c:f>
              <c:numCache>
                <c:formatCode>mmm\-yy</c:formatCode>
                <c:ptCount val="78"/>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numCache>
            </c:numRef>
          </c:cat>
          <c:val>
            <c:numRef>
              <c:f>'Table1 only'!$I$3:$I$80</c:f>
              <c:numCache>
                <c:formatCode>General</c:formatCode>
                <c:ptCount val="78"/>
                <c:pt idx="0">
                  <c:v>1261</c:v>
                </c:pt>
                <c:pt idx="1">
                  <c:v>1288</c:v>
                </c:pt>
                <c:pt idx="2">
                  <c:v>1486</c:v>
                </c:pt>
                <c:pt idx="3">
                  <c:v>1386</c:v>
                </c:pt>
                <c:pt idx="4">
                  <c:v>1473</c:v>
                </c:pt>
                <c:pt idx="5">
                  <c:v>1432</c:v>
                </c:pt>
                <c:pt idx="6">
                  <c:v>1392</c:v>
                </c:pt>
                <c:pt idx="7">
                  <c:v>1382</c:v>
                </c:pt>
                <c:pt idx="8">
                  <c:v>1362</c:v>
                </c:pt>
                <c:pt idx="9">
                  <c:v>1347</c:v>
                </c:pt>
                <c:pt idx="10">
                  <c:v>1382</c:v>
                </c:pt>
                <c:pt idx="11">
                  <c:v>1314</c:v>
                </c:pt>
                <c:pt idx="12">
                  <c:v>1364</c:v>
                </c:pt>
                <c:pt idx="13">
                  <c:v>1424</c:v>
                </c:pt>
                <c:pt idx="14">
                  <c:v>1456</c:v>
                </c:pt>
                <c:pt idx="15">
                  <c:v>1460</c:v>
                </c:pt>
                <c:pt idx="16">
                  <c:v>1499</c:v>
                </c:pt>
                <c:pt idx="17">
                  <c:v>1424</c:v>
                </c:pt>
                <c:pt idx="18">
                  <c:v>1488</c:v>
                </c:pt>
                <c:pt idx="19">
                  <c:v>1502</c:v>
                </c:pt>
                <c:pt idx="20">
                  <c:v>1445</c:v>
                </c:pt>
                <c:pt idx="21">
                  <c:v>1491</c:v>
                </c:pt>
                <c:pt idx="22">
                  <c:v>1422</c:v>
                </c:pt>
                <c:pt idx="23">
                  <c:v>1449</c:v>
                </c:pt>
                <c:pt idx="24">
                  <c:v>1448</c:v>
                </c:pt>
                <c:pt idx="25">
                  <c:v>1502</c:v>
                </c:pt>
                <c:pt idx="26">
                  <c:v>1560</c:v>
                </c:pt>
                <c:pt idx="27">
                  <c:v>1614</c:v>
                </c:pt>
                <c:pt idx="28">
                  <c:v>1663</c:v>
                </c:pt>
                <c:pt idx="29">
                  <c:v>1565</c:v>
                </c:pt>
                <c:pt idx="30">
                  <c:v>1643</c:v>
                </c:pt>
                <c:pt idx="31">
                  <c:v>1597</c:v>
                </c:pt>
                <c:pt idx="32">
                  <c:v>1571</c:v>
                </c:pt>
                <c:pt idx="33">
                  <c:v>1602</c:v>
                </c:pt>
                <c:pt idx="34">
                  <c:v>1618</c:v>
                </c:pt>
                <c:pt idx="35">
                  <c:v>1584</c:v>
                </c:pt>
                <c:pt idx="36">
                  <c:v>1693</c:v>
                </c:pt>
                <c:pt idx="37">
                  <c:v>1684</c:v>
                </c:pt>
                <c:pt idx="38">
                  <c:v>1845</c:v>
                </c:pt>
                <c:pt idx="39">
                  <c:v>1639</c:v>
                </c:pt>
                <c:pt idx="40">
                  <c:v>1676</c:v>
                </c:pt>
                <c:pt idx="41">
                  <c:v>1741</c:v>
                </c:pt>
                <c:pt idx="42">
                  <c:v>1743</c:v>
                </c:pt>
                <c:pt idx="43">
                  <c:v>1729</c:v>
                </c:pt>
                <c:pt idx="44">
                  <c:v>1746</c:v>
                </c:pt>
                <c:pt idx="45">
                  <c:v>1754</c:v>
                </c:pt>
                <c:pt idx="46">
                  <c:v>1708</c:v>
                </c:pt>
                <c:pt idx="47">
                  <c:v>1765</c:v>
                </c:pt>
                <c:pt idx="48">
                  <c:v>1772</c:v>
                </c:pt>
                <c:pt idx="49">
                  <c:v>1807</c:v>
                </c:pt>
                <c:pt idx="50">
                  <c:v>1897</c:v>
                </c:pt>
                <c:pt idx="51">
                  <c:v>1864</c:v>
                </c:pt>
                <c:pt idx="52">
                  <c:v>1882</c:v>
                </c:pt>
                <c:pt idx="53">
                  <c:v>1907</c:v>
                </c:pt>
                <c:pt idx="54">
                  <c:v>1912</c:v>
                </c:pt>
                <c:pt idx="55">
                  <c:v>1953</c:v>
                </c:pt>
                <c:pt idx="56">
                  <c:v>1934</c:v>
                </c:pt>
                <c:pt idx="57">
                  <c:v>1892</c:v>
                </c:pt>
                <c:pt idx="58">
                  <c:v>1903</c:v>
                </c:pt>
                <c:pt idx="59">
                  <c:v>1885</c:v>
                </c:pt>
                <c:pt idx="60">
                  <c:v>1985</c:v>
                </c:pt>
                <c:pt idx="61">
                  <c:v>1998</c:v>
                </c:pt>
                <c:pt idx="62">
                  <c:v>2127</c:v>
                </c:pt>
                <c:pt idx="63">
                  <c:v>2074</c:v>
                </c:pt>
                <c:pt idx="64">
                  <c:v>2126</c:v>
                </c:pt>
                <c:pt idx="65">
                  <c:v>2104</c:v>
                </c:pt>
                <c:pt idx="66">
                  <c:v>2117</c:v>
                </c:pt>
                <c:pt idx="67">
                  <c:v>2071</c:v>
                </c:pt>
                <c:pt idx="68">
                  <c:v>2064</c:v>
                </c:pt>
                <c:pt idx="69">
                  <c:v>2028</c:v>
                </c:pt>
                <c:pt idx="70">
                  <c:v>2007</c:v>
                </c:pt>
                <c:pt idx="71">
                  <c:v>1983</c:v>
                </c:pt>
                <c:pt idx="72">
                  <c:v>2091</c:v>
                </c:pt>
                <c:pt idx="73">
                  <c:v>2085</c:v>
                </c:pt>
                <c:pt idx="74">
                  <c:v>2214</c:v>
                </c:pt>
                <c:pt idx="75">
                  <c:v>2138</c:v>
                </c:pt>
                <c:pt idx="76">
                  <c:v>2245</c:v>
                </c:pt>
                <c:pt idx="77">
                  <c:v>2193</c:v>
                </c:pt>
              </c:numCache>
            </c:numRef>
          </c:val>
          <c:smooth val="0"/>
          <c:extLst>
            <c:ext xmlns:c16="http://schemas.microsoft.com/office/drawing/2014/chart" uri="{C3380CC4-5D6E-409C-BE32-E72D297353CC}">
              <c16:uniqueId val="{00000004-220C-4457-A6B9-089EA7FACA36}"/>
            </c:ext>
          </c:extLst>
        </c:ser>
        <c:ser>
          <c:idx val="5"/>
          <c:order val="4"/>
          <c:tx>
            <c:strRef>
              <c:f>'Table1 only'!$J$2</c:f>
              <c:strCache>
                <c:ptCount val="1"/>
                <c:pt idx="0">
                  <c:v>ARNI</c:v>
                </c:pt>
              </c:strCache>
            </c:strRef>
          </c:tx>
          <c:spPr>
            <a:ln w="28575" cap="rnd">
              <a:solidFill>
                <a:schemeClr val="accent6"/>
              </a:solidFill>
              <a:round/>
            </a:ln>
            <a:effectLst/>
          </c:spPr>
          <c:marker>
            <c:symbol val="none"/>
          </c:marker>
          <c:cat>
            <c:numRef>
              <c:f>'Table1 only'!$C$3:$C$80</c:f>
              <c:numCache>
                <c:formatCode>mmm\-yy</c:formatCode>
                <c:ptCount val="78"/>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numCache>
            </c:numRef>
          </c:cat>
          <c:val>
            <c:numRef>
              <c:f>'Table1 only'!$J$3:$J$80</c:f>
              <c:numCache>
                <c:formatCode>General</c:formatCode>
                <c:ptCount val="78"/>
                <c:pt idx="5">
                  <c:v>602</c:v>
                </c:pt>
                <c:pt idx="6">
                  <c:v>1110</c:v>
                </c:pt>
                <c:pt idx="7">
                  <c:v>1543</c:v>
                </c:pt>
                <c:pt idx="8">
                  <c:v>1909</c:v>
                </c:pt>
                <c:pt idx="9">
                  <c:v>2128</c:v>
                </c:pt>
                <c:pt idx="10">
                  <c:v>2409</c:v>
                </c:pt>
                <c:pt idx="11">
                  <c:v>2531</c:v>
                </c:pt>
                <c:pt idx="12">
                  <c:v>3034</c:v>
                </c:pt>
                <c:pt idx="13">
                  <c:v>3253</c:v>
                </c:pt>
                <c:pt idx="14">
                  <c:v>3511</c:v>
                </c:pt>
                <c:pt idx="15">
                  <c:v>3667</c:v>
                </c:pt>
                <c:pt idx="16">
                  <c:v>3948</c:v>
                </c:pt>
                <c:pt idx="17">
                  <c:v>4144</c:v>
                </c:pt>
                <c:pt idx="18">
                  <c:v>4364</c:v>
                </c:pt>
                <c:pt idx="19">
                  <c:v>4491</c:v>
                </c:pt>
                <c:pt idx="20">
                  <c:v>4783</c:v>
                </c:pt>
                <c:pt idx="21">
                  <c:v>4858</c:v>
                </c:pt>
                <c:pt idx="22">
                  <c:v>5099</c:v>
                </c:pt>
                <c:pt idx="23">
                  <c:v>5055</c:v>
                </c:pt>
                <c:pt idx="24">
                  <c:v>5982</c:v>
                </c:pt>
                <c:pt idx="25">
                  <c:v>6289</c:v>
                </c:pt>
                <c:pt idx="26">
                  <c:v>6385</c:v>
                </c:pt>
                <c:pt idx="27">
                  <c:v>6473</c:v>
                </c:pt>
                <c:pt idx="28">
                  <c:v>6791</c:v>
                </c:pt>
                <c:pt idx="29">
                  <c:v>6909</c:v>
                </c:pt>
                <c:pt idx="30">
                  <c:v>7030</c:v>
                </c:pt>
                <c:pt idx="31">
                  <c:v>7238</c:v>
                </c:pt>
                <c:pt idx="32">
                  <c:v>7441</c:v>
                </c:pt>
                <c:pt idx="33">
                  <c:v>7532</c:v>
                </c:pt>
                <c:pt idx="34">
                  <c:v>7666</c:v>
                </c:pt>
                <c:pt idx="35">
                  <c:v>7486</c:v>
                </c:pt>
                <c:pt idx="36">
                  <c:v>8681</c:v>
                </c:pt>
                <c:pt idx="37">
                  <c:v>8989</c:v>
                </c:pt>
                <c:pt idx="38">
                  <c:v>9202</c:v>
                </c:pt>
                <c:pt idx="39">
                  <c:v>8691</c:v>
                </c:pt>
                <c:pt idx="40">
                  <c:v>9103</c:v>
                </c:pt>
                <c:pt idx="41">
                  <c:v>9407</c:v>
                </c:pt>
                <c:pt idx="42">
                  <c:v>9442</c:v>
                </c:pt>
                <c:pt idx="43">
                  <c:v>9543</c:v>
                </c:pt>
                <c:pt idx="44">
                  <c:v>9568</c:v>
                </c:pt>
                <c:pt idx="45">
                  <c:v>9629</c:v>
                </c:pt>
                <c:pt idx="46">
                  <c:v>9695</c:v>
                </c:pt>
                <c:pt idx="47">
                  <c:v>9489</c:v>
                </c:pt>
                <c:pt idx="48">
                  <c:v>11150</c:v>
                </c:pt>
                <c:pt idx="49">
                  <c:v>11311</c:v>
                </c:pt>
                <c:pt idx="50">
                  <c:v>11690</c:v>
                </c:pt>
                <c:pt idx="51">
                  <c:v>11807</c:v>
                </c:pt>
                <c:pt idx="52">
                  <c:v>12397</c:v>
                </c:pt>
                <c:pt idx="53">
                  <c:v>12205</c:v>
                </c:pt>
                <c:pt idx="54">
                  <c:v>12535</c:v>
                </c:pt>
                <c:pt idx="55">
                  <c:v>12640</c:v>
                </c:pt>
                <c:pt idx="56">
                  <c:v>12606</c:v>
                </c:pt>
                <c:pt idx="57">
                  <c:v>12655</c:v>
                </c:pt>
                <c:pt idx="58">
                  <c:v>12638</c:v>
                </c:pt>
                <c:pt idx="59">
                  <c:v>12305</c:v>
                </c:pt>
                <c:pt idx="60">
                  <c:v>14147</c:v>
                </c:pt>
                <c:pt idx="61">
                  <c:v>14319</c:v>
                </c:pt>
                <c:pt idx="62">
                  <c:v>14476</c:v>
                </c:pt>
                <c:pt idx="63">
                  <c:v>14540</c:v>
                </c:pt>
                <c:pt idx="64">
                  <c:v>14389</c:v>
                </c:pt>
                <c:pt idx="65">
                  <c:v>14401</c:v>
                </c:pt>
                <c:pt idx="66">
                  <c:v>14028</c:v>
                </c:pt>
                <c:pt idx="67">
                  <c:v>14031</c:v>
                </c:pt>
                <c:pt idx="68">
                  <c:v>13808</c:v>
                </c:pt>
                <c:pt idx="69">
                  <c:v>13786</c:v>
                </c:pt>
                <c:pt idx="70">
                  <c:v>13604</c:v>
                </c:pt>
                <c:pt idx="71">
                  <c:v>12903</c:v>
                </c:pt>
                <c:pt idx="72">
                  <c:v>14570</c:v>
                </c:pt>
                <c:pt idx="73">
                  <c:v>14841</c:v>
                </c:pt>
                <c:pt idx="74">
                  <c:v>14923</c:v>
                </c:pt>
                <c:pt idx="75">
                  <c:v>14998</c:v>
                </c:pt>
                <c:pt idx="76">
                  <c:v>14942</c:v>
                </c:pt>
                <c:pt idx="77">
                  <c:v>14933</c:v>
                </c:pt>
              </c:numCache>
            </c:numRef>
          </c:val>
          <c:smooth val="0"/>
          <c:extLst>
            <c:ext xmlns:c16="http://schemas.microsoft.com/office/drawing/2014/chart" uri="{C3380CC4-5D6E-409C-BE32-E72D297353CC}">
              <c16:uniqueId val="{00000005-220C-4457-A6B9-089EA7FACA36}"/>
            </c:ext>
          </c:extLst>
        </c:ser>
        <c:ser>
          <c:idx val="6"/>
          <c:order val="5"/>
          <c:tx>
            <c:strRef>
              <c:f>'Table1 only'!$K$2</c:f>
              <c:strCache>
                <c:ptCount val="1"/>
                <c:pt idx="0">
                  <c:v>ARNI+BB</c:v>
                </c:pt>
              </c:strCache>
            </c:strRef>
          </c:tx>
          <c:spPr>
            <a:ln w="28575" cap="rnd">
              <a:solidFill>
                <a:srgbClr val="FF0000"/>
              </a:solidFill>
              <a:round/>
            </a:ln>
            <a:effectLst/>
          </c:spPr>
          <c:marker>
            <c:symbol val="none"/>
          </c:marker>
          <c:cat>
            <c:numRef>
              <c:f>'Table1 only'!$C$3:$C$80</c:f>
              <c:numCache>
                <c:formatCode>mmm\-yy</c:formatCode>
                <c:ptCount val="78"/>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numCache>
            </c:numRef>
          </c:cat>
          <c:val>
            <c:numRef>
              <c:f>'Table1 only'!$K$3:$K$80</c:f>
              <c:numCache>
                <c:formatCode>General</c:formatCode>
                <c:ptCount val="78"/>
                <c:pt idx="5">
                  <c:v>882</c:v>
                </c:pt>
                <c:pt idx="6">
                  <c:v>1715</c:v>
                </c:pt>
                <c:pt idx="7">
                  <c:v>2561</c:v>
                </c:pt>
                <c:pt idx="8">
                  <c:v>3033</c:v>
                </c:pt>
                <c:pt idx="9">
                  <c:v>3659</c:v>
                </c:pt>
                <c:pt idx="10">
                  <c:v>4282</c:v>
                </c:pt>
                <c:pt idx="11">
                  <c:v>4829</c:v>
                </c:pt>
                <c:pt idx="12">
                  <c:v>4180</c:v>
                </c:pt>
                <c:pt idx="13">
                  <c:v>4576</c:v>
                </c:pt>
                <c:pt idx="14">
                  <c:v>5321</c:v>
                </c:pt>
                <c:pt idx="15">
                  <c:v>5531</c:v>
                </c:pt>
                <c:pt idx="16">
                  <c:v>6123</c:v>
                </c:pt>
                <c:pt idx="17">
                  <c:v>6401</c:v>
                </c:pt>
                <c:pt idx="18">
                  <c:v>6919</c:v>
                </c:pt>
                <c:pt idx="19">
                  <c:v>7505</c:v>
                </c:pt>
                <c:pt idx="20">
                  <c:v>7610</c:v>
                </c:pt>
                <c:pt idx="21">
                  <c:v>8567</c:v>
                </c:pt>
                <c:pt idx="22">
                  <c:v>9144</c:v>
                </c:pt>
                <c:pt idx="23">
                  <c:v>9806</c:v>
                </c:pt>
                <c:pt idx="24">
                  <c:v>7901</c:v>
                </c:pt>
                <c:pt idx="25">
                  <c:v>8461</c:v>
                </c:pt>
                <c:pt idx="26">
                  <c:v>9487</c:v>
                </c:pt>
                <c:pt idx="27">
                  <c:v>9673</c:v>
                </c:pt>
                <c:pt idx="28">
                  <c:v>10375</c:v>
                </c:pt>
                <c:pt idx="29">
                  <c:v>10315</c:v>
                </c:pt>
                <c:pt idx="30">
                  <c:v>11302</c:v>
                </c:pt>
                <c:pt idx="31">
                  <c:v>11674</c:v>
                </c:pt>
                <c:pt idx="32">
                  <c:v>12103</c:v>
                </c:pt>
                <c:pt idx="33">
                  <c:v>13053</c:v>
                </c:pt>
                <c:pt idx="34">
                  <c:v>13449</c:v>
                </c:pt>
                <c:pt idx="35">
                  <c:v>14685</c:v>
                </c:pt>
                <c:pt idx="36">
                  <c:v>11667</c:v>
                </c:pt>
                <c:pt idx="37">
                  <c:v>12693</c:v>
                </c:pt>
                <c:pt idx="38">
                  <c:v>14663</c:v>
                </c:pt>
                <c:pt idx="39">
                  <c:v>13275</c:v>
                </c:pt>
                <c:pt idx="40">
                  <c:v>14186</c:v>
                </c:pt>
                <c:pt idx="41">
                  <c:v>15033</c:v>
                </c:pt>
                <c:pt idx="42">
                  <c:v>16181</c:v>
                </c:pt>
                <c:pt idx="43">
                  <c:v>16351</c:v>
                </c:pt>
                <c:pt idx="44">
                  <c:v>17061</c:v>
                </c:pt>
                <c:pt idx="45">
                  <c:v>18003</c:v>
                </c:pt>
                <c:pt idx="46">
                  <c:v>18305</c:v>
                </c:pt>
                <c:pt idx="47">
                  <c:v>20118</c:v>
                </c:pt>
                <c:pt idx="48">
                  <c:v>14937</c:v>
                </c:pt>
                <c:pt idx="49">
                  <c:v>16459</c:v>
                </c:pt>
                <c:pt idx="50">
                  <c:v>18638</c:v>
                </c:pt>
                <c:pt idx="51">
                  <c:v>18082</c:v>
                </c:pt>
                <c:pt idx="52">
                  <c:v>18751</c:v>
                </c:pt>
                <c:pt idx="53">
                  <c:v>19344</c:v>
                </c:pt>
                <c:pt idx="54">
                  <c:v>20412</c:v>
                </c:pt>
                <c:pt idx="55">
                  <c:v>20800</c:v>
                </c:pt>
                <c:pt idx="56">
                  <c:v>21239</c:v>
                </c:pt>
                <c:pt idx="57">
                  <c:v>22006</c:v>
                </c:pt>
                <c:pt idx="58">
                  <c:v>22899</c:v>
                </c:pt>
                <c:pt idx="59">
                  <c:v>24615</c:v>
                </c:pt>
                <c:pt idx="60">
                  <c:v>18121</c:v>
                </c:pt>
                <c:pt idx="61">
                  <c:v>19142</c:v>
                </c:pt>
                <c:pt idx="62">
                  <c:v>20798</c:v>
                </c:pt>
                <c:pt idx="63">
                  <c:v>19784</c:v>
                </c:pt>
                <c:pt idx="64">
                  <c:v>20668</c:v>
                </c:pt>
                <c:pt idx="65">
                  <c:v>20291</c:v>
                </c:pt>
                <c:pt idx="66">
                  <c:v>20898</c:v>
                </c:pt>
                <c:pt idx="67">
                  <c:v>21754</c:v>
                </c:pt>
                <c:pt idx="68">
                  <c:v>21870</c:v>
                </c:pt>
                <c:pt idx="69">
                  <c:v>22126</c:v>
                </c:pt>
                <c:pt idx="70">
                  <c:v>22686</c:v>
                </c:pt>
                <c:pt idx="71">
                  <c:v>24347</c:v>
                </c:pt>
                <c:pt idx="72">
                  <c:v>18271</c:v>
                </c:pt>
                <c:pt idx="73">
                  <c:v>19429</c:v>
                </c:pt>
                <c:pt idx="74">
                  <c:v>21338</c:v>
                </c:pt>
                <c:pt idx="75">
                  <c:v>20115</c:v>
                </c:pt>
                <c:pt idx="76">
                  <c:v>21905</c:v>
                </c:pt>
                <c:pt idx="77">
                  <c:v>21440</c:v>
                </c:pt>
              </c:numCache>
            </c:numRef>
          </c:val>
          <c:smooth val="0"/>
          <c:extLst>
            <c:ext xmlns:c16="http://schemas.microsoft.com/office/drawing/2014/chart" uri="{C3380CC4-5D6E-409C-BE32-E72D297353CC}">
              <c16:uniqueId val="{00000006-220C-4457-A6B9-089EA7FACA36}"/>
            </c:ext>
          </c:extLst>
        </c:ser>
        <c:ser>
          <c:idx val="7"/>
          <c:order val="6"/>
          <c:tx>
            <c:strRef>
              <c:f>'Table1 only'!$L$2</c:f>
              <c:strCache>
                <c:ptCount val="1"/>
                <c:pt idx="0">
                  <c:v>ARNI+BB+HCN</c:v>
                </c:pt>
              </c:strCache>
            </c:strRef>
          </c:tx>
          <c:spPr>
            <a:ln w="28575" cap="rnd">
              <a:solidFill>
                <a:schemeClr val="accent2">
                  <a:lumMod val="60000"/>
                </a:schemeClr>
              </a:solidFill>
              <a:round/>
            </a:ln>
            <a:effectLst/>
          </c:spPr>
          <c:marker>
            <c:symbol val="none"/>
          </c:marker>
          <c:cat>
            <c:numRef>
              <c:f>'Table1 only'!$C$3:$C$80</c:f>
              <c:numCache>
                <c:formatCode>mmm\-yy</c:formatCode>
                <c:ptCount val="78"/>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numCache>
            </c:numRef>
          </c:cat>
          <c:val>
            <c:numRef>
              <c:f>'Table1 only'!$L$3:$L$80</c:f>
              <c:numCache>
                <c:formatCode>General</c:formatCode>
                <c:ptCount val="78"/>
                <c:pt idx="5">
                  <c:v>43</c:v>
                </c:pt>
                <c:pt idx="6">
                  <c:v>90</c:v>
                </c:pt>
                <c:pt idx="7">
                  <c:v>124</c:v>
                </c:pt>
                <c:pt idx="8">
                  <c:v>168</c:v>
                </c:pt>
                <c:pt idx="9">
                  <c:v>197</c:v>
                </c:pt>
                <c:pt idx="10">
                  <c:v>246</c:v>
                </c:pt>
                <c:pt idx="11">
                  <c:v>267</c:v>
                </c:pt>
                <c:pt idx="12">
                  <c:v>200</c:v>
                </c:pt>
                <c:pt idx="13">
                  <c:v>210</c:v>
                </c:pt>
                <c:pt idx="14">
                  <c:v>265</c:v>
                </c:pt>
                <c:pt idx="15">
                  <c:v>251</c:v>
                </c:pt>
                <c:pt idx="16">
                  <c:v>282</c:v>
                </c:pt>
                <c:pt idx="17">
                  <c:v>284</c:v>
                </c:pt>
                <c:pt idx="18">
                  <c:v>319</c:v>
                </c:pt>
                <c:pt idx="19">
                  <c:v>360</c:v>
                </c:pt>
                <c:pt idx="20">
                  <c:v>352</c:v>
                </c:pt>
                <c:pt idx="21">
                  <c:v>419</c:v>
                </c:pt>
                <c:pt idx="22">
                  <c:v>447</c:v>
                </c:pt>
                <c:pt idx="23">
                  <c:v>503</c:v>
                </c:pt>
                <c:pt idx="24">
                  <c:v>344</c:v>
                </c:pt>
                <c:pt idx="25">
                  <c:v>355</c:v>
                </c:pt>
                <c:pt idx="26">
                  <c:v>385</c:v>
                </c:pt>
                <c:pt idx="27">
                  <c:v>393</c:v>
                </c:pt>
                <c:pt idx="28">
                  <c:v>420</c:v>
                </c:pt>
                <c:pt idx="29">
                  <c:v>403</c:v>
                </c:pt>
                <c:pt idx="30">
                  <c:v>509</c:v>
                </c:pt>
                <c:pt idx="31">
                  <c:v>502</c:v>
                </c:pt>
                <c:pt idx="32">
                  <c:v>502</c:v>
                </c:pt>
                <c:pt idx="33">
                  <c:v>556</c:v>
                </c:pt>
                <c:pt idx="34">
                  <c:v>564</c:v>
                </c:pt>
                <c:pt idx="35">
                  <c:v>631</c:v>
                </c:pt>
                <c:pt idx="36">
                  <c:v>413</c:v>
                </c:pt>
                <c:pt idx="37">
                  <c:v>481</c:v>
                </c:pt>
                <c:pt idx="38">
                  <c:v>587</c:v>
                </c:pt>
                <c:pt idx="39">
                  <c:v>469</c:v>
                </c:pt>
                <c:pt idx="40">
                  <c:v>536</c:v>
                </c:pt>
                <c:pt idx="41">
                  <c:v>567</c:v>
                </c:pt>
                <c:pt idx="42">
                  <c:v>652</c:v>
                </c:pt>
                <c:pt idx="43">
                  <c:v>694</c:v>
                </c:pt>
                <c:pt idx="44">
                  <c:v>692</c:v>
                </c:pt>
                <c:pt idx="45">
                  <c:v>775</c:v>
                </c:pt>
                <c:pt idx="46">
                  <c:v>761</c:v>
                </c:pt>
                <c:pt idx="47">
                  <c:v>893</c:v>
                </c:pt>
                <c:pt idx="48">
                  <c:v>526</c:v>
                </c:pt>
                <c:pt idx="49">
                  <c:v>614</c:v>
                </c:pt>
                <c:pt idx="50">
                  <c:v>694</c:v>
                </c:pt>
                <c:pt idx="51">
                  <c:v>709</c:v>
                </c:pt>
                <c:pt idx="52">
                  <c:v>742</c:v>
                </c:pt>
                <c:pt idx="53">
                  <c:v>774</c:v>
                </c:pt>
                <c:pt idx="54">
                  <c:v>799</c:v>
                </c:pt>
                <c:pt idx="55">
                  <c:v>842</c:v>
                </c:pt>
                <c:pt idx="56">
                  <c:v>844</c:v>
                </c:pt>
                <c:pt idx="57">
                  <c:v>884</c:v>
                </c:pt>
                <c:pt idx="58">
                  <c:v>897</c:v>
                </c:pt>
                <c:pt idx="59">
                  <c:v>1033</c:v>
                </c:pt>
                <c:pt idx="60">
                  <c:v>613</c:v>
                </c:pt>
                <c:pt idx="61">
                  <c:v>677</c:v>
                </c:pt>
                <c:pt idx="62">
                  <c:v>749</c:v>
                </c:pt>
                <c:pt idx="63">
                  <c:v>666</c:v>
                </c:pt>
                <c:pt idx="64">
                  <c:v>735</c:v>
                </c:pt>
                <c:pt idx="65">
                  <c:v>747</c:v>
                </c:pt>
                <c:pt idx="66">
                  <c:v>722</c:v>
                </c:pt>
                <c:pt idx="67">
                  <c:v>798</c:v>
                </c:pt>
                <c:pt idx="68">
                  <c:v>795</c:v>
                </c:pt>
                <c:pt idx="69">
                  <c:v>824</c:v>
                </c:pt>
                <c:pt idx="70">
                  <c:v>857</c:v>
                </c:pt>
                <c:pt idx="71">
                  <c:v>989</c:v>
                </c:pt>
                <c:pt idx="72">
                  <c:v>581</c:v>
                </c:pt>
                <c:pt idx="73">
                  <c:v>658</c:v>
                </c:pt>
                <c:pt idx="74">
                  <c:v>711</c:v>
                </c:pt>
                <c:pt idx="75">
                  <c:v>669</c:v>
                </c:pt>
                <c:pt idx="76">
                  <c:v>763</c:v>
                </c:pt>
                <c:pt idx="77">
                  <c:v>727</c:v>
                </c:pt>
              </c:numCache>
            </c:numRef>
          </c:val>
          <c:smooth val="0"/>
          <c:extLst>
            <c:ext xmlns:c16="http://schemas.microsoft.com/office/drawing/2014/chart" uri="{C3380CC4-5D6E-409C-BE32-E72D297353CC}">
              <c16:uniqueId val="{00000007-220C-4457-A6B9-089EA7FACA36}"/>
            </c:ext>
          </c:extLst>
        </c:ser>
        <c:ser>
          <c:idx val="8"/>
          <c:order val="7"/>
          <c:tx>
            <c:strRef>
              <c:f>'Table1 only'!$M$2</c:f>
              <c:strCache>
                <c:ptCount val="1"/>
                <c:pt idx="0">
                  <c:v>SGLT2 (for HF)</c:v>
                </c:pt>
              </c:strCache>
            </c:strRef>
          </c:tx>
          <c:spPr>
            <a:ln w="28575" cap="rnd">
              <a:solidFill>
                <a:schemeClr val="accent3">
                  <a:lumMod val="60000"/>
                </a:schemeClr>
              </a:solidFill>
              <a:round/>
            </a:ln>
            <a:effectLst/>
          </c:spPr>
          <c:marker>
            <c:symbol val="none"/>
          </c:marker>
          <c:cat>
            <c:numRef>
              <c:f>'Table1 only'!$C$3:$C$80</c:f>
              <c:numCache>
                <c:formatCode>mmm\-yy</c:formatCode>
                <c:ptCount val="78"/>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numCache>
            </c:numRef>
          </c:cat>
          <c:val>
            <c:numRef>
              <c:f>'Table1 only'!$M$3:$M$80</c:f>
              <c:numCache>
                <c:formatCode>General</c:formatCode>
                <c:ptCount val="78"/>
                <c:pt idx="60">
                  <c:v>467</c:v>
                </c:pt>
                <c:pt idx="61">
                  <c:v>912</c:v>
                </c:pt>
                <c:pt idx="62">
                  <c:v>1470</c:v>
                </c:pt>
                <c:pt idx="63">
                  <c:v>2294</c:v>
                </c:pt>
                <c:pt idx="64">
                  <c:v>3237</c:v>
                </c:pt>
                <c:pt idx="65">
                  <c:v>4023</c:v>
                </c:pt>
                <c:pt idx="66">
                  <c:v>4892</c:v>
                </c:pt>
                <c:pt idx="67">
                  <c:v>5735</c:v>
                </c:pt>
                <c:pt idx="68">
                  <c:v>6424</c:v>
                </c:pt>
                <c:pt idx="69">
                  <c:v>7115</c:v>
                </c:pt>
                <c:pt idx="70">
                  <c:v>7604</c:v>
                </c:pt>
                <c:pt idx="71">
                  <c:v>7866</c:v>
                </c:pt>
                <c:pt idx="72">
                  <c:v>7636</c:v>
                </c:pt>
                <c:pt idx="73">
                  <c:v>8069</c:v>
                </c:pt>
                <c:pt idx="74">
                  <c:v>8818</c:v>
                </c:pt>
                <c:pt idx="75">
                  <c:v>8785</c:v>
                </c:pt>
                <c:pt idx="76">
                  <c:v>9590</c:v>
                </c:pt>
                <c:pt idx="77">
                  <c:v>9896</c:v>
                </c:pt>
              </c:numCache>
            </c:numRef>
          </c:val>
          <c:smooth val="0"/>
          <c:extLst>
            <c:ext xmlns:c16="http://schemas.microsoft.com/office/drawing/2014/chart" uri="{C3380CC4-5D6E-409C-BE32-E72D297353CC}">
              <c16:uniqueId val="{00000008-220C-4457-A6B9-089EA7FACA36}"/>
            </c:ext>
          </c:extLst>
        </c:ser>
        <c:ser>
          <c:idx val="9"/>
          <c:order val="8"/>
          <c:tx>
            <c:strRef>
              <c:f>'Table1 only'!$N$2</c:f>
              <c:strCache>
                <c:ptCount val="1"/>
                <c:pt idx="0">
                  <c:v>ARNI+SGLT2 (for HF)</c:v>
                </c:pt>
              </c:strCache>
            </c:strRef>
          </c:tx>
          <c:spPr>
            <a:ln w="28575" cap="rnd">
              <a:solidFill>
                <a:schemeClr val="accent4">
                  <a:lumMod val="60000"/>
                </a:schemeClr>
              </a:solidFill>
              <a:round/>
            </a:ln>
            <a:effectLst/>
          </c:spPr>
          <c:marker>
            <c:symbol val="none"/>
          </c:marker>
          <c:cat>
            <c:numRef>
              <c:f>'Table1 only'!$C$3:$C$80</c:f>
              <c:numCache>
                <c:formatCode>mmm\-yy</c:formatCode>
                <c:ptCount val="78"/>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numCache>
            </c:numRef>
          </c:cat>
          <c:val>
            <c:numRef>
              <c:f>'Table1 only'!$N$3:$N$80</c:f>
              <c:numCache>
                <c:formatCode>General</c:formatCode>
                <c:ptCount val="78"/>
                <c:pt idx="60">
                  <c:v>142</c:v>
                </c:pt>
                <c:pt idx="61">
                  <c:v>392</c:v>
                </c:pt>
                <c:pt idx="62">
                  <c:v>648</c:v>
                </c:pt>
                <c:pt idx="63">
                  <c:v>845</c:v>
                </c:pt>
                <c:pt idx="64">
                  <c:v>1112</c:v>
                </c:pt>
                <c:pt idx="65">
                  <c:v>1284</c:v>
                </c:pt>
                <c:pt idx="66">
                  <c:v>1420</c:v>
                </c:pt>
                <c:pt idx="67">
                  <c:v>1635</c:v>
                </c:pt>
                <c:pt idx="68">
                  <c:v>1790</c:v>
                </c:pt>
                <c:pt idx="69">
                  <c:v>2072</c:v>
                </c:pt>
                <c:pt idx="70">
                  <c:v>2163</c:v>
                </c:pt>
                <c:pt idx="71">
                  <c:v>2254</c:v>
                </c:pt>
                <c:pt idx="72">
                  <c:v>2740</c:v>
                </c:pt>
                <c:pt idx="73">
                  <c:v>2897</c:v>
                </c:pt>
                <c:pt idx="74">
                  <c:v>3297</c:v>
                </c:pt>
                <c:pt idx="75">
                  <c:v>3306</c:v>
                </c:pt>
                <c:pt idx="76">
                  <c:v>3546</c:v>
                </c:pt>
                <c:pt idx="77">
                  <c:v>3808</c:v>
                </c:pt>
              </c:numCache>
            </c:numRef>
          </c:val>
          <c:smooth val="0"/>
          <c:extLst>
            <c:ext xmlns:c16="http://schemas.microsoft.com/office/drawing/2014/chart" uri="{C3380CC4-5D6E-409C-BE32-E72D297353CC}">
              <c16:uniqueId val="{00000009-220C-4457-A6B9-089EA7FACA36}"/>
            </c:ext>
          </c:extLst>
        </c:ser>
        <c:ser>
          <c:idx val="10"/>
          <c:order val="9"/>
          <c:tx>
            <c:strRef>
              <c:f>'Table1 only'!$O$2</c:f>
              <c:strCache>
                <c:ptCount val="1"/>
                <c:pt idx="0">
                  <c:v>BB+SGLT2 (for HF)</c:v>
                </c:pt>
              </c:strCache>
            </c:strRef>
          </c:tx>
          <c:spPr>
            <a:ln w="28575" cap="rnd">
              <a:solidFill>
                <a:schemeClr val="accent5">
                  <a:lumMod val="60000"/>
                </a:schemeClr>
              </a:solidFill>
              <a:round/>
            </a:ln>
            <a:effectLst/>
          </c:spPr>
          <c:marker>
            <c:symbol val="none"/>
          </c:marker>
          <c:cat>
            <c:numRef>
              <c:f>'Table1 only'!$C$3:$C$80</c:f>
              <c:numCache>
                <c:formatCode>mmm\-yy</c:formatCode>
                <c:ptCount val="78"/>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numCache>
            </c:numRef>
          </c:cat>
          <c:val>
            <c:numRef>
              <c:f>'Table1 only'!$O$3:$O$80</c:f>
              <c:numCache>
                <c:formatCode>General</c:formatCode>
                <c:ptCount val="78"/>
                <c:pt idx="60">
                  <c:v>162</c:v>
                </c:pt>
                <c:pt idx="61">
                  <c:v>355</c:v>
                </c:pt>
                <c:pt idx="62">
                  <c:v>634</c:v>
                </c:pt>
                <c:pt idx="63">
                  <c:v>841</c:v>
                </c:pt>
                <c:pt idx="64">
                  <c:v>1137</c:v>
                </c:pt>
                <c:pt idx="65">
                  <c:v>1415</c:v>
                </c:pt>
                <c:pt idx="66">
                  <c:v>1726</c:v>
                </c:pt>
                <c:pt idx="67">
                  <c:v>2170</c:v>
                </c:pt>
                <c:pt idx="68">
                  <c:v>2477</c:v>
                </c:pt>
                <c:pt idx="69">
                  <c:v>2878</c:v>
                </c:pt>
                <c:pt idx="70">
                  <c:v>3284</c:v>
                </c:pt>
                <c:pt idx="71">
                  <c:v>3687</c:v>
                </c:pt>
                <c:pt idx="72">
                  <c:v>3301</c:v>
                </c:pt>
                <c:pt idx="73">
                  <c:v>3745</c:v>
                </c:pt>
                <c:pt idx="74">
                  <c:v>4348</c:v>
                </c:pt>
                <c:pt idx="75">
                  <c:v>4322</c:v>
                </c:pt>
                <c:pt idx="76">
                  <c:v>4911</c:v>
                </c:pt>
                <c:pt idx="77">
                  <c:v>5208</c:v>
                </c:pt>
              </c:numCache>
            </c:numRef>
          </c:val>
          <c:smooth val="0"/>
          <c:extLst>
            <c:ext xmlns:c16="http://schemas.microsoft.com/office/drawing/2014/chart" uri="{C3380CC4-5D6E-409C-BE32-E72D297353CC}">
              <c16:uniqueId val="{0000000A-220C-4457-A6B9-089EA7FACA36}"/>
            </c:ext>
          </c:extLst>
        </c:ser>
        <c:dLbls>
          <c:showLegendKey val="0"/>
          <c:showVal val="0"/>
          <c:showCatName val="0"/>
          <c:showSerName val="0"/>
          <c:showPercent val="0"/>
          <c:showBubbleSize val="0"/>
        </c:dLbls>
        <c:smooth val="0"/>
        <c:axId val="659790584"/>
        <c:axId val="620950112"/>
      </c:lineChart>
      <c:dateAx>
        <c:axId val="65979058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950112"/>
        <c:crosses val="autoZero"/>
        <c:auto val="1"/>
        <c:lblOffset val="100"/>
        <c:baseTimeUnit val="months"/>
        <c:majorUnit val="2"/>
        <c:majorTimeUnit val="months"/>
      </c:dateAx>
      <c:valAx>
        <c:axId val="6209501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people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9790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35870516185478"/>
          <c:y val="0.18477025814811124"/>
          <c:w val="0.8379457567804024"/>
          <c:h val="0.65460275626703679"/>
        </c:manualLayout>
      </c:layout>
      <c:lineChart>
        <c:grouping val="standard"/>
        <c:varyColors val="0"/>
        <c:ser>
          <c:idx val="0"/>
          <c:order val="0"/>
          <c:tx>
            <c:strRef>
              <c:f>'Table1 and Table2 Summary'!$S$5</c:f>
              <c:strCache>
                <c:ptCount val="1"/>
                <c:pt idx="0">
                  <c:v>Mono </c:v>
                </c:pt>
              </c:strCache>
            </c:strRef>
          </c:tx>
          <c:spPr>
            <a:ln w="28575" cap="rnd">
              <a:solidFill>
                <a:schemeClr val="accent1"/>
              </a:solidFill>
              <a:round/>
            </a:ln>
            <a:effectLst/>
          </c:spPr>
          <c:marker>
            <c:symbol val="none"/>
          </c:marker>
          <c:cat>
            <c:numRef>
              <c:f>'Table1 and Table2 Summary'!$A$18:$A$83</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'Table1 and Table2 Summary'!$S$18:$S$83</c:f>
              <c:numCache>
                <c:formatCode>General</c:formatCode>
                <c:ptCount val="66"/>
                <c:pt idx="0">
                  <c:v>15.3</c:v>
                </c:pt>
                <c:pt idx="1">
                  <c:v>15.8</c:v>
                </c:pt>
                <c:pt idx="2">
                  <c:v>16.2</c:v>
                </c:pt>
                <c:pt idx="3">
                  <c:v>16.600000000000001</c:v>
                </c:pt>
                <c:pt idx="4">
                  <c:v>17.399999999999999</c:v>
                </c:pt>
                <c:pt idx="5">
                  <c:v>17.399999999999999</c:v>
                </c:pt>
                <c:pt idx="6">
                  <c:v>17.100000000000001</c:v>
                </c:pt>
                <c:pt idx="7">
                  <c:v>16.7</c:v>
                </c:pt>
                <c:pt idx="8">
                  <c:v>16.5</c:v>
                </c:pt>
                <c:pt idx="9">
                  <c:v>16.2</c:v>
                </c:pt>
                <c:pt idx="10">
                  <c:v>15.8</c:v>
                </c:pt>
                <c:pt idx="11">
                  <c:v>15.3</c:v>
                </c:pt>
                <c:pt idx="12">
                  <c:v>16.7</c:v>
                </c:pt>
                <c:pt idx="13">
                  <c:v>17.3</c:v>
                </c:pt>
                <c:pt idx="14">
                  <c:v>17.5</c:v>
                </c:pt>
                <c:pt idx="15">
                  <c:v>18.2</c:v>
                </c:pt>
                <c:pt idx="16">
                  <c:v>19</c:v>
                </c:pt>
                <c:pt idx="17">
                  <c:v>18.8</c:v>
                </c:pt>
                <c:pt idx="18">
                  <c:v>18.399999999999999</c:v>
                </c:pt>
                <c:pt idx="19">
                  <c:v>18.3</c:v>
                </c:pt>
                <c:pt idx="20">
                  <c:v>18</c:v>
                </c:pt>
                <c:pt idx="21">
                  <c:v>17.7</c:v>
                </c:pt>
                <c:pt idx="22">
                  <c:v>17.399999999999999</c:v>
                </c:pt>
                <c:pt idx="23">
                  <c:v>16.8</c:v>
                </c:pt>
                <c:pt idx="24">
                  <c:v>18.399999999999999</c:v>
                </c:pt>
                <c:pt idx="25">
                  <c:v>19</c:v>
                </c:pt>
                <c:pt idx="26">
                  <c:v>19.399999999999999</c:v>
                </c:pt>
                <c:pt idx="27">
                  <c:v>19</c:v>
                </c:pt>
                <c:pt idx="28">
                  <c:v>20.2</c:v>
                </c:pt>
                <c:pt idx="29">
                  <c:v>19.899999999999999</c:v>
                </c:pt>
                <c:pt idx="30">
                  <c:v>19.5</c:v>
                </c:pt>
                <c:pt idx="31">
                  <c:v>19.2</c:v>
                </c:pt>
                <c:pt idx="32">
                  <c:v>18.8</c:v>
                </c:pt>
                <c:pt idx="33">
                  <c:v>18.3</c:v>
                </c:pt>
                <c:pt idx="34">
                  <c:v>18</c:v>
                </c:pt>
                <c:pt idx="35">
                  <c:v>17.3</c:v>
                </c:pt>
                <c:pt idx="36">
                  <c:v>19.2</c:v>
                </c:pt>
                <c:pt idx="37">
                  <c:v>19.3</c:v>
                </c:pt>
                <c:pt idx="38">
                  <c:v>19.7</c:v>
                </c:pt>
                <c:pt idx="39">
                  <c:v>20.3</c:v>
                </c:pt>
                <c:pt idx="40">
                  <c:v>21.1</c:v>
                </c:pt>
                <c:pt idx="41">
                  <c:v>20.8</c:v>
                </c:pt>
                <c:pt idx="42">
                  <c:v>20.6</c:v>
                </c:pt>
                <c:pt idx="43">
                  <c:v>20.3</c:v>
                </c:pt>
                <c:pt idx="44">
                  <c:v>19.899999999999999</c:v>
                </c:pt>
                <c:pt idx="45">
                  <c:v>19.600000000000001</c:v>
                </c:pt>
                <c:pt idx="46">
                  <c:v>19.100000000000001</c:v>
                </c:pt>
                <c:pt idx="47">
                  <c:v>18.3</c:v>
                </c:pt>
                <c:pt idx="48">
                  <c:v>19.7</c:v>
                </c:pt>
                <c:pt idx="49">
                  <c:v>19.8</c:v>
                </c:pt>
                <c:pt idx="50">
                  <c:v>20</c:v>
                </c:pt>
                <c:pt idx="51">
                  <c:v>20.2</c:v>
                </c:pt>
                <c:pt idx="52">
                  <c:v>20.7</c:v>
                </c:pt>
                <c:pt idx="53">
                  <c:v>20.6</c:v>
                </c:pt>
                <c:pt idx="54">
                  <c:v>20.100000000000001</c:v>
                </c:pt>
                <c:pt idx="55">
                  <c:v>19.5</c:v>
                </c:pt>
                <c:pt idx="56">
                  <c:v>19.2</c:v>
                </c:pt>
                <c:pt idx="57">
                  <c:v>18.5</c:v>
                </c:pt>
                <c:pt idx="58">
                  <c:v>18</c:v>
                </c:pt>
                <c:pt idx="59">
                  <c:v>17.100000000000001</c:v>
                </c:pt>
                <c:pt idx="60">
                  <c:v>20.3</c:v>
                </c:pt>
                <c:pt idx="61">
                  <c:v>20.7</c:v>
                </c:pt>
                <c:pt idx="62">
                  <c:v>20.7</c:v>
                </c:pt>
                <c:pt idx="63">
                  <c:v>21.4</c:v>
                </c:pt>
                <c:pt idx="64">
                  <c:v>21.7</c:v>
                </c:pt>
                <c:pt idx="65">
                  <c:v>21.5</c:v>
                </c:pt>
              </c:numCache>
            </c:numRef>
          </c:val>
          <c:smooth val="0"/>
          <c:extLst>
            <c:ext xmlns:c16="http://schemas.microsoft.com/office/drawing/2014/chart" uri="{C3380CC4-5D6E-409C-BE32-E72D297353CC}">
              <c16:uniqueId val="{00000000-B64C-4FE0-96FB-E455A568E2C9}"/>
            </c:ext>
          </c:extLst>
        </c:ser>
        <c:ser>
          <c:idx val="1"/>
          <c:order val="1"/>
          <c:tx>
            <c:strRef>
              <c:f>'Table1 and Table2 Summary'!$T$5</c:f>
              <c:strCache>
                <c:ptCount val="1"/>
                <c:pt idx="0">
                  <c:v>Dual</c:v>
                </c:pt>
              </c:strCache>
            </c:strRef>
          </c:tx>
          <c:spPr>
            <a:ln w="28575" cap="rnd">
              <a:solidFill>
                <a:schemeClr val="accent2"/>
              </a:solidFill>
              <a:round/>
            </a:ln>
            <a:effectLst/>
          </c:spPr>
          <c:marker>
            <c:symbol val="none"/>
          </c:marker>
          <c:cat>
            <c:numRef>
              <c:f>'Table1 and Table2 Summary'!$A$18:$A$83</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'Table1 and Table2 Summary'!$T$18:$T$83</c:f>
              <c:numCache>
                <c:formatCode>General</c:formatCode>
                <c:ptCount val="66"/>
                <c:pt idx="0">
                  <c:v>33.299999999999997</c:v>
                </c:pt>
                <c:pt idx="1">
                  <c:v>33.6</c:v>
                </c:pt>
                <c:pt idx="2">
                  <c:v>33.799999999999997</c:v>
                </c:pt>
                <c:pt idx="3">
                  <c:v>34.5</c:v>
                </c:pt>
                <c:pt idx="4">
                  <c:v>35.1</c:v>
                </c:pt>
                <c:pt idx="5">
                  <c:v>34.700000000000003</c:v>
                </c:pt>
                <c:pt idx="6">
                  <c:v>34.4</c:v>
                </c:pt>
                <c:pt idx="7">
                  <c:v>34</c:v>
                </c:pt>
                <c:pt idx="8">
                  <c:v>33.9</c:v>
                </c:pt>
                <c:pt idx="9">
                  <c:v>33.700000000000003</c:v>
                </c:pt>
                <c:pt idx="10">
                  <c:v>33.5</c:v>
                </c:pt>
                <c:pt idx="11">
                  <c:v>33.200000000000003</c:v>
                </c:pt>
                <c:pt idx="12">
                  <c:v>33.9</c:v>
                </c:pt>
                <c:pt idx="13">
                  <c:v>34</c:v>
                </c:pt>
                <c:pt idx="14">
                  <c:v>34.299999999999997</c:v>
                </c:pt>
                <c:pt idx="15">
                  <c:v>34.9</c:v>
                </c:pt>
                <c:pt idx="16">
                  <c:v>35.4</c:v>
                </c:pt>
                <c:pt idx="17">
                  <c:v>35.299999999999997</c:v>
                </c:pt>
                <c:pt idx="18">
                  <c:v>35.1</c:v>
                </c:pt>
                <c:pt idx="19">
                  <c:v>34.700000000000003</c:v>
                </c:pt>
                <c:pt idx="20">
                  <c:v>34.4</c:v>
                </c:pt>
                <c:pt idx="21">
                  <c:v>34.200000000000003</c:v>
                </c:pt>
                <c:pt idx="22">
                  <c:v>34</c:v>
                </c:pt>
                <c:pt idx="23">
                  <c:v>33.700000000000003</c:v>
                </c:pt>
                <c:pt idx="24">
                  <c:v>34.299999999999997</c:v>
                </c:pt>
                <c:pt idx="25">
                  <c:v>34.299999999999997</c:v>
                </c:pt>
                <c:pt idx="26">
                  <c:v>34.200000000000003</c:v>
                </c:pt>
                <c:pt idx="27">
                  <c:v>34.799999999999997</c:v>
                </c:pt>
                <c:pt idx="28">
                  <c:v>35.4</c:v>
                </c:pt>
                <c:pt idx="29">
                  <c:v>35.299999999999997</c:v>
                </c:pt>
                <c:pt idx="30">
                  <c:v>35</c:v>
                </c:pt>
                <c:pt idx="31">
                  <c:v>34.9</c:v>
                </c:pt>
                <c:pt idx="32">
                  <c:v>34.9</c:v>
                </c:pt>
                <c:pt idx="33">
                  <c:v>34.700000000000003</c:v>
                </c:pt>
                <c:pt idx="34">
                  <c:v>34.5</c:v>
                </c:pt>
                <c:pt idx="35">
                  <c:v>34</c:v>
                </c:pt>
                <c:pt idx="36">
                  <c:v>34.6</c:v>
                </c:pt>
                <c:pt idx="37">
                  <c:v>34.799999999999997</c:v>
                </c:pt>
                <c:pt idx="38">
                  <c:v>34.6</c:v>
                </c:pt>
                <c:pt idx="39">
                  <c:v>35.299999999999997</c:v>
                </c:pt>
                <c:pt idx="40">
                  <c:v>35.700000000000003</c:v>
                </c:pt>
                <c:pt idx="41">
                  <c:v>35.4</c:v>
                </c:pt>
                <c:pt idx="42">
                  <c:v>35.1</c:v>
                </c:pt>
                <c:pt idx="43">
                  <c:v>34.9</c:v>
                </c:pt>
                <c:pt idx="44">
                  <c:v>34.700000000000003</c:v>
                </c:pt>
                <c:pt idx="45">
                  <c:v>34.6</c:v>
                </c:pt>
                <c:pt idx="46">
                  <c:v>34.4</c:v>
                </c:pt>
                <c:pt idx="47">
                  <c:v>34</c:v>
                </c:pt>
                <c:pt idx="48">
                  <c:v>34.700000000000003</c:v>
                </c:pt>
                <c:pt idx="49">
                  <c:v>34.9</c:v>
                </c:pt>
                <c:pt idx="50">
                  <c:v>34.700000000000003</c:v>
                </c:pt>
                <c:pt idx="51">
                  <c:v>35.4</c:v>
                </c:pt>
                <c:pt idx="52">
                  <c:v>35.9</c:v>
                </c:pt>
                <c:pt idx="53">
                  <c:v>35.6</c:v>
                </c:pt>
                <c:pt idx="54">
                  <c:v>35.299999999999997</c:v>
                </c:pt>
                <c:pt idx="55">
                  <c:v>34.799999999999997</c:v>
                </c:pt>
                <c:pt idx="56">
                  <c:v>34.4</c:v>
                </c:pt>
                <c:pt idx="57">
                  <c:v>34.1</c:v>
                </c:pt>
                <c:pt idx="58">
                  <c:v>33.700000000000003</c:v>
                </c:pt>
                <c:pt idx="59">
                  <c:v>33.200000000000003</c:v>
                </c:pt>
                <c:pt idx="60">
                  <c:v>33.200000000000003</c:v>
                </c:pt>
                <c:pt idx="61">
                  <c:v>33.4</c:v>
                </c:pt>
                <c:pt idx="62">
                  <c:v>33.5</c:v>
                </c:pt>
                <c:pt idx="63">
                  <c:v>34</c:v>
                </c:pt>
                <c:pt idx="64">
                  <c:v>34.4</c:v>
                </c:pt>
                <c:pt idx="65">
                  <c:v>34</c:v>
                </c:pt>
              </c:numCache>
            </c:numRef>
          </c:val>
          <c:smooth val="0"/>
          <c:extLst>
            <c:ext xmlns:c16="http://schemas.microsoft.com/office/drawing/2014/chart" uri="{C3380CC4-5D6E-409C-BE32-E72D297353CC}">
              <c16:uniqueId val="{00000001-B64C-4FE0-96FB-E455A568E2C9}"/>
            </c:ext>
          </c:extLst>
        </c:ser>
        <c:ser>
          <c:idx val="2"/>
          <c:order val="2"/>
          <c:tx>
            <c:strRef>
              <c:f>'Table1 and Table2 Summary'!$U$5</c:f>
              <c:strCache>
                <c:ptCount val="1"/>
                <c:pt idx="0">
                  <c:v>Triple</c:v>
                </c:pt>
              </c:strCache>
            </c:strRef>
          </c:tx>
          <c:spPr>
            <a:ln w="28575" cap="rnd">
              <a:solidFill>
                <a:schemeClr val="accent3"/>
              </a:solidFill>
              <a:round/>
            </a:ln>
            <a:effectLst/>
          </c:spPr>
          <c:marker>
            <c:symbol val="none"/>
          </c:marker>
          <c:cat>
            <c:numRef>
              <c:f>'Table1 and Table2 Summary'!$A$18:$A$83</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'Table1 and Table2 Summary'!$U$18:$U$83</c:f>
              <c:numCache>
                <c:formatCode>General</c:formatCode>
                <c:ptCount val="66"/>
                <c:pt idx="0">
                  <c:v>32.4</c:v>
                </c:pt>
                <c:pt idx="1">
                  <c:v>32.299999999999997</c:v>
                </c:pt>
                <c:pt idx="2">
                  <c:v>32</c:v>
                </c:pt>
                <c:pt idx="3">
                  <c:v>31.9</c:v>
                </c:pt>
                <c:pt idx="4">
                  <c:v>31.5</c:v>
                </c:pt>
                <c:pt idx="5">
                  <c:v>31.5</c:v>
                </c:pt>
                <c:pt idx="6">
                  <c:v>31.6</c:v>
                </c:pt>
                <c:pt idx="7">
                  <c:v>31.8</c:v>
                </c:pt>
                <c:pt idx="8">
                  <c:v>32</c:v>
                </c:pt>
                <c:pt idx="9">
                  <c:v>32</c:v>
                </c:pt>
                <c:pt idx="10">
                  <c:v>32.1</c:v>
                </c:pt>
                <c:pt idx="11">
                  <c:v>32.4</c:v>
                </c:pt>
                <c:pt idx="12">
                  <c:v>31.7</c:v>
                </c:pt>
                <c:pt idx="13">
                  <c:v>31.5</c:v>
                </c:pt>
                <c:pt idx="14">
                  <c:v>31.4</c:v>
                </c:pt>
                <c:pt idx="15">
                  <c:v>31.1</c:v>
                </c:pt>
                <c:pt idx="16">
                  <c:v>30.8</c:v>
                </c:pt>
                <c:pt idx="17">
                  <c:v>30.9</c:v>
                </c:pt>
                <c:pt idx="18">
                  <c:v>30.9</c:v>
                </c:pt>
                <c:pt idx="19">
                  <c:v>31</c:v>
                </c:pt>
                <c:pt idx="20">
                  <c:v>31.2</c:v>
                </c:pt>
                <c:pt idx="21">
                  <c:v>31.2</c:v>
                </c:pt>
                <c:pt idx="22">
                  <c:v>31.4</c:v>
                </c:pt>
                <c:pt idx="23">
                  <c:v>31.6</c:v>
                </c:pt>
                <c:pt idx="24">
                  <c:v>30.9</c:v>
                </c:pt>
                <c:pt idx="25">
                  <c:v>30.5</c:v>
                </c:pt>
                <c:pt idx="26">
                  <c:v>30.4</c:v>
                </c:pt>
                <c:pt idx="27">
                  <c:v>30.7</c:v>
                </c:pt>
                <c:pt idx="28">
                  <c:v>30</c:v>
                </c:pt>
                <c:pt idx="29">
                  <c:v>30.1</c:v>
                </c:pt>
                <c:pt idx="30">
                  <c:v>30.3</c:v>
                </c:pt>
                <c:pt idx="31">
                  <c:v>30.5</c:v>
                </c:pt>
                <c:pt idx="32">
                  <c:v>30.4</c:v>
                </c:pt>
                <c:pt idx="33">
                  <c:v>30.6</c:v>
                </c:pt>
                <c:pt idx="34">
                  <c:v>30.9</c:v>
                </c:pt>
                <c:pt idx="35">
                  <c:v>31.3</c:v>
                </c:pt>
                <c:pt idx="36">
                  <c:v>30.4</c:v>
                </c:pt>
                <c:pt idx="37">
                  <c:v>30.4</c:v>
                </c:pt>
                <c:pt idx="38">
                  <c:v>30.2</c:v>
                </c:pt>
                <c:pt idx="39">
                  <c:v>29.7</c:v>
                </c:pt>
                <c:pt idx="40">
                  <c:v>29.3</c:v>
                </c:pt>
                <c:pt idx="41">
                  <c:v>29.6</c:v>
                </c:pt>
                <c:pt idx="42">
                  <c:v>29.7</c:v>
                </c:pt>
                <c:pt idx="43">
                  <c:v>29.8</c:v>
                </c:pt>
                <c:pt idx="44">
                  <c:v>30</c:v>
                </c:pt>
                <c:pt idx="45">
                  <c:v>30</c:v>
                </c:pt>
                <c:pt idx="46">
                  <c:v>30.3</c:v>
                </c:pt>
                <c:pt idx="47">
                  <c:v>30.7</c:v>
                </c:pt>
                <c:pt idx="48">
                  <c:v>30</c:v>
                </c:pt>
                <c:pt idx="49">
                  <c:v>29.8</c:v>
                </c:pt>
                <c:pt idx="50">
                  <c:v>29.6</c:v>
                </c:pt>
                <c:pt idx="51">
                  <c:v>29.3</c:v>
                </c:pt>
                <c:pt idx="52">
                  <c:v>28.9</c:v>
                </c:pt>
                <c:pt idx="53">
                  <c:v>28.9</c:v>
                </c:pt>
                <c:pt idx="54">
                  <c:v>29.1</c:v>
                </c:pt>
                <c:pt idx="55">
                  <c:v>29.3</c:v>
                </c:pt>
                <c:pt idx="56">
                  <c:v>29.4</c:v>
                </c:pt>
                <c:pt idx="57">
                  <c:v>29.6</c:v>
                </c:pt>
                <c:pt idx="58">
                  <c:v>29.8</c:v>
                </c:pt>
                <c:pt idx="59">
                  <c:v>30</c:v>
                </c:pt>
                <c:pt idx="60">
                  <c:v>28.8</c:v>
                </c:pt>
                <c:pt idx="61">
                  <c:v>28.5</c:v>
                </c:pt>
                <c:pt idx="62">
                  <c:v>28.3</c:v>
                </c:pt>
                <c:pt idx="63">
                  <c:v>27.9</c:v>
                </c:pt>
                <c:pt idx="64">
                  <c:v>27.6</c:v>
                </c:pt>
                <c:pt idx="65">
                  <c:v>27.6</c:v>
                </c:pt>
              </c:numCache>
            </c:numRef>
          </c:val>
          <c:smooth val="0"/>
          <c:extLst>
            <c:ext xmlns:c16="http://schemas.microsoft.com/office/drawing/2014/chart" uri="{C3380CC4-5D6E-409C-BE32-E72D297353CC}">
              <c16:uniqueId val="{00000002-B64C-4FE0-96FB-E455A568E2C9}"/>
            </c:ext>
          </c:extLst>
        </c:ser>
        <c:ser>
          <c:idx val="3"/>
          <c:order val="3"/>
          <c:tx>
            <c:strRef>
              <c:f>'Table1 and Table2 Summary'!$V$5</c:f>
              <c:strCache>
                <c:ptCount val="1"/>
                <c:pt idx="0">
                  <c:v>Four of more therapies</c:v>
                </c:pt>
              </c:strCache>
            </c:strRef>
          </c:tx>
          <c:spPr>
            <a:ln w="28575" cap="rnd">
              <a:solidFill>
                <a:schemeClr val="accent4"/>
              </a:solidFill>
              <a:round/>
            </a:ln>
            <a:effectLst/>
          </c:spPr>
          <c:marker>
            <c:symbol val="none"/>
          </c:marker>
          <c:cat>
            <c:numRef>
              <c:f>'Table1 and Table2 Summary'!$A$18:$A$83</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'Table1 and Table2 Summary'!$V$18:$V$83</c:f>
              <c:numCache>
                <c:formatCode>General</c:formatCode>
                <c:ptCount val="66"/>
                <c:pt idx="0">
                  <c:v>19</c:v>
                </c:pt>
                <c:pt idx="1">
                  <c:v>18.2</c:v>
                </c:pt>
                <c:pt idx="2">
                  <c:v>18</c:v>
                </c:pt>
                <c:pt idx="3">
                  <c:v>17</c:v>
                </c:pt>
                <c:pt idx="4">
                  <c:v>16</c:v>
                </c:pt>
                <c:pt idx="5">
                  <c:v>16.3</c:v>
                </c:pt>
                <c:pt idx="6">
                  <c:v>16.899999999999999</c:v>
                </c:pt>
                <c:pt idx="7">
                  <c:v>17.399999999999999</c:v>
                </c:pt>
                <c:pt idx="8">
                  <c:v>17.7</c:v>
                </c:pt>
                <c:pt idx="9">
                  <c:v>18.2</c:v>
                </c:pt>
                <c:pt idx="10">
                  <c:v>18.5</c:v>
                </c:pt>
                <c:pt idx="11">
                  <c:v>19.100000000000001</c:v>
                </c:pt>
                <c:pt idx="12">
                  <c:v>17.600000000000001</c:v>
                </c:pt>
                <c:pt idx="13">
                  <c:v>17.100000000000001</c:v>
                </c:pt>
                <c:pt idx="14">
                  <c:v>16.8</c:v>
                </c:pt>
                <c:pt idx="15">
                  <c:v>15.8</c:v>
                </c:pt>
                <c:pt idx="16">
                  <c:v>14.8</c:v>
                </c:pt>
                <c:pt idx="17">
                  <c:v>15</c:v>
                </c:pt>
                <c:pt idx="18">
                  <c:v>15.6</c:v>
                </c:pt>
                <c:pt idx="19">
                  <c:v>16</c:v>
                </c:pt>
                <c:pt idx="20">
                  <c:v>16.399999999999999</c:v>
                </c:pt>
                <c:pt idx="21">
                  <c:v>16.899999999999999</c:v>
                </c:pt>
                <c:pt idx="22">
                  <c:v>17.3</c:v>
                </c:pt>
                <c:pt idx="23">
                  <c:v>17.899999999999999</c:v>
                </c:pt>
                <c:pt idx="24">
                  <c:v>16.3</c:v>
                </c:pt>
                <c:pt idx="25">
                  <c:v>16.2</c:v>
                </c:pt>
                <c:pt idx="26">
                  <c:v>16</c:v>
                </c:pt>
                <c:pt idx="27">
                  <c:v>15.4</c:v>
                </c:pt>
                <c:pt idx="28">
                  <c:v>14.5</c:v>
                </c:pt>
                <c:pt idx="29">
                  <c:v>14.7</c:v>
                </c:pt>
                <c:pt idx="30">
                  <c:v>15.3</c:v>
                </c:pt>
                <c:pt idx="31">
                  <c:v>15.3</c:v>
                </c:pt>
                <c:pt idx="32">
                  <c:v>15.9</c:v>
                </c:pt>
                <c:pt idx="33">
                  <c:v>16.399999999999999</c:v>
                </c:pt>
                <c:pt idx="34">
                  <c:v>16.600000000000001</c:v>
                </c:pt>
                <c:pt idx="35">
                  <c:v>17.399999999999999</c:v>
                </c:pt>
                <c:pt idx="36">
                  <c:v>15.9</c:v>
                </c:pt>
                <c:pt idx="37">
                  <c:v>15.6</c:v>
                </c:pt>
                <c:pt idx="38">
                  <c:v>15.5</c:v>
                </c:pt>
                <c:pt idx="39">
                  <c:v>14.7</c:v>
                </c:pt>
                <c:pt idx="40">
                  <c:v>13.9</c:v>
                </c:pt>
                <c:pt idx="41">
                  <c:v>14.2</c:v>
                </c:pt>
                <c:pt idx="42">
                  <c:v>14.6</c:v>
                </c:pt>
                <c:pt idx="43">
                  <c:v>15</c:v>
                </c:pt>
                <c:pt idx="44">
                  <c:v>15.4</c:v>
                </c:pt>
                <c:pt idx="45">
                  <c:v>15.8</c:v>
                </c:pt>
                <c:pt idx="46">
                  <c:v>16.2</c:v>
                </c:pt>
                <c:pt idx="47">
                  <c:v>17</c:v>
                </c:pt>
                <c:pt idx="48">
                  <c:v>15.5</c:v>
                </c:pt>
                <c:pt idx="49">
                  <c:v>15.5</c:v>
                </c:pt>
                <c:pt idx="50">
                  <c:v>15.7</c:v>
                </c:pt>
                <c:pt idx="51">
                  <c:v>15</c:v>
                </c:pt>
                <c:pt idx="52">
                  <c:v>14.5</c:v>
                </c:pt>
                <c:pt idx="53">
                  <c:v>14.9</c:v>
                </c:pt>
                <c:pt idx="54">
                  <c:v>15.5</c:v>
                </c:pt>
                <c:pt idx="55">
                  <c:v>16.399999999999999</c:v>
                </c:pt>
                <c:pt idx="56">
                  <c:v>17.100000000000001</c:v>
                </c:pt>
                <c:pt idx="57">
                  <c:v>17.8</c:v>
                </c:pt>
                <c:pt idx="58">
                  <c:v>18.600000000000001</c:v>
                </c:pt>
                <c:pt idx="59">
                  <c:v>19.7</c:v>
                </c:pt>
                <c:pt idx="60">
                  <c:v>17.7</c:v>
                </c:pt>
                <c:pt idx="61">
                  <c:v>17.399999999999999</c:v>
                </c:pt>
                <c:pt idx="62">
                  <c:v>17.5</c:v>
                </c:pt>
                <c:pt idx="63">
                  <c:v>16.600000000000001</c:v>
                </c:pt>
                <c:pt idx="64">
                  <c:v>16.3</c:v>
                </c:pt>
                <c:pt idx="65">
                  <c:v>16.899999999999999</c:v>
                </c:pt>
              </c:numCache>
            </c:numRef>
          </c:val>
          <c:smooth val="0"/>
          <c:extLst>
            <c:ext xmlns:c16="http://schemas.microsoft.com/office/drawing/2014/chart" uri="{C3380CC4-5D6E-409C-BE32-E72D297353CC}">
              <c16:uniqueId val="{00000003-B64C-4FE0-96FB-E455A568E2C9}"/>
            </c:ext>
          </c:extLst>
        </c:ser>
        <c:dLbls>
          <c:showLegendKey val="0"/>
          <c:showVal val="0"/>
          <c:showCatName val="0"/>
          <c:showSerName val="0"/>
          <c:showPercent val="0"/>
          <c:showBubbleSize val="0"/>
        </c:dLbls>
        <c:smooth val="0"/>
        <c:axId val="187283704"/>
        <c:axId val="1"/>
      </c:lineChart>
      <c:dateAx>
        <c:axId val="187283704"/>
        <c:scaling>
          <c:orientation val="minMax"/>
        </c:scaling>
        <c:delete val="0"/>
        <c:axPos val="b"/>
        <c:numFmt formatCode="mmm\-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Offset val="100"/>
        <c:baseTimeUnit val="months"/>
        <c:majorUnit val="2"/>
        <c:majorTimeUnit val="months"/>
      </c:dateAx>
      <c:valAx>
        <c:axId val="1"/>
        <c:scaling>
          <c:orientation val="minMax"/>
        </c:scaling>
        <c:delete val="0"/>
        <c:axPos val="l"/>
        <c:title>
          <c:tx>
            <c:rich>
              <a:bodyPr/>
              <a:lstStyle/>
              <a:p>
                <a:pPr>
                  <a:defRPr b="0"/>
                </a:pPr>
                <a:r>
                  <a:rPr lang="en-US" b="0"/>
                  <a:t>Percent of prevalent users of HF restricted medicines</a:t>
                </a:r>
              </a:p>
            </c:rich>
          </c:tx>
          <c:overlay val="0"/>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283704"/>
        <c:crosses val="autoZero"/>
        <c:crossBetween val="between"/>
      </c:valAx>
      <c:spPr>
        <a:noFill/>
        <a:ln w="25400">
          <a:noFill/>
        </a:ln>
      </c:spPr>
    </c:plotArea>
    <c:legend>
      <c:legendPos val="r"/>
      <c:layout>
        <c:manualLayout>
          <c:xMode val="edge"/>
          <c:yMode val="edge"/>
          <c:x val="9.6201724784401949E-2"/>
          <c:y val="6.8967739792019658E-2"/>
          <c:w val="0.81666688538932641"/>
          <c:h val="8.0684740356822493E-2"/>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575080046643502"/>
          <c:y val="0.10952380952380951"/>
          <c:w val="0.79123445379134449"/>
          <c:h val="0.66308269158662858"/>
        </c:manualLayout>
      </c:layout>
      <c:areaChart>
        <c:grouping val="percentStacked"/>
        <c:varyColors val="0"/>
        <c:ser>
          <c:idx val="0"/>
          <c:order val="0"/>
          <c:tx>
            <c:strRef>
              <c:f>Top_Mono_Dual_Triple_Tb1_Tb2!$AA$2</c:f>
              <c:strCache>
                <c:ptCount val="1"/>
                <c:pt idx="0">
                  <c:v>BB</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cat>
            <c:numRef>
              <c:f>Top_Mono_Dual_Triple_Tb1_Tb2!$A$15:$A$80</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Top_Mono_Dual_Triple_Tb1_Tb2!$AA$15:$AA$80</c:f>
              <c:numCache>
                <c:formatCode>General</c:formatCode>
                <c:ptCount val="66"/>
                <c:pt idx="0">
                  <c:v>15167</c:v>
                </c:pt>
                <c:pt idx="1">
                  <c:v>16213</c:v>
                </c:pt>
                <c:pt idx="2">
                  <c:v>17539</c:v>
                </c:pt>
                <c:pt idx="3">
                  <c:v>17702</c:v>
                </c:pt>
                <c:pt idx="4">
                  <c:v>19187</c:v>
                </c:pt>
                <c:pt idx="5">
                  <c:v>18833</c:v>
                </c:pt>
                <c:pt idx="6">
                  <c:v>18939</c:v>
                </c:pt>
                <c:pt idx="7">
                  <c:v>18876</c:v>
                </c:pt>
                <c:pt idx="8">
                  <c:v>18166</c:v>
                </c:pt>
                <c:pt idx="9">
                  <c:v>18995</c:v>
                </c:pt>
                <c:pt idx="10">
                  <c:v>18796</c:v>
                </c:pt>
                <c:pt idx="11">
                  <c:v>18945</c:v>
                </c:pt>
                <c:pt idx="12">
                  <c:v>17445</c:v>
                </c:pt>
                <c:pt idx="13">
                  <c:v>18683</c:v>
                </c:pt>
                <c:pt idx="14">
                  <c:v>19910</c:v>
                </c:pt>
                <c:pt idx="15">
                  <c:v>20568</c:v>
                </c:pt>
                <c:pt idx="16">
                  <c:v>22166</c:v>
                </c:pt>
                <c:pt idx="17">
                  <c:v>21185</c:v>
                </c:pt>
                <c:pt idx="18">
                  <c:v>21801</c:v>
                </c:pt>
                <c:pt idx="19">
                  <c:v>21751</c:v>
                </c:pt>
                <c:pt idx="20">
                  <c:v>21336</c:v>
                </c:pt>
                <c:pt idx="21">
                  <c:v>22122</c:v>
                </c:pt>
                <c:pt idx="22">
                  <c:v>21742</c:v>
                </c:pt>
                <c:pt idx="23">
                  <c:v>22117</c:v>
                </c:pt>
                <c:pt idx="24">
                  <c:v>20407</c:v>
                </c:pt>
                <c:pt idx="25">
                  <c:v>22331</c:v>
                </c:pt>
                <c:pt idx="26">
                  <c:v>24893</c:v>
                </c:pt>
                <c:pt idx="27">
                  <c:v>22374</c:v>
                </c:pt>
                <c:pt idx="28">
                  <c:v>24766</c:v>
                </c:pt>
                <c:pt idx="29">
                  <c:v>25238</c:v>
                </c:pt>
                <c:pt idx="30">
                  <c:v>25839</c:v>
                </c:pt>
                <c:pt idx="31">
                  <c:v>25505</c:v>
                </c:pt>
                <c:pt idx="32">
                  <c:v>25414</c:v>
                </c:pt>
                <c:pt idx="33">
                  <c:v>25406</c:v>
                </c:pt>
                <c:pt idx="34">
                  <c:v>25137</c:v>
                </c:pt>
                <c:pt idx="35">
                  <c:v>25898</c:v>
                </c:pt>
                <c:pt idx="36">
                  <c:v>22651</c:v>
                </c:pt>
                <c:pt idx="37">
                  <c:v>24458</c:v>
                </c:pt>
                <c:pt idx="38">
                  <c:v>26915</c:v>
                </c:pt>
                <c:pt idx="39">
                  <c:v>27003</c:v>
                </c:pt>
                <c:pt idx="40">
                  <c:v>28434</c:v>
                </c:pt>
                <c:pt idx="41">
                  <c:v>28437</c:v>
                </c:pt>
                <c:pt idx="42">
                  <c:v>28744</c:v>
                </c:pt>
                <c:pt idx="43">
                  <c:v>28676</c:v>
                </c:pt>
                <c:pt idx="44">
                  <c:v>28416</c:v>
                </c:pt>
                <c:pt idx="45">
                  <c:v>28268</c:v>
                </c:pt>
                <c:pt idx="46">
                  <c:v>28439</c:v>
                </c:pt>
                <c:pt idx="47">
                  <c:v>28543</c:v>
                </c:pt>
                <c:pt idx="48">
                  <c:v>24228</c:v>
                </c:pt>
                <c:pt idx="49">
                  <c:v>25443</c:v>
                </c:pt>
                <c:pt idx="50">
                  <c:v>27796</c:v>
                </c:pt>
                <c:pt idx="51">
                  <c:v>26436</c:v>
                </c:pt>
                <c:pt idx="52">
                  <c:v>27832</c:v>
                </c:pt>
                <c:pt idx="53">
                  <c:v>27573</c:v>
                </c:pt>
                <c:pt idx="54">
                  <c:v>27416</c:v>
                </c:pt>
                <c:pt idx="55">
                  <c:v>27720</c:v>
                </c:pt>
                <c:pt idx="56">
                  <c:v>27269</c:v>
                </c:pt>
                <c:pt idx="57">
                  <c:v>26577</c:v>
                </c:pt>
                <c:pt idx="58">
                  <c:v>26710</c:v>
                </c:pt>
                <c:pt idx="59">
                  <c:v>27124</c:v>
                </c:pt>
                <c:pt idx="60">
                  <c:v>27473</c:v>
                </c:pt>
                <c:pt idx="61">
                  <c:v>29460</c:v>
                </c:pt>
                <c:pt idx="62">
                  <c:v>31968</c:v>
                </c:pt>
                <c:pt idx="63">
                  <c:v>31630</c:v>
                </c:pt>
                <c:pt idx="64">
                  <c:v>34071</c:v>
                </c:pt>
                <c:pt idx="65">
                  <c:v>33338</c:v>
                </c:pt>
              </c:numCache>
            </c:numRef>
          </c:val>
          <c:extLst>
            <c:ext xmlns:c16="http://schemas.microsoft.com/office/drawing/2014/chart" uri="{C3380CC4-5D6E-409C-BE32-E72D297353CC}">
              <c16:uniqueId val="{00000000-BF18-4195-9AAB-54AAAA10B1E8}"/>
            </c:ext>
          </c:extLst>
        </c:ser>
        <c:ser>
          <c:idx val="1"/>
          <c:order val="1"/>
          <c:tx>
            <c:strRef>
              <c:f>Top_Mono_Dual_Triple_Tb1_Tb2!$AB$2</c:f>
              <c:strCache>
                <c:ptCount val="1"/>
                <c:pt idx="0">
                  <c:v>MRA (for HF)</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cat>
            <c:numRef>
              <c:f>Top_Mono_Dual_Triple_Tb1_Tb2!$A$15:$A$80</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Top_Mono_Dual_Triple_Tb1_Tb2!$AB$15:$AB$80</c:f>
              <c:numCache>
                <c:formatCode>General</c:formatCode>
                <c:ptCount val="66"/>
                <c:pt idx="0">
                  <c:v>720</c:v>
                </c:pt>
                <c:pt idx="1">
                  <c:v>760</c:v>
                </c:pt>
                <c:pt idx="2">
                  <c:v>841</c:v>
                </c:pt>
                <c:pt idx="3">
                  <c:v>850</c:v>
                </c:pt>
                <c:pt idx="4">
                  <c:v>914</c:v>
                </c:pt>
                <c:pt idx="5">
                  <c:v>846</c:v>
                </c:pt>
                <c:pt idx="6">
                  <c:v>889</c:v>
                </c:pt>
                <c:pt idx="7">
                  <c:v>869</c:v>
                </c:pt>
                <c:pt idx="8">
                  <c:v>813</c:v>
                </c:pt>
                <c:pt idx="9">
                  <c:v>803</c:v>
                </c:pt>
                <c:pt idx="10">
                  <c:v>761</c:v>
                </c:pt>
                <c:pt idx="11">
                  <c:v>764</c:v>
                </c:pt>
                <c:pt idx="12">
                  <c:v>746</c:v>
                </c:pt>
                <c:pt idx="13">
                  <c:v>830</c:v>
                </c:pt>
                <c:pt idx="14">
                  <c:v>882</c:v>
                </c:pt>
                <c:pt idx="15">
                  <c:v>943</c:v>
                </c:pt>
                <c:pt idx="16">
                  <c:v>998</c:v>
                </c:pt>
                <c:pt idx="17">
                  <c:v>940</c:v>
                </c:pt>
                <c:pt idx="18">
                  <c:v>972</c:v>
                </c:pt>
                <c:pt idx="19">
                  <c:v>936</c:v>
                </c:pt>
                <c:pt idx="20">
                  <c:v>895</c:v>
                </c:pt>
                <c:pt idx="21">
                  <c:v>904</c:v>
                </c:pt>
                <c:pt idx="22">
                  <c:v>885</c:v>
                </c:pt>
                <c:pt idx="23">
                  <c:v>863</c:v>
                </c:pt>
                <c:pt idx="24">
                  <c:v>880</c:v>
                </c:pt>
                <c:pt idx="25">
                  <c:v>919</c:v>
                </c:pt>
                <c:pt idx="26">
                  <c:v>1099</c:v>
                </c:pt>
                <c:pt idx="27">
                  <c:v>936</c:v>
                </c:pt>
                <c:pt idx="28">
                  <c:v>985</c:v>
                </c:pt>
                <c:pt idx="29">
                  <c:v>1029</c:v>
                </c:pt>
                <c:pt idx="30">
                  <c:v>1017</c:v>
                </c:pt>
                <c:pt idx="31">
                  <c:v>991</c:v>
                </c:pt>
                <c:pt idx="32">
                  <c:v>968</c:v>
                </c:pt>
                <c:pt idx="33">
                  <c:v>948</c:v>
                </c:pt>
                <c:pt idx="34">
                  <c:v>853</c:v>
                </c:pt>
                <c:pt idx="35">
                  <c:v>913</c:v>
                </c:pt>
                <c:pt idx="36">
                  <c:v>895</c:v>
                </c:pt>
                <c:pt idx="37">
                  <c:v>924</c:v>
                </c:pt>
                <c:pt idx="38">
                  <c:v>1076</c:v>
                </c:pt>
                <c:pt idx="39">
                  <c:v>1089</c:v>
                </c:pt>
                <c:pt idx="40">
                  <c:v>1088</c:v>
                </c:pt>
                <c:pt idx="41">
                  <c:v>1106</c:v>
                </c:pt>
                <c:pt idx="42">
                  <c:v>1097</c:v>
                </c:pt>
                <c:pt idx="43">
                  <c:v>1110</c:v>
                </c:pt>
                <c:pt idx="44">
                  <c:v>1060</c:v>
                </c:pt>
                <c:pt idx="45">
                  <c:v>1031</c:v>
                </c:pt>
                <c:pt idx="46">
                  <c:v>1005</c:v>
                </c:pt>
                <c:pt idx="47">
                  <c:v>989</c:v>
                </c:pt>
                <c:pt idx="48">
                  <c:v>965</c:v>
                </c:pt>
                <c:pt idx="49">
                  <c:v>1047</c:v>
                </c:pt>
                <c:pt idx="50">
                  <c:v>1173</c:v>
                </c:pt>
                <c:pt idx="51">
                  <c:v>1174</c:v>
                </c:pt>
                <c:pt idx="52">
                  <c:v>1220</c:v>
                </c:pt>
                <c:pt idx="53">
                  <c:v>1227</c:v>
                </c:pt>
                <c:pt idx="54">
                  <c:v>1206</c:v>
                </c:pt>
                <c:pt idx="55">
                  <c:v>1184</c:v>
                </c:pt>
                <c:pt idx="56">
                  <c:v>1160</c:v>
                </c:pt>
                <c:pt idx="57">
                  <c:v>1098</c:v>
                </c:pt>
                <c:pt idx="58">
                  <c:v>1040</c:v>
                </c:pt>
                <c:pt idx="59">
                  <c:v>1011</c:v>
                </c:pt>
                <c:pt idx="60">
                  <c:v>1045</c:v>
                </c:pt>
                <c:pt idx="61">
                  <c:v>1095</c:v>
                </c:pt>
                <c:pt idx="62">
                  <c:v>1230</c:v>
                </c:pt>
                <c:pt idx="63">
                  <c:v>1181</c:v>
                </c:pt>
                <c:pt idx="64">
                  <c:v>1281</c:v>
                </c:pt>
                <c:pt idx="65">
                  <c:v>1239</c:v>
                </c:pt>
              </c:numCache>
            </c:numRef>
          </c:val>
          <c:extLst>
            <c:ext xmlns:c16="http://schemas.microsoft.com/office/drawing/2014/chart" uri="{C3380CC4-5D6E-409C-BE32-E72D297353CC}">
              <c16:uniqueId val="{00000001-BF18-4195-9AAB-54AAAA10B1E8}"/>
            </c:ext>
          </c:extLst>
        </c:ser>
        <c:ser>
          <c:idx val="2"/>
          <c:order val="2"/>
          <c:tx>
            <c:strRef>
              <c:f>Top_Mono_Dual_Triple_Tb1_Tb2!$AC$2</c:f>
              <c:strCache>
                <c:ptCount val="1"/>
                <c:pt idx="0">
                  <c:v>ARNI</c:v>
                </c:pt>
              </c:strCache>
            </c:strRef>
          </c:tx>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cat>
            <c:numRef>
              <c:f>Top_Mono_Dual_Triple_Tb1_Tb2!$A$15:$A$80</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Top_Mono_Dual_Triple_Tb1_Tb2!$AC$15:$AC$80</c:f>
              <c:numCache>
                <c:formatCode>General</c:formatCode>
                <c:ptCount val="66"/>
                <c:pt idx="0">
                  <c:v>1625</c:v>
                </c:pt>
                <c:pt idx="1">
                  <c:v>1751</c:v>
                </c:pt>
                <c:pt idx="2">
                  <c:v>2016</c:v>
                </c:pt>
                <c:pt idx="3">
                  <c:v>2146</c:v>
                </c:pt>
                <c:pt idx="4">
                  <c:v>2494</c:v>
                </c:pt>
                <c:pt idx="5">
                  <c:v>2590</c:v>
                </c:pt>
                <c:pt idx="6">
                  <c:v>2777</c:v>
                </c:pt>
                <c:pt idx="7">
                  <c:v>2823</c:v>
                </c:pt>
                <c:pt idx="8">
                  <c:v>2911</c:v>
                </c:pt>
                <c:pt idx="9">
                  <c:v>3005</c:v>
                </c:pt>
                <c:pt idx="10">
                  <c:v>3081</c:v>
                </c:pt>
                <c:pt idx="11">
                  <c:v>3027</c:v>
                </c:pt>
                <c:pt idx="12">
                  <c:v>3370</c:v>
                </c:pt>
                <c:pt idx="13">
                  <c:v>3577</c:v>
                </c:pt>
                <c:pt idx="14">
                  <c:v>3796</c:v>
                </c:pt>
                <c:pt idx="15">
                  <c:v>4037</c:v>
                </c:pt>
                <c:pt idx="16">
                  <c:v>4507</c:v>
                </c:pt>
                <c:pt idx="17">
                  <c:v>4490</c:v>
                </c:pt>
                <c:pt idx="18">
                  <c:v>4590</c:v>
                </c:pt>
                <c:pt idx="19">
                  <c:v>4692</c:v>
                </c:pt>
                <c:pt idx="20">
                  <c:v>4696</c:v>
                </c:pt>
                <c:pt idx="21">
                  <c:v>4769</c:v>
                </c:pt>
                <c:pt idx="22">
                  <c:v>4727</c:v>
                </c:pt>
                <c:pt idx="23">
                  <c:v>4680</c:v>
                </c:pt>
                <c:pt idx="24">
                  <c:v>5080</c:v>
                </c:pt>
                <c:pt idx="25">
                  <c:v>5279</c:v>
                </c:pt>
                <c:pt idx="26">
                  <c:v>5798</c:v>
                </c:pt>
                <c:pt idx="27">
                  <c:v>5339</c:v>
                </c:pt>
                <c:pt idx="28">
                  <c:v>6054</c:v>
                </c:pt>
                <c:pt idx="29">
                  <c:v>6199</c:v>
                </c:pt>
                <c:pt idx="30">
                  <c:v>6289</c:v>
                </c:pt>
                <c:pt idx="31">
                  <c:v>6163</c:v>
                </c:pt>
                <c:pt idx="32">
                  <c:v>6100</c:v>
                </c:pt>
                <c:pt idx="33">
                  <c:v>6095</c:v>
                </c:pt>
                <c:pt idx="34">
                  <c:v>5979</c:v>
                </c:pt>
                <c:pt idx="35">
                  <c:v>5895</c:v>
                </c:pt>
                <c:pt idx="36">
                  <c:v>6453</c:v>
                </c:pt>
                <c:pt idx="37">
                  <c:v>6432</c:v>
                </c:pt>
                <c:pt idx="38">
                  <c:v>7063</c:v>
                </c:pt>
                <c:pt idx="39">
                  <c:v>7361</c:v>
                </c:pt>
                <c:pt idx="40">
                  <c:v>8179</c:v>
                </c:pt>
                <c:pt idx="41">
                  <c:v>8101</c:v>
                </c:pt>
                <c:pt idx="42">
                  <c:v>8345</c:v>
                </c:pt>
                <c:pt idx="43">
                  <c:v>8336</c:v>
                </c:pt>
                <c:pt idx="44">
                  <c:v>8156</c:v>
                </c:pt>
                <c:pt idx="45">
                  <c:v>8146</c:v>
                </c:pt>
                <c:pt idx="46">
                  <c:v>7952</c:v>
                </c:pt>
                <c:pt idx="47">
                  <c:v>7633</c:v>
                </c:pt>
                <c:pt idx="48">
                  <c:v>8308</c:v>
                </c:pt>
                <c:pt idx="49">
                  <c:v>8308</c:v>
                </c:pt>
                <c:pt idx="50">
                  <c:v>8809</c:v>
                </c:pt>
                <c:pt idx="51">
                  <c:v>9107</c:v>
                </c:pt>
                <c:pt idx="52">
                  <c:v>9624</c:v>
                </c:pt>
                <c:pt idx="53">
                  <c:v>9469</c:v>
                </c:pt>
                <c:pt idx="54">
                  <c:v>9148</c:v>
                </c:pt>
                <c:pt idx="55">
                  <c:v>8983</c:v>
                </c:pt>
                <c:pt idx="56">
                  <c:v>8663</c:v>
                </c:pt>
                <c:pt idx="57">
                  <c:v>8465</c:v>
                </c:pt>
                <c:pt idx="58">
                  <c:v>8145</c:v>
                </c:pt>
                <c:pt idx="59">
                  <c:v>7725</c:v>
                </c:pt>
                <c:pt idx="60">
                  <c:v>8021</c:v>
                </c:pt>
                <c:pt idx="61">
                  <c:v>8051</c:v>
                </c:pt>
                <c:pt idx="62">
                  <c:v>8380</c:v>
                </c:pt>
                <c:pt idx="63">
                  <c:v>8590</c:v>
                </c:pt>
                <c:pt idx="64">
                  <c:v>9194</c:v>
                </c:pt>
                <c:pt idx="65">
                  <c:v>8980</c:v>
                </c:pt>
              </c:numCache>
            </c:numRef>
          </c:val>
          <c:extLst>
            <c:ext xmlns:c16="http://schemas.microsoft.com/office/drawing/2014/chart" uri="{C3380CC4-5D6E-409C-BE32-E72D297353CC}">
              <c16:uniqueId val="{00000002-BF18-4195-9AAB-54AAAA10B1E8}"/>
            </c:ext>
          </c:extLst>
        </c:ser>
        <c:ser>
          <c:idx val="3"/>
          <c:order val="3"/>
          <c:tx>
            <c:strRef>
              <c:f>Top_Mono_Dual_Triple_Tb1_Tb2!$AD$2</c:f>
              <c:strCache>
                <c:ptCount val="1"/>
                <c:pt idx="0">
                  <c:v>SGLT2 (for HF)</c:v>
                </c:pt>
              </c:strCache>
            </c:strRef>
          </c:tx>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cat>
            <c:numRef>
              <c:f>Top_Mono_Dual_Triple_Tb1_Tb2!$A$15:$A$80</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Top_Mono_Dual_Triple_Tb1_Tb2!$AD$15:$AD$80</c:f>
              <c:numCache>
                <c:formatCode>General</c:formatCode>
                <c:ptCount val="66"/>
                <c:pt idx="48">
                  <c:v>116</c:v>
                </c:pt>
                <c:pt idx="49">
                  <c:v>288</c:v>
                </c:pt>
                <c:pt idx="50">
                  <c:v>491</c:v>
                </c:pt>
                <c:pt idx="51">
                  <c:v>744</c:v>
                </c:pt>
                <c:pt idx="52">
                  <c:v>1130</c:v>
                </c:pt>
                <c:pt idx="53">
                  <c:v>1413</c:v>
                </c:pt>
                <c:pt idx="54">
                  <c:v>1686</c:v>
                </c:pt>
                <c:pt idx="55">
                  <c:v>1994</c:v>
                </c:pt>
                <c:pt idx="56">
                  <c:v>2222</c:v>
                </c:pt>
                <c:pt idx="57">
                  <c:v>2457</c:v>
                </c:pt>
                <c:pt idx="58">
                  <c:v>2647</c:v>
                </c:pt>
                <c:pt idx="59">
                  <c:v>2523</c:v>
                </c:pt>
                <c:pt idx="60">
                  <c:v>2581</c:v>
                </c:pt>
                <c:pt idx="61">
                  <c:v>2882</c:v>
                </c:pt>
                <c:pt idx="62">
                  <c:v>3241</c:v>
                </c:pt>
                <c:pt idx="63">
                  <c:v>3279</c:v>
                </c:pt>
                <c:pt idx="64">
                  <c:v>3611</c:v>
                </c:pt>
                <c:pt idx="65">
                  <c:v>3724</c:v>
                </c:pt>
              </c:numCache>
            </c:numRef>
          </c:val>
          <c:extLst>
            <c:ext xmlns:c16="http://schemas.microsoft.com/office/drawing/2014/chart" uri="{C3380CC4-5D6E-409C-BE32-E72D297353CC}">
              <c16:uniqueId val="{00000003-BF18-4195-9AAB-54AAAA10B1E8}"/>
            </c:ext>
          </c:extLst>
        </c:ser>
        <c:dLbls>
          <c:showLegendKey val="0"/>
          <c:showVal val="0"/>
          <c:showCatName val="0"/>
          <c:showSerName val="0"/>
          <c:showPercent val="0"/>
          <c:showBubbleSize val="0"/>
        </c:dLbls>
        <c:axId val="186625784"/>
        <c:axId val="1"/>
      </c:areaChart>
      <c:dateAx>
        <c:axId val="186625784"/>
        <c:scaling>
          <c:orientation val="minMax"/>
        </c:scaling>
        <c:delete val="0"/>
        <c:axPos val="b"/>
        <c:numFmt formatCode="mmm\-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
        <c:crosses val="autoZero"/>
        <c:auto val="1"/>
        <c:lblOffset val="100"/>
        <c:baseTimeUnit val="months"/>
        <c:majorUnit val="2"/>
        <c:majorTimeUnit val="months"/>
      </c:date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US"/>
                  <a:t>Percent of Monotherapy</a:t>
                </a:r>
                <a:r>
                  <a:rPr lang="en-US" baseline="0"/>
                  <a:t> </a:t>
                </a:r>
                <a:r>
                  <a:rPr lang="en-US"/>
                  <a:t>population</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8662578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77123655022847"/>
          <c:y val="7.9971671684592821E-2"/>
          <c:w val="0.82027507252382925"/>
          <c:h val="0.59831703492884125"/>
        </c:manualLayout>
      </c:layout>
      <c:areaChart>
        <c:grouping val="percentStacked"/>
        <c:varyColors val="0"/>
        <c:ser>
          <c:idx val="0"/>
          <c:order val="0"/>
          <c:tx>
            <c:strRef>
              <c:f>Top_Mono_Dual_Triple_Tb1_Tb2!$C$2</c:f>
              <c:strCache>
                <c:ptCount val="1"/>
                <c:pt idx="0">
                  <c:v>BB+ACE</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cat>
            <c:numRef>
              <c:f>Top_Mono_Dual_Triple_Tb1_Tb2!$A$15:$A$80</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Top_Mono_Dual_Triple_Tb1_Tb2!$C$15:$C$80</c:f>
              <c:numCache>
                <c:formatCode>General</c:formatCode>
                <c:ptCount val="66"/>
                <c:pt idx="0">
                  <c:v>18396</c:v>
                </c:pt>
                <c:pt idx="1">
                  <c:v>18646</c:v>
                </c:pt>
                <c:pt idx="2">
                  <c:v>19923</c:v>
                </c:pt>
                <c:pt idx="3">
                  <c:v>19972</c:v>
                </c:pt>
                <c:pt idx="4">
                  <c:v>21367</c:v>
                </c:pt>
                <c:pt idx="5">
                  <c:v>20723</c:v>
                </c:pt>
                <c:pt idx="6">
                  <c:v>20937</c:v>
                </c:pt>
                <c:pt idx="7">
                  <c:v>21068</c:v>
                </c:pt>
                <c:pt idx="8">
                  <c:v>20428</c:v>
                </c:pt>
                <c:pt idx="9">
                  <c:v>21513</c:v>
                </c:pt>
                <c:pt idx="10">
                  <c:v>21412</c:v>
                </c:pt>
                <c:pt idx="11">
                  <c:v>21953</c:v>
                </c:pt>
                <c:pt idx="12">
                  <c:v>19039</c:v>
                </c:pt>
                <c:pt idx="13">
                  <c:v>19029</c:v>
                </c:pt>
                <c:pt idx="14">
                  <c:v>20234</c:v>
                </c:pt>
                <c:pt idx="15">
                  <c:v>20802</c:v>
                </c:pt>
                <c:pt idx="16">
                  <c:v>22092</c:v>
                </c:pt>
                <c:pt idx="17">
                  <c:v>21088</c:v>
                </c:pt>
                <c:pt idx="18">
                  <c:v>22041</c:v>
                </c:pt>
                <c:pt idx="19">
                  <c:v>21925</c:v>
                </c:pt>
                <c:pt idx="20">
                  <c:v>21496</c:v>
                </c:pt>
                <c:pt idx="21">
                  <c:v>22414</c:v>
                </c:pt>
                <c:pt idx="22">
                  <c:v>22134</c:v>
                </c:pt>
                <c:pt idx="23">
                  <c:v>23017</c:v>
                </c:pt>
                <c:pt idx="24">
                  <c:v>20027</c:v>
                </c:pt>
                <c:pt idx="25">
                  <c:v>20327</c:v>
                </c:pt>
                <c:pt idx="26">
                  <c:v>22314</c:v>
                </c:pt>
                <c:pt idx="27">
                  <c:v>20779</c:v>
                </c:pt>
                <c:pt idx="28">
                  <c:v>22318</c:v>
                </c:pt>
                <c:pt idx="29">
                  <c:v>23150</c:v>
                </c:pt>
                <c:pt idx="30">
                  <c:v>23870</c:v>
                </c:pt>
                <c:pt idx="31">
                  <c:v>23717</c:v>
                </c:pt>
                <c:pt idx="32">
                  <c:v>24003</c:v>
                </c:pt>
                <c:pt idx="33">
                  <c:v>24584</c:v>
                </c:pt>
                <c:pt idx="34">
                  <c:v>24253</c:v>
                </c:pt>
                <c:pt idx="35">
                  <c:v>25542</c:v>
                </c:pt>
                <c:pt idx="36">
                  <c:v>20880</c:v>
                </c:pt>
                <c:pt idx="37">
                  <c:v>21619</c:v>
                </c:pt>
                <c:pt idx="38">
                  <c:v>23193</c:v>
                </c:pt>
                <c:pt idx="39">
                  <c:v>23152</c:v>
                </c:pt>
                <c:pt idx="40">
                  <c:v>24041</c:v>
                </c:pt>
                <c:pt idx="41">
                  <c:v>24063</c:v>
                </c:pt>
                <c:pt idx="42">
                  <c:v>24495</c:v>
                </c:pt>
                <c:pt idx="43">
                  <c:v>24654</c:v>
                </c:pt>
                <c:pt idx="44">
                  <c:v>24455</c:v>
                </c:pt>
                <c:pt idx="45">
                  <c:v>24646</c:v>
                </c:pt>
                <c:pt idx="46">
                  <c:v>25074</c:v>
                </c:pt>
                <c:pt idx="47">
                  <c:v>25780</c:v>
                </c:pt>
                <c:pt idx="48">
                  <c:v>21427</c:v>
                </c:pt>
                <c:pt idx="49">
                  <c:v>21985</c:v>
                </c:pt>
                <c:pt idx="50">
                  <c:v>23457</c:v>
                </c:pt>
                <c:pt idx="51">
                  <c:v>23240</c:v>
                </c:pt>
                <c:pt idx="52">
                  <c:v>24490</c:v>
                </c:pt>
                <c:pt idx="53">
                  <c:v>24166</c:v>
                </c:pt>
                <c:pt idx="54">
                  <c:v>24181</c:v>
                </c:pt>
                <c:pt idx="55">
                  <c:v>24848</c:v>
                </c:pt>
                <c:pt idx="56">
                  <c:v>24450</c:v>
                </c:pt>
                <c:pt idx="57">
                  <c:v>24672</c:v>
                </c:pt>
                <c:pt idx="58">
                  <c:v>24801</c:v>
                </c:pt>
                <c:pt idx="59">
                  <c:v>25790</c:v>
                </c:pt>
                <c:pt idx="60">
                  <c:v>20964</c:v>
                </c:pt>
                <c:pt idx="61">
                  <c:v>21610</c:v>
                </c:pt>
                <c:pt idx="62">
                  <c:v>23238</c:v>
                </c:pt>
                <c:pt idx="63">
                  <c:v>22787</c:v>
                </c:pt>
                <c:pt idx="64">
                  <c:v>24670</c:v>
                </c:pt>
                <c:pt idx="65">
                  <c:v>24079</c:v>
                </c:pt>
              </c:numCache>
            </c:numRef>
          </c:val>
          <c:extLst>
            <c:ext xmlns:c16="http://schemas.microsoft.com/office/drawing/2014/chart" uri="{C3380CC4-5D6E-409C-BE32-E72D297353CC}">
              <c16:uniqueId val="{00000000-74A0-46FD-B2FA-D8468606BC8B}"/>
            </c:ext>
          </c:extLst>
        </c:ser>
        <c:ser>
          <c:idx val="1"/>
          <c:order val="1"/>
          <c:tx>
            <c:strRef>
              <c:f>Top_Mono_Dual_Triple_Tb1_Tb2!$D$2</c:f>
              <c:strCache>
                <c:ptCount val="1"/>
                <c:pt idx="0">
                  <c:v>BB+ARB</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cat>
            <c:numRef>
              <c:f>Top_Mono_Dual_Triple_Tb1_Tb2!$A$15:$A$80</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Top_Mono_Dual_Triple_Tb1_Tb2!$D$15:$D$80</c:f>
              <c:numCache>
                <c:formatCode>General</c:formatCode>
                <c:ptCount val="66"/>
                <c:pt idx="0">
                  <c:v>9143</c:v>
                </c:pt>
                <c:pt idx="1">
                  <c:v>9175</c:v>
                </c:pt>
                <c:pt idx="2">
                  <c:v>9893</c:v>
                </c:pt>
                <c:pt idx="3">
                  <c:v>10197</c:v>
                </c:pt>
                <c:pt idx="4">
                  <c:v>11106</c:v>
                </c:pt>
                <c:pt idx="5">
                  <c:v>10763</c:v>
                </c:pt>
                <c:pt idx="6">
                  <c:v>10971</c:v>
                </c:pt>
                <c:pt idx="7">
                  <c:v>11030</c:v>
                </c:pt>
                <c:pt idx="8">
                  <c:v>10832</c:v>
                </c:pt>
                <c:pt idx="9">
                  <c:v>11433</c:v>
                </c:pt>
                <c:pt idx="10">
                  <c:v>11516</c:v>
                </c:pt>
                <c:pt idx="11">
                  <c:v>11829</c:v>
                </c:pt>
                <c:pt idx="12">
                  <c:v>10133</c:v>
                </c:pt>
                <c:pt idx="13">
                  <c:v>10283</c:v>
                </c:pt>
                <c:pt idx="14">
                  <c:v>11023</c:v>
                </c:pt>
                <c:pt idx="15">
                  <c:v>11289</c:v>
                </c:pt>
                <c:pt idx="16">
                  <c:v>12187</c:v>
                </c:pt>
                <c:pt idx="17">
                  <c:v>11784</c:v>
                </c:pt>
                <c:pt idx="18">
                  <c:v>12260</c:v>
                </c:pt>
                <c:pt idx="19">
                  <c:v>12215</c:v>
                </c:pt>
                <c:pt idx="20">
                  <c:v>12137</c:v>
                </c:pt>
                <c:pt idx="21">
                  <c:v>12609</c:v>
                </c:pt>
                <c:pt idx="22">
                  <c:v>12680</c:v>
                </c:pt>
                <c:pt idx="23">
                  <c:v>13274</c:v>
                </c:pt>
                <c:pt idx="24">
                  <c:v>11278</c:v>
                </c:pt>
                <c:pt idx="25">
                  <c:v>11688</c:v>
                </c:pt>
                <c:pt idx="26">
                  <c:v>13060</c:v>
                </c:pt>
                <c:pt idx="27">
                  <c:v>12032</c:v>
                </c:pt>
                <c:pt idx="28">
                  <c:v>12917</c:v>
                </c:pt>
                <c:pt idx="29">
                  <c:v>13467</c:v>
                </c:pt>
                <c:pt idx="30">
                  <c:v>14082</c:v>
                </c:pt>
                <c:pt idx="31">
                  <c:v>14110</c:v>
                </c:pt>
                <c:pt idx="32">
                  <c:v>14475</c:v>
                </c:pt>
                <c:pt idx="33">
                  <c:v>14724</c:v>
                </c:pt>
                <c:pt idx="34">
                  <c:v>14738</c:v>
                </c:pt>
                <c:pt idx="35">
                  <c:v>15412</c:v>
                </c:pt>
                <c:pt idx="36">
                  <c:v>12552</c:v>
                </c:pt>
                <c:pt idx="37">
                  <c:v>13243</c:v>
                </c:pt>
                <c:pt idx="38">
                  <c:v>14287</c:v>
                </c:pt>
                <c:pt idx="39">
                  <c:v>14490</c:v>
                </c:pt>
                <c:pt idx="40">
                  <c:v>15181</c:v>
                </c:pt>
                <c:pt idx="41">
                  <c:v>15475</c:v>
                </c:pt>
                <c:pt idx="42">
                  <c:v>15713</c:v>
                </c:pt>
                <c:pt idx="43">
                  <c:v>15851</c:v>
                </c:pt>
                <c:pt idx="44">
                  <c:v>15901</c:v>
                </c:pt>
                <c:pt idx="45">
                  <c:v>16158</c:v>
                </c:pt>
                <c:pt idx="46">
                  <c:v>16391</c:v>
                </c:pt>
                <c:pt idx="47">
                  <c:v>17021</c:v>
                </c:pt>
                <c:pt idx="48">
                  <c:v>13918</c:v>
                </c:pt>
                <c:pt idx="49">
                  <c:v>14276</c:v>
                </c:pt>
                <c:pt idx="50">
                  <c:v>15408</c:v>
                </c:pt>
                <c:pt idx="51">
                  <c:v>15460</c:v>
                </c:pt>
                <c:pt idx="52">
                  <c:v>16501</c:v>
                </c:pt>
                <c:pt idx="53">
                  <c:v>16459</c:v>
                </c:pt>
                <c:pt idx="54">
                  <c:v>16617</c:v>
                </c:pt>
                <c:pt idx="55">
                  <c:v>17118</c:v>
                </c:pt>
                <c:pt idx="56">
                  <c:v>16997</c:v>
                </c:pt>
                <c:pt idx="57">
                  <c:v>17159</c:v>
                </c:pt>
                <c:pt idx="58">
                  <c:v>17492</c:v>
                </c:pt>
                <c:pt idx="59">
                  <c:v>18340</c:v>
                </c:pt>
                <c:pt idx="60">
                  <c:v>14923</c:v>
                </c:pt>
                <c:pt idx="61">
                  <c:v>15295</c:v>
                </c:pt>
                <c:pt idx="62">
                  <c:v>16708</c:v>
                </c:pt>
                <c:pt idx="63">
                  <c:v>16579</c:v>
                </c:pt>
                <c:pt idx="64">
                  <c:v>18087</c:v>
                </c:pt>
                <c:pt idx="65">
                  <c:v>17676</c:v>
                </c:pt>
              </c:numCache>
            </c:numRef>
          </c:val>
          <c:extLst>
            <c:ext xmlns:c16="http://schemas.microsoft.com/office/drawing/2014/chart" uri="{C3380CC4-5D6E-409C-BE32-E72D297353CC}">
              <c16:uniqueId val="{00000001-74A0-46FD-B2FA-D8468606BC8B}"/>
            </c:ext>
          </c:extLst>
        </c:ser>
        <c:ser>
          <c:idx val="2"/>
          <c:order val="2"/>
          <c:tx>
            <c:strRef>
              <c:f>Top_Mono_Dual_Triple_Tb1_Tb2!$E$2</c:f>
              <c:strCache>
                <c:ptCount val="1"/>
                <c:pt idx="0">
                  <c:v>BB+ARNI</c:v>
                </c:pt>
              </c:strCache>
            </c:strRef>
          </c:tx>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cat>
            <c:numRef>
              <c:f>Top_Mono_Dual_Triple_Tb1_Tb2!$A$15:$A$80</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Top_Mono_Dual_Triple_Tb1_Tb2!$E$15:$E$80</c:f>
              <c:numCache>
                <c:formatCode>General</c:formatCode>
                <c:ptCount val="66"/>
                <c:pt idx="0">
                  <c:v>1022</c:v>
                </c:pt>
                <c:pt idx="1">
                  <c:v>1197</c:v>
                </c:pt>
                <c:pt idx="2">
                  <c:v>1395</c:v>
                </c:pt>
                <c:pt idx="3">
                  <c:v>1516</c:v>
                </c:pt>
                <c:pt idx="4">
                  <c:v>1835</c:v>
                </c:pt>
                <c:pt idx="5">
                  <c:v>1907</c:v>
                </c:pt>
                <c:pt idx="6">
                  <c:v>2001</c:v>
                </c:pt>
                <c:pt idx="7">
                  <c:v>2162</c:v>
                </c:pt>
                <c:pt idx="8">
                  <c:v>2153</c:v>
                </c:pt>
                <c:pt idx="9">
                  <c:v>2370</c:v>
                </c:pt>
                <c:pt idx="10">
                  <c:v>2516</c:v>
                </c:pt>
                <c:pt idx="11">
                  <c:v>2591</c:v>
                </c:pt>
                <c:pt idx="12">
                  <c:v>2262</c:v>
                </c:pt>
                <c:pt idx="13">
                  <c:v>2398</c:v>
                </c:pt>
                <c:pt idx="14">
                  <c:v>2822</c:v>
                </c:pt>
                <c:pt idx="15">
                  <c:v>3050</c:v>
                </c:pt>
                <c:pt idx="16">
                  <c:v>3565</c:v>
                </c:pt>
                <c:pt idx="17">
                  <c:v>3433</c:v>
                </c:pt>
                <c:pt idx="18">
                  <c:v>3679</c:v>
                </c:pt>
                <c:pt idx="19">
                  <c:v>3728</c:v>
                </c:pt>
                <c:pt idx="20">
                  <c:v>3816</c:v>
                </c:pt>
                <c:pt idx="21">
                  <c:v>4015</c:v>
                </c:pt>
                <c:pt idx="22">
                  <c:v>4064</c:v>
                </c:pt>
                <c:pt idx="23">
                  <c:v>4232</c:v>
                </c:pt>
                <c:pt idx="24">
                  <c:v>3654</c:v>
                </c:pt>
                <c:pt idx="25">
                  <c:v>3923</c:v>
                </c:pt>
                <c:pt idx="26">
                  <c:v>4591</c:v>
                </c:pt>
                <c:pt idx="27">
                  <c:v>4298</c:v>
                </c:pt>
                <c:pt idx="28">
                  <c:v>4981</c:v>
                </c:pt>
                <c:pt idx="29">
                  <c:v>5179</c:v>
                </c:pt>
                <c:pt idx="30">
                  <c:v>5461</c:v>
                </c:pt>
                <c:pt idx="31">
                  <c:v>5559</c:v>
                </c:pt>
                <c:pt idx="32">
                  <c:v>5596</c:v>
                </c:pt>
                <c:pt idx="33">
                  <c:v>5755</c:v>
                </c:pt>
                <c:pt idx="34">
                  <c:v>5705</c:v>
                </c:pt>
                <c:pt idx="35">
                  <c:v>6072</c:v>
                </c:pt>
                <c:pt idx="36">
                  <c:v>4796</c:v>
                </c:pt>
                <c:pt idx="37">
                  <c:v>5267</c:v>
                </c:pt>
                <c:pt idx="38">
                  <c:v>5916</c:v>
                </c:pt>
                <c:pt idx="39">
                  <c:v>6141</c:v>
                </c:pt>
                <c:pt idx="40">
                  <c:v>6816</c:v>
                </c:pt>
                <c:pt idx="41">
                  <c:v>6903</c:v>
                </c:pt>
                <c:pt idx="42">
                  <c:v>7044</c:v>
                </c:pt>
                <c:pt idx="43">
                  <c:v>7022</c:v>
                </c:pt>
                <c:pt idx="44">
                  <c:v>7141</c:v>
                </c:pt>
                <c:pt idx="45">
                  <c:v>7167</c:v>
                </c:pt>
                <c:pt idx="46">
                  <c:v>7395</c:v>
                </c:pt>
                <c:pt idx="47">
                  <c:v>7606</c:v>
                </c:pt>
                <c:pt idx="48">
                  <c:v>5881</c:v>
                </c:pt>
                <c:pt idx="49">
                  <c:v>6173</c:v>
                </c:pt>
                <c:pt idx="50">
                  <c:v>6753</c:v>
                </c:pt>
                <c:pt idx="51">
                  <c:v>6730</c:v>
                </c:pt>
                <c:pt idx="52">
                  <c:v>7477</c:v>
                </c:pt>
                <c:pt idx="53">
                  <c:v>7214</c:v>
                </c:pt>
                <c:pt idx="54">
                  <c:v>7379</c:v>
                </c:pt>
                <c:pt idx="55">
                  <c:v>7372</c:v>
                </c:pt>
                <c:pt idx="56">
                  <c:v>7142</c:v>
                </c:pt>
                <c:pt idx="57">
                  <c:v>7015</c:v>
                </c:pt>
                <c:pt idx="58">
                  <c:v>7008</c:v>
                </c:pt>
                <c:pt idx="59">
                  <c:v>7221</c:v>
                </c:pt>
                <c:pt idx="60">
                  <c:v>5744</c:v>
                </c:pt>
                <c:pt idx="61">
                  <c:v>6115</c:v>
                </c:pt>
                <c:pt idx="62">
                  <c:v>6827</c:v>
                </c:pt>
                <c:pt idx="63">
                  <c:v>6835</c:v>
                </c:pt>
                <c:pt idx="64">
                  <c:v>7717</c:v>
                </c:pt>
                <c:pt idx="65">
                  <c:v>7438</c:v>
                </c:pt>
              </c:numCache>
            </c:numRef>
          </c:val>
          <c:extLst>
            <c:ext xmlns:c16="http://schemas.microsoft.com/office/drawing/2014/chart" uri="{C3380CC4-5D6E-409C-BE32-E72D297353CC}">
              <c16:uniqueId val="{00000002-74A0-46FD-B2FA-D8468606BC8B}"/>
            </c:ext>
          </c:extLst>
        </c:ser>
        <c:ser>
          <c:idx val="3"/>
          <c:order val="3"/>
          <c:tx>
            <c:strRef>
              <c:f>Top_Mono_Dual_Triple_Tb1_Tb2!$F$2</c:f>
              <c:strCache>
                <c:ptCount val="1"/>
                <c:pt idx="0">
                  <c:v>BB+Loop</c:v>
                </c:pt>
              </c:strCache>
            </c:strRef>
          </c:tx>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cat>
            <c:numRef>
              <c:f>Top_Mono_Dual_Triple_Tb1_Tb2!$A$15:$A$80</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Top_Mono_Dual_Triple_Tb1_Tb2!$F$15:$F$80</c:f>
              <c:numCache>
                <c:formatCode>General</c:formatCode>
                <c:ptCount val="66"/>
                <c:pt idx="0">
                  <c:v>6972</c:v>
                </c:pt>
                <c:pt idx="1">
                  <c:v>7778</c:v>
                </c:pt>
                <c:pt idx="2">
                  <c:v>8208</c:v>
                </c:pt>
                <c:pt idx="3">
                  <c:v>7898</c:v>
                </c:pt>
                <c:pt idx="4">
                  <c:v>7992</c:v>
                </c:pt>
                <c:pt idx="5">
                  <c:v>7886</c:v>
                </c:pt>
                <c:pt idx="6">
                  <c:v>7954</c:v>
                </c:pt>
                <c:pt idx="7">
                  <c:v>8154</c:v>
                </c:pt>
                <c:pt idx="8">
                  <c:v>7926</c:v>
                </c:pt>
                <c:pt idx="9">
                  <c:v>8473</c:v>
                </c:pt>
                <c:pt idx="10">
                  <c:v>8561</c:v>
                </c:pt>
                <c:pt idx="11">
                  <c:v>8646</c:v>
                </c:pt>
                <c:pt idx="12">
                  <c:v>7693</c:v>
                </c:pt>
                <c:pt idx="13">
                  <c:v>8439</c:v>
                </c:pt>
                <c:pt idx="14">
                  <c:v>8818</c:v>
                </c:pt>
                <c:pt idx="15">
                  <c:v>8610</c:v>
                </c:pt>
                <c:pt idx="16">
                  <c:v>8787</c:v>
                </c:pt>
                <c:pt idx="17">
                  <c:v>8594</c:v>
                </c:pt>
                <c:pt idx="18">
                  <c:v>9071</c:v>
                </c:pt>
                <c:pt idx="19">
                  <c:v>9009</c:v>
                </c:pt>
                <c:pt idx="20">
                  <c:v>8912</c:v>
                </c:pt>
                <c:pt idx="21">
                  <c:v>9263</c:v>
                </c:pt>
                <c:pt idx="22">
                  <c:v>9113</c:v>
                </c:pt>
                <c:pt idx="23">
                  <c:v>9495</c:v>
                </c:pt>
                <c:pt idx="24">
                  <c:v>8450</c:v>
                </c:pt>
                <c:pt idx="25">
                  <c:v>9245</c:v>
                </c:pt>
                <c:pt idx="26">
                  <c:v>9763</c:v>
                </c:pt>
                <c:pt idx="27">
                  <c:v>9226</c:v>
                </c:pt>
                <c:pt idx="28">
                  <c:v>9283</c:v>
                </c:pt>
                <c:pt idx="29">
                  <c:v>9644</c:v>
                </c:pt>
                <c:pt idx="30">
                  <c:v>9764</c:v>
                </c:pt>
                <c:pt idx="31">
                  <c:v>9636</c:v>
                </c:pt>
                <c:pt idx="32">
                  <c:v>9919</c:v>
                </c:pt>
                <c:pt idx="33">
                  <c:v>9942</c:v>
                </c:pt>
                <c:pt idx="34">
                  <c:v>9936</c:v>
                </c:pt>
                <c:pt idx="35">
                  <c:v>10436</c:v>
                </c:pt>
                <c:pt idx="36">
                  <c:v>8912</c:v>
                </c:pt>
                <c:pt idx="37">
                  <c:v>9693</c:v>
                </c:pt>
                <c:pt idx="38">
                  <c:v>10310</c:v>
                </c:pt>
                <c:pt idx="39">
                  <c:v>9952</c:v>
                </c:pt>
                <c:pt idx="40">
                  <c:v>10029</c:v>
                </c:pt>
                <c:pt idx="41">
                  <c:v>10220</c:v>
                </c:pt>
                <c:pt idx="42">
                  <c:v>10214</c:v>
                </c:pt>
                <c:pt idx="43">
                  <c:v>10228</c:v>
                </c:pt>
                <c:pt idx="44">
                  <c:v>10202</c:v>
                </c:pt>
                <c:pt idx="45">
                  <c:v>10223</c:v>
                </c:pt>
                <c:pt idx="46">
                  <c:v>10560</c:v>
                </c:pt>
                <c:pt idx="47">
                  <c:v>10643</c:v>
                </c:pt>
                <c:pt idx="48">
                  <c:v>9300</c:v>
                </c:pt>
                <c:pt idx="49">
                  <c:v>9975</c:v>
                </c:pt>
                <c:pt idx="50">
                  <c:v>10453</c:v>
                </c:pt>
                <c:pt idx="51">
                  <c:v>9738</c:v>
                </c:pt>
                <c:pt idx="52">
                  <c:v>9936</c:v>
                </c:pt>
                <c:pt idx="53">
                  <c:v>9852</c:v>
                </c:pt>
                <c:pt idx="54">
                  <c:v>9721</c:v>
                </c:pt>
                <c:pt idx="55">
                  <c:v>9922</c:v>
                </c:pt>
                <c:pt idx="56">
                  <c:v>9784</c:v>
                </c:pt>
                <c:pt idx="57">
                  <c:v>9883</c:v>
                </c:pt>
                <c:pt idx="58">
                  <c:v>10045</c:v>
                </c:pt>
                <c:pt idx="59">
                  <c:v>10221</c:v>
                </c:pt>
                <c:pt idx="60">
                  <c:v>8697</c:v>
                </c:pt>
                <c:pt idx="61">
                  <c:v>9482</c:v>
                </c:pt>
                <c:pt idx="62">
                  <c:v>10016</c:v>
                </c:pt>
                <c:pt idx="63">
                  <c:v>9106</c:v>
                </c:pt>
                <c:pt idx="64">
                  <c:v>9602</c:v>
                </c:pt>
                <c:pt idx="65">
                  <c:v>9429</c:v>
                </c:pt>
              </c:numCache>
            </c:numRef>
          </c:val>
          <c:extLst>
            <c:ext xmlns:c16="http://schemas.microsoft.com/office/drawing/2014/chart" uri="{C3380CC4-5D6E-409C-BE32-E72D297353CC}">
              <c16:uniqueId val="{00000003-74A0-46FD-B2FA-D8468606BC8B}"/>
            </c:ext>
          </c:extLst>
        </c:ser>
        <c:ser>
          <c:idx val="4"/>
          <c:order val="4"/>
          <c:tx>
            <c:strRef>
              <c:f>Top_Mono_Dual_Triple_Tb1_Tb2!$G$2</c:f>
              <c:strCache>
                <c:ptCount val="1"/>
                <c:pt idx="0">
                  <c:v>BB+MRA (Spiro)</c:v>
                </c:pt>
              </c:strCache>
            </c:strRef>
          </c:tx>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c:spPr>
          <c:cat>
            <c:numRef>
              <c:f>Top_Mono_Dual_Triple_Tb1_Tb2!$A$15:$A$80</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Top_Mono_Dual_Triple_Tb1_Tb2!$G$15:$G$80</c:f>
              <c:numCache>
                <c:formatCode>General</c:formatCode>
                <c:ptCount val="66"/>
                <c:pt idx="0">
                  <c:v>1158</c:v>
                </c:pt>
                <c:pt idx="1">
                  <c:v>1353</c:v>
                </c:pt>
                <c:pt idx="2">
                  <c:v>1456</c:v>
                </c:pt>
                <c:pt idx="3">
                  <c:v>1410</c:v>
                </c:pt>
                <c:pt idx="4">
                  <c:v>1373</c:v>
                </c:pt>
                <c:pt idx="5">
                  <c:v>1384</c:v>
                </c:pt>
                <c:pt idx="6">
                  <c:v>1402</c:v>
                </c:pt>
                <c:pt idx="7">
                  <c:v>1419</c:v>
                </c:pt>
                <c:pt idx="8">
                  <c:v>1417</c:v>
                </c:pt>
                <c:pt idx="9">
                  <c:v>1507</c:v>
                </c:pt>
                <c:pt idx="10">
                  <c:v>1543</c:v>
                </c:pt>
                <c:pt idx="11">
                  <c:v>1590</c:v>
                </c:pt>
                <c:pt idx="12">
                  <c:v>1406</c:v>
                </c:pt>
                <c:pt idx="13">
                  <c:v>1661</c:v>
                </c:pt>
                <c:pt idx="14">
                  <c:v>1752</c:v>
                </c:pt>
                <c:pt idx="15">
                  <c:v>1763</c:v>
                </c:pt>
                <c:pt idx="16">
                  <c:v>1639</c:v>
                </c:pt>
                <c:pt idx="17">
                  <c:v>1651</c:v>
                </c:pt>
                <c:pt idx="18">
                  <c:v>1679</c:v>
                </c:pt>
                <c:pt idx="19">
                  <c:v>1733</c:v>
                </c:pt>
                <c:pt idx="20">
                  <c:v>1761</c:v>
                </c:pt>
                <c:pt idx="21">
                  <c:v>1781</c:v>
                </c:pt>
                <c:pt idx="22">
                  <c:v>1872</c:v>
                </c:pt>
                <c:pt idx="23">
                  <c:v>1879</c:v>
                </c:pt>
                <c:pt idx="24">
                  <c:v>1722</c:v>
                </c:pt>
                <c:pt idx="25">
                  <c:v>1990</c:v>
                </c:pt>
                <c:pt idx="26">
                  <c:v>2032</c:v>
                </c:pt>
                <c:pt idx="27">
                  <c:v>1903</c:v>
                </c:pt>
                <c:pt idx="28">
                  <c:v>2017</c:v>
                </c:pt>
                <c:pt idx="29">
                  <c:v>2046</c:v>
                </c:pt>
                <c:pt idx="30">
                  <c:v>2087</c:v>
                </c:pt>
                <c:pt idx="31">
                  <c:v>1981</c:v>
                </c:pt>
                <c:pt idx="32">
                  <c:v>2034</c:v>
                </c:pt>
                <c:pt idx="33">
                  <c:v>2061</c:v>
                </c:pt>
                <c:pt idx="34">
                  <c:v>2138</c:v>
                </c:pt>
                <c:pt idx="35">
                  <c:v>2242</c:v>
                </c:pt>
                <c:pt idx="36">
                  <c:v>2045</c:v>
                </c:pt>
                <c:pt idx="37">
                  <c:v>2272</c:v>
                </c:pt>
                <c:pt idx="38">
                  <c:v>2392</c:v>
                </c:pt>
                <c:pt idx="39">
                  <c:v>2384</c:v>
                </c:pt>
                <c:pt idx="40">
                  <c:v>2191</c:v>
                </c:pt>
                <c:pt idx="41">
                  <c:v>2207</c:v>
                </c:pt>
                <c:pt idx="42">
                  <c:v>2305</c:v>
                </c:pt>
                <c:pt idx="43">
                  <c:v>2345</c:v>
                </c:pt>
                <c:pt idx="44">
                  <c:v>2380</c:v>
                </c:pt>
                <c:pt idx="45">
                  <c:v>2421</c:v>
                </c:pt>
                <c:pt idx="46">
                  <c:v>2503</c:v>
                </c:pt>
                <c:pt idx="47">
                  <c:v>2502</c:v>
                </c:pt>
                <c:pt idx="48">
                  <c:v>2355</c:v>
                </c:pt>
                <c:pt idx="49">
                  <c:v>2509</c:v>
                </c:pt>
                <c:pt idx="50">
                  <c:v>2700</c:v>
                </c:pt>
                <c:pt idx="51">
                  <c:v>2563</c:v>
                </c:pt>
                <c:pt idx="52">
                  <c:v>2518</c:v>
                </c:pt>
                <c:pt idx="53">
                  <c:v>2500</c:v>
                </c:pt>
                <c:pt idx="54">
                  <c:v>2601</c:v>
                </c:pt>
                <c:pt idx="55">
                  <c:v>2616</c:v>
                </c:pt>
                <c:pt idx="56">
                  <c:v>2630</c:v>
                </c:pt>
                <c:pt idx="57">
                  <c:v>2722</c:v>
                </c:pt>
                <c:pt idx="58">
                  <c:v>2814</c:v>
                </c:pt>
                <c:pt idx="59">
                  <c:v>2870</c:v>
                </c:pt>
                <c:pt idx="60">
                  <c:v>2673</c:v>
                </c:pt>
                <c:pt idx="61">
                  <c:v>2877</c:v>
                </c:pt>
                <c:pt idx="62">
                  <c:v>3094</c:v>
                </c:pt>
                <c:pt idx="63">
                  <c:v>3021</c:v>
                </c:pt>
                <c:pt idx="64">
                  <c:v>2932</c:v>
                </c:pt>
                <c:pt idx="65">
                  <c:v>2914</c:v>
                </c:pt>
              </c:numCache>
            </c:numRef>
          </c:val>
          <c:extLst>
            <c:ext xmlns:c16="http://schemas.microsoft.com/office/drawing/2014/chart" uri="{C3380CC4-5D6E-409C-BE32-E72D297353CC}">
              <c16:uniqueId val="{00000004-74A0-46FD-B2FA-D8468606BC8B}"/>
            </c:ext>
          </c:extLst>
        </c:ser>
        <c:ser>
          <c:idx val="5"/>
          <c:order val="5"/>
          <c:tx>
            <c:strRef>
              <c:f>Top_Mono_Dual_Triple_Tb1_Tb2!$H$2</c:f>
              <c:strCache>
                <c:ptCount val="1"/>
                <c:pt idx="0">
                  <c:v>ARNI+SGLT2 (for HF)</c:v>
                </c:pt>
              </c:strCache>
            </c:strRef>
          </c:tx>
          <c:spPr>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chemeClr>
              </a:solidFill>
              <a:round/>
            </a:ln>
            <a:effectLst>
              <a:outerShdw blurRad="40000" dist="20000" dir="5400000" rotWithShape="0">
                <a:srgbClr val="000000">
                  <a:alpha val="38000"/>
                </a:srgbClr>
              </a:outerShdw>
            </a:effectLst>
          </c:spPr>
          <c:cat>
            <c:numRef>
              <c:f>Top_Mono_Dual_Triple_Tb1_Tb2!$A$15:$A$80</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Top_Mono_Dual_Triple_Tb1_Tb2!$H$15:$H$80</c:f>
              <c:numCache>
                <c:formatCode>General</c:formatCode>
                <c:ptCount val="66"/>
                <c:pt idx="48">
                  <c:v>89</c:v>
                </c:pt>
                <c:pt idx="49">
                  <c:v>225</c:v>
                </c:pt>
                <c:pt idx="50">
                  <c:v>421</c:v>
                </c:pt>
                <c:pt idx="51">
                  <c:v>564</c:v>
                </c:pt>
                <c:pt idx="52">
                  <c:v>798</c:v>
                </c:pt>
                <c:pt idx="53">
                  <c:v>927</c:v>
                </c:pt>
                <c:pt idx="54">
                  <c:v>1011</c:v>
                </c:pt>
                <c:pt idx="55">
                  <c:v>1152</c:v>
                </c:pt>
                <c:pt idx="56">
                  <c:v>1253</c:v>
                </c:pt>
                <c:pt idx="57">
                  <c:v>1405</c:v>
                </c:pt>
                <c:pt idx="58">
                  <c:v>1474</c:v>
                </c:pt>
                <c:pt idx="59">
                  <c:v>1512</c:v>
                </c:pt>
                <c:pt idx="60">
                  <c:v>1644</c:v>
                </c:pt>
                <c:pt idx="61">
                  <c:v>1801</c:v>
                </c:pt>
                <c:pt idx="62">
                  <c:v>2101</c:v>
                </c:pt>
                <c:pt idx="63">
                  <c:v>2209</c:v>
                </c:pt>
                <c:pt idx="64">
                  <c:v>2612</c:v>
                </c:pt>
                <c:pt idx="65">
                  <c:v>2803</c:v>
                </c:pt>
              </c:numCache>
            </c:numRef>
          </c:val>
          <c:extLst>
            <c:ext xmlns:c16="http://schemas.microsoft.com/office/drawing/2014/chart" uri="{C3380CC4-5D6E-409C-BE32-E72D297353CC}">
              <c16:uniqueId val="{00000005-74A0-46FD-B2FA-D8468606BC8B}"/>
            </c:ext>
          </c:extLst>
        </c:ser>
        <c:ser>
          <c:idx val="6"/>
          <c:order val="6"/>
          <c:tx>
            <c:strRef>
              <c:f>Top_Mono_Dual_Triple_Tb1_Tb2!$I$2</c:f>
              <c:strCache>
                <c:ptCount val="1"/>
                <c:pt idx="0">
                  <c:v>BB+SGLT2 (for HF)</c:v>
                </c:pt>
              </c:strCache>
            </c:strRef>
          </c:tx>
          <c:spPr>
            <a:gradFill rotWithShape="1">
              <a:gsLst>
                <a:gs pos="0">
                  <a:schemeClr val="accent1">
                    <a:lumMod val="60000"/>
                    <a:tint val="50000"/>
                    <a:satMod val="300000"/>
                  </a:schemeClr>
                </a:gs>
                <a:gs pos="35000">
                  <a:schemeClr val="accent1">
                    <a:lumMod val="60000"/>
                    <a:tint val="37000"/>
                    <a:satMod val="300000"/>
                  </a:schemeClr>
                </a:gs>
                <a:gs pos="100000">
                  <a:schemeClr val="accent1">
                    <a:lumMod val="60000"/>
                    <a:tint val="15000"/>
                    <a:satMod val="350000"/>
                  </a:schemeClr>
                </a:gs>
              </a:gsLst>
              <a:lin ang="16200000" scaled="1"/>
            </a:gradFill>
            <a:ln w="9525" cap="flat" cmpd="sng" algn="ctr">
              <a:solidFill>
                <a:schemeClr val="accent1">
                  <a:lumMod val="60000"/>
                  <a:shade val="95000"/>
                </a:schemeClr>
              </a:solidFill>
              <a:round/>
            </a:ln>
            <a:effectLst>
              <a:outerShdw blurRad="40000" dist="20000" dir="5400000" rotWithShape="0">
                <a:srgbClr val="000000">
                  <a:alpha val="38000"/>
                </a:srgbClr>
              </a:outerShdw>
            </a:effectLst>
          </c:spPr>
          <c:cat>
            <c:numRef>
              <c:f>Top_Mono_Dual_Triple_Tb1_Tb2!$A$15:$A$80</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Top_Mono_Dual_Triple_Tb1_Tb2!$I$15:$I$80</c:f>
              <c:numCache>
                <c:formatCode>General</c:formatCode>
                <c:ptCount val="66"/>
                <c:pt idx="48">
                  <c:v>16</c:v>
                </c:pt>
                <c:pt idx="49">
                  <c:v>49</c:v>
                </c:pt>
                <c:pt idx="50">
                  <c:v>73</c:v>
                </c:pt>
                <c:pt idx="51">
                  <c:v>96</c:v>
                </c:pt>
                <c:pt idx="52">
                  <c:v>141</c:v>
                </c:pt>
                <c:pt idx="53">
                  <c:v>154</c:v>
                </c:pt>
                <c:pt idx="54">
                  <c:v>177</c:v>
                </c:pt>
                <c:pt idx="55">
                  <c:v>205</c:v>
                </c:pt>
                <c:pt idx="56">
                  <c:v>242</c:v>
                </c:pt>
                <c:pt idx="57">
                  <c:v>257</c:v>
                </c:pt>
                <c:pt idx="58">
                  <c:v>293</c:v>
                </c:pt>
                <c:pt idx="59">
                  <c:v>277</c:v>
                </c:pt>
                <c:pt idx="60">
                  <c:v>334</c:v>
                </c:pt>
                <c:pt idx="61">
                  <c:v>421</c:v>
                </c:pt>
                <c:pt idx="62">
                  <c:v>467</c:v>
                </c:pt>
                <c:pt idx="63">
                  <c:v>565</c:v>
                </c:pt>
                <c:pt idx="64">
                  <c:v>656</c:v>
                </c:pt>
                <c:pt idx="65">
                  <c:v>716</c:v>
                </c:pt>
              </c:numCache>
            </c:numRef>
          </c:val>
          <c:extLst>
            <c:ext xmlns:c16="http://schemas.microsoft.com/office/drawing/2014/chart" uri="{C3380CC4-5D6E-409C-BE32-E72D297353CC}">
              <c16:uniqueId val="{00000006-74A0-46FD-B2FA-D8468606BC8B}"/>
            </c:ext>
          </c:extLst>
        </c:ser>
        <c:ser>
          <c:idx val="8"/>
          <c:order val="7"/>
          <c:tx>
            <c:strRef>
              <c:f>Top_Mono_Dual_Triple_Tb1_Tb2!$I$2</c:f>
              <c:strCache>
                <c:ptCount val="1"/>
                <c:pt idx="0">
                  <c:v>BB+SGLT2 (for HF)</c:v>
                </c:pt>
              </c:strCache>
            </c:strRef>
          </c:tx>
          <c:spPr>
            <a:gradFill rotWithShape="1">
              <a:gsLst>
                <a:gs pos="0">
                  <a:schemeClr val="accent3">
                    <a:lumMod val="60000"/>
                    <a:tint val="50000"/>
                    <a:satMod val="300000"/>
                  </a:schemeClr>
                </a:gs>
                <a:gs pos="35000">
                  <a:schemeClr val="accent3">
                    <a:lumMod val="60000"/>
                    <a:tint val="37000"/>
                    <a:satMod val="300000"/>
                  </a:schemeClr>
                </a:gs>
                <a:gs pos="100000">
                  <a:schemeClr val="accent3">
                    <a:lumMod val="60000"/>
                    <a:tint val="15000"/>
                    <a:satMod val="350000"/>
                  </a:schemeClr>
                </a:gs>
              </a:gsLst>
              <a:lin ang="16200000" scaled="1"/>
            </a:gradFill>
            <a:ln w="9525" cap="flat" cmpd="sng" algn="ctr">
              <a:solidFill>
                <a:schemeClr val="accent3">
                  <a:lumMod val="60000"/>
                  <a:shade val="95000"/>
                </a:schemeClr>
              </a:solidFill>
              <a:round/>
            </a:ln>
            <a:effectLst>
              <a:outerShdw blurRad="40000" dist="20000" dir="5400000" rotWithShape="0">
                <a:srgbClr val="000000">
                  <a:alpha val="38000"/>
                </a:srgbClr>
              </a:outerShdw>
            </a:effectLst>
          </c:spPr>
          <c:cat>
            <c:numRef>
              <c:f>Top_Mono_Dual_Triple_Tb1_Tb2!$A$15:$A$80</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Top_Mono_Dual_Triple_Tb1_Tb2!$I$15:$I$80</c:f>
              <c:numCache>
                <c:formatCode>General</c:formatCode>
                <c:ptCount val="66"/>
                <c:pt idx="48">
                  <c:v>16</c:v>
                </c:pt>
                <c:pt idx="49">
                  <c:v>49</c:v>
                </c:pt>
                <c:pt idx="50">
                  <c:v>73</c:v>
                </c:pt>
                <c:pt idx="51">
                  <c:v>96</c:v>
                </c:pt>
                <c:pt idx="52">
                  <c:v>141</c:v>
                </c:pt>
                <c:pt idx="53">
                  <c:v>154</c:v>
                </c:pt>
                <c:pt idx="54">
                  <c:v>177</c:v>
                </c:pt>
                <c:pt idx="55">
                  <c:v>205</c:v>
                </c:pt>
                <c:pt idx="56">
                  <c:v>242</c:v>
                </c:pt>
                <c:pt idx="57">
                  <c:v>257</c:v>
                </c:pt>
                <c:pt idx="58">
                  <c:v>293</c:v>
                </c:pt>
                <c:pt idx="59">
                  <c:v>277</c:v>
                </c:pt>
                <c:pt idx="60">
                  <c:v>334</c:v>
                </c:pt>
                <c:pt idx="61">
                  <c:v>421</c:v>
                </c:pt>
                <c:pt idx="62">
                  <c:v>467</c:v>
                </c:pt>
                <c:pt idx="63">
                  <c:v>565</c:v>
                </c:pt>
                <c:pt idx="64">
                  <c:v>656</c:v>
                </c:pt>
                <c:pt idx="65">
                  <c:v>716</c:v>
                </c:pt>
              </c:numCache>
            </c:numRef>
          </c:val>
          <c:extLst>
            <c:ext xmlns:c16="http://schemas.microsoft.com/office/drawing/2014/chart" uri="{C3380CC4-5D6E-409C-BE32-E72D297353CC}">
              <c16:uniqueId val="{00000007-74A0-46FD-B2FA-D8468606BC8B}"/>
            </c:ext>
          </c:extLst>
        </c:ser>
        <c:dLbls>
          <c:showLegendKey val="0"/>
          <c:showVal val="0"/>
          <c:showCatName val="0"/>
          <c:showSerName val="0"/>
          <c:showPercent val="0"/>
          <c:showBubbleSize val="0"/>
        </c:dLbls>
        <c:axId val="187529488"/>
        <c:axId val="1"/>
      </c:areaChart>
      <c:dateAx>
        <c:axId val="187529488"/>
        <c:scaling>
          <c:orientation val="minMax"/>
        </c:scaling>
        <c:delete val="0"/>
        <c:axPos val="b"/>
        <c:numFmt formatCode="mmm\-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
        <c:crosses val="autoZero"/>
        <c:auto val="1"/>
        <c:lblOffset val="100"/>
        <c:baseTimeUnit val="months"/>
        <c:majorUnit val="2"/>
        <c:majorTimeUnit val="months"/>
        <c:minorUnit val="2"/>
        <c:minorTimeUnit val="months"/>
      </c:date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US"/>
                  <a:t>Percent of Dual therapy population</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87529488"/>
        <c:crosses val="autoZero"/>
        <c:crossBetween val="midCat"/>
      </c:valAx>
      <c:spPr>
        <a:noFill/>
        <a:ln>
          <a:noFill/>
        </a:ln>
        <a:effectLst/>
      </c:spPr>
    </c:plotArea>
    <c:legend>
      <c:legendPos val="b"/>
      <c:layout>
        <c:manualLayout>
          <c:xMode val="edge"/>
          <c:yMode val="edge"/>
          <c:x val="0.11707543038396513"/>
          <c:y val="0.82203445216224358"/>
          <c:w val="0.76584913923206976"/>
          <c:h val="0.16024290716429609"/>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43033700140334"/>
          <c:y val="7.646047980350415E-2"/>
          <c:w val="0.75752500313423843"/>
          <c:h val="0.56315431350924017"/>
        </c:manualLayout>
      </c:layout>
      <c:areaChart>
        <c:grouping val="percentStacked"/>
        <c:varyColors val="0"/>
        <c:ser>
          <c:idx val="0"/>
          <c:order val="0"/>
          <c:tx>
            <c:strRef>
              <c:f>Top_Mono_Dual_Triple_Tb1_Tb2!$N$2</c:f>
              <c:strCache>
                <c:ptCount val="1"/>
                <c:pt idx="0">
                  <c:v>BB+ACE+Loop</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cat>
            <c:numRef>
              <c:f>Top_Mono_Dual_Triple_Tb1_Tb2!$A$15:$A$80</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Top_Mono_Dual_Triple_Tb1_Tb2!$N$15:$N$80</c:f>
              <c:numCache>
                <c:formatCode>General</c:formatCode>
                <c:ptCount val="66"/>
                <c:pt idx="0">
                  <c:v>9681</c:v>
                </c:pt>
                <c:pt idx="1">
                  <c:v>9778</c:v>
                </c:pt>
                <c:pt idx="2">
                  <c:v>10112</c:v>
                </c:pt>
                <c:pt idx="3">
                  <c:v>9778</c:v>
                </c:pt>
                <c:pt idx="4">
                  <c:v>10111</c:v>
                </c:pt>
                <c:pt idx="5">
                  <c:v>10016</c:v>
                </c:pt>
                <c:pt idx="6">
                  <c:v>10162</c:v>
                </c:pt>
                <c:pt idx="7">
                  <c:v>10287</c:v>
                </c:pt>
                <c:pt idx="8">
                  <c:v>9940</c:v>
                </c:pt>
                <c:pt idx="9">
                  <c:v>10465</c:v>
                </c:pt>
                <c:pt idx="10">
                  <c:v>10418</c:v>
                </c:pt>
                <c:pt idx="11">
                  <c:v>10715</c:v>
                </c:pt>
                <c:pt idx="12">
                  <c:v>8980</c:v>
                </c:pt>
                <c:pt idx="13">
                  <c:v>9124</c:v>
                </c:pt>
                <c:pt idx="14">
                  <c:v>9397</c:v>
                </c:pt>
                <c:pt idx="15">
                  <c:v>9177</c:v>
                </c:pt>
                <c:pt idx="16">
                  <c:v>9460</c:v>
                </c:pt>
                <c:pt idx="17">
                  <c:v>9212</c:v>
                </c:pt>
                <c:pt idx="18">
                  <c:v>9617</c:v>
                </c:pt>
                <c:pt idx="19">
                  <c:v>9510</c:v>
                </c:pt>
                <c:pt idx="20">
                  <c:v>9444</c:v>
                </c:pt>
                <c:pt idx="21">
                  <c:v>9693</c:v>
                </c:pt>
                <c:pt idx="22">
                  <c:v>9714</c:v>
                </c:pt>
                <c:pt idx="23">
                  <c:v>10137</c:v>
                </c:pt>
                <c:pt idx="24">
                  <c:v>8586</c:v>
                </c:pt>
                <c:pt idx="25">
                  <c:v>8723</c:v>
                </c:pt>
                <c:pt idx="26">
                  <c:v>9255</c:v>
                </c:pt>
                <c:pt idx="27">
                  <c:v>8650</c:v>
                </c:pt>
                <c:pt idx="28">
                  <c:v>8734</c:v>
                </c:pt>
                <c:pt idx="29">
                  <c:v>9129</c:v>
                </c:pt>
                <c:pt idx="30">
                  <c:v>9495</c:v>
                </c:pt>
                <c:pt idx="31">
                  <c:v>9417</c:v>
                </c:pt>
                <c:pt idx="32">
                  <c:v>9544</c:v>
                </c:pt>
                <c:pt idx="33">
                  <c:v>9600</c:v>
                </c:pt>
                <c:pt idx="34">
                  <c:v>9578</c:v>
                </c:pt>
                <c:pt idx="35">
                  <c:v>10248</c:v>
                </c:pt>
                <c:pt idx="36">
                  <c:v>8224</c:v>
                </c:pt>
                <c:pt idx="37">
                  <c:v>8611</c:v>
                </c:pt>
                <c:pt idx="38">
                  <c:v>9089</c:v>
                </c:pt>
                <c:pt idx="39">
                  <c:v>8655</c:v>
                </c:pt>
                <c:pt idx="40">
                  <c:v>8798</c:v>
                </c:pt>
                <c:pt idx="41">
                  <c:v>8958</c:v>
                </c:pt>
                <c:pt idx="42">
                  <c:v>9066</c:v>
                </c:pt>
                <c:pt idx="43">
                  <c:v>9114</c:v>
                </c:pt>
                <c:pt idx="44">
                  <c:v>9138</c:v>
                </c:pt>
                <c:pt idx="45">
                  <c:v>9054</c:v>
                </c:pt>
                <c:pt idx="46">
                  <c:v>9219</c:v>
                </c:pt>
                <c:pt idx="47">
                  <c:v>9546</c:v>
                </c:pt>
                <c:pt idx="48">
                  <c:v>7648</c:v>
                </c:pt>
                <c:pt idx="49">
                  <c:v>7866</c:v>
                </c:pt>
                <c:pt idx="50">
                  <c:v>8211</c:v>
                </c:pt>
                <c:pt idx="51">
                  <c:v>7543</c:v>
                </c:pt>
                <c:pt idx="52">
                  <c:v>7745</c:v>
                </c:pt>
                <c:pt idx="53">
                  <c:v>7737</c:v>
                </c:pt>
                <c:pt idx="54">
                  <c:v>7804</c:v>
                </c:pt>
                <c:pt idx="55">
                  <c:v>7879</c:v>
                </c:pt>
                <c:pt idx="56">
                  <c:v>7768</c:v>
                </c:pt>
                <c:pt idx="57">
                  <c:v>7822</c:v>
                </c:pt>
                <c:pt idx="58">
                  <c:v>7943</c:v>
                </c:pt>
                <c:pt idx="59">
                  <c:v>8226</c:v>
                </c:pt>
                <c:pt idx="60">
                  <c:v>6683</c:v>
                </c:pt>
                <c:pt idx="61">
                  <c:v>6720</c:v>
                </c:pt>
                <c:pt idx="62">
                  <c:v>7071</c:v>
                </c:pt>
                <c:pt idx="63">
                  <c:v>6468</c:v>
                </c:pt>
                <c:pt idx="64">
                  <c:v>6838</c:v>
                </c:pt>
                <c:pt idx="65">
                  <c:v>6643</c:v>
                </c:pt>
              </c:numCache>
            </c:numRef>
          </c:val>
          <c:extLst>
            <c:ext xmlns:c16="http://schemas.microsoft.com/office/drawing/2014/chart" uri="{C3380CC4-5D6E-409C-BE32-E72D297353CC}">
              <c16:uniqueId val="{00000000-730D-472B-842B-7DA7D9B1CD5A}"/>
            </c:ext>
          </c:extLst>
        </c:ser>
        <c:ser>
          <c:idx val="1"/>
          <c:order val="1"/>
          <c:tx>
            <c:strRef>
              <c:f>Top_Mono_Dual_Triple_Tb1_Tb2!$P$2</c:f>
              <c:strCache>
                <c:ptCount val="1"/>
                <c:pt idx="0">
                  <c:v>BB+ARB+Loop</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cat>
            <c:numRef>
              <c:f>Top_Mono_Dual_Triple_Tb1_Tb2!$A$15:$A$80</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Top_Mono_Dual_Triple_Tb1_Tb2!$P$15:$P$80</c:f>
              <c:numCache>
                <c:formatCode>General</c:formatCode>
                <c:ptCount val="66"/>
                <c:pt idx="0">
                  <c:v>5299</c:v>
                </c:pt>
                <c:pt idx="1">
                  <c:v>5366</c:v>
                </c:pt>
                <c:pt idx="2">
                  <c:v>5748</c:v>
                </c:pt>
                <c:pt idx="3">
                  <c:v>5470</c:v>
                </c:pt>
                <c:pt idx="4">
                  <c:v>5773</c:v>
                </c:pt>
                <c:pt idx="5">
                  <c:v>5641</c:v>
                </c:pt>
                <c:pt idx="6">
                  <c:v>5817</c:v>
                </c:pt>
                <c:pt idx="7">
                  <c:v>6072</c:v>
                </c:pt>
                <c:pt idx="8">
                  <c:v>5863</c:v>
                </c:pt>
                <c:pt idx="9">
                  <c:v>6183</c:v>
                </c:pt>
                <c:pt idx="10">
                  <c:v>6238</c:v>
                </c:pt>
                <c:pt idx="11">
                  <c:v>6467</c:v>
                </c:pt>
                <c:pt idx="12">
                  <c:v>5325</c:v>
                </c:pt>
                <c:pt idx="13">
                  <c:v>5426</c:v>
                </c:pt>
                <c:pt idx="14">
                  <c:v>5653</c:v>
                </c:pt>
                <c:pt idx="15">
                  <c:v>5642</c:v>
                </c:pt>
                <c:pt idx="16">
                  <c:v>5840</c:v>
                </c:pt>
                <c:pt idx="17">
                  <c:v>5669</c:v>
                </c:pt>
                <c:pt idx="18">
                  <c:v>6007</c:v>
                </c:pt>
                <c:pt idx="19">
                  <c:v>5980</c:v>
                </c:pt>
                <c:pt idx="20">
                  <c:v>5973</c:v>
                </c:pt>
                <c:pt idx="21">
                  <c:v>6220</c:v>
                </c:pt>
                <c:pt idx="22">
                  <c:v>6235</c:v>
                </c:pt>
                <c:pt idx="23">
                  <c:v>6529</c:v>
                </c:pt>
                <c:pt idx="24">
                  <c:v>5457</c:v>
                </c:pt>
                <c:pt idx="25">
                  <c:v>5564</c:v>
                </c:pt>
                <c:pt idx="26">
                  <c:v>6057</c:v>
                </c:pt>
                <c:pt idx="27">
                  <c:v>5568</c:v>
                </c:pt>
                <c:pt idx="28">
                  <c:v>5667</c:v>
                </c:pt>
                <c:pt idx="29">
                  <c:v>5996</c:v>
                </c:pt>
                <c:pt idx="30">
                  <c:v>6241</c:v>
                </c:pt>
                <c:pt idx="31">
                  <c:v>6227</c:v>
                </c:pt>
                <c:pt idx="32">
                  <c:v>6423</c:v>
                </c:pt>
                <c:pt idx="33">
                  <c:v>6557</c:v>
                </c:pt>
                <c:pt idx="34">
                  <c:v>6607</c:v>
                </c:pt>
                <c:pt idx="35">
                  <c:v>7125</c:v>
                </c:pt>
                <c:pt idx="36">
                  <c:v>5613</c:v>
                </c:pt>
                <c:pt idx="37">
                  <c:v>5900</c:v>
                </c:pt>
                <c:pt idx="38">
                  <c:v>6224</c:v>
                </c:pt>
                <c:pt idx="39">
                  <c:v>5837</c:v>
                </c:pt>
                <c:pt idx="40">
                  <c:v>6012</c:v>
                </c:pt>
                <c:pt idx="41">
                  <c:v>6100</c:v>
                </c:pt>
                <c:pt idx="42">
                  <c:v>6313</c:v>
                </c:pt>
                <c:pt idx="43">
                  <c:v>6322</c:v>
                </c:pt>
                <c:pt idx="44">
                  <c:v>6388</c:v>
                </c:pt>
                <c:pt idx="45">
                  <c:v>6417</c:v>
                </c:pt>
                <c:pt idx="46">
                  <c:v>6690</c:v>
                </c:pt>
                <c:pt idx="47">
                  <c:v>6983</c:v>
                </c:pt>
                <c:pt idx="48">
                  <c:v>5566</c:v>
                </c:pt>
                <c:pt idx="49">
                  <c:v>5664</c:v>
                </c:pt>
                <c:pt idx="50">
                  <c:v>6099</c:v>
                </c:pt>
                <c:pt idx="51">
                  <c:v>5702</c:v>
                </c:pt>
                <c:pt idx="52">
                  <c:v>5798</c:v>
                </c:pt>
                <c:pt idx="53">
                  <c:v>5806</c:v>
                </c:pt>
                <c:pt idx="54">
                  <c:v>5710</c:v>
                </c:pt>
                <c:pt idx="55">
                  <c:v>6063</c:v>
                </c:pt>
                <c:pt idx="56">
                  <c:v>6023</c:v>
                </c:pt>
                <c:pt idx="57">
                  <c:v>6090</c:v>
                </c:pt>
                <c:pt idx="58">
                  <c:v>6144</c:v>
                </c:pt>
                <c:pt idx="59">
                  <c:v>6560</c:v>
                </c:pt>
                <c:pt idx="60">
                  <c:v>5304</c:v>
                </c:pt>
                <c:pt idx="61">
                  <c:v>5341</c:v>
                </c:pt>
                <c:pt idx="62">
                  <c:v>5670</c:v>
                </c:pt>
                <c:pt idx="63">
                  <c:v>5194</c:v>
                </c:pt>
                <c:pt idx="64">
                  <c:v>5495</c:v>
                </c:pt>
                <c:pt idx="65">
                  <c:v>5516</c:v>
                </c:pt>
              </c:numCache>
            </c:numRef>
          </c:val>
          <c:extLst>
            <c:ext xmlns:c16="http://schemas.microsoft.com/office/drawing/2014/chart" uri="{C3380CC4-5D6E-409C-BE32-E72D297353CC}">
              <c16:uniqueId val="{00000001-730D-472B-842B-7DA7D9B1CD5A}"/>
            </c:ext>
          </c:extLst>
        </c:ser>
        <c:ser>
          <c:idx val="2"/>
          <c:order val="2"/>
          <c:tx>
            <c:strRef>
              <c:f>Top_Mono_Dual_Triple_Tb1_Tb2!$Q$2</c:f>
              <c:strCache>
                <c:ptCount val="1"/>
                <c:pt idx="0">
                  <c:v>BB+ACE+MRA (Spiro)</c:v>
                </c:pt>
              </c:strCache>
            </c:strRef>
          </c:tx>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cat>
            <c:numRef>
              <c:f>Top_Mono_Dual_Triple_Tb1_Tb2!$A$15:$A$80</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Top_Mono_Dual_Triple_Tb1_Tb2!$Q$15:$Q$80</c:f>
              <c:numCache>
                <c:formatCode>General</c:formatCode>
                <c:ptCount val="66"/>
                <c:pt idx="0">
                  <c:v>2876</c:v>
                </c:pt>
                <c:pt idx="1">
                  <c:v>2973</c:v>
                </c:pt>
                <c:pt idx="2">
                  <c:v>3044</c:v>
                </c:pt>
                <c:pt idx="3">
                  <c:v>3096</c:v>
                </c:pt>
                <c:pt idx="4">
                  <c:v>3074</c:v>
                </c:pt>
                <c:pt idx="5">
                  <c:v>3013</c:v>
                </c:pt>
                <c:pt idx="6">
                  <c:v>3082</c:v>
                </c:pt>
                <c:pt idx="7">
                  <c:v>3171</c:v>
                </c:pt>
                <c:pt idx="8">
                  <c:v>3174</c:v>
                </c:pt>
                <c:pt idx="9">
                  <c:v>3264</c:v>
                </c:pt>
                <c:pt idx="10">
                  <c:v>3299</c:v>
                </c:pt>
                <c:pt idx="11">
                  <c:v>3518</c:v>
                </c:pt>
                <c:pt idx="12">
                  <c:v>3039</c:v>
                </c:pt>
                <c:pt idx="13">
                  <c:v>3029</c:v>
                </c:pt>
                <c:pt idx="14">
                  <c:v>3173</c:v>
                </c:pt>
                <c:pt idx="15">
                  <c:v>3086</c:v>
                </c:pt>
                <c:pt idx="16">
                  <c:v>3168</c:v>
                </c:pt>
                <c:pt idx="17">
                  <c:v>3120</c:v>
                </c:pt>
                <c:pt idx="18">
                  <c:v>3265</c:v>
                </c:pt>
                <c:pt idx="19">
                  <c:v>3301</c:v>
                </c:pt>
                <c:pt idx="20">
                  <c:v>3274</c:v>
                </c:pt>
                <c:pt idx="21">
                  <c:v>3436</c:v>
                </c:pt>
                <c:pt idx="22">
                  <c:v>3453</c:v>
                </c:pt>
                <c:pt idx="23">
                  <c:v>3578</c:v>
                </c:pt>
                <c:pt idx="24">
                  <c:v>3090</c:v>
                </c:pt>
                <c:pt idx="25">
                  <c:v>3100</c:v>
                </c:pt>
                <c:pt idx="26">
                  <c:v>3494</c:v>
                </c:pt>
                <c:pt idx="27">
                  <c:v>3207</c:v>
                </c:pt>
                <c:pt idx="28">
                  <c:v>3232</c:v>
                </c:pt>
                <c:pt idx="29">
                  <c:v>3367</c:v>
                </c:pt>
                <c:pt idx="30">
                  <c:v>3515</c:v>
                </c:pt>
                <c:pt idx="31">
                  <c:v>3491</c:v>
                </c:pt>
                <c:pt idx="32">
                  <c:v>3537</c:v>
                </c:pt>
                <c:pt idx="33">
                  <c:v>3651</c:v>
                </c:pt>
                <c:pt idx="34">
                  <c:v>3645</c:v>
                </c:pt>
                <c:pt idx="35">
                  <c:v>3897</c:v>
                </c:pt>
                <c:pt idx="36">
                  <c:v>3211</c:v>
                </c:pt>
                <c:pt idx="37">
                  <c:v>3282</c:v>
                </c:pt>
                <c:pt idx="38">
                  <c:v>3521</c:v>
                </c:pt>
                <c:pt idx="39">
                  <c:v>3538</c:v>
                </c:pt>
                <c:pt idx="40">
                  <c:v>3394</c:v>
                </c:pt>
                <c:pt idx="41">
                  <c:v>3499</c:v>
                </c:pt>
                <c:pt idx="42">
                  <c:v>3558</c:v>
                </c:pt>
                <c:pt idx="43">
                  <c:v>3640</c:v>
                </c:pt>
                <c:pt idx="44">
                  <c:v>3596</c:v>
                </c:pt>
                <c:pt idx="45">
                  <c:v>3779</c:v>
                </c:pt>
                <c:pt idx="46">
                  <c:v>3841</c:v>
                </c:pt>
                <c:pt idx="47">
                  <c:v>4035</c:v>
                </c:pt>
                <c:pt idx="48">
                  <c:v>3383</c:v>
                </c:pt>
                <c:pt idx="49">
                  <c:v>3368</c:v>
                </c:pt>
                <c:pt idx="50">
                  <c:v>3616</c:v>
                </c:pt>
                <c:pt idx="51">
                  <c:v>3514</c:v>
                </c:pt>
                <c:pt idx="52">
                  <c:v>3471</c:v>
                </c:pt>
                <c:pt idx="53">
                  <c:v>3579</c:v>
                </c:pt>
                <c:pt idx="54">
                  <c:v>3670</c:v>
                </c:pt>
                <c:pt idx="55">
                  <c:v>3726</c:v>
                </c:pt>
                <c:pt idx="56">
                  <c:v>3681</c:v>
                </c:pt>
                <c:pt idx="57">
                  <c:v>3783</c:v>
                </c:pt>
                <c:pt idx="58">
                  <c:v>3890</c:v>
                </c:pt>
                <c:pt idx="59">
                  <c:v>4122</c:v>
                </c:pt>
                <c:pt idx="60">
                  <c:v>3297</c:v>
                </c:pt>
                <c:pt idx="61">
                  <c:v>3397</c:v>
                </c:pt>
                <c:pt idx="62">
                  <c:v>3532</c:v>
                </c:pt>
                <c:pt idx="63">
                  <c:v>3425</c:v>
                </c:pt>
                <c:pt idx="64">
                  <c:v>3386</c:v>
                </c:pt>
                <c:pt idx="65">
                  <c:v>3460</c:v>
                </c:pt>
              </c:numCache>
            </c:numRef>
          </c:val>
          <c:extLst>
            <c:ext xmlns:c16="http://schemas.microsoft.com/office/drawing/2014/chart" uri="{C3380CC4-5D6E-409C-BE32-E72D297353CC}">
              <c16:uniqueId val="{00000002-730D-472B-842B-7DA7D9B1CD5A}"/>
            </c:ext>
          </c:extLst>
        </c:ser>
        <c:ser>
          <c:idx val="4"/>
          <c:order val="3"/>
          <c:tx>
            <c:strRef>
              <c:f>Top_Mono_Dual_Triple_Tb1_Tb2!$T$2</c:f>
              <c:strCache>
                <c:ptCount val="1"/>
                <c:pt idx="0">
                  <c:v>BB+ACE+SGLT2 (not for HF)</c:v>
                </c:pt>
              </c:strCache>
            </c:strRef>
          </c:tx>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c:spPr>
          <c:cat>
            <c:numRef>
              <c:f>Top_Mono_Dual_Triple_Tb1_Tb2!$A$15:$A$80</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Top_Mono_Dual_Triple_Tb1_Tb2!$T$15:$T$80</c:f>
              <c:numCache>
                <c:formatCode>General</c:formatCode>
                <c:ptCount val="66"/>
                <c:pt idx="0">
                  <c:v>431</c:v>
                </c:pt>
                <c:pt idx="1">
                  <c:v>443</c:v>
                </c:pt>
                <c:pt idx="2">
                  <c:v>491</c:v>
                </c:pt>
                <c:pt idx="3">
                  <c:v>485</c:v>
                </c:pt>
                <c:pt idx="4">
                  <c:v>550</c:v>
                </c:pt>
                <c:pt idx="5">
                  <c:v>579</c:v>
                </c:pt>
                <c:pt idx="6">
                  <c:v>656</c:v>
                </c:pt>
                <c:pt idx="7">
                  <c:v>663</c:v>
                </c:pt>
                <c:pt idx="8">
                  <c:v>672</c:v>
                </c:pt>
                <c:pt idx="9">
                  <c:v>741</c:v>
                </c:pt>
                <c:pt idx="10">
                  <c:v>758</c:v>
                </c:pt>
                <c:pt idx="11">
                  <c:v>773</c:v>
                </c:pt>
                <c:pt idx="12">
                  <c:v>528</c:v>
                </c:pt>
                <c:pt idx="13">
                  <c:v>580</c:v>
                </c:pt>
                <c:pt idx="14">
                  <c:v>615</c:v>
                </c:pt>
                <c:pt idx="15">
                  <c:v>672</c:v>
                </c:pt>
                <c:pt idx="16">
                  <c:v>741</c:v>
                </c:pt>
                <c:pt idx="17">
                  <c:v>717</c:v>
                </c:pt>
                <c:pt idx="18">
                  <c:v>782</c:v>
                </c:pt>
                <c:pt idx="19">
                  <c:v>796</c:v>
                </c:pt>
                <c:pt idx="20">
                  <c:v>827</c:v>
                </c:pt>
                <c:pt idx="21">
                  <c:v>897</c:v>
                </c:pt>
                <c:pt idx="22">
                  <c:v>948</c:v>
                </c:pt>
                <c:pt idx="23">
                  <c:v>955</c:v>
                </c:pt>
                <c:pt idx="24">
                  <c:v>738</c:v>
                </c:pt>
                <c:pt idx="25">
                  <c:v>778</c:v>
                </c:pt>
                <c:pt idx="26">
                  <c:v>860</c:v>
                </c:pt>
                <c:pt idx="27">
                  <c:v>848</c:v>
                </c:pt>
                <c:pt idx="28">
                  <c:v>972</c:v>
                </c:pt>
                <c:pt idx="29">
                  <c:v>994</c:v>
                </c:pt>
                <c:pt idx="30">
                  <c:v>1019</c:v>
                </c:pt>
                <c:pt idx="31">
                  <c:v>1092</c:v>
                </c:pt>
                <c:pt idx="32">
                  <c:v>1119</c:v>
                </c:pt>
                <c:pt idx="33">
                  <c:v>1190</c:v>
                </c:pt>
                <c:pt idx="34">
                  <c:v>1191</c:v>
                </c:pt>
                <c:pt idx="35">
                  <c:v>1277</c:v>
                </c:pt>
                <c:pt idx="36">
                  <c:v>954</c:v>
                </c:pt>
                <c:pt idx="37">
                  <c:v>1045</c:v>
                </c:pt>
                <c:pt idx="38">
                  <c:v>1160</c:v>
                </c:pt>
                <c:pt idx="39">
                  <c:v>1194</c:v>
                </c:pt>
                <c:pt idx="40">
                  <c:v>1279</c:v>
                </c:pt>
                <c:pt idx="41">
                  <c:v>1272</c:v>
                </c:pt>
                <c:pt idx="42">
                  <c:v>1323</c:v>
                </c:pt>
                <c:pt idx="43">
                  <c:v>1319</c:v>
                </c:pt>
                <c:pt idx="44">
                  <c:v>1391</c:v>
                </c:pt>
                <c:pt idx="45">
                  <c:v>1432</c:v>
                </c:pt>
                <c:pt idx="46">
                  <c:v>1504</c:v>
                </c:pt>
                <c:pt idx="47">
                  <c:v>1581</c:v>
                </c:pt>
                <c:pt idx="48">
                  <c:v>1185</c:v>
                </c:pt>
                <c:pt idx="49">
                  <c:v>1201</c:v>
                </c:pt>
                <c:pt idx="50">
                  <c:v>1296</c:v>
                </c:pt>
                <c:pt idx="51">
                  <c:v>1296</c:v>
                </c:pt>
                <c:pt idx="52">
                  <c:v>1450</c:v>
                </c:pt>
                <c:pt idx="53">
                  <c:v>1444</c:v>
                </c:pt>
                <c:pt idx="54">
                  <c:v>1499</c:v>
                </c:pt>
                <c:pt idx="55">
                  <c:v>1601</c:v>
                </c:pt>
                <c:pt idx="56">
                  <c:v>1632</c:v>
                </c:pt>
                <c:pt idx="57">
                  <c:v>1731</c:v>
                </c:pt>
                <c:pt idx="58">
                  <c:v>1902</c:v>
                </c:pt>
                <c:pt idx="59">
                  <c:v>2039</c:v>
                </c:pt>
                <c:pt idx="60">
                  <c:v>1517</c:v>
                </c:pt>
                <c:pt idx="61">
                  <c:v>1531</c:v>
                </c:pt>
                <c:pt idx="62">
                  <c:v>1756</c:v>
                </c:pt>
                <c:pt idx="63">
                  <c:v>1747</c:v>
                </c:pt>
                <c:pt idx="64">
                  <c:v>1942</c:v>
                </c:pt>
                <c:pt idx="65">
                  <c:v>1959</c:v>
                </c:pt>
              </c:numCache>
            </c:numRef>
          </c:val>
          <c:extLst>
            <c:ext xmlns:c16="http://schemas.microsoft.com/office/drawing/2014/chart" uri="{C3380CC4-5D6E-409C-BE32-E72D297353CC}">
              <c16:uniqueId val="{00000003-730D-472B-842B-7DA7D9B1CD5A}"/>
            </c:ext>
          </c:extLst>
        </c:ser>
        <c:ser>
          <c:idx val="5"/>
          <c:order val="4"/>
          <c:tx>
            <c:strRef>
              <c:f>Top_Mono_Dual_Triple_Tb1_Tb2!$U$2</c:f>
              <c:strCache>
                <c:ptCount val="1"/>
                <c:pt idx="0">
                  <c:v>BB+ARNI+SGLT2 (for HF)</c:v>
                </c:pt>
              </c:strCache>
            </c:strRef>
          </c:tx>
          <c:spPr>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chemeClr>
              </a:solidFill>
              <a:round/>
            </a:ln>
            <a:effectLst>
              <a:outerShdw blurRad="40000" dist="20000" dir="5400000" rotWithShape="0">
                <a:srgbClr val="000000">
                  <a:alpha val="38000"/>
                </a:srgbClr>
              </a:outerShdw>
            </a:effectLst>
          </c:spPr>
          <c:cat>
            <c:numRef>
              <c:f>Top_Mono_Dual_Triple_Tb1_Tb2!$A$15:$A$80</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Top_Mono_Dual_Triple_Tb1_Tb2!$U$15:$U$80</c:f>
              <c:numCache>
                <c:formatCode>General</c:formatCode>
                <c:ptCount val="66"/>
                <c:pt idx="48">
                  <c:v>48</c:v>
                </c:pt>
                <c:pt idx="49">
                  <c:v>127</c:v>
                </c:pt>
                <c:pt idx="50">
                  <c:v>256</c:v>
                </c:pt>
                <c:pt idx="51">
                  <c:v>346</c:v>
                </c:pt>
                <c:pt idx="52">
                  <c:v>500</c:v>
                </c:pt>
                <c:pt idx="53">
                  <c:v>664</c:v>
                </c:pt>
                <c:pt idx="54">
                  <c:v>702</c:v>
                </c:pt>
                <c:pt idx="55">
                  <c:v>813</c:v>
                </c:pt>
                <c:pt idx="56">
                  <c:v>925</c:v>
                </c:pt>
                <c:pt idx="57">
                  <c:v>982</c:v>
                </c:pt>
                <c:pt idx="58">
                  <c:v>1125</c:v>
                </c:pt>
                <c:pt idx="59">
                  <c:v>1269</c:v>
                </c:pt>
                <c:pt idx="60">
                  <c:v>1086</c:v>
                </c:pt>
                <c:pt idx="61">
                  <c:v>1208</c:v>
                </c:pt>
                <c:pt idx="62">
                  <c:v>1521</c:v>
                </c:pt>
                <c:pt idx="63">
                  <c:v>1617</c:v>
                </c:pt>
                <c:pt idx="64">
                  <c:v>1991</c:v>
                </c:pt>
                <c:pt idx="65">
                  <c:v>2040</c:v>
                </c:pt>
              </c:numCache>
            </c:numRef>
          </c:val>
          <c:extLst>
            <c:ext xmlns:c16="http://schemas.microsoft.com/office/drawing/2014/chart" uri="{C3380CC4-5D6E-409C-BE32-E72D297353CC}">
              <c16:uniqueId val="{00000004-730D-472B-842B-7DA7D9B1CD5A}"/>
            </c:ext>
          </c:extLst>
        </c:ser>
        <c:ser>
          <c:idx val="3"/>
          <c:order val="5"/>
          <c:tx>
            <c:strRef>
              <c:f>Top_Mono_Dual_Triple_Tb1_Tb2!$O$2</c:f>
              <c:strCache>
                <c:ptCount val="1"/>
                <c:pt idx="0">
                  <c:v>BB+ARB_Thiaz (as FDC)</c:v>
                </c:pt>
              </c:strCache>
            </c:strRef>
          </c:tx>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cat>
            <c:numRef>
              <c:f>Top_Mono_Dual_Triple_Tb1_Tb2!$A$15:$A$80</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Top_Mono_Dual_Triple_Tb1_Tb2!$O$15:$O$80</c:f>
              <c:numCache>
                <c:formatCode>General</c:formatCode>
                <c:ptCount val="66"/>
                <c:pt idx="0">
                  <c:v>2627</c:v>
                </c:pt>
                <c:pt idx="1">
                  <c:v>2756</c:v>
                </c:pt>
                <c:pt idx="2">
                  <c:v>2890</c:v>
                </c:pt>
                <c:pt idx="3">
                  <c:v>2911</c:v>
                </c:pt>
                <c:pt idx="4">
                  <c:v>3132</c:v>
                </c:pt>
                <c:pt idx="5">
                  <c:v>3092</c:v>
                </c:pt>
                <c:pt idx="6">
                  <c:v>3075</c:v>
                </c:pt>
                <c:pt idx="7">
                  <c:v>3144</c:v>
                </c:pt>
                <c:pt idx="8">
                  <c:v>3090</c:v>
                </c:pt>
                <c:pt idx="9">
                  <c:v>3320</c:v>
                </c:pt>
                <c:pt idx="10">
                  <c:v>3430</c:v>
                </c:pt>
                <c:pt idx="11">
                  <c:v>3560</c:v>
                </c:pt>
                <c:pt idx="12">
                  <c:v>2952</c:v>
                </c:pt>
                <c:pt idx="13">
                  <c:v>2976</c:v>
                </c:pt>
                <c:pt idx="14">
                  <c:v>3184</c:v>
                </c:pt>
                <c:pt idx="15">
                  <c:v>3197</c:v>
                </c:pt>
                <c:pt idx="16">
                  <c:v>3428</c:v>
                </c:pt>
                <c:pt idx="17">
                  <c:v>3294</c:v>
                </c:pt>
                <c:pt idx="18">
                  <c:v>3440</c:v>
                </c:pt>
                <c:pt idx="19">
                  <c:v>3479</c:v>
                </c:pt>
                <c:pt idx="20">
                  <c:v>3519</c:v>
                </c:pt>
                <c:pt idx="21">
                  <c:v>3627</c:v>
                </c:pt>
                <c:pt idx="22">
                  <c:v>3689</c:v>
                </c:pt>
                <c:pt idx="23">
                  <c:v>3927</c:v>
                </c:pt>
                <c:pt idx="24">
                  <c:v>3307</c:v>
                </c:pt>
                <c:pt idx="25">
                  <c:v>3300</c:v>
                </c:pt>
                <c:pt idx="26">
                  <c:v>3745</c:v>
                </c:pt>
                <c:pt idx="27">
                  <c:v>3414</c:v>
                </c:pt>
                <c:pt idx="28">
                  <c:v>3604</c:v>
                </c:pt>
                <c:pt idx="29">
                  <c:v>3774</c:v>
                </c:pt>
                <c:pt idx="30">
                  <c:v>4003</c:v>
                </c:pt>
                <c:pt idx="31">
                  <c:v>3922</c:v>
                </c:pt>
                <c:pt idx="32">
                  <c:v>4019</c:v>
                </c:pt>
                <c:pt idx="33">
                  <c:v>4093</c:v>
                </c:pt>
                <c:pt idx="34">
                  <c:v>4150</c:v>
                </c:pt>
                <c:pt idx="35">
                  <c:v>4383</c:v>
                </c:pt>
                <c:pt idx="36">
                  <c:v>3547</c:v>
                </c:pt>
                <c:pt idx="37">
                  <c:v>3711</c:v>
                </c:pt>
                <c:pt idx="38">
                  <c:v>4030</c:v>
                </c:pt>
                <c:pt idx="39">
                  <c:v>3945</c:v>
                </c:pt>
                <c:pt idx="40">
                  <c:v>4149</c:v>
                </c:pt>
                <c:pt idx="41">
                  <c:v>4161</c:v>
                </c:pt>
                <c:pt idx="42">
                  <c:v>4318</c:v>
                </c:pt>
                <c:pt idx="43">
                  <c:v>4416</c:v>
                </c:pt>
                <c:pt idx="44">
                  <c:v>4381</c:v>
                </c:pt>
                <c:pt idx="45">
                  <c:v>4410</c:v>
                </c:pt>
                <c:pt idx="46">
                  <c:v>4545</c:v>
                </c:pt>
                <c:pt idx="47">
                  <c:v>4729</c:v>
                </c:pt>
                <c:pt idx="48">
                  <c:v>3822</c:v>
                </c:pt>
                <c:pt idx="49">
                  <c:v>3908</c:v>
                </c:pt>
                <c:pt idx="50">
                  <c:v>4217</c:v>
                </c:pt>
                <c:pt idx="51">
                  <c:v>4176</c:v>
                </c:pt>
                <c:pt idx="52">
                  <c:v>4391</c:v>
                </c:pt>
                <c:pt idx="53">
                  <c:v>4377</c:v>
                </c:pt>
                <c:pt idx="54">
                  <c:v>4432</c:v>
                </c:pt>
                <c:pt idx="55">
                  <c:v>4545</c:v>
                </c:pt>
                <c:pt idx="56">
                  <c:v>4527</c:v>
                </c:pt>
                <c:pt idx="57">
                  <c:v>4674</c:v>
                </c:pt>
                <c:pt idx="58">
                  <c:v>4735</c:v>
                </c:pt>
                <c:pt idx="59">
                  <c:v>5084</c:v>
                </c:pt>
                <c:pt idx="60">
                  <c:v>3960</c:v>
                </c:pt>
                <c:pt idx="61">
                  <c:v>4162</c:v>
                </c:pt>
                <c:pt idx="62">
                  <c:v>4412</c:v>
                </c:pt>
                <c:pt idx="63">
                  <c:v>4420</c:v>
                </c:pt>
                <c:pt idx="64">
                  <c:v>4732</c:v>
                </c:pt>
                <c:pt idx="65">
                  <c:v>4703</c:v>
                </c:pt>
              </c:numCache>
            </c:numRef>
          </c:val>
          <c:extLst>
            <c:ext xmlns:c16="http://schemas.microsoft.com/office/drawing/2014/chart" uri="{C3380CC4-5D6E-409C-BE32-E72D297353CC}">
              <c16:uniqueId val="{00000005-730D-472B-842B-7DA7D9B1CD5A}"/>
            </c:ext>
          </c:extLst>
        </c:ser>
        <c:ser>
          <c:idx val="6"/>
          <c:order val="6"/>
          <c:tx>
            <c:strRef>
              <c:f>Top_Mono_Dual_Triple_Tb1_Tb2!$R$2</c:f>
              <c:strCache>
                <c:ptCount val="1"/>
                <c:pt idx="0">
                  <c:v>BB+ACE_CCB (as FDC)</c:v>
                </c:pt>
              </c:strCache>
            </c:strRef>
          </c:tx>
          <c:spPr>
            <a:gradFill rotWithShape="1">
              <a:gsLst>
                <a:gs pos="0">
                  <a:schemeClr val="accent1">
                    <a:lumMod val="60000"/>
                    <a:tint val="50000"/>
                    <a:satMod val="300000"/>
                  </a:schemeClr>
                </a:gs>
                <a:gs pos="35000">
                  <a:schemeClr val="accent1">
                    <a:lumMod val="60000"/>
                    <a:tint val="37000"/>
                    <a:satMod val="300000"/>
                  </a:schemeClr>
                </a:gs>
                <a:gs pos="100000">
                  <a:schemeClr val="accent1">
                    <a:lumMod val="60000"/>
                    <a:tint val="15000"/>
                    <a:satMod val="350000"/>
                  </a:schemeClr>
                </a:gs>
              </a:gsLst>
              <a:lin ang="16200000" scaled="1"/>
            </a:gradFill>
            <a:ln w="9525" cap="flat" cmpd="sng" algn="ctr">
              <a:solidFill>
                <a:schemeClr val="accent1">
                  <a:lumMod val="60000"/>
                  <a:shade val="95000"/>
                </a:schemeClr>
              </a:solidFill>
              <a:round/>
            </a:ln>
            <a:effectLst>
              <a:outerShdw blurRad="40000" dist="20000" dir="5400000" rotWithShape="0">
                <a:srgbClr val="000000">
                  <a:alpha val="38000"/>
                </a:srgbClr>
              </a:outerShdw>
            </a:effectLst>
          </c:spPr>
          <c:cat>
            <c:numRef>
              <c:f>Top_Mono_Dual_Triple_Tb1_Tb2!$A$15:$A$80</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Top_Mono_Dual_Triple_Tb1_Tb2!$R$15:$R$80</c:f>
              <c:numCache>
                <c:formatCode>General</c:formatCode>
                <c:ptCount val="66"/>
                <c:pt idx="0">
                  <c:v>1153</c:v>
                </c:pt>
                <c:pt idx="1">
                  <c:v>1151</c:v>
                </c:pt>
                <c:pt idx="2">
                  <c:v>1264</c:v>
                </c:pt>
                <c:pt idx="3">
                  <c:v>1238</c:v>
                </c:pt>
                <c:pt idx="4">
                  <c:v>1297</c:v>
                </c:pt>
                <c:pt idx="5">
                  <c:v>1237</c:v>
                </c:pt>
                <c:pt idx="6">
                  <c:v>1262</c:v>
                </c:pt>
                <c:pt idx="7">
                  <c:v>1305</c:v>
                </c:pt>
                <c:pt idx="8">
                  <c:v>1321</c:v>
                </c:pt>
                <c:pt idx="9">
                  <c:v>1368</c:v>
                </c:pt>
                <c:pt idx="10">
                  <c:v>1406</c:v>
                </c:pt>
                <c:pt idx="11">
                  <c:v>1424</c:v>
                </c:pt>
                <c:pt idx="12">
                  <c:v>1250</c:v>
                </c:pt>
                <c:pt idx="13">
                  <c:v>1284</c:v>
                </c:pt>
                <c:pt idx="14">
                  <c:v>1329</c:v>
                </c:pt>
                <c:pt idx="15">
                  <c:v>1377</c:v>
                </c:pt>
                <c:pt idx="16">
                  <c:v>1418</c:v>
                </c:pt>
                <c:pt idx="17">
                  <c:v>1394</c:v>
                </c:pt>
                <c:pt idx="18">
                  <c:v>1440</c:v>
                </c:pt>
                <c:pt idx="19">
                  <c:v>1481</c:v>
                </c:pt>
                <c:pt idx="20">
                  <c:v>1460</c:v>
                </c:pt>
                <c:pt idx="21">
                  <c:v>1544</c:v>
                </c:pt>
                <c:pt idx="22">
                  <c:v>1549</c:v>
                </c:pt>
                <c:pt idx="23">
                  <c:v>1597</c:v>
                </c:pt>
                <c:pt idx="24">
                  <c:v>1381</c:v>
                </c:pt>
                <c:pt idx="25">
                  <c:v>1429</c:v>
                </c:pt>
                <c:pt idx="26">
                  <c:v>1580</c:v>
                </c:pt>
                <c:pt idx="27">
                  <c:v>1513</c:v>
                </c:pt>
                <c:pt idx="28">
                  <c:v>1574</c:v>
                </c:pt>
                <c:pt idx="29">
                  <c:v>1637</c:v>
                </c:pt>
                <c:pt idx="30">
                  <c:v>1640</c:v>
                </c:pt>
                <c:pt idx="31">
                  <c:v>1739</c:v>
                </c:pt>
                <c:pt idx="32">
                  <c:v>1755</c:v>
                </c:pt>
                <c:pt idx="33">
                  <c:v>1767</c:v>
                </c:pt>
                <c:pt idx="34">
                  <c:v>1761</c:v>
                </c:pt>
                <c:pt idx="35">
                  <c:v>1904</c:v>
                </c:pt>
                <c:pt idx="36">
                  <c:v>1581</c:v>
                </c:pt>
                <c:pt idx="37">
                  <c:v>1620</c:v>
                </c:pt>
                <c:pt idx="38">
                  <c:v>1754</c:v>
                </c:pt>
                <c:pt idx="39">
                  <c:v>1750</c:v>
                </c:pt>
                <c:pt idx="40">
                  <c:v>1831</c:v>
                </c:pt>
                <c:pt idx="41">
                  <c:v>1823</c:v>
                </c:pt>
                <c:pt idx="42">
                  <c:v>1907</c:v>
                </c:pt>
                <c:pt idx="43">
                  <c:v>1947</c:v>
                </c:pt>
                <c:pt idx="44">
                  <c:v>1935</c:v>
                </c:pt>
                <c:pt idx="45">
                  <c:v>1958</c:v>
                </c:pt>
                <c:pt idx="46">
                  <c:v>1964</c:v>
                </c:pt>
                <c:pt idx="47">
                  <c:v>2043</c:v>
                </c:pt>
                <c:pt idx="48">
                  <c:v>1717</c:v>
                </c:pt>
                <c:pt idx="49">
                  <c:v>1715</c:v>
                </c:pt>
                <c:pt idx="50">
                  <c:v>1876</c:v>
                </c:pt>
                <c:pt idx="51">
                  <c:v>1823</c:v>
                </c:pt>
                <c:pt idx="52">
                  <c:v>1965</c:v>
                </c:pt>
                <c:pt idx="53">
                  <c:v>1909</c:v>
                </c:pt>
                <c:pt idx="54">
                  <c:v>1976</c:v>
                </c:pt>
                <c:pt idx="55">
                  <c:v>2014</c:v>
                </c:pt>
                <c:pt idx="56">
                  <c:v>2038</c:v>
                </c:pt>
                <c:pt idx="57">
                  <c:v>2026</c:v>
                </c:pt>
                <c:pt idx="58">
                  <c:v>2079</c:v>
                </c:pt>
                <c:pt idx="59">
                  <c:v>2183</c:v>
                </c:pt>
                <c:pt idx="60">
                  <c:v>1760</c:v>
                </c:pt>
                <c:pt idx="61">
                  <c:v>1819</c:v>
                </c:pt>
                <c:pt idx="62">
                  <c:v>1957</c:v>
                </c:pt>
                <c:pt idx="63">
                  <c:v>1949</c:v>
                </c:pt>
                <c:pt idx="64">
                  <c:v>2098</c:v>
                </c:pt>
                <c:pt idx="65">
                  <c:v>2072</c:v>
                </c:pt>
              </c:numCache>
            </c:numRef>
          </c:val>
          <c:extLst>
            <c:ext xmlns:c16="http://schemas.microsoft.com/office/drawing/2014/chart" uri="{C3380CC4-5D6E-409C-BE32-E72D297353CC}">
              <c16:uniqueId val="{00000006-730D-472B-842B-7DA7D9B1CD5A}"/>
            </c:ext>
          </c:extLst>
        </c:ser>
        <c:ser>
          <c:idx val="7"/>
          <c:order val="7"/>
          <c:tx>
            <c:strRef>
              <c:f>Top_Mono_Dual_Triple_Tb1_Tb2!$S$2</c:f>
              <c:strCache>
                <c:ptCount val="1"/>
                <c:pt idx="0">
                  <c:v>BB+ARB_CCB (as FDC)</c:v>
                </c:pt>
              </c:strCache>
            </c:strRef>
          </c:tx>
          <c:spPr>
            <a:gradFill rotWithShape="1">
              <a:gsLst>
                <a:gs pos="0">
                  <a:schemeClr val="accent2">
                    <a:lumMod val="60000"/>
                    <a:tint val="50000"/>
                    <a:satMod val="300000"/>
                  </a:schemeClr>
                </a:gs>
                <a:gs pos="35000">
                  <a:schemeClr val="accent2">
                    <a:lumMod val="60000"/>
                    <a:tint val="37000"/>
                    <a:satMod val="300000"/>
                  </a:schemeClr>
                </a:gs>
                <a:gs pos="100000">
                  <a:schemeClr val="accent2">
                    <a:lumMod val="60000"/>
                    <a:tint val="15000"/>
                    <a:satMod val="350000"/>
                  </a:schemeClr>
                </a:gs>
              </a:gsLst>
              <a:lin ang="16200000" scaled="1"/>
            </a:gradFill>
            <a:ln w="9525" cap="flat" cmpd="sng" algn="ctr">
              <a:solidFill>
                <a:schemeClr val="accent2">
                  <a:lumMod val="60000"/>
                  <a:shade val="95000"/>
                </a:schemeClr>
              </a:solidFill>
              <a:round/>
            </a:ln>
            <a:effectLst>
              <a:outerShdw blurRad="40000" dist="20000" dir="5400000" rotWithShape="0">
                <a:srgbClr val="000000">
                  <a:alpha val="38000"/>
                </a:srgbClr>
              </a:outerShdw>
            </a:effectLst>
          </c:spPr>
          <c:cat>
            <c:numRef>
              <c:f>Top_Mono_Dual_Triple_Tb1_Tb2!$A$15:$A$80</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Top_Mono_Dual_Triple_Tb1_Tb2!$S$15:$S$80</c:f>
              <c:numCache>
                <c:formatCode>General</c:formatCode>
                <c:ptCount val="66"/>
                <c:pt idx="0">
                  <c:v>729</c:v>
                </c:pt>
                <c:pt idx="1">
                  <c:v>756</c:v>
                </c:pt>
                <c:pt idx="2">
                  <c:v>814</c:v>
                </c:pt>
                <c:pt idx="3">
                  <c:v>850</c:v>
                </c:pt>
                <c:pt idx="4">
                  <c:v>900</c:v>
                </c:pt>
                <c:pt idx="5">
                  <c:v>885</c:v>
                </c:pt>
                <c:pt idx="6">
                  <c:v>908</c:v>
                </c:pt>
                <c:pt idx="7">
                  <c:v>961</c:v>
                </c:pt>
                <c:pt idx="8">
                  <c:v>940</c:v>
                </c:pt>
                <c:pt idx="9">
                  <c:v>1000</c:v>
                </c:pt>
                <c:pt idx="10">
                  <c:v>1051</c:v>
                </c:pt>
                <c:pt idx="11">
                  <c:v>1074</c:v>
                </c:pt>
                <c:pt idx="12">
                  <c:v>888</c:v>
                </c:pt>
                <c:pt idx="13">
                  <c:v>901</c:v>
                </c:pt>
                <c:pt idx="14">
                  <c:v>974</c:v>
                </c:pt>
                <c:pt idx="15">
                  <c:v>998</c:v>
                </c:pt>
                <c:pt idx="16">
                  <c:v>1043</c:v>
                </c:pt>
                <c:pt idx="17">
                  <c:v>1026</c:v>
                </c:pt>
                <c:pt idx="18">
                  <c:v>1072</c:v>
                </c:pt>
                <c:pt idx="19">
                  <c:v>1124</c:v>
                </c:pt>
                <c:pt idx="20">
                  <c:v>1096</c:v>
                </c:pt>
                <c:pt idx="21">
                  <c:v>1180</c:v>
                </c:pt>
                <c:pt idx="22">
                  <c:v>1150</c:v>
                </c:pt>
                <c:pt idx="23">
                  <c:v>1233</c:v>
                </c:pt>
                <c:pt idx="24">
                  <c:v>1034</c:v>
                </c:pt>
                <c:pt idx="25">
                  <c:v>1061</c:v>
                </c:pt>
                <c:pt idx="26">
                  <c:v>1236</c:v>
                </c:pt>
                <c:pt idx="27">
                  <c:v>1088</c:v>
                </c:pt>
                <c:pt idx="28">
                  <c:v>1181</c:v>
                </c:pt>
                <c:pt idx="29">
                  <c:v>1237</c:v>
                </c:pt>
                <c:pt idx="30">
                  <c:v>1248</c:v>
                </c:pt>
                <c:pt idx="31">
                  <c:v>1274</c:v>
                </c:pt>
                <c:pt idx="32">
                  <c:v>1279</c:v>
                </c:pt>
                <c:pt idx="33">
                  <c:v>1303</c:v>
                </c:pt>
                <c:pt idx="34">
                  <c:v>1340</c:v>
                </c:pt>
                <c:pt idx="35">
                  <c:v>1455</c:v>
                </c:pt>
                <c:pt idx="36">
                  <c:v>1187</c:v>
                </c:pt>
                <c:pt idx="37">
                  <c:v>1215</c:v>
                </c:pt>
                <c:pt idx="38">
                  <c:v>1329</c:v>
                </c:pt>
                <c:pt idx="39">
                  <c:v>1345</c:v>
                </c:pt>
                <c:pt idx="40">
                  <c:v>1430</c:v>
                </c:pt>
                <c:pt idx="41">
                  <c:v>1451</c:v>
                </c:pt>
                <c:pt idx="42">
                  <c:v>1551</c:v>
                </c:pt>
                <c:pt idx="43">
                  <c:v>1572</c:v>
                </c:pt>
                <c:pt idx="44">
                  <c:v>1546</c:v>
                </c:pt>
                <c:pt idx="45">
                  <c:v>1639</c:v>
                </c:pt>
                <c:pt idx="46">
                  <c:v>1683</c:v>
                </c:pt>
                <c:pt idx="47">
                  <c:v>1722</c:v>
                </c:pt>
                <c:pt idx="48">
                  <c:v>1451</c:v>
                </c:pt>
                <c:pt idx="49">
                  <c:v>1467</c:v>
                </c:pt>
                <c:pt idx="50">
                  <c:v>1641</c:v>
                </c:pt>
                <c:pt idx="51">
                  <c:v>1602</c:v>
                </c:pt>
                <c:pt idx="52">
                  <c:v>1653</c:v>
                </c:pt>
                <c:pt idx="53">
                  <c:v>1668</c:v>
                </c:pt>
                <c:pt idx="54">
                  <c:v>1704</c:v>
                </c:pt>
                <c:pt idx="55">
                  <c:v>1768</c:v>
                </c:pt>
                <c:pt idx="56">
                  <c:v>1765</c:v>
                </c:pt>
                <c:pt idx="57">
                  <c:v>1823</c:v>
                </c:pt>
                <c:pt idx="58">
                  <c:v>1877</c:v>
                </c:pt>
                <c:pt idx="59">
                  <c:v>1960</c:v>
                </c:pt>
                <c:pt idx="60">
                  <c:v>1578</c:v>
                </c:pt>
                <c:pt idx="61">
                  <c:v>1580</c:v>
                </c:pt>
                <c:pt idx="62">
                  <c:v>1759</c:v>
                </c:pt>
                <c:pt idx="63">
                  <c:v>1687</c:v>
                </c:pt>
                <c:pt idx="64">
                  <c:v>1833</c:v>
                </c:pt>
                <c:pt idx="65">
                  <c:v>1817</c:v>
                </c:pt>
              </c:numCache>
            </c:numRef>
          </c:val>
          <c:extLst>
            <c:ext xmlns:c16="http://schemas.microsoft.com/office/drawing/2014/chart" uri="{C3380CC4-5D6E-409C-BE32-E72D297353CC}">
              <c16:uniqueId val="{00000007-730D-472B-842B-7DA7D9B1CD5A}"/>
            </c:ext>
          </c:extLst>
        </c:ser>
        <c:dLbls>
          <c:showLegendKey val="0"/>
          <c:showVal val="0"/>
          <c:showCatName val="0"/>
          <c:showSerName val="0"/>
          <c:showPercent val="0"/>
          <c:showBubbleSize val="0"/>
        </c:dLbls>
        <c:axId val="187531784"/>
        <c:axId val="1"/>
      </c:areaChart>
      <c:dateAx>
        <c:axId val="187531784"/>
        <c:scaling>
          <c:orientation val="minMax"/>
        </c:scaling>
        <c:delete val="0"/>
        <c:axPos val="b"/>
        <c:numFmt formatCode="mmm\-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
        <c:crosses val="autoZero"/>
        <c:auto val="1"/>
        <c:lblOffset val="100"/>
        <c:baseTimeUnit val="months"/>
        <c:majorUnit val="2"/>
        <c:majorTimeUnit val="months"/>
      </c:date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US"/>
                  <a:t>Percent of Triple Therapy population</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8753178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94751833150901"/>
          <c:y val="0.14210727969348658"/>
          <c:w val="0.80870327155568278"/>
          <c:h val="0.60119437656499841"/>
        </c:manualLayout>
      </c:layout>
      <c:lineChart>
        <c:grouping val="standard"/>
        <c:varyColors val="0"/>
        <c:ser>
          <c:idx val="1"/>
          <c:order val="0"/>
          <c:tx>
            <c:strRef>
              <c:f>'Standard_Care '!$Y$5</c:f>
              <c:strCache>
                <c:ptCount val="1"/>
                <c:pt idx="0">
                  <c:v>Standard of care</c:v>
                </c:pt>
              </c:strCache>
            </c:strRef>
          </c:tx>
          <c:spPr>
            <a:ln w="28575" cap="rnd">
              <a:solidFill>
                <a:schemeClr val="accent2"/>
              </a:solidFill>
              <a:round/>
            </a:ln>
            <a:effectLst/>
          </c:spPr>
          <c:marker>
            <c:symbol val="none"/>
          </c:marker>
          <c:cat>
            <c:numRef>
              <c:f>'Standard_Care '!$A$6:$A$71</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'Standard_Care '!$Y$6:$Y$71</c:f>
              <c:numCache>
                <c:formatCode>General</c:formatCode>
                <c:ptCount val="66"/>
                <c:pt idx="0">
                  <c:v>33</c:v>
                </c:pt>
                <c:pt idx="1">
                  <c:v>32.5</c:v>
                </c:pt>
                <c:pt idx="2">
                  <c:v>32.700000000000003</c:v>
                </c:pt>
                <c:pt idx="3">
                  <c:v>33.6</c:v>
                </c:pt>
                <c:pt idx="4">
                  <c:v>34.4</c:v>
                </c:pt>
                <c:pt idx="5">
                  <c:v>34.1</c:v>
                </c:pt>
                <c:pt idx="6">
                  <c:v>33.799999999999997</c:v>
                </c:pt>
                <c:pt idx="7">
                  <c:v>33.6</c:v>
                </c:pt>
                <c:pt idx="8">
                  <c:v>33.6</c:v>
                </c:pt>
                <c:pt idx="9">
                  <c:v>33.4</c:v>
                </c:pt>
                <c:pt idx="10">
                  <c:v>33.4</c:v>
                </c:pt>
                <c:pt idx="11">
                  <c:v>33.4</c:v>
                </c:pt>
                <c:pt idx="12">
                  <c:v>33.200000000000003</c:v>
                </c:pt>
                <c:pt idx="13">
                  <c:v>32.4</c:v>
                </c:pt>
                <c:pt idx="14">
                  <c:v>32.9</c:v>
                </c:pt>
                <c:pt idx="15">
                  <c:v>33.799999999999997</c:v>
                </c:pt>
                <c:pt idx="16">
                  <c:v>34.5</c:v>
                </c:pt>
                <c:pt idx="17">
                  <c:v>34.299999999999997</c:v>
                </c:pt>
                <c:pt idx="18">
                  <c:v>34.200000000000003</c:v>
                </c:pt>
                <c:pt idx="19">
                  <c:v>34.1</c:v>
                </c:pt>
                <c:pt idx="20">
                  <c:v>33.799999999999997</c:v>
                </c:pt>
                <c:pt idx="21">
                  <c:v>33.799999999999997</c:v>
                </c:pt>
                <c:pt idx="22">
                  <c:v>33.700000000000003</c:v>
                </c:pt>
                <c:pt idx="23">
                  <c:v>33.799999999999997</c:v>
                </c:pt>
                <c:pt idx="24">
                  <c:v>33.299999999999997</c:v>
                </c:pt>
                <c:pt idx="25">
                  <c:v>32.6</c:v>
                </c:pt>
                <c:pt idx="26">
                  <c:v>33.299999999999997</c:v>
                </c:pt>
                <c:pt idx="27">
                  <c:v>33.6</c:v>
                </c:pt>
                <c:pt idx="28">
                  <c:v>34.299999999999997</c:v>
                </c:pt>
                <c:pt idx="29">
                  <c:v>34.5</c:v>
                </c:pt>
                <c:pt idx="30">
                  <c:v>34.5</c:v>
                </c:pt>
                <c:pt idx="31">
                  <c:v>34.6</c:v>
                </c:pt>
                <c:pt idx="32">
                  <c:v>34.5</c:v>
                </c:pt>
                <c:pt idx="33">
                  <c:v>34.6</c:v>
                </c:pt>
                <c:pt idx="34">
                  <c:v>34.4</c:v>
                </c:pt>
                <c:pt idx="35">
                  <c:v>34.4</c:v>
                </c:pt>
                <c:pt idx="36">
                  <c:v>33.5</c:v>
                </c:pt>
                <c:pt idx="37">
                  <c:v>33.200000000000003</c:v>
                </c:pt>
                <c:pt idx="38">
                  <c:v>33.4</c:v>
                </c:pt>
                <c:pt idx="39">
                  <c:v>34.1</c:v>
                </c:pt>
                <c:pt idx="40">
                  <c:v>34.700000000000003</c:v>
                </c:pt>
                <c:pt idx="41">
                  <c:v>34.700000000000003</c:v>
                </c:pt>
                <c:pt idx="42">
                  <c:v>34.6</c:v>
                </c:pt>
                <c:pt idx="43">
                  <c:v>34.6</c:v>
                </c:pt>
                <c:pt idx="44">
                  <c:v>34.5</c:v>
                </c:pt>
                <c:pt idx="45">
                  <c:v>34.6</c:v>
                </c:pt>
                <c:pt idx="46">
                  <c:v>34.5</c:v>
                </c:pt>
                <c:pt idx="47">
                  <c:v>34.6</c:v>
                </c:pt>
                <c:pt idx="48">
                  <c:v>33.700000000000003</c:v>
                </c:pt>
                <c:pt idx="49">
                  <c:v>33.299999999999997</c:v>
                </c:pt>
                <c:pt idx="50">
                  <c:v>33.4</c:v>
                </c:pt>
                <c:pt idx="51">
                  <c:v>34.200000000000003</c:v>
                </c:pt>
                <c:pt idx="52">
                  <c:v>34.799999999999997</c:v>
                </c:pt>
                <c:pt idx="53">
                  <c:v>34.5</c:v>
                </c:pt>
                <c:pt idx="54">
                  <c:v>34.5</c:v>
                </c:pt>
                <c:pt idx="55">
                  <c:v>34.200000000000003</c:v>
                </c:pt>
                <c:pt idx="56">
                  <c:v>34</c:v>
                </c:pt>
                <c:pt idx="57">
                  <c:v>33.799999999999997</c:v>
                </c:pt>
                <c:pt idx="58">
                  <c:v>33.6</c:v>
                </c:pt>
                <c:pt idx="59">
                  <c:v>33.799999999999997</c:v>
                </c:pt>
                <c:pt idx="60">
                  <c:v>31.5</c:v>
                </c:pt>
                <c:pt idx="61">
                  <c:v>31.4</c:v>
                </c:pt>
                <c:pt idx="62">
                  <c:v>31.8</c:v>
                </c:pt>
                <c:pt idx="63">
                  <c:v>32.299999999999997</c:v>
                </c:pt>
                <c:pt idx="64">
                  <c:v>32.9</c:v>
                </c:pt>
                <c:pt idx="65">
                  <c:v>32.700000000000003</c:v>
                </c:pt>
              </c:numCache>
            </c:numRef>
          </c:val>
          <c:smooth val="0"/>
          <c:extLst>
            <c:ext xmlns:c16="http://schemas.microsoft.com/office/drawing/2014/chart" uri="{C3380CC4-5D6E-409C-BE32-E72D297353CC}">
              <c16:uniqueId val="{00000000-B459-4470-9D5D-2469E6E139F6}"/>
            </c:ext>
          </c:extLst>
        </c:ser>
        <c:dLbls>
          <c:showLegendKey val="0"/>
          <c:showVal val="0"/>
          <c:showCatName val="0"/>
          <c:showSerName val="0"/>
          <c:showPercent val="0"/>
          <c:showBubbleSize val="0"/>
        </c:dLbls>
        <c:smooth val="0"/>
        <c:axId val="1297063263"/>
        <c:axId val="1"/>
      </c:lineChart>
      <c:dateAx>
        <c:axId val="1297063263"/>
        <c:scaling>
          <c:orientation val="minMax"/>
          <c:max val="45107"/>
        </c:scaling>
        <c:delete val="0"/>
        <c:axPos val="b"/>
        <c:numFmt formatCode="mmm\-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Offset val="100"/>
        <c:baseTimeUnit val="months"/>
        <c:majorUnit val="5"/>
        <c:majorTimeUnit val="months"/>
      </c:dateAx>
      <c:valAx>
        <c:axId val="1"/>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Proportion of prevalent users of HF restricted medicines</a:t>
                </a:r>
              </a:p>
            </c:rich>
          </c:tx>
          <c:overlay val="0"/>
          <c:spPr>
            <a:noFill/>
            <a:ln w="25400">
              <a:noFill/>
            </a:ln>
          </c:spPr>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7063263"/>
        <c:crosses val="autoZero"/>
        <c:crossBetween val="between"/>
      </c:valAx>
      <c:spPr>
        <a:noFill/>
        <a:ln w="25400">
          <a:noFill/>
        </a:ln>
      </c:spPr>
    </c:plotArea>
    <c:legend>
      <c:legendPos val="r"/>
      <c:layout>
        <c:manualLayout>
          <c:xMode val="edge"/>
          <c:yMode val="edge"/>
          <c:x val="6.8835925429147918E-2"/>
          <c:y val="0.91119616711951323"/>
          <c:w val="0.9197244480950042"/>
          <c:h val="6.5991922966872826E-2"/>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Summary_byAge!$R$2</c:f>
              <c:strCache>
                <c:ptCount val="1"/>
                <c:pt idx="0">
                  <c:v>Standard of care, age under 65</c:v>
                </c:pt>
              </c:strCache>
            </c:strRef>
          </c:tx>
          <c:spPr>
            <a:ln w="28575" cap="rnd">
              <a:solidFill>
                <a:srgbClr val="00B050"/>
              </a:solidFill>
              <a:round/>
            </a:ln>
            <a:effectLst/>
          </c:spPr>
          <c:marker>
            <c:symbol val="none"/>
          </c:marker>
          <c:cat>
            <c:numRef>
              <c:f>Summary_byAge!$A$3:$A$68</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Summary_byAge!$R$3:$R$68</c:f>
              <c:numCache>
                <c:formatCode>General</c:formatCode>
                <c:ptCount val="66"/>
                <c:pt idx="0">
                  <c:v>33.1</c:v>
                </c:pt>
                <c:pt idx="1">
                  <c:v>32.299999999999997</c:v>
                </c:pt>
                <c:pt idx="2">
                  <c:v>32.1</c:v>
                </c:pt>
                <c:pt idx="3">
                  <c:v>32.9</c:v>
                </c:pt>
                <c:pt idx="4">
                  <c:v>33</c:v>
                </c:pt>
                <c:pt idx="5">
                  <c:v>33</c:v>
                </c:pt>
                <c:pt idx="6">
                  <c:v>33.299999999999997</c:v>
                </c:pt>
                <c:pt idx="7">
                  <c:v>33.200000000000003</c:v>
                </c:pt>
                <c:pt idx="8">
                  <c:v>33.6</c:v>
                </c:pt>
                <c:pt idx="9">
                  <c:v>33.5</c:v>
                </c:pt>
                <c:pt idx="10">
                  <c:v>33.9</c:v>
                </c:pt>
                <c:pt idx="11">
                  <c:v>34.299999999999997</c:v>
                </c:pt>
                <c:pt idx="12">
                  <c:v>33</c:v>
                </c:pt>
                <c:pt idx="13">
                  <c:v>31.8</c:v>
                </c:pt>
                <c:pt idx="14">
                  <c:v>31.9</c:v>
                </c:pt>
                <c:pt idx="15">
                  <c:v>32.299999999999997</c:v>
                </c:pt>
                <c:pt idx="16">
                  <c:v>32.799999999999997</c:v>
                </c:pt>
                <c:pt idx="17">
                  <c:v>32.799999999999997</c:v>
                </c:pt>
                <c:pt idx="18">
                  <c:v>32.9</c:v>
                </c:pt>
                <c:pt idx="19">
                  <c:v>32.9</c:v>
                </c:pt>
                <c:pt idx="20">
                  <c:v>33.200000000000003</c:v>
                </c:pt>
                <c:pt idx="21">
                  <c:v>33.200000000000003</c:v>
                </c:pt>
                <c:pt idx="22">
                  <c:v>33.6</c:v>
                </c:pt>
                <c:pt idx="23">
                  <c:v>34</c:v>
                </c:pt>
                <c:pt idx="24">
                  <c:v>32.4</c:v>
                </c:pt>
                <c:pt idx="25">
                  <c:v>30.8</c:v>
                </c:pt>
                <c:pt idx="26">
                  <c:v>31.3</c:v>
                </c:pt>
                <c:pt idx="27">
                  <c:v>32.1</c:v>
                </c:pt>
                <c:pt idx="28">
                  <c:v>32.9</c:v>
                </c:pt>
                <c:pt idx="29">
                  <c:v>33.200000000000003</c:v>
                </c:pt>
                <c:pt idx="30">
                  <c:v>33.799999999999997</c:v>
                </c:pt>
                <c:pt idx="31">
                  <c:v>34</c:v>
                </c:pt>
                <c:pt idx="32">
                  <c:v>34.4</c:v>
                </c:pt>
                <c:pt idx="33">
                  <c:v>34.6</c:v>
                </c:pt>
                <c:pt idx="34">
                  <c:v>34.4</c:v>
                </c:pt>
                <c:pt idx="35">
                  <c:v>34.799999999999997</c:v>
                </c:pt>
                <c:pt idx="36">
                  <c:v>32.1</c:v>
                </c:pt>
                <c:pt idx="37">
                  <c:v>31.7</c:v>
                </c:pt>
                <c:pt idx="38">
                  <c:v>31.4</c:v>
                </c:pt>
                <c:pt idx="39">
                  <c:v>31.9</c:v>
                </c:pt>
                <c:pt idx="40">
                  <c:v>31.7</c:v>
                </c:pt>
                <c:pt idx="41">
                  <c:v>32.1</c:v>
                </c:pt>
                <c:pt idx="42">
                  <c:v>32.200000000000003</c:v>
                </c:pt>
                <c:pt idx="43">
                  <c:v>32.200000000000003</c:v>
                </c:pt>
                <c:pt idx="44">
                  <c:v>32.6</c:v>
                </c:pt>
                <c:pt idx="45">
                  <c:v>32.6</c:v>
                </c:pt>
                <c:pt idx="46">
                  <c:v>33</c:v>
                </c:pt>
                <c:pt idx="47">
                  <c:v>33.6</c:v>
                </c:pt>
                <c:pt idx="48">
                  <c:v>31.6</c:v>
                </c:pt>
                <c:pt idx="49">
                  <c:v>30.6</c:v>
                </c:pt>
                <c:pt idx="50">
                  <c:v>30.5</c:v>
                </c:pt>
                <c:pt idx="51">
                  <c:v>30.6</c:v>
                </c:pt>
                <c:pt idx="52">
                  <c:v>30.9</c:v>
                </c:pt>
                <c:pt idx="53">
                  <c:v>30.5</c:v>
                </c:pt>
                <c:pt idx="54">
                  <c:v>30.7</c:v>
                </c:pt>
                <c:pt idx="55">
                  <c:v>30.7</c:v>
                </c:pt>
                <c:pt idx="56">
                  <c:v>30.7</c:v>
                </c:pt>
                <c:pt idx="57">
                  <c:v>30.7</c:v>
                </c:pt>
                <c:pt idx="58">
                  <c:v>30.9</c:v>
                </c:pt>
                <c:pt idx="59">
                  <c:v>31.6</c:v>
                </c:pt>
                <c:pt idx="60">
                  <c:v>26.5</c:v>
                </c:pt>
                <c:pt idx="61">
                  <c:v>26</c:v>
                </c:pt>
                <c:pt idx="62">
                  <c:v>26</c:v>
                </c:pt>
                <c:pt idx="63">
                  <c:v>26.1</c:v>
                </c:pt>
                <c:pt idx="64">
                  <c:v>26.9</c:v>
                </c:pt>
                <c:pt idx="65">
                  <c:v>26.4</c:v>
                </c:pt>
              </c:numCache>
            </c:numRef>
          </c:val>
          <c:smooth val="0"/>
          <c:extLst>
            <c:ext xmlns:c16="http://schemas.microsoft.com/office/drawing/2014/chart" uri="{C3380CC4-5D6E-409C-BE32-E72D297353CC}">
              <c16:uniqueId val="{00000000-8435-4471-9FEC-A69946C48557}"/>
            </c:ext>
          </c:extLst>
        </c:ser>
        <c:ser>
          <c:idx val="3"/>
          <c:order val="1"/>
          <c:tx>
            <c:strRef>
              <c:f>Summary_byAge!$T$2</c:f>
              <c:strCache>
                <c:ptCount val="1"/>
                <c:pt idx="0">
                  <c:v>Standard of care, age 65 to 84</c:v>
                </c:pt>
              </c:strCache>
            </c:strRef>
          </c:tx>
          <c:spPr>
            <a:ln w="28575" cap="rnd">
              <a:solidFill>
                <a:srgbClr val="FF0000"/>
              </a:solidFill>
              <a:round/>
            </a:ln>
            <a:effectLst/>
          </c:spPr>
          <c:marker>
            <c:symbol val="none"/>
          </c:marker>
          <c:cat>
            <c:numRef>
              <c:f>Summary_byAge!$A$3:$A$68</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Summary_byAge!$T$3:$T$68</c:f>
              <c:numCache>
                <c:formatCode>General</c:formatCode>
                <c:ptCount val="66"/>
                <c:pt idx="0">
                  <c:v>36.700000000000003</c:v>
                </c:pt>
                <c:pt idx="1">
                  <c:v>36.200000000000003</c:v>
                </c:pt>
                <c:pt idx="2">
                  <c:v>36.299999999999997</c:v>
                </c:pt>
                <c:pt idx="3">
                  <c:v>37.4</c:v>
                </c:pt>
                <c:pt idx="4">
                  <c:v>38.299999999999997</c:v>
                </c:pt>
                <c:pt idx="5">
                  <c:v>38</c:v>
                </c:pt>
                <c:pt idx="6">
                  <c:v>37.6</c:v>
                </c:pt>
                <c:pt idx="7">
                  <c:v>37.299999999999997</c:v>
                </c:pt>
                <c:pt idx="8">
                  <c:v>37.200000000000003</c:v>
                </c:pt>
                <c:pt idx="9">
                  <c:v>37</c:v>
                </c:pt>
                <c:pt idx="10">
                  <c:v>36.799999999999997</c:v>
                </c:pt>
                <c:pt idx="11">
                  <c:v>36.700000000000003</c:v>
                </c:pt>
                <c:pt idx="12">
                  <c:v>37.1</c:v>
                </c:pt>
                <c:pt idx="13">
                  <c:v>36.200000000000003</c:v>
                </c:pt>
                <c:pt idx="14">
                  <c:v>36.799999999999997</c:v>
                </c:pt>
                <c:pt idx="15">
                  <c:v>37.799999999999997</c:v>
                </c:pt>
                <c:pt idx="16">
                  <c:v>38.6</c:v>
                </c:pt>
                <c:pt idx="17">
                  <c:v>38.299999999999997</c:v>
                </c:pt>
                <c:pt idx="18">
                  <c:v>38.1</c:v>
                </c:pt>
                <c:pt idx="19">
                  <c:v>37.9</c:v>
                </c:pt>
                <c:pt idx="20">
                  <c:v>37.4</c:v>
                </c:pt>
                <c:pt idx="21">
                  <c:v>37.5</c:v>
                </c:pt>
                <c:pt idx="22">
                  <c:v>37.200000000000003</c:v>
                </c:pt>
                <c:pt idx="23">
                  <c:v>37.1</c:v>
                </c:pt>
                <c:pt idx="24">
                  <c:v>37.299999999999997</c:v>
                </c:pt>
                <c:pt idx="25">
                  <c:v>36.5</c:v>
                </c:pt>
                <c:pt idx="26">
                  <c:v>37.4</c:v>
                </c:pt>
                <c:pt idx="27">
                  <c:v>37.5</c:v>
                </c:pt>
                <c:pt idx="28">
                  <c:v>38.200000000000003</c:v>
                </c:pt>
                <c:pt idx="29">
                  <c:v>38.299999999999997</c:v>
                </c:pt>
                <c:pt idx="30">
                  <c:v>38.299999999999997</c:v>
                </c:pt>
                <c:pt idx="31">
                  <c:v>38.299999999999997</c:v>
                </c:pt>
                <c:pt idx="32">
                  <c:v>38.1</c:v>
                </c:pt>
                <c:pt idx="33">
                  <c:v>38.1</c:v>
                </c:pt>
                <c:pt idx="34">
                  <c:v>37.799999999999997</c:v>
                </c:pt>
                <c:pt idx="35">
                  <c:v>37.700000000000003</c:v>
                </c:pt>
                <c:pt idx="36">
                  <c:v>37.5</c:v>
                </c:pt>
                <c:pt idx="37">
                  <c:v>37.1</c:v>
                </c:pt>
                <c:pt idx="38">
                  <c:v>37.299999999999997</c:v>
                </c:pt>
                <c:pt idx="39">
                  <c:v>38.1</c:v>
                </c:pt>
                <c:pt idx="40">
                  <c:v>38.799999999999997</c:v>
                </c:pt>
                <c:pt idx="41">
                  <c:v>38.9</c:v>
                </c:pt>
                <c:pt idx="42">
                  <c:v>38.700000000000003</c:v>
                </c:pt>
                <c:pt idx="43">
                  <c:v>38.6</c:v>
                </c:pt>
                <c:pt idx="44">
                  <c:v>38.4</c:v>
                </c:pt>
                <c:pt idx="45">
                  <c:v>38.4</c:v>
                </c:pt>
                <c:pt idx="46">
                  <c:v>38.200000000000003</c:v>
                </c:pt>
                <c:pt idx="47">
                  <c:v>38.200000000000003</c:v>
                </c:pt>
                <c:pt idx="48">
                  <c:v>37.700000000000003</c:v>
                </c:pt>
                <c:pt idx="49">
                  <c:v>37.200000000000003</c:v>
                </c:pt>
                <c:pt idx="50">
                  <c:v>37.4</c:v>
                </c:pt>
                <c:pt idx="51">
                  <c:v>38.200000000000003</c:v>
                </c:pt>
                <c:pt idx="52">
                  <c:v>38.9</c:v>
                </c:pt>
                <c:pt idx="53">
                  <c:v>38.6</c:v>
                </c:pt>
                <c:pt idx="54">
                  <c:v>38.6</c:v>
                </c:pt>
                <c:pt idx="55">
                  <c:v>38.299999999999997</c:v>
                </c:pt>
                <c:pt idx="56">
                  <c:v>37.799999999999997</c:v>
                </c:pt>
                <c:pt idx="57">
                  <c:v>37.6</c:v>
                </c:pt>
                <c:pt idx="58">
                  <c:v>37.299999999999997</c:v>
                </c:pt>
                <c:pt idx="59">
                  <c:v>37.4</c:v>
                </c:pt>
                <c:pt idx="60">
                  <c:v>35.9</c:v>
                </c:pt>
                <c:pt idx="61">
                  <c:v>35.6</c:v>
                </c:pt>
                <c:pt idx="62">
                  <c:v>36.1</c:v>
                </c:pt>
                <c:pt idx="63">
                  <c:v>36.6</c:v>
                </c:pt>
                <c:pt idx="64">
                  <c:v>37.200000000000003</c:v>
                </c:pt>
                <c:pt idx="65">
                  <c:v>37.1</c:v>
                </c:pt>
              </c:numCache>
            </c:numRef>
          </c:val>
          <c:smooth val="0"/>
          <c:extLst>
            <c:ext xmlns:c16="http://schemas.microsoft.com/office/drawing/2014/chart" uri="{C3380CC4-5D6E-409C-BE32-E72D297353CC}">
              <c16:uniqueId val="{00000001-8435-4471-9FEC-A69946C48557}"/>
            </c:ext>
          </c:extLst>
        </c:ser>
        <c:ser>
          <c:idx val="5"/>
          <c:order val="2"/>
          <c:tx>
            <c:strRef>
              <c:f>Summary_byAge!$V$2</c:f>
              <c:strCache>
                <c:ptCount val="1"/>
                <c:pt idx="0">
                  <c:v>Standard of care, age 85+</c:v>
                </c:pt>
              </c:strCache>
            </c:strRef>
          </c:tx>
          <c:spPr>
            <a:ln w="28575" cap="rnd">
              <a:solidFill>
                <a:schemeClr val="tx2">
                  <a:lumMod val="60000"/>
                  <a:lumOff val="40000"/>
                </a:schemeClr>
              </a:solidFill>
              <a:round/>
            </a:ln>
            <a:effectLst/>
          </c:spPr>
          <c:marker>
            <c:symbol val="none"/>
          </c:marker>
          <c:cat>
            <c:numRef>
              <c:f>Summary_byAge!$A$3:$A$68</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Summary_byAge!$V$3:$V$68</c:f>
              <c:numCache>
                <c:formatCode>General</c:formatCode>
                <c:ptCount val="66"/>
                <c:pt idx="0">
                  <c:v>21.4</c:v>
                </c:pt>
                <c:pt idx="1">
                  <c:v>21.3</c:v>
                </c:pt>
                <c:pt idx="2">
                  <c:v>21.4</c:v>
                </c:pt>
                <c:pt idx="3">
                  <c:v>22.1</c:v>
                </c:pt>
                <c:pt idx="4">
                  <c:v>23</c:v>
                </c:pt>
                <c:pt idx="5">
                  <c:v>22.1</c:v>
                </c:pt>
                <c:pt idx="6">
                  <c:v>21.9</c:v>
                </c:pt>
                <c:pt idx="7">
                  <c:v>21.5</c:v>
                </c:pt>
                <c:pt idx="8">
                  <c:v>21.1</c:v>
                </c:pt>
                <c:pt idx="9">
                  <c:v>20.9</c:v>
                </c:pt>
                <c:pt idx="10">
                  <c:v>20.7</c:v>
                </c:pt>
                <c:pt idx="11">
                  <c:v>20.3</c:v>
                </c:pt>
                <c:pt idx="12">
                  <c:v>21.5</c:v>
                </c:pt>
                <c:pt idx="13">
                  <c:v>21.3</c:v>
                </c:pt>
                <c:pt idx="14">
                  <c:v>21.6</c:v>
                </c:pt>
                <c:pt idx="15">
                  <c:v>22.4</c:v>
                </c:pt>
                <c:pt idx="16">
                  <c:v>23.2</c:v>
                </c:pt>
                <c:pt idx="17">
                  <c:v>23</c:v>
                </c:pt>
                <c:pt idx="18">
                  <c:v>22.4</c:v>
                </c:pt>
                <c:pt idx="19">
                  <c:v>22.3</c:v>
                </c:pt>
                <c:pt idx="20">
                  <c:v>22.1</c:v>
                </c:pt>
                <c:pt idx="21">
                  <c:v>21.5</c:v>
                </c:pt>
                <c:pt idx="22">
                  <c:v>21.5</c:v>
                </c:pt>
                <c:pt idx="23">
                  <c:v>21.3</c:v>
                </c:pt>
                <c:pt idx="24">
                  <c:v>22.4</c:v>
                </c:pt>
                <c:pt idx="25">
                  <c:v>22.1</c:v>
                </c:pt>
                <c:pt idx="26">
                  <c:v>22.6</c:v>
                </c:pt>
                <c:pt idx="27">
                  <c:v>22.9</c:v>
                </c:pt>
                <c:pt idx="28">
                  <c:v>23.4</c:v>
                </c:pt>
                <c:pt idx="29">
                  <c:v>23.2</c:v>
                </c:pt>
                <c:pt idx="30">
                  <c:v>23</c:v>
                </c:pt>
                <c:pt idx="31">
                  <c:v>23</c:v>
                </c:pt>
                <c:pt idx="32">
                  <c:v>22.8</c:v>
                </c:pt>
                <c:pt idx="33">
                  <c:v>22.4</c:v>
                </c:pt>
                <c:pt idx="34">
                  <c:v>22.4</c:v>
                </c:pt>
                <c:pt idx="35">
                  <c:v>22.1</c:v>
                </c:pt>
                <c:pt idx="36">
                  <c:v>23</c:v>
                </c:pt>
                <c:pt idx="37">
                  <c:v>22.8</c:v>
                </c:pt>
                <c:pt idx="38">
                  <c:v>23.1</c:v>
                </c:pt>
                <c:pt idx="39">
                  <c:v>24</c:v>
                </c:pt>
                <c:pt idx="40">
                  <c:v>24.7</c:v>
                </c:pt>
                <c:pt idx="41">
                  <c:v>24.1</c:v>
                </c:pt>
                <c:pt idx="42">
                  <c:v>23.9</c:v>
                </c:pt>
                <c:pt idx="43">
                  <c:v>23.9</c:v>
                </c:pt>
                <c:pt idx="44">
                  <c:v>23.6</c:v>
                </c:pt>
                <c:pt idx="45">
                  <c:v>23.8</c:v>
                </c:pt>
                <c:pt idx="46">
                  <c:v>23.3</c:v>
                </c:pt>
                <c:pt idx="47">
                  <c:v>23.3</c:v>
                </c:pt>
                <c:pt idx="48">
                  <c:v>23.8</c:v>
                </c:pt>
                <c:pt idx="49">
                  <c:v>24</c:v>
                </c:pt>
                <c:pt idx="50">
                  <c:v>24.1</c:v>
                </c:pt>
                <c:pt idx="51">
                  <c:v>25</c:v>
                </c:pt>
                <c:pt idx="52">
                  <c:v>25.8</c:v>
                </c:pt>
                <c:pt idx="53">
                  <c:v>25.4</c:v>
                </c:pt>
                <c:pt idx="54">
                  <c:v>25.2</c:v>
                </c:pt>
                <c:pt idx="55">
                  <c:v>24.8</c:v>
                </c:pt>
                <c:pt idx="56">
                  <c:v>24.6</c:v>
                </c:pt>
                <c:pt idx="57">
                  <c:v>24.3</c:v>
                </c:pt>
                <c:pt idx="58">
                  <c:v>24</c:v>
                </c:pt>
                <c:pt idx="59">
                  <c:v>23.8</c:v>
                </c:pt>
                <c:pt idx="60">
                  <c:v>23.8</c:v>
                </c:pt>
                <c:pt idx="61">
                  <c:v>23.9</c:v>
                </c:pt>
                <c:pt idx="62">
                  <c:v>24.3</c:v>
                </c:pt>
                <c:pt idx="63">
                  <c:v>25.3</c:v>
                </c:pt>
                <c:pt idx="64">
                  <c:v>25.8</c:v>
                </c:pt>
                <c:pt idx="65">
                  <c:v>25.3</c:v>
                </c:pt>
              </c:numCache>
            </c:numRef>
          </c:val>
          <c:smooth val="0"/>
          <c:extLst>
            <c:ext xmlns:c16="http://schemas.microsoft.com/office/drawing/2014/chart" uri="{C3380CC4-5D6E-409C-BE32-E72D297353CC}">
              <c16:uniqueId val="{00000002-8435-4471-9FEC-A69946C48557}"/>
            </c:ext>
          </c:extLst>
        </c:ser>
        <c:dLbls>
          <c:showLegendKey val="0"/>
          <c:showVal val="0"/>
          <c:showCatName val="0"/>
          <c:showSerName val="0"/>
          <c:showPercent val="0"/>
          <c:showBubbleSize val="0"/>
        </c:dLbls>
        <c:smooth val="0"/>
        <c:axId val="224339504"/>
        <c:axId val="1"/>
      </c:lineChart>
      <c:dateAx>
        <c:axId val="224339504"/>
        <c:scaling>
          <c:orientation val="minMax"/>
        </c:scaling>
        <c:delete val="0"/>
        <c:axPos val="b"/>
        <c:numFmt formatCode="mmm\-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Offset val="100"/>
        <c:baseTimeUnit val="months"/>
      </c:dateAx>
      <c:valAx>
        <c:axId val="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prevalent users of HF restricted medicines in the given age group</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4339504"/>
        <c:crosses val="autoZero"/>
        <c:crossBetween val="between"/>
      </c:valAx>
      <c:spPr>
        <a:noFill/>
        <a:ln w="25400">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Initiators!$C$2</c:f>
              <c:strCache>
                <c:ptCount val="1"/>
                <c:pt idx="0">
                  <c:v>percent</c:v>
                </c:pt>
              </c:strCache>
            </c:strRef>
          </c:tx>
          <c:spPr>
            <a:solidFill>
              <a:srgbClr val="4472C4"/>
            </a:solidFill>
            <a:ln w="25400">
              <a:noFill/>
            </a:ln>
          </c:spPr>
          <c:invertIfNegative val="0"/>
          <c:dPt>
            <c:idx val="0"/>
            <c:invertIfNegative val="0"/>
            <c:bubble3D val="0"/>
            <c:spPr>
              <a:solidFill>
                <a:srgbClr val="FF0000"/>
              </a:solidFill>
              <a:ln w="25400">
                <a:noFill/>
              </a:ln>
            </c:spPr>
            <c:extLst>
              <c:ext xmlns:c16="http://schemas.microsoft.com/office/drawing/2014/chart" uri="{C3380CC4-5D6E-409C-BE32-E72D297353CC}">
                <c16:uniqueId val="{00000000-A636-4302-A90B-8617AF119819}"/>
              </c:ext>
            </c:extLst>
          </c:dPt>
          <c:dPt>
            <c:idx val="1"/>
            <c:invertIfNegative val="0"/>
            <c:bubble3D val="0"/>
            <c:spPr>
              <a:solidFill>
                <a:srgbClr val="FF0000"/>
              </a:solidFill>
              <a:ln w="25400">
                <a:noFill/>
              </a:ln>
            </c:spPr>
            <c:extLst>
              <c:ext xmlns:c16="http://schemas.microsoft.com/office/drawing/2014/chart" uri="{C3380CC4-5D6E-409C-BE32-E72D297353CC}">
                <c16:uniqueId val="{00000001-A636-4302-A90B-8617AF119819}"/>
              </c:ext>
            </c:extLst>
          </c:dPt>
          <c:dPt>
            <c:idx val="3"/>
            <c:invertIfNegative val="0"/>
            <c:bubble3D val="0"/>
            <c:spPr>
              <a:solidFill>
                <a:srgbClr val="FF0000"/>
              </a:solidFill>
              <a:ln w="25400">
                <a:noFill/>
              </a:ln>
            </c:spPr>
            <c:extLst>
              <c:ext xmlns:c16="http://schemas.microsoft.com/office/drawing/2014/chart" uri="{C3380CC4-5D6E-409C-BE32-E72D297353CC}">
                <c16:uniqueId val="{00000002-A636-4302-A90B-8617AF119819}"/>
              </c:ext>
            </c:extLst>
          </c:dPt>
          <c:dPt>
            <c:idx val="4"/>
            <c:invertIfNegative val="0"/>
            <c:bubble3D val="0"/>
            <c:spPr>
              <a:solidFill>
                <a:srgbClr val="FF0000"/>
              </a:solidFill>
              <a:ln w="25400">
                <a:noFill/>
              </a:ln>
            </c:spPr>
            <c:extLst>
              <c:ext xmlns:c16="http://schemas.microsoft.com/office/drawing/2014/chart" uri="{C3380CC4-5D6E-409C-BE32-E72D297353CC}">
                <c16:uniqueId val="{00000003-A636-4302-A90B-8617AF119819}"/>
              </c:ext>
            </c:extLst>
          </c:dPt>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Initiators!$A$3:$A$12</c:f>
              <c:strCache>
                <c:ptCount val="10"/>
                <c:pt idx="0">
                  <c:v>Biso</c:v>
                </c:pt>
                <c:pt idx="1">
                  <c:v>Nebi</c:v>
                </c:pt>
                <c:pt idx="2">
                  <c:v>S+V</c:v>
                </c:pt>
                <c:pt idx="3">
                  <c:v>Meto</c:v>
                </c:pt>
                <c:pt idx="4">
                  <c:v>Carv</c:v>
                </c:pt>
                <c:pt idx="5">
                  <c:v>Ivab</c:v>
                </c:pt>
                <c:pt idx="6">
                  <c:v>Biso+S+V</c:v>
                </c:pt>
                <c:pt idx="7">
                  <c:v>Eple</c:v>
                </c:pt>
                <c:pt idx="8">
                  <c:v>Nebi+S+V</c:v>
                </c:pt>
                <c:pt idx="9">
                  <c:v>Biso+Eple</c:v>
                </c:pt>
              </c:strCache>
            </c:strRef>
          </c:cat>
          <c:val>
            <c:numRef>
              <c:f>Initiators!$C$3:$C$12</c:f>
              <c:numCache>
                <c:formatCode>General</c:formatCode>
                <c:ptCount val="10"/>
                <c:pt idx="0">
                  <c:v>53</c:v>
                </c:pt>
                <c:pt idx="1">
                  <c:v>18.5</c:v>
                </c:pt>
                <c:pt idx="2">
                  <c:v>7.3</c:v>
                </c:pt>
                <c:pt idx="3">
                  <c:v>6.4</c:v>
                </c:pt>
                <c:pt idx="4">
                  <c:v>5.6</c:v>
                </c:pt>
                <c:pt idx="5">
                  <c:v>2.2999999999999998</c:v>
                </c:pt>
                <c:pt idx="6">
                  <c:v>2.2000000000000002</c:v>
                </c:pt>
                <c:pt idx="7">
                  <c:v>1.5</c:v>
                </c:pt>
                <c:pt idx="8">
                  <c:v>0.8</c:v>
                </c:pt>
                <c:pt idx="9">
                  <c:v>0.7</c:v>
                </c:pt>
              </c:numCache>
            </c:numRef>
          </c:val>
          <c:extLst>
            <c:ext xmlns:c16="http://schemas.microsoft.com/office/drawing/2014/chart" uri="{C3380CC4-5D6E-409C-BE32-E72D297353CC}">
              <c16:uniqueId val="{00000000-0B03-44B8-8D73-E0A3A376DAC7}"/>
            </c:ext>
          </c:extLst>
        </c:ser>
        <c:dLbls>
          <c:showLegendKey val="0"/>
          <c:showVal val="0"/>
          <c:showCatName val="0"/>
          <c:showSerName val="0"/>
          <c:showPercent val="0"/>
          <c:showBubbleSize val="0"/>
        </c:dLbls>
        <c:gapWidth val="219"/>
        <c:overlap val="-27"/>
        <c:axId val="485963352"/>
        <c:axId val="1"/>
      </c:barChart>
      <c:catAx>
        <c:axId val="485963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all initiators of HF restricted medicines</a:t>
                </a:r>
              </a:p>
            </c:rich>
          </c:tx>
          <c:overlay val="0"/>
          <c:spPr>
            <a:noFill/>
            <a:ln w="25400">
              <a:noFill/>
            </a:ln>
          </c:spPr>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596335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4472C4"/>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Full!$A$3:$A$16</c:f>
              <c:strCache>
                <c:ptCount val="14"/>
                <c:pt idx="0">
                  <c:v>Biso</c:v>
                </c:pt>
                <c:pt idx="1">
                  <c:v>Nebi</c:v>
                </c:pt>
                <c:pt idx="2">
                  <c:v>Meto</c:v>
                </c:pt>
                <c:pt idx="3">
                  <c:v>Carv</c:v>
                </c:pt>
                <c:pt idx="4">
                  <c:v>S+V</c:v>
                </c:pt>
                <c:pt idx="5">
                  <c:v>Ivab</c:v>
                </c:pt>
                <c:pt idx="6">
                  <c:v>Eple</c:v>
                </c:pt>
                <c:pt idx="7">
                  <c:v>Biso --&gt; Biso+S+V</c:v>
                </c:pt>
                <c:pt idx="8">
                  <c:v>Biso --&gt; Nebi</c:v>
                </c:pt>
                <c:pt idx="9">
                  <c:v>Biso+S+V</c:v>
                </c:pt>
                <c:pt idx="10">
                  <c:v>Biso --&gt; Biso+S+V --&gt; Biso</c:v>
                </c:pt>
                <c:pt idx="11">
                  <c:v>Nebi --&gt; Biso</c:v>
                </c:pt>
                <c:pt idx="12">
                  <c:v>Biso+S+V --&gt; Biso</c:v>
                </c:pt>
                <c:pt idx="13">
                  <c:v>Carv --&gt; Biso</c:v>
                </c:pt>
              </c:strCache>
            </c:strRef>
          </c:cat>
          <c:val>
            <c:numRef>
              <c:f>Full!$C$3:$C$16</c:f>
              <c:numCache>
                <c:formatCode>General</c:formatCode>
                <c:ptCount val="14"/>
                <c:pt idx="0">
                  <c:v>45.8</c:v>
                </c:pt>
                <c:pt idx="1">
                  <c:v>16.100000000000001</c:v>
                </c:pt>
                <c:pt idx="2">
                  <c:v>5.4</c:v>
                </c:pt>
                <c:pt idx="3">
                  <c:v>4.5</c:v>
                </c:pt>
                <c:pt idx="4">
                  <c:v>3.9</c:v>
                </c:pt>
                <c:pt idx="5">
                  <c:v>1.9</c:v>
                </c:pt>
                <c:pt idx="6">
                  <c:v>0.9</c:v>
                </c:pt>
                <c:pt idx="7">
                  <c:v>0.8</c:v>
                </c:pt>
                <c:pt idx="8">
                  <c:v>0.7</c:v>
                </c:pt>
                <c:pt idx="9">
                  <c:v>0.5</c:v>
                </c:pt>
                <c:pt idx="10">
                  <c:v>0.4</c:v>
                </c:pt>
                <c:pt idx="11">
                  <c:v>0.4</c:v>
                </c:pt>
                <c:pt idx="12">
                  <c:v>0.4</c:v>
                </c:pt>
                <c:pt idx="13">
                  <c:v>0.3</c:v>
                </c:pt>
              </c:numCache>
            </c:numRef>
          </c:val>
          <c:extLst>
            <c:ext xmlns:c16="http://schemas.microsoft.com/office/drawing/2014/chart" uri="{C3380CC4-5D6E-409C-BE32-E72D297353CC}">
              <c16:uniqueId val="{00000000-179D-42BC-84B0-417D73427417}"/>
            </c:ext>
          </c:extLst>
        </c:ser>
        <c:dLbls>
          <c:showLegendKey val="0"/>
          <c:showVal val="0"/>
          <c:showCatName val="0"/>
          <c:showSerName val="0"/>
          <c:showPercent val="0"/>
          <c:showBubbleSize val="0"/>
        </c:dLbls>
        <c:gapWidth val="182"/>
        <c:axId val="211226352"/>
        <c:axId val="1"/>
      </c:barChart>
      <c:catAx>
        <c:axId val="211226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all initiators of</a:t>
                </a:r>
                <a:r>
                  <a:rPr lang="en-US" baseline="0"/>
                  <a:t> PBS</a:t>
                </a:r>
                <a:r>
                  <a:rPr lang="en-US"/>
                  <a:t> restricted HF medicines</a:t>
                </a:r>
              </a:p>
            </c:rich>
          </c:tx>
          <c:overlay val="0"/>
          <c:spPr>
            <a:noFill/>
            <a:ln w="25400">
              <a:noFill/>
            </a:ln>
          </c:spPr>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22635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HF_SGLT!$F$1</c:f>
              <c:strCache>
                <c:ptCount val="1"/>
                <c:pt idx="0">
                  <c:v>SGLT2 for Diabetes or CKD</c:v>
                </c:pt>
              </c:strCache>
            </c:strRef>
          </c:tx>
          <c:spPr>
            <a:ln w="28575" cap="rnd">
              <a:solidFill>
                <a:schemeClr val="accent1"/>
              </a:solidFill>
              <a:round/>
            </a:ln>
            <a:effectLst/>
          </c:spPr>
          <c:marker>
            <c:symbol val="none"/>
          </c:marker>
          <c:cat>
            <c:numRef>
              <c:f>HF_SGLT!$A$2:$A$79</c:f>
              <c:numCache>
                <c:formatCode>mmm\-yy</c:formatCode>
                <c:ptCount val="78"/>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numCache>
            </c:numRef>
          </c:cat>
          <c:val>
            <c:numRef>
              <c:f>HF_SGLT!$F$2:$F$79</c:f>
              <c:numCache>
                <c:formatCode>General</c:formatCode>
                <c:ptCount val="78"/>
                <c:pt idx="0">
                  <c:v>1.3</c:v>
                </c:pt>
                <c:pt idx="1">
                  <c:v>1.4</c:v>
                </c:pt>
                <c:pt idx="2">
                  <c:v>1.7</c:v>
                </c:pt>
                <c:pt idx="3">
                  <c:v>1.6</c:v>
                </c:pt>
                <c:pt idx="4">
                  <c:v>1.8</c:v>
                </c:pt>
                <c:pt idx="5">
                  <c:v>1.9</c:v>
                </c:pt>
                <c:pt idx="6">
                  <c:v>1.9</c:v>
                </c:pt>
                <c:pt idx="7">
                  <c:v>2</c:v>
                </c:pt>
                <c:pt idx="8">
                  <c:v>2.1</c:v>
                </c:pt>
                <c:pt idx="9">
                  <c:v>2.2000000000000002</c:v>
                </c:pt>
                <c:pt idx="10">
                  <c:v>2.2000000000000002</c:v>
                </c:pt>
                <c:pt idx="11">
                  <c:v>2.4</c:v>
                </c:pt>
                <c:pt idx="12">
                  <c:v>1.9</c:v>
                </c:pt>
                <c:pt idx="13">
                  <c:v>2.1</c:v>
                </c:pt>
                <c:pt idx="14">
                  <c:v>2.2000000000000002</c:v>
                </c:pt>
                <c:pt idx="15">
                  <c:v>2.2000000000000002</c:v>
                </c:pt>
                <c:pt idx="16">
                  <c:v>2.2999999999999998</c:v>
                </c:pt>
                <c:pt idx="17">
                  <c:v>2.4</c:v>
                </c:pt>
                <c:pt idx="18">
                  <c:v>2.5</c:v>
                </c:pt>
                <c:pt idx="19">
                  <c:v>2.6</c:v>
                </c:pt>
                <c:pt idx="20">
                  <c:v>2.6</c:v>
                </c:pt>
                <c:pt idx="21">
                  <c:v>2.7</c:v>
                </c:pt>
                <c:pt idx="22">
                  <c:v>2.8</c:v>
                </c:pt>
                <c:pt idx="23">
                  <c:v>2.9</c:v>
                </c:pt>
                <c:pt idx="24">
                  <c:v>2.4</c:v>
                </c:pt>
                <c:pt idx="25">
                  <c:v>2.5</c:v>
                </c:pt>
                <c:pt idx="26">
                  <c:v>2.6</c:v>
                </c:pt>
                <c:pt idx="27">
                  <c:v>2.7</c:v>
                </c:pt>
                <c:pt idx="28">
                  <c:v>2.8</c:v>
                </c:pt>
                <c:pt idx="29">
                  <c:v>2.8</c:v>
                </c:pt>
                <c:pt idx="30">
                  <c:v>2.9</c:v>
                </c:pt>
                <c:pt idx="31">
                  <c:v>3</c:v>
                </c:pt>
                <c:pt idx="32">
                  <c:v>3.1</c:v>
                </c:pt>
                <c:pt idx="33">
                  <c:v>3.2</c:v>
                </c:pt>
                <c:pt idx="34">
                  <c:v>3.4</c:v>
                </c:pt>
                <c:pt idx="35">
                  <c:v>3.6</c:v>
                </c:pt>
                <c:pt idx="36">
                  <c:v>2.9</c:v>
                </c:pt>
                <c:pt idx="37">
                  <c:v>3.2</c:v>
                </c:pt>
                <c:pt idx="38">
                  <c:v>3.3</c:v>
                </c:pt>
                <c:pt idx="39">
                  <c:v>3.4</c:v>
                </c:pt>
                <c:pt idx="40">
                  <c:v>3.5</c:v>
                </c:pt>
                <c:pt idx="41">
                  <c:v>3.6</c:v>
                </c:pt>
                <c:pt idx="42">
                  <c:v>3.7</c:v>
                </c:pt>
                <c:pt idx="43">
                  <c:v>3.8</c:v>
                </c:pt>
                <c:pt idx="44">
                  <c:v>3.9</c:v>
                </c:pt>
                <c:pt idx="45">
                  <c:v>4.0999999999999996</c:v>
                </c:pt>
                <c:pt idx="46">
                  <c:v>4.2</c:v>
                </c:pt>
                <c:pt idx="47">
                  <c:v>4.4000000000000004</c:v>
                </c:pt>
                <c:pt idx="48">
                  <c:v>3.6</c:v>
                </c:pt>
                <c:pt idx="49">
                  <c:v>4</c:v>
                </c:pt>
                <c:pt idx="50">
                  <c:v>4.2</c:v>
                </c:pt>
                <c:pt idx="51">
                  <c:v>4.3</c:v>
                </c:pt>
                <c:pt idx="52">
                  <c:v>4.4000000000000004</c:v>
                </c:pt>
                <c:pt idx="53">
                  <c:v>4.5</c:v>
                </c:pt>
                <c:pt idx="54">
                  <c:v>4.5999999999999996</c:v>
                </c:pt>
                <c:pt idx="55">
                  <c:v>4.8</c:v>
                </c:pt>
                <c:pt idx="56">
                  <c:v>4.9000000000000004</c:v>
                </c:pt>
                <c:pt idx="57">
                  <c:v>5.0999999999999996</c:v>
                </c:pt>
                <c:pt idx="58">
                  <c:v>5.3</c:v>
                </c:pt>
                <c:pt idx="59">
                  <c:v>5.6</c:v>
                </c:pt>
                <c:pt idx="60">
                  <c:v>4.8</c:v>
                </c:pt>
                <c:pt idx="61">
                  <c:v>5.3</c:v>
                </c:pt>
                <c:pt idx="62">
                  <c:v>5.6</c:v>
                </c:pt>
                <c:pt idx="63">
                  <c:v>5.7</c:v>
                </c:pt>
                <c:pt idx="64">
                  <c:v>5.8</c:v>
                </c:pt>
                <c:pt idx="65">
                  <c:v>6</c:v>
                </c:pt>
                <c:pt idx="66">
                  <c:v>6.1</c:v>
                </c:pt>
                <c:pt idx="67">
                  <c:v>6.4</c:v>
                </c:pt>
                <c:pt idx="68">
                  <c:v>6.7</c:v>
                </c:pt>
                <c:pt idx="69">
                  <c:v>7.1</c:v>
                </c:pt>
                <c:pt idx="70">
                  <c:v>7.4</c:v>
                </c:pt>
                <c:pt idx="71">
                  <c:v>8</c:v>
                </c:pt>
                <c:pt idx="72">
                  <c:v>6.9</c:v>
                </c:pt>
                <c:pt idx="73">
                  <c:v>7.4</c:v>
                </c:pt>
                <c:pt idx="74">
                  <c:v>7.9</c:v>
                </c:pt>
                <c:pt idx="75">
                  <c:v>7.8</c:v>
                </c:pt>
                <c:pt idx="76">
                  <c:v>8.1999999999999993</c:v>
                </c:pt>
                <c:pt idx="77">
                  <c:v>8.4</c:v>
                </c:pt>
              </c:numCache>
            </c:numRef>
          </c:val>
          <c:smooth val="0"/>
          <c:extLst>
            <c:ext xmlns:c16="http://schemas.microsoft.com/office/drawing/2014/chart" uri="{C3380CC4-5D6E-409C-BE32-E72D297353CC}">
              <c16:uniqueId val="{00000000-6167-439C-84F3-B307F2E6979A}"/>
            </c:ext>
          </c:extLst>
        </c:ser>
        <c:ser>
          <c:idx val="1"/>
          <c:order val="1"/>
          <c:tx>
            <c:strRef>
              <c:f>HF_SGLT!$G$1</c:f>
              <c:strCache>
                <c:ptCount val="1"/>
                <c:pt idx="0">
                  <c:v>SGLT2 for HF</c:v>
                </c:pt>
              </c:strCache>
            </c:strRef>
          </c:tx>
          <c:spPr>
            <a:ln w="28575" cap="rnd">
              <a:solidFill>
                <a:schemeClr val="accent2"/>
              </a:solidFill>
              <a:round/>
            </a:ln>
            <a:effectLst/>
          </c:spPr>
          <c:marker>
            <c:symbol val="none"/>
          </c:marker>
          <c:cat>
            <c:numRef>
              <c:f>HF_SGLT!$A$2:$A$79</c:f>
              <c:numCache>
                <c:formatCode>mmm\-yy</c:formatCode>
                <c:ptCount val="78"/>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numCache>
            </c:numRef>
          </c:cat>
          <c:val>
            <c:numRef>
              <c:f>HF_SGLT!$G$2:$G$79</c:f>
              <c:numCache>
                <c:formatCode>General</c:formatCode>
                <c:ptCount val="78"/>
                <c:pt idx="60">
                  <c:v>0.6</c:v>
                </c:pt>
                <c:pt idx="61">
                  <c:v>1.3</c:v>
                </c:pt>
                <c:pt idx="62">
                  <c:v>2.1</c:v>
                </c:pt>
                <c:pt idx="63">
                  <c:v>3</c:v>
                </c:pt>
                <c:pt idx="64">
                  <c:v>3.9</c:v>
                </c:pt>
                <c:pt idx="65">
                  <c:v>4.7</c:v>
                </c:pt>
                <c:pt idx="66">
                  <c:v>5.5</c:v>
                </c:pt>
                <c:pt idx="67">
                  <c:v>6.3</c:v>
                </c:pt>
                <c:pt idx="68">
                  <c:v>7.1</c:v>
                </c:pt>
                <c:pt idx="69">
                  <c:v>7.8</c:v>
                </c:pt>
                <c:pt idx="70">
                  <c:v>8.4</c:v>
                </c:pt>
                <c:pt idx="71">
                  <c:v>8.8000000000000007</c:v>
                </c:pt>
                <c:pt idx="72">
                  <c:v>9.4</c:v>
                </c:pt>
                <c:pt idx="73">
                  <c:v>9.8000000000000007</c:v>
                </c:pt>
                <c:pt idx="74">
                  <c:v>10.4</c:v>
                </c:pt>
                <c:pt idx="75">
                  <c:v>10.7</c:v>
                </c:pt>
                <c:pt idx="76">
                  <c:v>11.2</c:v>
                </c:pt>
                <c:pt idx="77">
                  <c:v>11.8</c:v>
                </c:pt>
              </c:numCache>
            </c:numRef>
          </c:val>
          <c:smooth val="0"/>
          <c:extLst>
            <c:ext xmlns:c16="http://schemas.microsoft.com/office/drawing/2014/chart" uri="{C3380CC4-5D6E-409C-BE32-E72D297353CC}">
              <c16:uniqueId val="{00000001-6167-439C-84F3-B307F2E6979A}"/>
            </c:ext>
          </c:extLst>
        </c:ser>
        <c:dLbls>
          <c:showLegendKey val="0"/>
          <c:showVal val="0"/>
          <c:showCatName val="0"/>
          <c:showSerName val="0"/>
          <c:showPercent val="0"/>
          <c:showBubbleSize val="0"/>
        </c:dLbls>
        <c:smooth val="0"/>
        <c:axId val="632687184"/>
        <c:axId val="632687904"/>
      </c:lineChart>
      <c:dateAx>
        <c:axId val="63268718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2687904"/>
        <c:crosses val="autoZero"/>
        <c:auto val="1"/>
        <c:lblOffset val="100"/>
        <c:baseTimeUnit val="months"/>
        <c:majorUnit val="2"/>
        <c:majorTimeUnit val="months"/>
      </c:dateAx>
      <c:valAx>
        <c:axId val="6326879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prevalent users of any HF restricted medicines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2687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Prev_HF!$E$2</c:f>
              <c:strCache>
                <c:ptCount val="1"/>
                <c:pt idx="0">
                  <c:v>num_pat</c:v>
                </c:pt>
              </c:strCache>
            </c:strRef>
          </c:tx>
          <c:spPr>
            <a:ln w="28575" cap="rnd">
              <a:solidFill>
                <a:schemeClr val="accent1"/>
              </a:solidFill>
              <a:round/>
            </a:ln>
            <a:effectLst/>
          </c:spPr>
          <c:marker>
            <c:symbol val="none"/>
          </c:marker>
          <c:cat>
            <c:numRef>
              <c:f>Prev_HF!$C$3:$C$80</c:f>
              <c:numCache>
                <c:formatCode>mmm\-yy</c:formatCode>
                <c:ptCount val="78"/>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numCache>
            </c:numRef>
          </c:cat>
          <c:val>
            <c:numRef>
              <c:f>Prev_HF!$E$3:$E$80</c:f>
              <c:numCache>
                <c:formatCode>General</c:formatCode>
                <c:ptCount val="78"/>
                <c:pt idx="0">
                  <c:v>106806</c:v>
                </c:pt>
                <c:pt idx="1">
                  <c:v>112406</c:v>
                </c:pt>
                <c:pt idx="2">
                  <c:v>121051</c:v>
                </c:pt>
                <c:pt idx="3">
                  <c:v>115885</c:v>
                </c:pt>
                <c:pt idx="4">
                  <c:v>123042</c:v>
                </c:pt>
                <c:pt idx="5">
                  <c:v>122727</c:v>
                </c:pt>
                <c:pt idx="6">
                  <c:v>124524</c:v>
                </c:pt>
                <c:pt idx="7">
                  <c:v>128678</c:v>
                </c:pt>
                <c:pt idx="8">
                  <c:v>128156</c:v>
                </c:pt>
                <c:pt idx="9">
                  <c:v>132718</c:v>
                </c:pt>
                <c:pt idx="10">
                  <c:v>135564</c:v>
                </c:pt>
                <c:pt idx="11">
                  <c:v>140687</c:v>
                </c:pt>
                <c:pt idx="12">
                  <c:v>120679</c:v>
                </c:pt>
                <c:pt idx="13">
                  <c:v>124858</c:v>
                </c:pt>
                <c:pt idx="14">
                  <c:v>133081</c:v>
                </c:pt>
                <c:pt idx="15">
                  <c:v>131163</c:v>
                </c:pt>
                <c:pt idx="16">
                  <c:v>136994</c:v>
                </c:pt>
                <c:pt idx="17">
                  <c:v>135010</c:v>
                </c:pt>
                <c:pt idx="18">
                  <c:v>138527</c:v>
                </c:pt>
                <c:pt idx="19">
                  <c:v>141787</c:v>
                </c:pt>
                <c:pt idx="20">
                  <c:v>139229</c:v>
                </c:pt>
                <c:pt idx="21">
                  <c:v>147677</c:v>
                </c:pt>
                <c:pt idx="22">
                  <c:v>149496</c:v>
                </c:pt>
                <c:pt idx="23">
                  <c:v>154535</c:v>
                </c:pt>
                <c:pt idx="24">
                  <c:v>133183</c:v>
                </c:pt>
                <c:pt idx="25">
                  <c:v>137818</c:v>
                </c:pt>
                <c:pt idx="26">
                  <c:v>145248</c:v>
                </c:pt>
                <c:pt idx="27">
                  <c:v>145292</c:v>
                </c:pt>
                <c:pt idx="28">
                  <c:v>151402</c:v>
                </c:pt>
                <c:pt idx="29">
                  <c:v>146767</c:v>
                </c:pt>
                <c:pt idx="30">
                  <c:v>154478</c:v>
                </c:pt>
                <c:pt idx="31">
                  <c:v>155657</c:v>
                </c:pt>
                <c:pt idx="32">
                  <c:v>155534</c:v>
                </c:pt>
                <c:pt idx="33">
                  <c:v>162680</c:v>
                </c:pt>
                <c:pt idx="34">
                  <c:v>163288</c:v>
                </c:pt>
                <c:pt idx="35">
                  <c:v>170725</c:v>
                </c:pt>
                <c:pt idx="36">
                  <c:v>148146</c:v>
                </c:pt>
                <c:pt idx="37">
                  <c:v>155515</c:v>
                </c:pt>
                <c:pt idx="38">
                  <c:v>170277</c:v>
                </c:pt>
                <c:pt idx="39">
                  <c:v>156085</c:v>
                </c:pt>
                <c:pt idx="40">
                  <c:v>163414</c:v>
                </c:pt>
                <c:pt idx="41">
                  <c:v>169528</c:v>
                </c:pt>
                <c:pt idx="42">
                  <c:v>176399</c:v>
                </c:pt>
                <c:pt idx="43">
                  <c:v>175830</c:v>
                </c:pt>
                <c:pt idx="44">
                  <c:v>179017</c:v>
                </c:pt>
                <c:pt idx="45">
                  <c:v>183359</c:v>
                </c:pt>
                <c:pt idx="46">
                  <c:v>183755</c:v>
                </c:pt>
                <c:pt idx="47">
                  <c:v>195129</c:v>
                </c:pt>
                <c:pt idx="48">
                  <c:v>161696</c:v>
                </c:pt>
                <c:pt idx="49">
                  <c:v>170924</c:v>
                </c:pt>
                <c:pt idx="50">
                  <c:v>184571</c:v>
                </c:pt>
                <c:pt idx="51">
                  <c:v>180823</c:v>
                </c:pt>
                <c:pt idx="52">
                  <c:v>185063</c:v>
                </c:pt>
                <c:pt idx="53">
                  <c:v>187140</c:v>
                </c:pt>
                <c:pt idx="54">
                  <c:v>192392</c:v>
                </c:pt>
                <c:pt idx="55">
                  <c:v>194547</c:v>
                </c:pt>
                <c:pt idx="56">
                  <c:v>195156</c:v>
                </c:pt>
                <c:pt idx="57">
                  <c:v>197661</c:v>
                </c:pt>
                <c:pt idx="58">
                  <c:v>202683</c:v>
                </c:pt>
                <c:pt idx="59">
                  <c:v>209971</c:v>
                </c:pt>
                <c:pt idx="60">
                  <c:v>175546</c:v>
                </c:pt>
                <c:pt idx="61">
                  <c:v>182902</c:v>
                </c:pt>
                <c:pt idx="62">
                  <c:v>196782</c:v>
                </c:pt>
                <c:pt idx="63">
                  <c:v>191004</c:v>
                </c:pt>
                <c:pt idx="64">
                  <c:v>198586</c:v>
                </c:pt>
                <c:pt idx="65">
                  <c:v>199100</c:v>
                </c:pt>
                <c:pt idx="66">
                  <c:v>202476</c:v>
                </c:pt>
                <c:pt idx="67">
                  <c:v>210412</c:v>
                </c:pt>
                <c:pt idx="68">
                  <c:v>211175</c:v>
                </c:pt>
                <c:pt idx="69">
                  <c:v>215155</c:v>
                </c:pt>
                <c:pt idx="70">
                  <c:v>220728</c:v>
                </c:pt>
                <c:pt idx="71">
                  <c:v>231176</c:v>
                </c:pt>
                <c:pt idx="72">
                  <c:v>198441</c:v>
                </c:pt>
                <c:pt idx="73">
                  <c:v>207524</c:v>
                </c:pt>
                <c:pt idx="74">
                  <c:v>223593</c:v>
                </c:pt>
                <c:pt idx="75">
                  <c:v>216039</c:v>
                </c:pt>
                <c:pt idx="76">
                  <c:v>229726</c:v>
                </c:pt>
                <c:pt idx="77">
                  <c:v>228190</c:v>
                </c:pt>
              </c:numCache>
            </c:numRef>
          </c:val>
          <c:smooth val="0"/>
          <c:extLst>
            <c:ext xmlns:c16="http://schemas.microsoft.com/office/drawing/2014/chart" uri="{C3380CC4-5D6E-409C-BE32-E72D297353CC}">
              <c16:uniqueId val="{00000000-A450-4E33-B16D-5C4F0F666044}"/>
            </c:ext>
          </c:extLst>
        </c:ser>
        <c:dLbls>
          <c:showLegendKey val="0"/>
          <c:showVal val="0"/>
          <c:showCatName val="0"/>
          <c:showSerName val="0"/>
          <c:showPercent val="0"/>
          <c:showBubbleSize val="0"/>
        </c:dLbls>
        <c:smooth val="0"/>
        <c:axId val="211140072"/>
        <c:axId val="1"/>
      </c:lineChart>
      <c:dateAx>
        <c:axId val="211140072"/>
        <c:scaling>
          <c:orientation val="minMax"/>
        </c:scaling>
        <c:delete val="0"/>
        <c:axPos val="b"/>
        <c:numFmt formatCode="mmm\-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Offset val="100"/>
        <c:baseTimeUnit val="months"/>
      </c:dateAx>
      <c:valAx>
        <c:axId val="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people</a:t>
                </a:r>
              </a:p>
            </c:rich>
          </c:tx>
          <c:overlay val="0"/>
          <c:spPr>
            <a:noFill/>
            <a:ln w="25400">
              <a:noFill/>
            </a:ln>
          </c:spPr>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14007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HF_SGLT!$K$2</c:f>
              <c:strCache>
                <c:ptCount val="1"/>
                <c:pt idx="0">
                  <c:v>SGLT2 for Diab/CKD while on other diabetes meds</c:v>
                </c:pt>
              </c:strCache>
            </c:strRef>
          </c:tx>
          <c:spPr>
            <a:ln w="28575" cap="rnd">
              <a:solidFill>
                <a:schemeClr val="accent1"/>
              </a:solidFill>
              <a:round/>
            </a:ln>
            <a:effectLst/>
          </c:spPr>
          <c:marker>
            <c:symbol val="none"/>
          </c:marker>
          <c:cat>
            <c:numRef>
              <c:f>HF_SGLT!$A$3:$A$74</c:f>
              <c:numCache>
                <c:formatCode>mmm\-yy</c:formatCode>
                <c:ptCount val="72"/>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numCache>
            </c:numRef>
          </c:cat>
          <c:val>
            <c:numRef>
              <c:f>HF_SGLT!$K$3:$K$74</c:f>
              <c:numCache>
                <c:formatCode>General</c:formatCode>
                <c:ptCount val="72"/>
                <c:pt idx="0">
                  <c:v>0.9</c:v>
                </c:pt>
                <c:pt idx="1">
                  <c:v>1</c:v>
                </c:pt>
                <c:pt idx="2">
                  <c:v>1.3</c:v>
                </c:pt>
                <c:pt idx="3">
                  <c:v>1.2</c:v>
                </c:pt>
                <c:pt idx="4">
                  <c:v>1.4</c:v>
                </c:pt>
                <c:pt idx="5">
                  <c:v>1.4</c:v>
                </c:pt>
                <c:pt idx="6">
                  <c:v>1.5</c:v>
                </c:pt>
                <c:pt idx="7">
                  <c:v>1.6</c:v>
                </c:pt>
                <c:pt idx="8">
                  <c:v>1.7</c:v>
                </c:pt>
                <c:pt idx="9">
                  <c:v>1.8</c:v>
                </c:pt>
                <c:pt idx="10">
                  <c:v>1.8</c:v>
                </c:pt>
                <c:pt idx="11">
                  <c:v>2</c:v>
                </c:pt>
                <c:pt idx="12">
                  <c:v>1.3</c:v>
                </c:pt>
                <c:pt idx="13">
                  <c:v>1.5</c:v>
                </c:pt>
                <c:pt idx="14">
                  <c:v>1.6</c:v>
                </c:pt>
                <c:pt idx="15">
                  <c:v>1.7</c:v>
                </c:pt>
                <c:pt idx="16">
                  <c:v>1.8</c:v>
                </c:pt>
                <c:pt idx="17">
                  <c:v>1.8</c:v>
                </c:pt>
                <c:pt idx="18">
                  <c:v>1.9</c:v>
                </c:pt>
                <c:pt idx="19">
                  <c:v>2</c:v>
                </c:pt>
                <c:pt idx="20">
                  <c:v>2</c:v>
                </c:pt>
                <c:pt idx="21">
                  <c:v>2.2000000000000002</c:v>
                </c:pt>
                <c:pt idx="22">
                  <c:v>2.2999999999999998</c:v>
                </c:pt>
                <c:pt idx="23">
                  <c:v>2.5</c:v>
                </c:pt>
                <c:pt idx="24">
                  <c:v>1.7</c:v>
                </c:pt>
                <c:pt idx="25">
                  <c:v>1.8</c:v>
                </c:pt>
                <c:pt idx="26">
                  <c:v>2</c:v>
                </c:pt>
                <c:pt idx="27">
                  <c:v>2</c:v>
                </c:pt>
                <c:pt idx="28">
                  <c:v>2.2000000000000002</c:v>
                </c:pt>
                <c:pt idx="29">
                  <c:v>2.1</c:v>
                </c:pt>
                <c:pt idx="30">
                  <c:v>2.2999999999999998</c:v>
                </c:pt>
                <c:pt idx="31">
                  <c:v>2.4</c:v>
                </c:pt>
                <c:pt idx="32">
                  <c:v>2.4</c:v>
                </c:pt>
                <c:pt idx="33">
                  <c:v>2.6</c:v>
                </c:pt>
                <c:pt idx="34">
                  <c:v>2.7</c:v>
                </c:pt>
                <c:pt idx="35">
                  <c:v>3</c:v>
                </c:pt>
                <c:pt idx="36">
                  <c:v>2.1</c:v>
                </c:pt>
                <c:pt idx="37">
                  <c:v>2.2999999999999998</c:v>
                </c:pt>
                <c:pt idx="38">
                  <c:v>2.6</c:v>
                </c:pt>
                <c:pt idx="39">
                  <c:v>2.6</c:v>
                </c:pt>
                <c:pt idx="40">
                  <c:v>2.6</c:v>
                </c:pt>
                <c:pt idx="41">
                  <c:v>2.7</c:v>
                </c:pt>
                <c:pt idx="42">
                  <c:v>2.9</c:v>
                </c:pt>
                <c:pt idx="43">
                  <c:v>2.9</c:v>
                </c:pt>
                <c:pt idx="44">
                  <c:v>3.1</c:v>
                </c:pt>
                <c:pt idx="45">
                  <c:v>3.2</c:v>
                </c:pt>
                <c:pt idx="46">
                  <c:v>3.3</c:v>
                </c:pt>
                <c:pt idx="47">
                  <c:v>3.7</c:v>
                </c:pt>
                <c:pt idx="48">
                  <c:v>2.5</c:v>
                </c:pt>
                <c:pt idx="49">
                  <c:v>2.8</c:v>
                </c:pt>
                <c:pt idx="50">
                  <c:v>3.1</c:v>
                </c:pt>
                <c:pt idx="51">
                  <c:v>3.1</c:v>
                </c:pt>
                <c:pt idx="52">
                  <c:v>3.2</c:v>
                </c:pt>
                <c:pt idx="53">
                  <c:v>3.3</c:v>
                </c:pt>
                <c:pt idx="54">
                  <c:v>3.5</c:v>
                </c:pt>
                <c:pt idx="55">
                  <c:v>3.6</c:v>
                </c:pt>
                <c:pt idx="56">
                  <c:v>3.7</c:v>
                </c:pt>
                <c:pt idx="57">
                  <c:v>3.8</c:v>
                </c:pt>
                <c:pt idx="58">
                  <c:v>4</c:v>
                </c:pt>
                <c:pt idx="59">
                  <c:v>4.4000000000000004</c:v>
                </c:pt>
                <c:pt idx="60">
                  <c:v>3.2</c:v>
                </c:pt>
                <c:pt idx="61">
                  <c:v>3.5</c:v>
                </c:pt>
                <c:pt idx="62">
                  <c:v>3.8</c:v>
                </c:pt>
                <c:pt idx="63">
                  <c:v>3.7</c:v>
                </c:pt>
                <c:pt idx="64">
                  <c:v>3.9</c:v>
                </c:pt>
                <c:pt idx="65">
                  <c:v>4</c:v>
                </c:pt>
                <c:pt idx="66">
                  <c:v>4.0999999999999996</c:v>
                </c:pt>
                <c:pt idx="67">
                  <c:v>4.3</c:v>
                </c:pt>
                <c:pt idx="68">
                  <c:v>4.4000000000000004</c:v>
                </c:pt>
                <c:pt idx="69">
                  <c:v>4.5999999999999996</c:v>
                </c:pt>
                <c:pt idx="70">
                  <c:v>4.8</c:v>
                </c:pt>
                <c:pt idx="71">
                  <c:v>5.4</c:v>
                </c:pt>
              </c:numCache>
            </c:numRef>
          </c:val>
          <c:smooth val="0"/>
          <c:extLst>
            <c:ext xmlns:c16="http://schemas.microsoft.com/office/drawing/2014/chart" uri="{C3380CC4-5D6E-409C-BE32-E72D297353CC}">
              <c16:uniqueId val="{00000000-56AF-4F80-ACD1-8856BD03ECF2}"/>
            </c:ext>
          </c:extLst>
        </c:ser>
        <c:ser>
          <c:idx val="1"/>
          <c:order val="1"/>
          <c:tx>
            <c:strRef>
              <c:f>HF_SGLT!$L$2</c:f>
              <c:strCache>
                <c:ptCount val="1"/>
                <c:pt idx="0">
                  <c:v>SGLT2 for Diab/CKD while not on other diabetes meds</c:v>
                </c:pt>
              </c:strCache>
            </c:strRef>
          </c:tx>
          <c:spPr>
            <a:ln w="28575" cap="rnd">
              <a:solidFill>
                <a:schemeClr val="accent2"/>
              </a:solidFill>
              <a:round/>
            </a:ln>
            <a:effectLst/>
          </c:spPr>
          <c:marker>
            <c:symbol val="none"/>
          </c:marker>
          <c:cat>
            <c:numRef>
              <c:f>HF_SGLT!$A$3:$A$74</c:f>
              <c:numCache>
                <c:formatCode>mmm\-yy</c:formatCode>
                <c:ptCount val="72"/>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numCache>
            </c:numRef>
          </c:cat>
          <c:val>
            <c:numRef>
              <c:f>HF_SGLT!$L$3:$L$74</c:f>
              <c:numCache>
                <c:formatCode>General</c:formatCode>
                <c:ptCount val="72"/>
                <c:pt idx="0">
                  <c:v>0.4</c:v>
                </c:pt>
                <c:pt idx="1">
                  <c:v>0.4</c:v>
                </c:pt>
                <c:pt idx="2">
                  <c:v>0.4</c:v>
                </c:pt>
                <c:pt idx="3">
                  <c:v>0.4</c:v>
                </c:pt>
                <c:pt idx="4">
                  <c:v>0.4</c:v>
                </c:pt>
                <c:pt idx="5">
                  <c:v>0.4</c:v>
                </c:pt>
                <c:pt idx="6">
                  <c:v>0.5</c:v>
                </c:pt>
                <c:pt idx="7">
                  <c:v>0.4</c:v>
                </c:pt>
                <c:pt idx="8">
                  <c:v>0.5</c:v>
                </c:pt>
                <c:pt idx="9">
                  <c:v>0.4</c:v>
                </c:pt>
                <c:pt idx="10">
                  <c:v>0.4</c:v>
                </c:pt>
                <c:pt idx="11">
                  <c:v>0.4</c:v>
                </c:pt>
                <c:pt idx="12">
                  <c:v>0.6</c:v>
                </c:pt>
                <c:pt idx="13">
                  <c:v>0.6</c:v>
                </c:pt>
                <c:pt idx="14">
                  <c:v>0.6</c:v>
                </c:pt>
                <c:pt idx="15">
                  <c:v>0.6</c:v>
                </c:pt>
                <c:pt idx="16">
                  <c:v>0.6</c:v>
                </c:pt>
                <c:pt idx="17">
                  <c:v>0.6</c:v>
                </c:pt>
                <c:pt idx="18">
                  <c:v>0.6</c:v>
                </c:pt>
                <c:pt idx="19">
                  <c:v>0.5</c:v>
                </c:pt>
                <c:pt idx="20">
                  <c:v>0.5</c:v>
                </c:pt>
                <c:pt idx="21">
                  <c:v>0.5</c:v>
                </c:pt>
                <c:pt idx="22">
                  <c:v>0.5</c:v>
                </c:pt>
                <c:pt idx="23">
                  <c:v>0.4</c:v>
                </c:pt>
                <c:pt idx="24">
                  <c:v>0.7</c:v>
                </c:pt>
                <c:pt idx="25">
                  <c:v>0.7</c:v>
                </c:pt>
                <c:pt idx="26">
                  <c:v>0.7</c:v>
                </c:pt>
                <c:pt idx="27">
                  <c:v>0.7</c:v>
                </c:pt>
                <c:pt idx="28">
                  <c:v>0.6</c:v>
                </c:pt>
                <c:pt idx="29">
                  <c:v>0.7</c:v>
                </c:pt>
                <c:pt idx="30">
                  <c:v>0.6</c:v>
                </c:pt>
                <c:pt idx="31">
                  <c:v>0.6</c:v>
                </c:pt>
                <c:pt idx="32">
                  <c:v>0.7</c:v>
                </c:pt>
                <c:pt idx="33">
                  <c:v>0.6</c:v>
                </c:pt>
                <c:pt idx="34">
                  <c:v>0.7</c:v>
                </c:pt>
                <c:pt idx="35">
                  <c:v>0.6</c:v>
                </c:pt>
                <c:pt idx="36">
                  <c:v>0.8</c:v>
                </c:pt>
                <c:pt idx="37">
                  <c:v>0.9</c:v>
                </c:pt>
                <c:pt idx="38">
                  <c:v>0.7</c:v>
                </c:pt>
                <c:pt idx="39">
                  <c:v>0.9</c:v>
                </c:pt>
                <c:pt idx="40">
                  <c:v>0.8</c:v>
                </c:pt>
                <c:pt idx="41">
                  <c:v>0.9</c:v>
                </c:pt>
                <c:pt idx="42">
                  <c:v>0.8</c:v>
                </c:pt>
                <c:pt idx="43">
                  <c:v>0.8</c:v>
                </c:pt>
                <c:pt idx="44">
                  <c:v>0.8</c:v>
                </c:pt>
                <c:pt idx="45">
                  <c:v>0.8</c:v>
                </c:pt>
                <c:pt idx="46">
                  <c:v>0.9</c:v>
                </c:pt>
                <c:pt idx="47">
                  <c:v>0.7</c:v>
                </c:pt>
                <c:pt idx="48">
                  <c:v>1.1000000000000001</c:v>
                </c:pt>
                <c:pt idx="49">
                  <c:v>1.1000000000000001</c:v>
                </c:pt>
                <c:pt idx="50">
                  <c:v>1.1000000000000001</c:v>
                </c:pt>
                <c:pt idx="51">
                  <c:v>1.2</c:v>
                </c:pt>
                <c:pt idx="52">
                  <c:v>1.2</c:v>
                </c:pt>
                <c:pt idx="53">
                  <c:v>1.1000000000000001</c:v>
                </c:pt>
                <c:pt idx="54">
                  <c:v>1.2</c:v>
                </c:pt>
                <c:pt idx="55">
                  <c:v>1.2</c:v>
                </c:pt>
                <c:pt idx="56">
                  <c:v>1.2</c:v>
                </c:pt>
                <c:pt idx="57">
                  <c:v>1.3</c:v>
                </c:pt>
                <c:pt idx="58">
                  <c:v>1.3</c:v>
                </c:pt>
                <c:pt idx="59">
                  <c:v>1.2</c:v>
                </c:pt>
                <c:pt idx="60">
                  <c:v>1.7</c:v>
                </c:pt>
                <c:pt idx="61">
                  <c:v>1.8</c:v>
                </c:pt>
                <c:pt idx="62">
                  <c:v>1.8</c:v>
                </c:pt>
                <c:pt idx="63">
                  <c:v>1.9</c:v>
                </c:pt>
                <c:pt idx="64">
                  <c:v>1.9</c:v>
                </c:pt>
                <c:pt idx="65">
                  <c:v>2</c:v>
                </c:pt>
                <c:pt idx="66">
                  <c:v>2</c:v>
                </c:pt>
                <c:pt idx="67">
                  <c:v>2.1</c:v>
                </c:pt>
                <c:pt idx="68">
                  <c:v>2.2999999999999998</c:v>
                </c:pt>
                <c:pt idx="69">
                  <c:v>2.5</c:v>
                </c:pt>
                <c:pt idx="70">
                  <c:v>2.6</c:v>
                </c:pt>
                <c:pt idx="71">
                  <c:v>2.6</c:v>
                </c:pt>
              </c:numCache>
            </c:numRef>
          </c:val>
          <c:smooth val="0"/>
          <c:extLst>
            <c:ext xmlns:c16="http://schemas.microsoft.com/office/drawing/2014/chart" uri="{C3380CC4-5D6E-409C-BE32-E72D297353CC}">
              <c16:uniqueId val="{00000001-56AF-4F80-ACD1-8856BD03ECF2}"/>
            </c:ext>
          </c:extLst>
        </c:ser>
        <c:dLbls>
          <c:showLegendKey val="0"/>
          <c:showVal val="0"/>
          <c:showCatName val="0"/>
          <c:showSerName val="0"/>
          <c:showPercent val="0"/>
          <c:showBubbleSize val="0"/>
        </c:dLbls>
        <c:smooth val="0"/>
        <c:axId val="289738344"/>
        <c:axId val="289738672"/>
      </c:lineChart>
      <c:dateAx>
        <c:axId val="28973834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738672"/>
        <c:crosses val="autoZero"/>
        <c:auto val="1"/>
        <c:lblOffset val="100"/>
        <c:baseTimeUnit val="months"/>
        <c:majorUnit val="2"/>
        <c:majorTimeUnit val="months"/>
      </c:dateAx>
      <c:valAx>
        <c:axId val="289738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prevalent users of HF restricted</a:t>
                </a:r>
                <a:r>
                  <a:rPr lang="en-US" baseline="0"/>
                  <a:t> medicines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738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938648293963253"/>
          <c:y val="7.4924078091106266E-2"/>
          <c:w val="0.78851159230096224"/>
          <c:h val="0.65285018873725387"/>
        </c:manualLayout>
      </c:layout>
      <c:barChart>
        <c:barDir val="col"/>
        <c:grouping val="clustered"/>
        <c:varyColors val="0"/>
        <c:ser>
          <c:idx val="0"/>
          <c:order val="0"/>
          <c:tx>
            <c:strRef>
              <c:f>'SGLT(Tb1)_ARNI_ACEARB'!$F$3</c:f>
              <c:strCache>
                <c:ptCount val="1"/>
                <c:pt idx="0">
                  <c:v>ARNI</c:v>
                </c:pt>
              </c:strCache>
            </c:strRef>
          </c:tx>
          <c:spPr>
            <a:solidFill>
              <a:srgbClr val="4472C4"/>
            </a:solidFill>
            <a:ln w="25400">
              <a:noFill/>
            </a:ln>
          </c:spPr>
          <c:invertIfNegative val="0"/>
          <c:cat>
            <c:numRef>
              <c:f>'SGLT(Tb1)_ARNI_ACEARB'!$C$4:$C$21</c:f>
              <c:numCache>
                <c:formatCode>mmm\-yy</c:formatCode>
                <c:ptCount val="18"/>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numCache>
            </c:numRef>
          </c:cat>
          <c:val>
            <c:numRef>
              <c:f>'SGLT(Tb1)_ARNI_ACEARB'!$F$4:$F$21</c:f>
              <c:numCache>
                <c:formatCode>General</c:formatCode>
                <c:ptCount val="18"/>
                <c:pt idx="0">
                  <c:v>38.5</c:v>
                </c:pt>
                <c:pt idx="1">
                  <c:v>43.7</c:v>
                </c:pt>
                <c:pt idx="2">
                  <c:v>46.9</c:v>
                </c:pt>
                <c:pt idx="3">
                  <c:v>42.4</c:v>
                </c:pt>
                <c:pt idx="4">
                  <c:v>41</c:v>
                </c:pt>
                <c:pt idx="5">
                  <c:v>40.1</c:v>
                </c:pt>
                <c:pt idx="6">
                  <c:v>38.4</c:v>
                </c:pt>
                <c:pt idx="7">
                  <c:v>38.4</c:v>
                </c:pt>
                <c:pt idx="8">
                  <c:v>38.5</c:v>
                </c:pt>
                <c:pt idx="9">
                  <c:v>38.6</c:v>
                </c:pt>
                <c:pt idx="10">
                  <c:v>39.4</c:v>
                </c:pt>
                <c:pt idx="11">
                  <c:v>41</c:v>
                </c:pt>
                <c:pt idx="12">
                  <c:v>39</c:v>
                </c:pt>
                <c:pt idx="13">
                  <c:v>39.5</c:v>
                </c:pt>
                <c:pt idx="14">
                  <c:v>40.9</c:v>
                </c:pt>
                <c:pt idx="15">
                  <c:v>40.9</c:v>
                </c:pt>
                <c:pt idx="16">
                  <c:v>41.2</c:v>
                </c:pt>
                <c:pt idx="17">
                  <c:v>41.4</c:v>
                </c:pt>
              </c:numCache>
            </c:numRef>
          </c:val>
          <c:extLst>
            <c:ext xmlns:c16="http://schemas.microsoft.com/office/drawing/2014/chart" uri="{C3380CC4-5D6E-409C-BE32-E72D297353CC}">
              <c16:uniqueId val="{00000000-89B8-499B-9095-3BA33BEBC367}"/>
            </c:ext>
          </c:extLst>
        </c:ser>
        <c:ser>
          <c:idx val="1"/>
          <c:order val="1"/>
          <c:tx>
            <c:strRef>
              <c:f>'SGLT(Tb1)_ARNI_ACEARB'!$I$3</c:f>
              <c:strCache>
                <c:ptCount val="1"/>
                <c:pt idx="0">
                  <c:v>ACEi/ARB</c:v>
                </c:pt>
              </c:strCache>
            </c:strRef>
          </c:tx>
          <c:spPr>
            <a:solidFill>
              <a:srgbClr val="ED7D31"/>
            </a:solidFill>
            <a:ln w="25400">
              <a:noFill/>
            </a:ln>
          </c:spPr>
          <c:invertIfNegative val="0"/>
          <c:cat>
            <c:numRef>
              <c:f>'SGLT(Tb1)_ARNI_ACEARB'!$C$4:$C$21</c:f>
              <c:numCache>
                <c:formatCode>mmm\-yy</c:formatCode>
                <c:ptCount val="18"/>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numCache>
            </c:numRef>
          </c:cat>
          <c:val>
            <c:numRef>
              <c:f>'SGLT(Tb1)_ARNI_ACEARB'!$I$4:$I$21</c:f>
              <c:numCache>
                <c:formatCode>General</c:formatCode>
                <c:ptCount val="18"/>
                <c:pt idx="0">
                  <c:v>23.6</c:v>
                </c:pt>
                <c:pt idx="1">
                  <c:v>22</c:v>
                </c:pt>
                <c:pt idx="2">
                  <c:v>23.6</c:v>
                </c:pt>
                <c:pt idx="3">
                  <c:v>24.9</c:v>
                </c:pt>
                <c:pt idx="4">
                  <c:v>26.3</c:v>
                </c:pt>
                <c:pt idx="5">
                  <c:v>27.4</c:v>
                </c:pt>
                <c:pt idx="6">
                  <c:v>28.7</c:v>
                </c:pt>
                <c:pt idx="7">
                  <c:v>30.5</c:v>
                </c:pt>
                <c:pt idx="8">
                  <c:v>30.2</c:v>
                </c:pt>
                <c:pt idx="9">
                  <c:v>30.4</c:v>
                </c:pt>
                <c:pt idx="10">
                  <c:v>30.5</c:v>
                </c:pt>
                <c:pt idx="11">
                  <c:v>31.8</c:v>
                </c:pt>
                <c:pt idx="12">
                  <c:v>25.2</c:v>
                </c:pt>
                <c:pt idx="13">
                  <c:v>25.8</c:v>
                </c:pt>
                <c:pt idx="14">
                  <c:v>26.6</c:v>
                </c:pt>
                <c:pt idx="15">
                  <c:v>25.9</c:v>
                </c:pt>
                <c:pt idx="16">
                  <c:v>27.3</c:v>
                </c:pt>
                <c:pt idx="17">
                  <c:v>27.2</c:v>
                </c:pt>
              </c:numCache>
            </c:numRef>
          </c:val>
          <c:extLst>
            <c:ext xmlns:c16="http://schemas.microsoft.com/office/drawing/2014/chart" uri="{C3380CC4-5D6E-409C-BE32-E72D297353CC}">
              <c16:uniqueId val="{00000001-89B8-499B-9095-3BA33BEBC367}"/>
            </c:ext>
          </c:extLst>
        </c:ser>
        <c:dLbls>
          <c:showLegendKey val="0"/>
          <c:showVal val="0"/>
          <c:showCatName val="0"/>
          <c:showSerName val="0"/>
          <c:showPercent val="0"/>
          <c:showBubbleSize val="0"/>
        </c:dLbls>
        <c:gapWidth val="219"/>
        <c:overlap val="-27"/>
        <c:axId val="206752928"/>
        <c:axId val="1"/>
      </c:barChart>
      <c:dateAx>
        <c:axId val="206752928"/>
        <c:scaling>
          <c:orientation val="minMax"/>
        </c:scaling>
        <c:delete val="0"/>
        <c:axPos val="b"/>
        <c:numFmt formatCode="mmm\-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Offset val="100"/>
        <c:baseTimeUnit val="months"/>
      </c:dateAx>
      <c:valAx>
        <c:axId val="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people on dapagliglozin or empagliflozin for HF</a:t>
                </a:r>
              </a:p>
            </c:rich>
          </c:tx>
          <c:layout>
            <c:manualLayout>
              <c:xMode val="edge"/>
              <c:yMode val="edge"/>
              <c:x val="2.7777777777777776E-2"/>
              <c:y val="0.20596956291526466"/>
            </c:manualLayout>
          </c:layout>
          <c:overlay val="0"/>
          <c:spPr>
            <a:noFill/>
            <a:ln w="25400">
              <a:noFill/>
            </a:ln>
          </c:spPr>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752928"/>
        <c:crosses val="autoZero"/>
        <c:crossBetween val="between"/>
      </c:valAx>
      <c:spPr>
        <a:noFill/>
        <a:ln w="25400">
          <a:noFill/>
        </a:ln>
      </c:spPr>
    </c:plotArea>
    <c:legend>
      <c:legendPos val="r"/>
      <c:layout>
        <c:manualLayout>
          <c:xMode val="edge"/>
          <c:yMode val="edge"/>
          <c:x val="0.40833355205599298"/>
          <c:y val="0.90021828616325339"/>
          <c:w val="0.23611111111111116"/>
          <c:h val="7.158351409978303E-2"/>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615048118985127"/>
          <c:y val="0.16056277056277057"/>
          <c:w val="0.79177974628171466"/>
          <c:h val="0.54127633260502128"/>
        </c:manualLayout>
      </c:layout>
      <c:lineChart>
        <c:grouping val="standard"/>
        <c:varyColors val="0"/>
        <c:ser>
          <c:idx val="0"/>
          <c:order val="0"/>
          <c:tx>
            <c:strRef>
              <c:f>Prev_HF!$G$2</c:f>
              <c:strCache>
                <c:ptCount val="1"/>
                <c:pt idx="0">
                  <c:v>BB</c:v>
                </c:pt>
              </c:strCache>
            </c:strRef>
          </c:tx>
          <c:spPr>
            <a:ln w="28575" cap="rnd">
              <a:solidFill>
                <a:schemeClr val="accent1"/>
              </a:solidFill>
              <a:round/>
            </a:ln>
            <a:effectLst/>
          </c:spPr>
          <c:marker>
            <c:symbol val="none"/>
          </c:marker>
          <c:cat>
            <c:numRef>
              <c:f>Prev_HF!$C$3:$C$79</c:f>
              <c:numCache>
                <c:formatCode>mmm\-yy</c:formatCode>
                <c:ptCount val="77"/>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numCache>
            </c:numRef>
          </c:cat>
          <c:val>
            <c:numRef>
              <c:f>Prev_HF!$G$3:$G$79</c:f>
              <c:numCache>
                <c:formatCode>General</c:formatCode>
                <c:ptCount val="77"/>
                <c:pt idx="0">
                  <c:v>103160</c:v>
                </c:pt>
                <c:pt idx="1">
                  <c:v>108617</c:v>
                </c:pt>
                <c:pt idx="2">
                  <c:v>116928</c:v>
                </c:pt>
                <c:pt idx="3">
                  <c:v>111917</c:v>
                </c:pt>
                <c:pt idx="4">
                  <c:v>118848</c:v>
                </c:pt>
                <c:pt idx="5">
                  <c:v>117977</c:v>
                </c:pt>
                <c:pt idx="6">
                  <c:v>119293</c:v>
                </c:pt>
                <c:pt idx="7">
                  <c:v>122973</c:v>
                </c:pt>
                <c:pt idx="8">
                  <c:v>122165</c:v>
                </c:pt>
                <c:pt idx="9">
                  <c:v>126473</c:v>
                </c:pt>
                <c:pt idx="10">
                  <c:v>128998</c:v>
                </c:pt>
                <c:pt idx="11">
                  <c:v>133985</c:v>
                </c:pt>
                <c:pt idx="12">
                  <c:v>113619</c:v>
                </c:pt>
                <c:pt idx="13">
                  <c:v>117397</c:v>
                </c:pt>
                <c:pt idx="14">
                  <c:v>125136</c:v>
                </c:pt>
                <c:pt idx="15">
                  <c:v>123103</c:v>
                </c:pt>
                <c:pt idx="16">
                  <c:v>128492</c:v>
                </c:pt>
                <c:pt idx="17">
                  <c:v>126447</c:v>
                </c:pt>
                <c:pt idx="18">
                  <c:v>129660</c:v>
                </c:pt>
                <c:pt idx="19">
                  <c:v>132794</c:v>
                </c:pt>
                <c:pt idx="20">
                  <c:v>130081</c:v>
                </c:pt>
                <c:pt idx="21">
                  <c:v>138345</c:v>
                </c:pt>
                <c:pt idx="22">
                  <c:v>140015</c:v>
                </c:pt>
                <c:pt idx="23">
                  <c:v>145121</c:v>
                </c:pt>
                <c:pt idx="24">
                  <c:v>123202</c:v>
                </c:pt>
                <c:pt idx="25">
                  <c:v>127327</c:v>
                </c:pt>
                <c:pt idx="26">
                  <c:v>134493</c:v>
                </c:pt>
                <c:pt idx="27">
                  <c:v>134354</c:v>
                </c:pt>
                <c:pt idx="28">
                  <c:v>140018</c:v>
                </c:pt>
                <c:pt idx="29">
                  <c:v>135446</c:v>
                </c:pt>
                <c:pt idx="30">
                  <c:v>142752</c:v>
                </c:pt>
                <c:pt idx="31">
                  <c:v>143678</c:v>
                </c:pt>
                <c:pt idx="32">
                  <c:v>143457</c:v>
                </c:pt>
                <c:pt idx="33">
                  <c:v>150390</c:v>
                </c:pt>
                <c:pt idx="34">
                  <c:v>150916</c:v>
                </c:pt>
                <c:pt idx="35">
                  <c:v>158545</c:v>
                </c:pt>
                <c:pt idx="36">
                  <c:v>134898</c:v>
                </c:pt>
                <c:pt idx="37">
                  <c:v>141656</c:v>
                </c:pt>
                <c:pt idx="38">
                  <c:v>155648</c:v>
                </c:pt>
                <c:pt idx="39">
                  <c:v>142606</c:v>
                </c:pt>
                <c:pt idx="40">
                  <c:v>149349</c:v>
                </c:pt>
                <c:pt idx="41">
                  <c:v>154985</c:v>
                </c:pt>
                <c:pt idx="42">
                  <c:v>161768</c:v>
                </c:pt>
                <c:pt idx="43">
                  <c:v>161131</c:v>
                </c:pt>
                <c:pt idx="44">
                  <c:v>164266</c:v>
                </c:pt>
                <c:pt idx="45">
                  <c:v>168603</c:v>
                </c:pt>
                <c:pt idx="46">
                  <c:v>169010</c:v>
                </c:pt>
                <c:pt idx="47">
                  <c:v>180423</c:v>
                </c:pt>
                <c:pt idx="48">
                  <c:v>145527</c:v>
                </c:pt>
                <c:pt idx="49">
                  <c:v>154344</c:v>
                </c:pt>
                <c:pt idx="50">
                  <c:v>167196</c:v>
                </c:pt>
                <c:pt idx="51">
                  <c:v>163495</c:v>
                </c:pt>
                <c:pt idx="52">
                  <c:v>167005</c:v>
                </c:pt>
                <c:pt idx="53">
                  <c:v>169267</c:v>
                </c:pt>
                <c:pt idx="54">
                  <c:v>174073</c:v>
                </c:pt>
                <c:pt idx="55">
                  <c:v>176084</c:v>
                </c:pt>
                <c:pt idx="56">
                  <c:v>176866</c:v>
                </c:pt>
                <c:pt idx="57">
                  <c:v>179358</c:v>
                </c:pt>
                <c:pt idx="58">
                  <c:v>184332</c:v>
                </c:pt>
                <c:pt idx="59">
                  <c:v>191994</c:v>
                </c:pt>
                <c:pt idx="60">
                  <c:v>155435</c:v>
                </c:pt>
                <c:pt idx="61">
                  <c:v>161764</c:v>
                </c:pt>
                <c:pt idx="62">
                  <c:v>174337</c:v>
                </c:pt>
                <c:pt idx="63">
                  <c:v>167551</c:v>
                </c:pt>
                <c:pt idx="64">
                  <c:v>173910</c:v>
                </c:pt>
                <c:pt idx="65">
                  <c:v>173478</c:v>
                </c:pt>
                <c:pt idx="66">
                  <c:v>176222</c:v>
                </c:pt>
                <c:pt idx="67">
                  <c:v>183125</c:v>
                </c:pt>
                <c:pt idx="68">
                  <c:v>183365</c:v>
                </c:pt>
                <c:pt idx="69">
                  <c:v>186399</c:v>
                </c:pt>
                <c:pt idx="70">
                  <c:v>191615</c:v>
                </c:pt>
                <c:pt idx="71">
                  <c:v>202284</c:v>
                </c:pt>
                <c:pt idx="72">
                  <c:v>167221</c:v>
                </c:pt>
                <c:pt idx="73">
                  <c:v>175212</c:v>
                </c:pt>
                <c:pt idx="74">
                  <c:v>189587</c:v>
                </c:pt>
                <c:pt idx="75">
                  <c:v>182140</c:v>
                </c:pt>
                <c:pt idx="76">
                  <c:v>194461</c:v>
                </c:pt>
              </c:numCache>
            </c:numRef>
          </c:val>
          <c:smooth val="0"/>
          <c:extLst>
            <c:ext xmlns:c16="http://schemas.microsoft.com/office/drawing/2014/chart" uri="{C3380CC4-5D6E-409C-BE32-E72D297353CC}">
              <c16:uniqueId val="{00000000-5D7D-4CFE-951C-11300186E692}"/>
            </c:ext>
          </c:extLst>
        </c:ser>
        <c:ser>
          <c:idx val="1"/>
          <c:order val="1"/>
          <c:tx>
            <c:strRef>
              <c:f>Prev_HF!$H$2</c:f>
              <c:strCache>
                <c:ptCount val="1"/>
                <c:pt idx="0">
                  <c:v>HCN</c:v>
                </c:pt>
              </c:strCache>
            </c:strRef>
          </c:tx>
          <c:spPr>
            <a:ln w="28575" cap="rnd">
              <a:solidFill>
                <a:schemeClr val="accent2"/>
              </a:solidFill>
              <a:round/>
            </a:ln>
            <a:effectLst/>
          </c:spPr>
          <c:marker>
            <c:symbol val="none"/>
          </c:marker>
          <c:cat>
            <c:numRef>
              <c:f>Prev_HF!$C$3:$C$79</c:f>
              <c:numCache>
                <c:formatCode>mmm\-yy</c:formatCode>
                <c:ptCount val="77"/>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numCache>
            </c:numRef>
          </c:cat>
          <c:val>
            <c:numRef>
              <c:f>Prev_HF!$H$3:$H$79</c:f>
              <c:numCache>
                <c:formatCode>General</c:formatCode>
                <c:ptCount val="77"/>
                <c:pt idx="0">
                  <c:v>3515</c:v>
                </c:pt>
                <c:pt idx="1">
                  <c:v>3704</c:v>
                </c:pt>
                <c:pt idx="2">
                  <c:v>3996</c:v>
                </c:pt>
                <c:pt idx="3">
                  <c:v>3885</c:v>
                </c:pt>
                <c:pt idx="4">
                  <c:v>4134</c:v>
                </c:pt>
                <c:pt idx="5">
                  <c:v>4094</c:v>
                </c:pt>
                <c:pt idx="6">
                  <c:v>4087</c:v>
                </c:pt>
                <c:pt idx="7">
                  <c:v>4190</c:v>
                </c:pt>
                <c:pt idx="8">
                  <c:v>4095</c:v>
                </c:pt>
                <c:pt idx="9">
                  <c:v>4233</c:v>
                </c:pt>
                <c:pt idx="10">
                  <c:v>4296</c:v>
                </c:pt>
                <c:pt idx="11">
                  <c:v>4537</c:v>
                </c:pt>
                <c:pt idx="12">
                  <c:v>3793</c:v>
                </c:pt>
                <c:pt idx="13">
                  <c:v>3946</c:v>
                </c:pt>
                <c:pt idx="14">
                  <c:v>4285</c:v>
                </c:pt>
                <c:pt idx="15">
                  <c:v>4146</c:v>
                </c:pt>
                <c:pt idx="16">
                  <c:v>4355</c:v>
                </c:pt>
                <c:pt idx="17">
                  <c:v>4258</c:v>
                </c:pt>
                <c:pt idx="18">
                  <c:v>4356</c:v>
                </c:pt>
                <c:pt idx="19">
                  <c:v>4419</c:v>
                </c:pt>
                <c:pt idx="20">
                  <c:v>4283</c:v>
                </c:pt>
                <c:pt idx="21">
                  <c:v>4535</c:v>
                </c:pt>
                <c:pt idx="22">
                  <c:v>4566</c:v>
                </c:pt>
                <c:pt idx="23">
                  <c:v>4680</c:v>
                </c:pt>
                <c:pt idx="24">
                  <c:v>3678</c:v>
                </c:pt>
                <c:pt idx="25">
                  <c:v>3913</c:v>
                </c:pt>
                <c:pt idx="26">
                  <c:v>4102</c:v>
                </c:pt>
                <c:pt idx="27">
                  <c:v>4117</c:v>
                </c:pt>
                <c:pt idx="28">
                  <c:v>4298</c:v>
                </c:pt>
                <c:pt idx="29">
                  <c:v>4186</c:v>
                </c:pt>
                <c:pt idx="30">
                  <c:v>4572</c:v>
                </c:pt>
                <c:pt idx="31">
                  <c:v>4682</c:v>
                </c:pt>
                <c:pt idx="32">
                  <c:v>4612</c:v>
                </c:pt>
                <c:pt idx="33">
                  <c:v>4792</c:v>
                </c:pt>
                <c:pt idx="34">
                  <c:v>4755</c:v>
                </c:pt>
                <c:pt idx="35">
                  <c:v>4974</c:v>
                </c:pt>
                <c:pt idx="36">
                  <c:v>4018</c:v>
                </c:pt>
                <c:pt idx="37">
                  <c:v>4478</c:v>
                </c:pt>
                <c:pt idx="38">
                  <c:v>5070</c:v>
                </c:pt>
                <c:pt idx="39">
                  <c:v>4458</c:v>
                </c:pt>
                <c:pt idx="40">
                  <c:v>4701</c:v>
                </c:pt>
                <c:pt idx="41">
                  <c:v>4871</c:v>
                </c:pt>
                <c:pt idx="42">
                  <c:v>5085</c:v>
                </c:pt>
                <c:pt idx="43">
                  <c:v>5080</c:v>
                </c:pt>
                <c:pt idx="44">
                  <c:v>5118</c:v>
                </c:pt>
                <c:pt idx="45">
                  <c:v>5187</c:v>
                </c:pt>
                <c:pt idx="46">
                  <c:v>5185</c:v>
                </c:pt>
                <c:pt idx="47">
                  <c:v>5549</c:v>
                </c:pt>
                <c:pt idx="48">
                  <c:v>4373</c:v>
                </c:pt>
                <c:pt idx="49">
                  <c:v>4738</c:v>
                </c:pt>
                <c:pt idx="50">
                  <c:v>5247</c:v>
                </c:pt>
                <c:pt idx="51">
                  <c:v>5049</c:v>
                </c:pt>
                <c:pt idx="52">
                  <c:v>5269</c:v>
                </c:pt>
                <c:pt idx="53">
                  <c:v>5291</c:v>
                </c:pt>
                <c:pt idx="54">
                  <c:v>5500</c:v>
                </c:pt>
                <c:pt idx="55">
                  <c:v>5550</c:v>
                </c:pt>
                <c:pt idx="56">
                  <c:v>5463</c:v>
                </c:pt>
                <c:pt idx="57">
                  <c:v>5505</c:v>
                </c:pt>
                <c:pt idx="58">
                  <c:v>5664</c:v>
                </c:pt>
                <c:pt idx="59">
                  <c:v>5912</c:v>
                </c:pt>
                <c:pt idx="60">
                  <c:v>4497</c:v>
                </c:pt>
                <c:pt idx="61">
                  <c:v>4727</c:v>
                </c:pt>
                <c:pt idx="62">
                  <c:v>5104</c:v>
                </c:pt>
                <c:pt idx="63">
                  <c:v>4956</c:v>
                </c:pt>
                <c:pt idx="64">
                  <c:v>5157</c:v>
                </c:pt>
                <c:pt idx="65">
                  <c:v>5221</c:v>
                </c:pt>
                <c:pt idx="66">
                  <c:v>5191</c:v>
                </c:pt>
                <c:pt idx="67">
                  <c:v>5438</c:v>
                </c:pt>
                <c:pt idx="68">
                  <c:v>5386</c:v>
                </c:pt>
                <c:pt idx="69">
                  <c:v>5486</c:v>
                </c:pt>
                <c:pt idx="70">
                  <c:v>5569</c:v>
                </c:pt>
                <c:pt idx="71">
                  <c:v>5950</c:v>
                </c:pt>
                <c:pt idx="72">
                  <c:v>5109</c:v>
                </c:pt>
                <c:pt idx="73">
                  <c:v>5457</c:v>
                </c:pt>
                <c:pt idx="74">
                  <c:v>5824</c:v>
                </c:pt>
                <c:pt idx="75">
                  <c:v>5660</c:v>
                </c:pt>
                <c:pt idx="76">
                  <c:v>6028</c:v>
                </c:pt>
              </c:numCache>
            </c:numRef>
          </c:val>
          <c:smooth val="0"/>
          <c:extLst>
            <c:ext xmlns:c16="http://schemas.microsoft.com/office/drawing/2014/chart" uri="{C3380CC4-5D6E-409C-BE32-E72D297353CC}">
              <c16:uniqueId val="{00000001-5D7D-4CFE-951C-11300186E692}"/>
            </c:ext>
          </c:extLst>
        </c:ser>
        <c:ser>
          <c:idx val="2"/>
          <c:order val="2"/>
          <c:tx>
            <c:strRef>
              <c:f>Prev_HF!$I$2</c:f>
              <c:strCache>
                <c:ptCount val="1"/>
                <c:pt idx="0">
                  <c:v>MRA</c:v>
                </c:pt>
              </c:strCache>
            </c:strRef>
          </c:tx>
          <c:spPr>
            <a:ln w="28575" cap="rnd">
              <a:solidFill>
                <a:schemeClr val="accent3"/>
              </a:solidFill>
              <a:round/>
            </a:ln>
            <a:effectLst/>
          </c:spPr>
          <c:marker>
            <c:symbol val="none"/>
          </c:marker>
          <c:cat>
            <c:numRef>
              <c:f>Prev_HF!$C$3:$C$79</c:f>
              <c:numCache>
                <c:formatCode>mmm\-yy</c:formatCode>
                <c:ptCount val="77"/>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numCache>
            </c:numRef>
          </c:cat>
          <c:val>
            <c:numRef>
              <c:f>Prev_HF!$I$3:$I$79</c:f>
              <c:numCache>
                <c:formatCode>General</c:formatCode>
                <c:ptCount val="77"/>
                <c:pt idx="0">
                  <c:v>2589</c:v>
                </c:pt>
                <c:pt idx="1">
                  <c:v>2734</c:v>
                </c:pt>
                <c:pt idx="2">
                  <c:v>3046</c:v>
                </c:pt>
                <c:pt idx="3">
                  <c:v>2885</c:v>
                </c:pt>
                <c:pt idx="4">
                  <c:v>3123</c:v>
                </c:pt>
                <c:pt idx="5">
                  <c:v>3105</c:v>
                </c:pt>
                <c:pt idx="6">
                  <c:v>3144</c:v>
                </c:pt>
                <c:pt idx="7">
                  <c:v>3217</c:v>
                </c:pt>
                <c:pt idx="8">
                  <c:v>3188</c:v>
                </c:pt>
                <c:pt idx="9">
                  <c:v>3282</c:v>
                </c:pt>
                <c:pt idx="10">
                  <c:v>3403</c:v>
                </c:pt>
                <c:pt idx="11">
                  <c:v>3489</c:v>
                </c:pt>
                <c:pt idx="12">
                  <c:v>2984</c:v>
                </c:pt>
                <c:pt idx="13">
                  <c:v>3135</c:v>
                </c:pt>
                <c:pt idx="14">
                  <c:v>3379</c:v>
                </c:pt>
                <c:pt idx="15">
                  <c:v>3328</c:v>
                </c:pt>
                <c:pt idx="16">
                  <c:v>3523</c:v>
                </c:pt>
                <c:pt idx="17">
                  <c:v>3389</c:v>
                </c:pt>
                <c:pt idx="18">
                  <c:v>3568</c:v>
                </c:pt>
                <c:pt idx="19">
                  <c:v>3608</c:v>
                </c:pt>
                <c:pt idx="20">
                  <c:v>3529</c:v>
                </c:pt>
                <c:pt idx="21">
                  <c:v>3785</c:v>
                </c:pt>
                <c:pt idx="22">
                  <c:v>3744</c:v>
                </c:pt>
                <c:pt idx="23">
                  <c:v>3977</c:v>
                </c:pt>
                <c:pt idx="24">
                  <c:v>3331</c:v>
                </c:pt>
                <c:pt idx="25">
                  <c:v>3473</c:v>
                </c:pt>
                <c:pt idx="26">
                  <c:v>3678</c:v>
                </c:pt>
                <c:pt idx="27">
                  <c:v>3764</c:v>
                </c:pt>
                <c:pt idx="28">
                  <c:v>3980</c:v>
                </c:pt>
                <c:pt idx="29">
                  <c:v>3783</c:v>
                </c:pt>
                <c:pt idx="30">
                  <c:v>3979</c:v>
                </c:pt>
                <c:pt idx="31">
                  <c:v>4018</c:v>
                </c:pt>
                <c:pt idx="32">
                  <c:v>3964</c:v>
                </c:pt>
                <c:pt idx="33">
                  <c:v>4178</c:v>
                </c:pt>
                <c:pt idx="34">
                  <c:v>4213</c:v>
                </c:pt>
                <c:pt idx="35">
                  <c:v>4477</c:v>
                </c:pt>
                <c:pt idx="36">
                  <c:v>3795</c:v>
                </c:pt>
                <c:pt idx="37">
                  <c:v>3999</c:v>
                </c:pt>
                <c:pt idx="38">
                  <c:v>4553</c:v>
                </c:pt>
                <c:pt idx="39">
                  <c:v>4011</c:v>
                </c:pt>
                <c:pt idx="40">
                  <c:v>4259</c:v>
                </c:pt>
                <c:pt idx="41">
                  <c:v>4418</c:v>
                </c:pt>
                <c:pt idx="42">
                  <c:v>4625</c:v>
                </c:pt>
                <c:pt idx="43">
                  <c:v>4582</c:v>
                </c:pt>
                <c:pt idx="44">
                  <c:v>4637</c:v>
                </c:pt>
                <c:pt idx="45">
                  <c:v>4799</c:v>
                </c:pt>
                <c:pt idx="46">
                  <c:v>4769</c:v>
                </c:pt>
                <c:pt idx="47">
                  <c:v>5191</c:v>
                </c:pt>
                <c:pt idx="48">
                  <c:v>4154</c:v>
                </c:pt>
                <c:pt idx="49">
                  <c:v>4396</c:v>
                </c:pt>
                <c:pt idx="50">
                  <c:v>4921</c:v>
                </c:pt>
                <c:pt idx="51">
                  <c:v>4784</c:v>
                </c:pt>
                <c:pt idx="52">
                  <c:v>4877</c:v>
                </c:pt>
                <c:pt idx="53">
                  <c:v>4971</c:v>
                </c:pt>
                <c:pt idx="54">
                  <c:v>5074</c:v>
                </c:pt>
                <c:pt idx="55">
                  <c:v>5218</c:v>
                </c:pt>
                <c:pt idx="56">
                  <c:v>5228</c:v>
                </c:pt>
                <c:pt idx="57">
                  <c:v>5291</c:v>
                </c:pt>
                <c:pt idx="58">
                  <c:v>5440</c:v>
                </c:pt>
                <c:pt idx="59">
                  <c:v>5674</c:v>
                </c:pt>
                <c:pt idx="60">
                  <c:v>4681</c:v>
                </c:pt>
                <c:pt idx="61">
                  <c:v>4892</c:v>
                </c:pt>
                <c:pt idx="62">
                  <c:v>5361</c:v>
                </c:pt>
                <c:pt idx="63">
                  <c:v>5198</c:v>
                </c:pt>
                <c:pt idx="64">
                  <c:v>5466</c:v>
                </c:pt>
                <c:pt idx="65">
                  <c:v>5430</c:v>
                </c:pt>
                <c:pt idx="66">
                  <c:v>5605</c:v>
                </c:pt>
                <c:pt idx="67">
                  <c:v>5719</c:v>
                </c:pt>
                <c:pt idx="68">
                  <c:v>5752</c:v>
                </c:pt>
                <c:pt idx="69">
                  <c:v>5824</c:v>
                </c:pt>
                <c:pt idx="70">
                  <c:v>6047</c:v>
                </c:pt>
                <c:pt idx="71">
                  <c:v>6405</c:v>
                </c:pt>
                <c:pt idx="72">
                  <c:v>5303</c:v>
                </c:pt>
                <c:pt idx="73">
                  <c:v>5539</c:v>
                </c:pt>
                <c:pt idx="74">
                  <c:v>6174</c:v>
                </c:pt>
                <c:pt idx="75">
                  <c:v>5773</c:v>
                </c:pt>
                <c:pt idx="76">
                  <c:v>6338</c:v>
                </c:pt>
              </c:numCache>
            </c:numRef>
          </c:val>
          <c:smooth val="0"/>
          <c:extLst>
            <c:ext xmlns:c16="http://schemas.microsoft.com/office/drawing/2014/chart" uri="{C3380CC4-5D6E-409C-BE32-E72D297353CC}">
              <c16:uniqueId val="{00000002-5D7D-4CFE-951C-11300186E692}"/>
            </c:ext>
          </c:extLst>
        </c:ser>
        <c:ser>
          <c:idx val="3"/>
          <c:order val="3"/>
          <c:tx>
            <c:strRef>
              <c:f>Prev_HF!$J$2</c:f>
              <c:strCache>
                <c:ptCount val="1"/>
                <c:pt idx="0">
                  <c:v>ARNI</c:v>
                </c:pt>
              </c:strCache>
            </c:strRef>
          </c:tx>
          <c:spPr>
            <a:ln w="28575" cap="rnd">
              <a:solidFill>
                <a:srgbClr val="7030A0"/>
              </a:solidFill>
              <a:round/>
            </a:ln>
            <a:effectLst/>
          </c:spPr>
          <c:marker>
            <c:symbol val="none"/>
          </c:marker>
          <c:cat>
            <c:numRef>
              <c:f>Prev_HF!$C$3:$C$79</c:f>
              <c:numCache>
                <c:formatCode>mmm\-yy</c:formatCode>
                <c:ptCount val="77"/>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numCache>
            </c:numRef>
          </c:cat>
          <c:val>
            <c:numRef>
              <c:f>Prev_HF!$J$3:$J$79</c:f>
              <c:numCache>
                <c:formatCode>General</c:formatCode>
                <c:ptCount val="77"/>
                <c:pt idx="5">
                  <c:v>1640</c:v>
                </c:pt>
                <c:pt idx="6">
                  <c:v>3119</c:v>
                </c:pt>
                <c:pt idx="7">
                  <c:v>4523</c:v>
                </c:pt>
                <c:pt idx="8">
                  <c:v>5446</c:v>
                </c:pt>
                <c:pt idx="9">
                  <c:v>6382</c:v>
                </c:pt>
                <c:pt idx="10">
                  <c:v>7386</c:v>
                </c:pt>
                <c:pt idx="11">
                  <c:v>8097</c:v>
                </c:pt>
                <c:pt idx="12">
                  <c:v>7857</c:v>
                </c:pt>
                <c:pt idx="13">
                  <c:v>8527</c:v>
                </c:pt>
                <c:pt idx="14">
                  <c:v>9677</c:v>
                </c:pt>
                <c:pt idx="15">
                  <c:v>10078</c:v>
                </c:pt>
                <c:pt idx="16">
                  <c:v>11016</c:v>
                </c:pt>
                <c:pt idx="17">
                  <c:v>11505</c:v>
                </c:pt>
                <c:pt idx="18">
                  <c:v>12330</c:v>
                </c:pt>
                <c:pt idx="19">
                  <c:v>13113</c:v>
                </c:pt>
                <c:pt idx="20">
                  <c:v>13512</c:v>
                </c:pt>
                <c:pt idx="21">
                  <c:v>14676</c:v>
                </c:pt>
                <c:pt idx="22">
                  <c:v>15535</c:v>
                </c:pt>
                <c:pt idx="23">
                  <c:v>16285</c:v>
                </c:pt>
                <c:pt idx="24">
                  <c:v>14988</c:v>
                </c:pt>
                <c:pt idx="25">
                  <c:v>15957</c:v>
                </c:pt>
                <c:pt idx="26">
                  <c:v>17166</c:v>
                </c:pt>
                <c:pt idx="27">
                  <c:v>17493</c:v>
                </c:pt>
                <c:pt idx="28">
                  <c:v>18569</c:v>
                </c:pt>
                <c:pt idx="29">
                  <c:v>18596</c:v>
                </c:pt>
                <c:pt idx="30">
                  <c:v>19858</c:v>
                </c:pt>
                <c:pt idx="31">
                  <c:v>20504</c:v>
                </c:pt>
                <c:pt idx="32">
                  <c:v>21130</c:v>
                </c:pt>
                <c:pt idx="33">
                  <c:v>22316</c:v>
                </c:pt>
                <c:pt idx="34">
                  <c:v>22852</c:v>
                </c:pt>
                <c:pt idx="35">
                  <c:v>24058</c:v>
                </c:pt>
                <c:pt idx="36">
                  <c:v>21808</c:v>
                </c:pt>
                <c:pt idx="37">
                  <c:v>23359</c:v>
                </c:pt>
                <c:pt idx="38">
                  <c:v>25824</c:v>
                </c:pt>
                <c:pt idx="39">
                  <c:v>23645</c:v>
                </c:pt>
                <c:pt idx="40">
                  <c:v>25106</c:v>
                </c:pt>
                <c:pt idx="41">
                  <c:v>26384</c:v>
                </c:pt>
                <c:pt idx="42">
                  <c:v>27712</c:v>
                </c:pt>
                <c:pt idx="43">
                  <c:v>28019</c:v>
                </c:pt>
                <c:pt idx="44">
                  <c:v>28773</c:v>
                </c:pt>
                <c:pt idx="45">
                  <c:v>29909</c:v>
                </c:pt>
                <c:pt idx="46">
                  <c:v>30302</c:v>
                </c:pt>
                <c:pt idx="47">
                  <c:v>32140</c:v>
                </c:pt>
                <c:pt idx="48">
                  <c:v>27977</c:v>
                </c:pt>
                <c:pt idx="49">
                  <c:v>29861</c:v>
                </c:pt>
                <c:pt idx="50">
                  <c:v>32718</c:v>
                </c:pt>
                <c:pt idx="51">
                  <c:v>32254</c:v>
                </c:pt>
                <c:pt idx="52">
                  <c:v>33604</c:v>
                </c:pt>
                <c:pt idx="53">
                  <c:v>34068</c:v>
                </c:pt>
                <c:pt idx="54">
                  <c:v>35569</c:v>
                </c:pt>
                <c:pt idx="55">
                  <c:v>36137</c:v>
                </c:pt>
                <c:pt idx="56">
                  <c:v>36524</c:v>
                </c:pt>
                <c:pt idx="57">
                  <c:v>37449</c:v>
                </c:pt>
                <c:pt idx="58">
                  <c:v>38386</c:v>
                </c:pt>
                <c:pt idx="59">
                  <c:v>39995</c:v>
                </c:pt>
                <c:pt idx="60">
                  <c:v>34867</c:v>
                </c:pt>
                <c:pt idx="61">
                  <c:v>36879</c:v>
                </c:pt>
                <c:pt idx="62">
                  <c:v>39768</c:v>
                </c:pt>
                <c:pt idx="63">
                  <c:v>39104</c:v>
                </c:pt>
                <c:pt idx="64">
                  <c:v>40706</c:v>
                </c:pt>
                <c:pt idx="65">
                  <c:v>40944</c:v>
                </c:pt>
                <c:pt idx="66">
                  <c:v>41685</c:v>
                </c:pt>
                <c:pt idx="67">
                  <c:v>43457</c:v>
                </c:pt>
                <c:pt idx="68">
                  <c:v>43963</c:v>
                </c:pt>
                <c:pt idx="69">
                  <c:v>44989</c:v>
                </c:pt>
                <c:pt idx="70">
                  <c:v>46265</c:v>
                </c:pt>
                <c:pt idx="71">
                  <c:v>48446</c:v>
                </c:pt>
                <c:pt idx="72">
                  <c:v>42315</c:v>
                </c:pt>
                <c:pt idx="73">
                  <c:v>44754</c:v>
                </c:pt>
                <c:pt idx="74">
                  <c:v>48458</c:v>
                </c:pt>
                <c:pt idx="75">
                  <c:v>47094</c:v>
                </c:pt>
                <c:pt idx="76">
                  <c:v>50254</c:v>
                </c:pt>
              </c:numCache>
            </c:numRef>
          </c:val>
          <c:smooth val="0"/>
          <c:extLst>
            <c:ext xmlns:c16="http://schemas.microsoft.com/office/drawing/2014/chart" uri="{C3380CC4-5D6E-409C-BE32-E72D297353CC}">
              <c16:uniqueId val="{00000003-5D7D-4CFE-951C-11300186E692}"/>
            </c:ext>
          </c:extLst>
        </c:ser>
        <c:ser>
          <c:idx val="4"/>
          <c:order val="4"/>
          <c:tx>
            <c:strRef>
              <c:f>Prev_HF!$K$2</c:f>
              <c:strCache>
                <c:ptCount val="1"/>
                <c:pt idx="0">
                  <c:v>SGLT2</c:v>
                </c:pt>
              </c:strCache>
            </c:strRef>
          </c:tx>
          <c:spPr>
            <a:ln>
              <a:solidFill>
                <a:schemeClr val="bg1">
                  <a:lumMod val="50000"/>
                </a:schemeClr>
              </a:solidFill>
            </a:ln>
          </c:spPr>
          <c:marker>
            <c:symbol val="none"/>
          </c:marker>
          <c:cat>
            <c:numRef>
              <c:f>Prev_HF!$C$3:$C$79</c:f>
              <c:numCache>
                <c:formatCode>mmm\-yy</c:formatCode>
                <c:ptCount val="77"/>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numCache>
            </c:numRef>
          </c:cat>
          <c:val>
            <c:numRef>
              <c:f>Prev_HF!$K$3:$K$79</c:f>
              <c:numCache>
                <c:formatCode>General</c:formatCode>
                <c:ptCount val="77"/>
                <c:pt idx="60">
                  <c:v>1064</c:v>
                </c:pt>
                <c:pt idx="61">
                  <c:v>2363</c:v>
                </c:pt>
                <c:pt idx="62">
                  <c:v>4094</c:v>
                </c:pt>
                <c:pt idx="63">
                  <c:v>5640</c:v>
                </c:pt>
                <c:pt idx="64">
                  <c:v>7653</c:v>
                </c:pt>
                <c:pt idx="65">
                  <c:v>9365</c:v>
                </c:pt>
                <c:pt idx="66">
                  <c:v>11077</c:v>
                </c:pt>
                <c:pt idx="67">
                  <c:v>13260</c:v>
                </c:pt>
                <c:pt idx="68">
                  <c:v>14941</c:v>
                </c:pt>
                <c:pt idx="69">
                  <c:v>16793</c:v>
                </c:pt>
                <c:pt idx="70">
                  <c:v>18617</c:v>
                </c:pt>
                <c:pt idx="71">
                  <c:v>20290</c:v>
                </c:pt>
                <c:pt idx="72">
                  <c:v>18565</c:v>
                </c:pt>
                <c:pt idx="73">
                  <c:v>20261</c:v>
                </c:pt>
                <c:pt idx="74">
                  <c:v>23154</c:v>
                </c:pt>
                <c:pt idx="75">
                  <c:v>23036</c:v>
                </c:pt>
                <c:pt idx="76">
                  <c:v>25698</c:v>
                </c:pt>
              </c:numCache>
            </c:numRef>
          </c:val>
          <c:smooth val="0"/>
          <c:extLst>
            <c:ext xmlns:c16="http://schemas.microsoft.com/office/drawing/2014/chart" uri="{C3380CC4-5D6E-409C-BE32-E72D297353CC}">
              <c16:uniqueId val="{00000004-5D7D-4CFE-951C-11300186E692}"/>
            </c:ext>
          </c:extLst>
        </c:ser>
        <c:ser>
          <c:idx val="5"/>
          <c:order val="5"/>
          <c:tx>
            <c:strRef>
              <c:f>Prev_HF!$L$2</c:f>
              <c:strCache>
                <c:ptCount val="1"/>
                <c:pt idx="0">
                  <c:v>sGC</c:v>
                </c:pt>
              </c:strCache>
            </c:strRef>
          </c:tx>
          <c:marker>
            <c:symbol val="none"/>
          </c:marker>
          <c:cat>
            <c:numRef>
              <c:f>Prev_HF!$C$3:$C$79</c:f>
              <c:numCache>
                <c:formatCode>mmm\-yy</c:formatCode>
                <c:ptCount val="77"/>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numCache>
            </c:numRef>
          </c:cat>
          <c:val>
            <c:numRef>
              <c:f>Prev_HF!$L$3:$L$79</c:f>
              <c:numCache>
                <c:formatCode>General</c:formatCode>
                <c:ptCount val="77"/>
                <c:pt idx="71">
                  <c:v>74</c:v>
                </c:pt>
                <c:pt idx="72">
                  <c:v>114</c:v>
                </c:pt>
                <c:pt idx="73">
                  <c:v>177</c:v>
                </c:pt>
                <c:pt idx="74">
                  <c:v>222</c:v>
                </c:pt>
                <c:pt idx="75">
                  <c:v>262</c:v>
                </c:pt>
                <c:pt idx="76">
                  <c:v>321</c:v>
                </c:pt>
              </c:numCache>
            </c:numRef>
          </c:val>
          <c:smooth val="0"/>
          <c:extLst>
            <c:ext xmlns:c16="http://schemas.microsoft.com/office/drawing/2014/chart" uri="{C3380CC4-5D6E-409C-BE32-E72D297353CC}">
              <c16:uniqueId val="{00000005-5D7D-4CFE-951C-11300186E692}"/>
            </c:ext>
          </c:extLst>
        </c:ser>
        <c:dLbls>
          <c:showLegendKey val="0"/>
          <c:showVal val="0"/>
          <c:showCatName val="0"/>
          <c:showSerName val="0"/>
          <c:showPercent val="0"/>
          <c:showBubbleSize val="0"/>
        </c:dLbls>
        <c:smooth val="0"/>
        <c:axId val="211818240"/>
        <c:axId val="1"/>
      </c:lineChart>
      <c:dateAx>
        <c:axId val="211818240"/>
        <c:scaling>
          <c:orientation val="minMax"/>
          <c:max val="45078"/>
        </c:scaling>
        <c:delete val="0"/>
        <c:axPos val="b"/>
        <c:numFmt formatCode="mmm\-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Offset val="100"/>
        <c:baseTimeUnit val="months"/>
        <c:majorUnit val="4"/>
        <c:majorTimeUnit val="months"/>
      </c:dateAx>
      <c:valAx>
        <c:axId val="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people</a:t>
                </a:r>
              </a:p>
            </c:rich>
          </c:tx>
          <c:overlay val="0"/>
          <c:spPr>
            <a:noFill/>
            <a:ln w="25400">
              <a:noFill/>
            </a:ln>
          </c:spPr>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818240"/>
        <c:crosses val="autoZero"/>
        <c:crossBetween val="between"/>
      </c:valAx>
      <c:spPr>
        <a:noFill/>
        <a:ln w="25400">
          <a:noFill/>
        </a:ln>
      </c:spPr>
    </c:plotArea>
    <c:legend>
      <c:legendPos val="r"/>
      <c:layout>
        <c:manualLayout>
          <c:xMode val="edge"/>
          <c:yMode val="edge"/>
          <c:x val="0.10416666666666667"/>
          <c:y val="0.88753325760930257"/>
          <c:w val="0.81111132983377088"/>
          <c:h val="8.0684981614462026E-2"/>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Inc_HF!$D$2</c:f>
              <c:strCache>
                <c:ptCount val="1"/>
                <c:pt idx="0">
                  <c:v>num_pat</c:v>
                </c:pt>
              </c:strCache>
            </c:strRef>
          </c:tx>
          <c:spPr>
            <a:ln w="28575" cap="rnd">
              <a:solidFill>
                <a:schemeClr val="accent1"/>
              </a:solidFill>
              <a:round/>
            </a:ln>
            <a:effectLst/>
          </c:spPr>
          <c:marker>
            <c:symbol val="none"/>
          </c:marker>
          <c:cat>
            <c:numRef>
              <c:f>Inc_HF!$C$3:$C$68</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Inc_HF!$D$3:$D$68</c:f>
              <c:numCache>
                <c:formatCode>General</c:formatCode>
                <c:ptCount val="66"/>
                <c:pt idx="0">
                  <c:v>3339</c:v>
                </c:pt>
                <c:pt idx="1">
                  <c:v>3516</c:v>
                </c:pt>
                <c:pt idx="2">
                  <c:v>3929</c:v>
                </c:pt>
                <c:pt idx="3">
                  <c:v>3409</c:v>
                </c:pt>
                <c:pt idx="4">
                  <c:v>4251</c:v>
                </c:pt>
                <c:pt idx="5">
                  <c:v>4152</c:v>
                </c:pt>
                <c:pt idx="6">
                  <c:v>4398</c:v>
                </c:pt>
                <c:pt idx="7">
                  <c:v>4827</c:v>
                </c:pt>
                <c:pt idx="8">
                  <c:v>4577</c:v>
                </c:pt>
                <c:pt idx="9">
                  <c:v>4906</c:v>
                </c:pt>
                <c:pt idx="10">
                  <c:v>5171</c:v>
                </c:pt>
                <c:pt idx="11">
                  <c:v>4793</c:v>
                </c:pt>
                <c:pt idx="12">
                  <c:v>3693</c:v>
                </c:pt>
                <c:pt idx="13">
                  <c:v>3772</c:v>
                </c:pt>
                <c:pt idx="14">
                  <c:v>4163</c:v>
                </c:pt>
                <c:pt idx="15">
                  <c:v>3866</c:v>
                </c:pt>
                <c:pt idx="16">
                  <c:v>4791</c:v>
                </c:pt>
                <c:pt idx="17">
                  <c:v>4327</c:v>
                </c:pt>
                <c:pt idx="18">
                  <c:v>5042</c:v>
                </c:pt>
                <c:pt idx="19">
                  <c:v>5294</c:v>
                </c:pt>
                <c:pt idx="20">
                  <c:v>5084</c:v>
                </c:pt>
                <c:pt idx="21">
                  <c:v>5441</c:v>
                </c:pt>
                <c:pt idx="22">
                  <c:v>5263</c:v>
                </c:pt>
                <c:pt idx="23">
                  <c:v>5185</c:v>
                </c:pt>
                <c:pt idx="24">
                  <c:v>4107</c:v>
                </c:pt>
                <c:pt idx="25">
                  <c:v>4516</c:v>
                </c:pt>
                <c:pt idx="26">
                  <c:v>4684</c:v>
                </c:pt>
                <c:pt idx="27">
                  <c:v>3740</c:v>
                </c:pt>
                <c:pt idx="28">
                  <c:v>5148</c:v>
                </c:pt>
                <c:pt idx="29">
                  <c:v>5453</c:v>
                </c:pt>
                <c:pt idx="30">
                  <c:v>5571</c:v>
                </c:pt>
                <c:pt idx="31">
                  <c:v>5349</c:v>
                </c:pt>
                <c:pt idx="32">
                  <c:v>5638</c:v>
                </c:pt>
                <c:pt idx="33">
                  <c:v>5696</c:v>
                </c:pt>
                <c:pt idx="34">
                  <c:v>5625</c:v>
                </c:pt>
                <c:pt idx="35">
                  <c:v>5900</c:v>
                </c:pt>
                <c:pt idx="36">
                  <c:v>3973</c:v>
                </c:pt>
                <c:pt idx="37">
                  <c:v>4432</c:v>
                </c:pt>
                <c:pt idx="38">
                  <c:v>5194</c:v>
                </c:pt>
                <c:pt idx="39">
                  <c:v>4893</c:v>
                </c:pt>
                <c:pt idx="40">
                  <c:v>5103</c:v>
                </c:pt>
                <c:pt idx="41">
                  <c:v>5413</c:v>
                </c:pt>
                <c:pt idx="42">
                  <c:v>5619</c:v>
                </c:pt>
                <c:pt idx="43">
                  <c:v>5644</c:v>
                </c:pt>
                <c:pt idx="44">
                  <c:v>5549</c:v>
                </c:pt>
                <c:pt idx="45">
                  <c:v>5635</c:v>
                </c:pt>
                <c:pt idx="46">
                  <c:v>5986</c:v>
                </c:pt>
                <c:pt idx="47">
                  <c:v>6007</c:v>
                </c:pt>
                <c:pt idx="48">
                  <c:v>3984</c:v>
                </c:pt>
                <c:pt idx="49">
                  <c:v>4927</c:v>
                </c:pt>
                <c:pt idx="50">
                  <c:v>5915</c:v>
                </c:pt>
                <c:pt idx="51">
                  <c:v>5443</c:v>
                </c:pt>
                <c:pt idx="52">
                  <c:v>6447</c:v>
                </c:pt>
                <c:pt idx="53">
                  <c:v>6789</c:v>
                </c:pt>
                <c:pt idx="54">
                  <c:v>7027</c:v>
                </c:pt>
                <c:pt idx="55">
                  <c:v>7919</c:v>
                </c:pt>
                <c:pt idx="56">
                  <c:v>8065</c:v>
                </c:pt>
                <c:pt idx="57">
                  <c:v>7960</c:v>
                </c:pt>
                <c:pt idx="58">
                  <c:v>8547</c:v>
                </c:pt>
                <c:pt idx="59">
                  <c:v>8320</c:v>
                </c:pt>
                <c:pt idx="60">
                  <c:v>8021</c:v>
                </c:pt>
                <c:pt idx="61">
                  <c:v>7362</c:v>
                </c:pt>
                <c:pt idx="62">
                  <c:v>8130</c:v>
                </c:pt>
                <c:pt idx="63">
                  <c:v>6710</c:v>
                </c:pt>
                <c:pt idx="64">
                  <c:v>8225</c:v>
                </c:pt>
                <c:pt idx="65">
                  <c:v>7791</c:v>
                </c:pt>
              </c:numCache>
            </c:numRef>
          </c:val>
          <c:smooth val="0"/>
          <c:extLst>
            <c:ext xmlns:c16="http://schemas.microsoft.com/office/drawing/2014/chart" uri="{C3380CC4-5D6E-409C-BE32-E72D297353CC}">
              <c16:uniqueId val="{00000000-15D4-4BAF-A510-A765F6DC2224}"/>
            </c:ext>
          </c:extLst>
        </c:ser>
        <c:dLbls>
          <c:showLegendKey val="0"/>
          <c:showVal val="0"/>
          <c:showCatName val="0"/>
          <c:showSerName val="0"/>
          <c:showPercent val="0"/>
          <c:showBubbleSize val="0"/>
        </c:dLbls>
        <c:smooth val="0"/>
        <c:axId val="209965608"/>
        <c:axId val="1"/>
      </c:lineChart>
      <c:dateAx>
        <c:axId val="209965608"/>
        <c:scaling>
          <c:orientation val="minMax"/>
        </c:scaling>
        <c:delete val="0"/>
        <c:axPos val="b"/>
        <c:numFmt formatCode="mmm\-yy"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Offset val="100"/>
        <c:baseTimeUnit val="months"/>
        <c:majorUnit val="2"/>
        <c:majorTimeUnit val="months"/>
      </c:dateAx>
      <c:valAx>
        <c:axId val="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people</a:t>
                </a:r>
              </a:p>
            </c:rich>
          </c:tx>
          <c:overlay val="0"/>
          <c:spPr>
            <a:noFill/>
            <a:ln w="25400">
              <a:noFill/>
            </a:ln>
          </c:spPr>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965608"/>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Inc_HF!$F$2</c:f>
              <c:strCache>
                <c:ptCount val="1"/>
                <c:pt idx="0">
                  <c:v>BB</c:v>
                </c:pt>
              </c:strCache>
            </c:strRef>
          </c:tx>
          <c:spPr>
            <a:ln w="28575" cap="rnd">
              <a:solidFill>
                <a:schemeClr val="accent1"/>
              </a:solidFill>
              <a:round/>
            </a:ln>
            <a:effectLst/>
          </c:spPr>
          <c:marker>
            <c:symbol val="none"/>
          </c:marker>
          <c:cat>
            <c:numRef>
              <c:f>Inc_HF!$C$3:$C$68</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Inc_HF!$F$3:$F$68</c:f>
              <c:numCache>
                <c:formatCode>General</c:formatCode>
                <c:ptCount val="66"/>
                <c:pt idx="0">
                  <c:v>2913</c:v>
                </c:pt>
                <c:pt idx="1">
                  <c:v>3019</c:v>
                </c:pt>
                <c:pt idx="2">
                  <c:v>3380</c:v>
                </c:pt>
                <c:pt idx="3">
                  <c:v>2943</c:v>
                </c:pt>
                <c:pt idx="4">
                  <c:v>3644</c:v>
                </c:pt>
                <c:pt idx="5">
                  <c:v>3544</c:v>
                </c:pt>
                <c:pt idx="6">
                  <c:v>3737</c:v>
                </c:pt>
                <c:pt idx="7">
                  <c:v>4163</c:v>
                </c:pt>
                <c:pt idx="8">
                  <c:v>3963</c:v>
                </c:pt>
                <c:pt idx="9">
                  <c:v>4201</c:v>
                </c:pt>
                <c:pt idx="10">
                  <c:v>4420</c:v>
                </c:pt>
                <c:pt idx="11">
                  <c:v>4185</c:v>
                </c:pt>
                <c:pt idx="12">
                  <c:v>3199</c:v>
                </c:pt>
                <c:pt idx="13">
                  <c:v>3201</c:v>
                </c:pt>
                <c:pt idx="14">
                  <c:v>3578</c:v>
                </c:pt>
                <c:pt idx="15">
                  <c:v>3288</c:v>
                </c:pt>
                <c:pt idx="16">
                  <c:v>4095</c:v>
                </c:pt>
                <c:pt idx="17">
                  <c:v>3677</c:v>
                </c:pt>
                <c:pt idx="18">
                  <c:v>4230</c:v>
                </c:pt>
                <c:pt idx="19">
                  <c:v>4481</c:v>
                </c:pt>
                <c:pt idx="20">
                  <c:v>4252</c:v>
                </c:pt>
                <c:pt idx="21">
                  <c:v>4631</c:v>
                </c:pt>
                <c:pt idx="22">
                  <c:v>4453</c:v>
                </c:pt>
                <c:pt idx="23">
                  <c:v>4426</c:v>
                </c:pt>
                <c:pt idx="24">
                  <c:v>3485</c:v>
                </c:pt>
                <c:pt idx="25">
                  <c:v>3848</c:v>
                </c:pt>
                <c:pt idx="26">
                  <c:v>3898</c:v>
                </c:pt>
                <c:pt idx="27">
                  <c:v>3171</c:v>
                </c:pt>
                <c:pt idx="28">
                  <c:v>4417</c:v>
                </c:pt>
                <c:pt idx="29">
                  <c:v>4671</c:v>
                </c:pt>
                <c:pt idx="30">
                  <c:v>4764</c:v>
                </c:pt>
                <c:pt idx="31">
                  <c:v>4527</c:v>
                </c:pt>
                <c:pt idx="32">
                  <c:v>4806</c:v>
                </c:pt>
                <c:pt idx="33">
                  <c:v>4800</c:v>
                </c:pt>
                <c:pt idx="34">
                  <c:v>4734</c:v>
                </c:pt>
                <c:pt idx="35">
                  <c:v>5022</c:v>
                </c:pt>
                <c:pt idx="36">
                  <c:v>3317</c:v>
                </c:pt>
                <c:pt idx="37">
                  <c:v>3713</c:v>
                </c:pt>
                <c:pt idx="38">
                  <c:v>4278</c:v>
                </c:pt>
                <c:pt idx="39">
                  <c:v>4025</c:v>
                </c:pt>
                <c:pt idx="40">
                  <c:v>4220</c:v>
                </c:pt>
                <c:pt idx="41">
                  <c:v>4510</c:v>
                </c:pt>
                <c:pt idx="42">
                  <c:v>4604</c:v>
                </c:pt>
                <c:pt idx="43">
                  <c:v>4641</c:v>
                </c:pt>
                <c:pt idx="44">
                  <c:v>4530</c:v>
                </c:pt>
                <c:pt idx="45">
                  <c:v>4646</c:v>
                </c:pt>
                <c:pt idx="46">
                  <c:v>4981</c:v>
                </c:pt>
                <c:pt idx="47">
                  <c:v>5057</c:v>
                </c:pt>
                <c:pt idx="48">
                  <c:v>2918</c:v>
                </c:pt>
                <c:pt idx="49">
                  <c:v>3536</c:v>
                </c:pt>
                <c:pt idx="50">
                  <c:v>4101</c:v>
                </c:pt>
                <c:pt idx="51">
                  <c:v>3536</c:v>
                </c:pt>
                <c:pt idx="52">
                  <c:v>4000</c:v>
                </c:pt>
                <c:pt idx="53">
                  <c:v>4283</c:v>
                </c:pt>
                <c:pt idx="54">
                  <c:v>4399</c:v>
                </c:pt>
                <c:pt idx="55">
                  <c:v>4881</c:v>
                </c:pt>
                <c:pt idx="56">
                  <c:v>4880</c:v>
                </c:pt>
                <c:pt idx="57">
                  <c:v>4871</c:v>
                </c:pt>
                <c:pt idx="58">
                  <c:v>5357</c:v>
                </c:pt>
                <c:pt idx="59">
                  <c:v>5440</c:v>
                </c:pt>
                <c:pt idx="60">
                  <c:v>5484</c:v>
                </c:pt>
                <c:pt idx="61">
                  <c:v>4657</c:v>
                </c:pt>
                <c:pt idx="62">
                  <c:v>5180</c:v>
                </c:pt>
                <c:pt idx="63">
                  <c:v>4146</c:v>
                </c:pt>
                <c:pt idx="64">
                  <c:v>5073</c:v>
                </c:pt>
                <c:pt idx="65">
                  <c:v>4784</c:v>
                </c:pt>
              </c:numCache>
            </c:numRef>
          </c:val>
          <c:smooth val="0"/>
          <c:extLst>
            <c:ext xmlns:c16="http://schemas.microsoft.com/office/drawing/2014/chart" uri="{C3380CC4-5D6E-409C-BE32-E72D297353CC}">
              <c16:uniqueId val="{00000000-B3B7-4033-84EA-EF2E5582844B}"/>
            </c:ext>
          </c:extLst>
        </c:ser>
        <c:ser>
          <c:idx val="1"/>
          <c:order val="1"/>
          <c:tx>
            <c:strRef>
              <c:f>Inc_HF!$G$2</c:f>
              <c:strCache>
                <c:ptCount val="1"/>
                <c:pt idx="0">
                  <c:v>MRA</c:v>
                </c:pt>
              </c:strCache>
            </c:strRef>
          </c:tx>
          <c:spPr>
            <a:ln w="28575" cap="rnd">
              <a:solidFill>
                <a:schemeClr val="accent2"/>
              </a:solidFill>
              <a:round/>
            </a:ln>
            <a:effectLst/>
          </c:spPr>
          <c:marker>
            <c:symbol val="none"/>
          </c:marker>
          <c:cat>
            <c:numRef>
              <c:f>Inc_HF!$C$3:$C$68</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Inc_HF!$G$3:$G$68</c:f>
              <c:numCache>
                <c:formatCode>General</c:formatCode>
                <c:ptCount val="66"/>
                <c:pt idx="0">
                  <c:v>54</c:v>
                </c:pt>
                <c:pt idx="1">
                  <c:v>59</c:v>
                </c:pt>
                <c:pt idx="2">
                  <c:v>50</c:v>
                </c:pt>
                <c:pt idx="3">
                  <c:v>65</c:v>
                </c:pt>
                <c:pt idx="4">
                  <c:v>60</c:v>
                </c:pt>
                <c:pt idx="5">
                  <c:v>52</c:v>
                </c:pt>
                <c:pt idx="6">
                  <c:v>77</c:v>
                </c:pt>
                <c:pt idx="7">
                  <c:v>77</c:v>
                </c:pt>
                <c:pt idx="8">
                  <c:v>72</c:v>
                </c:pt>
                <c:pt idx="9">
                  <c:v>81</c:v>
                </c:pt>
                <c:pt idx="10">
                  <c:v>79</c:v>
                </c:pt>
                <c:pt idx="11">
                  <c:v>90</c:v>
                </c:pt>
                <c:pt idx="12">
                  <c:v>58</c:v>
                </c:pt>
                <c:pt idx="13">
                  <c:v>66</c:v>
                </c:pt>
                <c:pt idx="14">
                  <c:v>61</c:v>
                </c:pt>
                <c:pt idx="15">
                  <c:v>68</c:v>
                </c:pt>
                <c:pt idx="16">
                  <c:v>70</c:v>
                </c:pt>
                <c:pt idx="17">
                  <c:v>68</c:v>
                </c:pt>
                <c:pt idx="18">
                  <c:v>85</c:v>
                </c:pt>
                <c:pt idx="19">
                  <c:v>76</c:v>
                </c:pt>
                <c:pt idx="20">
                  <c:v>78</c:v>
                </c:pt>
                <c:pt idx="21">
                  <c:v>86</c:v>
                </c:pt>
                <c:pt idx="22">
                  <c:v>83</c:v>
                </c:pt>
                <c:pt idx="23">
                  <c:v>64</c:v>
                </c:pt>
                <c:pt idx="24">
                  <c:v>80</c:v>
                </c:pt>
                <c:pt idx="25">
                  <c:v>71</c:v>
                </c:pt>
                <c:pt idx="26">
                  <c:v>84</c:v>
                </c:pt>
                <c:pt idx="27">
                  <c:v>78</c:v>
                </c:pt>
                <c:pt idx="28">
                  <c:v>71</c:v>
                </c:pt>
                <c:pt idx="29">
                  <c:v>101</c:v>
                </c:pt>
                <c:pt idx="30">
                  <c:v>69</c:v>
                </c:pt>
                <c:pt idx="31">
                  <c:v>84</c:v>
                </c:pt>
                <c:pt idx="32">
                  <c:v>93</c:v>
                </c:pt>
                <c:pt idx="33">
                  <c:v>88</c:v>
                </c:pt>
                <c:pt idx="34">
                  <c:v>77</c:v>
                </c:pt>
                <c:pt idx="35">
                  <c:v>96</c:v>
                </c:pt>
                <c:pt idx="36">
                  <c:v>91</c:v>
                </c:pt>
                <c:pt idx="37">
                  <c:v>51</c:v>
                </c:pt>
                <c:pt idx="38">
                  <c:v>74</c:v>
                </c:pt>
                <c:pt idx="39">
                  <c:v>90</c:v>
                </c:pt>
                <c:pt idx="40">
                  <c:v>70</c:v>
                </c:pt>
                <c:pt idx="41">
                  <c:v>86</c:v>
                </c:pt>
                <c:pt idx="42">
                  <c:v>88</c:v>
                </c:pt>
                <c:pt idx="43">
                  <c:v>78</c:v>
                </c:pt>
                <c:pt idx="44">
                  <c:v>93</c:v>
                </c:pt>
                <c:pt idx="45">
                  <c:v>88</c:v>
                </c:pt>
                <c:pt idx="46">
                  <c:v>90</c:v>
                </c:pt>
                <c:pt idx="47">
                  <c:v>107</c:v>
                </c:pt>
                <c:pt idx="48">
                  <c:v>81</c:v>
                </c:pt>
                <c:pt idx="49">
                  <c:v>87</c:v>
                </c:pt>
                <c:pt idx="50">
                  <c:v>99</c:v>
                </c:pt>
                <c:pt idx="51">
                  <c:v>74</c:v>
                </c:pt>
                <c:pt idx="52">
                  <c:v>105</c:v>
                </c:pt>
                <c:pt idx="53">
                  <c:v>107</c:v>
                </c:pt>
                <c:pt idx="54">
                  <c:v>99</c:v>
                </c:pt>
                <c:pt idx="55">
                  <c:v>117</c:v>
                </c:pt>
                <c:pt idx="56">
                  <c:v>103</c:v>
                </c:pt>
                <c:pt idx="57">
                  <c:v>100</c:v>
                </c:pt>
                <c:pt idx="58">
                  <c:v>103</c:v>
                </c:pt>
                <c:pt idx="59">
                  <c:v>122</c:v>
                </c:pt>
                <c:pt idx="60">
                  <c:v>124</c:v>
                </c:pt>
                <c:pt idx="61">
                  <c:v>94</c:v>
                </c:pt>
                <c:pt idx="62">
                  <c:v>104</c:v>
                </c:pt>
                <c:pt idx="63">
                  <c:v>102</c:v>
                </c:pt>
                <c:pt idx="64">
                  <c:v>117</c:v>
                </c:pt>
                <c:pt idx="65">
                  <c:v>104</c:v>
                </c:pt>
              </c:numCache>
            </c:numRef>
          </c:val>
          <c:smooth val="0"/>
          <c:extLst>
            <c:ext xmlns:c16="http://schemas.microsoft.com/office/drawing/2014/chart" uri="{C3380CC4-5D6E-409C-BE32-E72D297353CC}">
              <c16:uniqueId val="{00000001-B3B7-4033-84EA-EF2E5582844B}"/>
            </c:ext>
          </c:extLst>
        </c:ser>
        <c:ser>
          <c:idx val="2"/>
          <c:order val="2"/>
          <c:tx>
            <c:strRef>
              <c:f>Inc_HF!$H$2</c:f>
              <c:strCache>
                <c:ptCount val="1"/>
                <c:pt idx="0">
                  <c:v>HCN</c:v>
                </c:pt>
              </c:strCache>
            </c:strRef>
          </c:tx>
          <c:spPr>
            <a:ln w="28575" cap="rnd">
              <a:solidFill>
                <a:schemeClr val="accent3"/>
              </a:solidFill>
              <a:round/>
            </a:ln>
            <a:effectLst/>
          </c:spPr>
          <c:marker>
            <c:symbol val="none"/>
          </c:marker>
          <c:cat>
            <c:numRef>
              <c:f>Inc_HF!$C$3:$C$68</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Inc_HF!$H$3:$H$68</c:f>
              <c:numCache>
                <c:formatCode>General</c:formatCode>
                <c:ptCount val="66"/>
                <c:pt idx="0">
                  <c:v>94</c:v>
                </c:pt>
                <c:pt idx="1">
                  <c:v>101</c:v>
                </c:pt>
                <c:pt idx="2">
                  <c:v>96</c:v>
                </c:pt>
                <c:pt idx="3">
                  <c:v>88</c:v>
                </c:pt>
                <c:pt idx="4">
                  <c:v>119</c:v>
                </c:pt>
                <c:pt idx="5">
                  <c:v>109</c:v>
                </c:pt>
                <c:pt idx="6">
                  <c:v>104</c:v>
                </c:pt>
                <c:pt idx="7">
                  <c:v>114</c:v>
                </c:pt>
                <c:pt idx="8">
                  <c:v>109</c:v>
                </c:pt>
                <c:pt idx="9">
                  <c:v>117</c:v>
                </c:pt>
                <c:pt idx="10">
                  <c:v>121</c:v>
                </c:pt>
                <c:pt idx="11">
                  <c:v>93</c:v>
                </c:pt>
                <c:pt idx="12">
                  <c:v>80</c:v>
                </c:pt>
                <c:pt idx="13">
                  <c:v>81</c:v>
                </c:pt>
                <c:pt idx="14">
                  <c:v>86</c:v>
                </c:pt>
                <c:pt idx="15">
                  <c:v>73</c:v>
                </c:pt>
                <c:pt idx="16">
                  <c:v>111</c:v>
                </c:pt>
                <c:pt idx="17">
                  <c:v>78</c:v>
                </c:pt>
                <c:pt idx="18">
                  <c:v>166</c:v>
                </c:pt>
                <c:pt idx="19">
                  <c:v>145</c:v>
                </c:pt>
                <c:pt idx="20">
                  <c:v>121</c:v>
                </c:pt>
                <c:pt idx="21">
                  <c:v>114</c:v>
                </c:pt>
                <c:pt idx="22">
                  <c:v>115</c:v>
                </c:pt>
                <c:pt idx="23">
                  <c:v>111</c:v>
                </c:pt>
                <c:pt idx="24">
                  <c:v>75</c:v>
                </c:pt>
                <c:pt idx="25">
                  <c:v>102</c:v>
                </c:pt>
                <c:pt idx="26">
                  <c:v>147</c:v>
                </c:pt>
                <c:pt idx="27">
                  <c:v>85</c:v>
                </c:pt>
                <c:pt idx="28">
                  <c:v>118</c:v>
                </c:pt>
                <c:pt idx="29">
                  <c:v>125</c:v>
                </c:pt>
                <c:pt idx="30">
                  <c:v>137</c:v>
                </c:pt>
                <c:pt idx="31">
                  <c:v>140</c:v>
                </c:pt>
                <c:pt idx="32">
                  <c:v>130</c:v>
                </c:pt>
                <c:pt idx="33">
                  <c:v>119</c:v>
                </c:pt>
                <c:pt idx="34">
                  <c:v>143</c:v>
                </c:pt>
                <c:pt idx="35">
                  <c:v>142</c:v>
                </c:pt>
                <c:pt idx="36">
                  <c:v>103</c:v>
                </c:pt>
                <c:pt idx="37">
                  <c:v>121</c:v>
                </c:pt>
                <c:pt idx="38">
                  <c:v>146</c:v>
                </c:pt>
                <c:pt idx="39">
                  <c:v>129</c:v>
                </c:pt>
                <c:pt idx="40">
                  <c:v>155</c:v>
                </c:pt>
                <c:pt idx="41">
                  <c:v>132</c:v>
                </c:pt>
                <c:pt idx="42">
                  <c:v>167</c:v>
                </c:pt>
                <c:pt idx="43">
                  <c:v>120</c:v>
                </c:pt>
                <c:pt idx="44">
                  <c:v>129</c:v>
                </c:pt>
                <c:pt idx="45">
                  <c:v>135</c:v>
                </c:pt>
                <c:pt idx="46">
                  <c:v>155</c:v>
                </c:pt>
                <c:pt idx="47">
                  <c:v>145</c:v>
                </c:pt>
                <c:pt idx="48">
                  <c:v>97</c:v>
                </c:pt>
                <c:pt idx="49">
                  <c:v>110</c:v>
                </c:pt>
                <c:pt idx="50">
                  <c:v>132</c:v>
                </c:pt>
                <c:pt idx="51">
                  <c:v>110</c:v>
                </c:pt>
                <c:pt idx="52">
                  <c:v>145</c:v>
                </c:pt>
                <c:pt idx="53">
                  <c:v>144</c:v>
                </c:pt>
                <c:pt idx="54">
                  <c:v>131</c:v>
                </c:pt>
                <c:pt idx="55">
                  <c:v>121</c:v>
                </c:pt>
                <c:pt idx="56">
                  <c:v>151</c:v>
                </c:pt>
                <c:pt idx="57">
                  <c:v>140</c:v>
                </c:pt>
                <c:pt idx="58">
                  <c:v>148</c:v>
                </c:pt>
                <c:pt idx="59">
                  <c:v>166</c:v>
                </c:pt>
                <c:pt idx="60">
                  <c:v>253</c:v>
                </c:pt>
                <c:pt idx="61">
                  <c:v>202</c:v>
                </c:pt>
                <c:pt idx="62">
                  <c:v>204</c:v>
                </c:pt>
                <c:pt idx="63">
                  <c:v>175</c:v>
                </c:pt>
                <c:pt idx="64">
                  <c:v>207</c:v>
                </c:pt>
                <c:pt idx="65">
                  <c:v>188</c:v>
                </c:pt>
              </c:numCache>
            </c:numRef>
          </c:val>
          <c:smooth val="0"/>
          <c:extLst>
            <c:ext xmlns:c16="http://schemas.microsoft.com/office/drawing/2014/chart" uri="{C3380CC4-5D6E-409C-BE32-E72D297353CC}">
              <c16:uniqueId val="{00000002-B3B7-4033-84EA-EF2E5582844B}"/>
            </c:ext>
          </c:extLst>
        </c:ser>
        <c:ser>
          <c:idx val="3"/>
          <c:order val="3"/>
          <c:tx>
            <c:strRef>
              <c:f>Inc_HF!$I$2</c:f>
              <c:strCache>
                <c:ptCount val="1"/>
                <c:pt idx="0">
                  <c:v>ARNI</c:v>
                </c:pt>
              </c:strCache>
            </c:strRef>
          </c:tx>
          <c:spPr>
            <a:ln w="28575" cap="rnd">
              <a:solidFill>
                <a:schemeClr val="accent4"/>
              </a:solidFill>
              <a:round/>
            </a:ln>
            <a:effectLst/>
          </c:spPr>
          <c:marker>
            <c:symbol val="none"/>
          </c:marker>
          <c:cat>
            <c:numRef>
              <c:f>Inc_HF!$C$3:$C$68</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Inc_HF!$I$3:$I$68</c:f>
              <c:numCache>
                <c:formatCode>General</c:formatCode>
                <c:ptCount val="66"/>
                <c:pt idx="0">
                  <c:v>185</c:v>
                </c:pt>
                <c:pt idx="1">
                  <c:v>256</c:v>
                </c:pt>
                <c:pt idx="2">
                  <c:v>298</c:v>
                </c:pt>
                <c:pt idx="3">
                  <c:v>232</c:v>
                </c:pt>
                <c:pt idx="4">
                  <c:v>321</c:v>
                </c:pt>
                <c:pt idx="5">
                  <c:v>313</c:v>
                </c:pt>
                <c:pt idx="6">
                  <c:v>337</c:v>
                </c:pt>
                <c:pt idx="7">
                  <c:v>323</c:v>
                </c:pt>
                <c:pt idx="8">
                  <c:v>289</c:v>
                </c:pt>
                <c:pt idx="9">
                  <c:v>344</c:v>
                </c:pt>
                <c:pt idx="10">
                  <c:v>403</c:v>
                </c:pt>
                <c:pt idx="11">
                  <c:v>291</c:v>
                </c:pt>
                <c:pt idx="12">
                  <c:v>249</c:v>
                </c:pt>
                <c:pt idx="13">
                  <c:v>312</c:v>
                </c:pt>
                <c:pt idx="14">
                  <c:v>314</c:v>
                </c:pt>
                <c:pt idx="15">
                  <c:v>304</c:v>
                </c:pt>
                <c:pt idx="16">
                  <c:v>361</c:v>
                </c:pt>
                <c:pt idx="17">
                  <c:v>346</c:v>
                </c:pt>
                <c:pt idx="18">
                  <c:v>377</c:v>
                </c:pt>
                <c:pt idx="19">
                  <c:v>406</c:v>
                </c:pt>
                <c:pt idx="20">
                  <c:v>439</c:v>
                </c:pt>
                <c:pt idx="21">
                  <c:v>432</c:v>
                </c:pt>
                <c:pt idx="22">
                  <c:v>418</c:v>
                </c:pt>
                <c:pt idx="23">
                  <c:v>389</c:v>
                </c:pt>
                <c:pt idx="24">
                  <c:v>302</c:v>
                </c:pt>
                <c:pt idx="25">
                  <c:v>351</c:v>
                </c:pt>
                <c:pt idx="26">
                  <c:v>382</c:v>
                </c:pt>
                <c:pt idx="27">
                  <c:v>265</c:v>
                </c:pt>
                <c:pt idx="28">
                  <c:v>337</c:v>
                </c:pt>
                <c:pt idx="29">
                  <c:v>373</c:v>
                </c:pt>
                <c:pt idx="30">
                  <c:v>387</c:v>
                </c:pt>
                <c:pt idx="31">
                  <c:v>390</c:v>
                </c:pt>
                <c:pt idx="32">
                  <c:v>380</c:v>
                </c:pt>
                <c:pt idx="33">
                  <c:v>440</c:v>
                </c:pt>
                <c:pt idx="34">
                  <c:v>452</c:v>
                </c:pt>
                <c:pt idx="35">
                  <c:v>405</c:v>
                </c:pt>
                <c:pt idx="36">
                  <c:v>300</c:v>
                </c:pt>
                <c:pt idx="37">
                  <c:v>346</c:v>
                </c:pt>
                <c:pt idx="38">
                  <c:v>440</c:v>
                </c:pt>
                <c:pt idx="39">
                  <c:v>442</c:v>
                </c:pt>
                <c:pt idx="40">
                  <c:v>454</c:v>
                </c:pt>
                <c:pt idx="41">
                  <c:v>437</c:v>
                </c:pt>
                <c:pt idx="42">
                  <c:v>502</c:v>
                </c:pt>
                <c:pt idx="43">
                  <c:v>511</c:v>
                </c:pt>
                <c:pt idx="44">
                  <c:v>511</c:v>
                </c:pt>
                <c:pt idx="45">
                  <c:v>471</c:v>
                </c:pt>
                <c:pt idx="46">
                  <c:v>506</c:v>
                </c:pt>
                <c:pt idx="47">
                  <c:v>415</c:v>
                </c:pt>
                <c:pt idx="48">
                  <c:v>315</c:v>
                </c:pt>
                <c:pt idx="49">
                  <c:v>432</c:v>
                </c:pt>
                <c:pt idx="50">
                  <c:v>524</c:v>
                </c:pt>
                <c:pt idx="51">
                  <c:v>397</c:v>
                </c:pt>
                <c:pt idx="52">
                  <c:v>491</c:v>
                </c:pt>
                <c:pt idx="53">
                  <c:v>466</c:v>
                </c:pt>
                <c:pt idx="54">
                  <c:v>416</c:v>
                </c:pt>
                <c:pt idx="55">
                  <c:v>555</c:v>
                </c:pt>
                <c:pt idx="56">
                  <c:v>611</c:v>
                </c:pt>
                <c:pt idx="57">
                  <c:v>558</c:v>
                </c:pt>
                <c:pt idx="58">
                  <c:v>573</c:v>
                </c:pt>
                <c:pt idx="59">
                  <c:v>484</c:v>
                </c:pt>
                <c:pt idx="60">
                  <c:v>432</c:v>
                </c:pt>
                <c:pt idx="61">
                  <c:v>431</c:v>
                </c:pt>
                <c:pt idx="62">
                  <c:v>455</c:v>
                </c:pt>
                <c:pt idx="63">
                  <c:v>399</c:v>
                </c:pt>
                <c:pt idx="64">
                  <c:v>486</c:v>
                </c:pt>
                <c:pt idx="65">
                  <c:v>467</c:v>
                </c:pt>
              </c:numCache>
            </c:numRef>
          </c:val>
          <c:smooth val="0"/>
          <c:extLst>
            <c:ext xmlns:c16="http://schemas.microsoft.com/office/drawing/2014/chart" uri="{C3380CC4-5D6E-409C-BE32-E72D297353CC}">
              <c16:uniqueId val="{00000003-B3B7-4033-84EA-EF2E5582844B}"/>
            </c:ext>
          </c:extLst>
        </c:ser>
        <c:ser>
          <c:idx val="4"/>
          <c:order val="4"/>
          <c:tx>
            <c:strRef>
              <c:f>Inc_HF!$J$2</c:f>
              <c:strCache>
                <c:ptCount val="1"/>
                <c:pt idx="0">
                  <c:v>ARNI+BB</c:v>
                </c:pt>
              </c:strCache>
            </c:strRef>
          </c:tx>
          <c:spPr>
            <a:ln w="28575" cap="rnd">
              <a:solidFill>
                <a:schemeClr val="accent5"/>
              </a:solidFill>
              <a:round/>
            </a:ln>
            <a:effectLst/>
          </c:spPr>
          <c:marker>
            <c:symbol val="none"/>
          </c:marker>
          <c:cat>
            <c:numRef>
              <c:f>Inc_HF!$C$3:$C$68</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Inc_HF!$J$3:$J$68</c:f>
              <c:numCache>
                <c:formatCode>General</c:formatCode>
                <c:ptCount val="66"/>
                <c:pt idx="0">
                  <c:v>45</c:v>
                </c:pt>
                <c:pt idx="1">
                  <c:v>42</c:v>
                </c:pt>
                <c:pt idx="2">
                  <c:v>52</c:v>
                </c:pt>
                <c:pt idx="3">
                  <c:v>46</c:v>
                </c:pt>
                <c:pt idx="4">
                  <c:v>61</c:v>
                </c:pt>
                <c:pt idx="5">
                  <c:v>83</c:v>
                </c:pt>
                <c:pt idx="6">
                  <c:v>73</c:v>
                </c:pt>
                <c:pt idx="7">
                  <c:v>86</c:v>
                </c:pt>
                <c:pt idx="8">
                  <c:v>81</c:v>
                </c:pt>
                <c:pt idx="9">
                  <c:v>101</c:v>
                </c:pt>
                <c:pt idx="10">
                  <c:v>98</c:v>
                </c:pt>
                <c:pt idx="11">
                  <c:v>76</c:v>
                </c:pt>
                <c:pt idx="12">
                  <c:v>68</c:v>
                </c:pt>
                <c:pt idx="13">
                  <c:v>67</c:v>
                </c:pt>
                <c:pt idx="14">
                  <c:v>70</c:v>
                </c:pt>
                <c:pt idx="15">
                  <c:v>80</c:v>
                </c:pt>
                <c:pt idx="16">
                  <c:v>95</c:v>
                </c:pt>
                <c:pt idx="17">
                  <c:v>100</c:v>
                </c:pt>
                <c:pt idx="18">
                  <c:v>117</c:v>
                </c:pt>
                <c:pt idx="19">
                  <c:v>121</c:v>
                </c:pt>
                <c:pt idx="20">
                  <c:v>139</c:v>
                </c:pt>
                <c:pt idx="21">
                  <c:v>129</c:v>
                </c:pt>
                <c:pt idx="22">
                  <c:v>135</c:v>
                </c:pt>
                <c:pt idx="23">
                  <c:v>127</c:v>
                </c:pt>
                <c:pt idx="24">
                  <c:v>99</c:v>
                </c:pt>
                <c:pt idx="25">
                  <c:v>97</c:v>
                </c:pt>
                <c:pt idx="26">
                  <c:v>130</c:v>
                </c:pt>
                <c:pt idx="27">
                  <c:v>94</c:v>
                </c:pt>
                <c:pt idx="28">
                  <c:v>145</c:v>
                </c:pt>
                <c:pt idx="29">
                  <c:v>122</c:v>
                </c:pt>
                <c:pt idx="30">
                  <c:v>151</c:v>
                </c:pt>
                <c:pt idx="31">
                  <c:v>147</c:v>
                </c:pt>
                <c:pt idx="32">
                  <c:v>175</c:v>
                </c:pt>
                <c:pt idx="33">
                  <c:v>182</c:v>
                </c:pt>
                <c:pt idx="34">
                  <c:v>141</c:v>
                </c:pt>
                <c:pt idx="35">
                  <c:v>168</c:v>
                </c:pt>
                <c:pt idx="36">
                  <c:v>92</c:v>
                </c:pt>
                <c:pt idx="37">
                  <c:v>137</c:v>
                </c:pt>
                <c:pt idx="38">
                  <c:v>177</c:v>
                </c:pt>
                <c:pt idx="39">
                  <c:v>144</c:v>
                </c:pt>
                <c:pt idx="40">
                  <c:v>140</c:v>
                </c:pt>
                <c:pt idx="41">
                  <c:v>174</c:v>
                </c:pt>
                <c:pt idx="42">
                  <c:v>180</c:v>
                </c:pt>
                <c:pt idx="43">
                  <c:v>208</c:v>
                </c:pt>
                <c:pt idx="44">
                  <c:v>212</c:v>
                </c:pt>
                <c:pt idx="45">
                  <c:v>201</c:v>
                </c:pt>
                <c:pt idx="46">
                  <c:v>185</c:v>
                </c:pt>
                <c:pt idx="47">
                  <c:v>217</c:v>
                </c:pt>
                <c:pt idx="48">
                  <c:v>120</c:v>
                </c:pt>
                <c:pt idx="49">
                  <c:v>146</c:v>
                </c:pt>
                <c:pt idx="50">
                  <c:v>174</c:v>
                </c:pt>
                <c:pt idx="51">
                  <c:v>142</c:v>
                </c:pt>
                <c:pt idx="52">
                  <c:v>182</c:v>
                </c:pt>
                <c:pt idx="53">
                  <c:v>179</c:v>
                </c:pt>
                <c:pt idx="54">
                  <c:v>197</c:v>
                </c:pt>
                <c:pt idx="55">
                  <c:v>228</c:v>
                </c:pt>
                <c:pt idx="56">
                  <c:v>209</c:v>
                </c:pt>
                <c:pt idx="57">
                  <c:v>204</c:v>
                </c:pt>
                <c:pt idx="58">
                  <c:v>200</c:v>
                </c:pt>
                <c:pt idx="59">
                  <c:v>192</c:v>
                </c:pt>
                <c:pt idx="60">
                  <c:v>160</c:v>
                </c:pt>
                <c:pt idx="61">
                  <c:v>170</c:v>
                </c:pt>
                <c:pt idx="62">
                  <c:v>216</c:v>
                </c:pt>
                <c:pt idx="63">
                  <c:v>179</c:v>
                </c:pt>
                <c:pt idx="64">
                  <c:v>220</c:v>
                </c:pt>
                <c:pt idx="65">
                  <c:v>213</c:v>
                </c:pt>
              </c:numCache>
            </c:numRef>
          </c:val>
          <c:smooth val="0"/>
          <c:extLst>
            <c:ext xmlns:c16="http://schemas.microsoft.com/office/drawing/2014/chart" uri="{C3380CC4-5D6E-409C-BE32-E72D297353CC}">
              <c16:uniqueId val="{00000004-B3B7-4033-84EA-EF2E5582844B}"/>
            </c:ext>
          </c:extLst>
        </c:ser>
        <c:ser>
          <c:idx val="5"/>
          <c:order val="5"/>
          <c:tx>
            <c:strRef>
              <c:f>Inc_HF!$K$2</c:f>
              <c:strCache>
                <c:ptCount val="1"/>
                <c:pt idx="0">
                  <c:v>ARNI+HCN</c:v>
                </c:pt>
              </c:strCache>
            </c:strRef>
          </c:tx>
          <c:spPr>
            <a:ln w="28575" cap="rnd">
              <a:solidFill>
                <a:schemeClr val="accent6"/>
              </a:solidFill>
              <a:round/>
            </a:ln>
            <a:effectLst/>
          </c:spPr>
          <c:marker>
            <c:symbol val="none"/>
          </c:marker>
          <c:cat>
            <c:numRef>
              <c:f>Inc_HF!$C$3:$C$68</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Inc_HF!$K$3:$K$68</c:f>
              <c:numCache>
                <c:formatCode>General</c:formatCode>
                <c:ptCount val="66"/>
                <c:pt idx="0">
                  <c:v>4</c:v>
                </c:pt>
                <c:pt idx="1">
                  <c:v>3</c:v>
                </c:pt>
                <c:pt idx="2">
                  <c:v>3</c:v>
                </c:pt>
                <c:pt idx="3">
                  <c:v>5</c:v>
                </c:pt>
                <c:pt idx="4">
                  <c:v>6</c:v>
                </c:pt>
                <c:pt idx="5">
                  <c:v>4</c:v>
                </c:pt>
                <c:pt idx="6">
                  <c:v>6</c:v>
                </c:pt>
                <c:pt idx="7">
                  <c:v>6</c:v>
                </c:pt>
                <c:pt idx="8">
                  <c:v>5</c:v>
                </c:pt>
                <c:pt idx="9">
                  <c:v>5</c:v>
                </c:pt>
                <c:pt idx="10">
                  <c:v>6</c:v>
                </c:pt>
                <c:pt idx="11">
                  <c:v>5</c:v>
                </c:pt>
                <c:pt idx="12">
                  <c:v>4</c:v>
                </c:pt>
                <c:pt idx="13">
                  <c:v>4</c:v>
                </c:pt>
                <c:pt idx="14">
                  <c:v>3</c:v>
                </c:pt>
                <c:pt idx="15">
                  <c:v>3</c:v>
                </c:pt>
                <c:pt idx="16">
                  <c:v>1</c:v>
                </c:pt>
                <c:pt idx="17">
                  <c:v>2</c:v>
                </c:pt>
                <c:pt idx="18">
                  <c:v>8</c:v>
                </c:pt>
                <c:pt idx="19">
                  <c:v>5</c:v>
                </c:pt>
                <c:pt idx="20">
                  <c:v>6</c:v>
                </c:pt>
                <c:pt idx="21">
                  <c:v>7</c:v>
                </c:pt>
                <c:pt idx="22">
                  <c:v>3</c:v>
                </c:pt>
                <c:pt idx="23">
                  <c:v>4</c:v>
                </c:pt>
                <c:pt idx="24">
                  <c:v>6</c:v>
                </c:pt>
                <c:pt idx="25">
                  <c:v>4</c:v>
                </c:pt>
                <c:pt idx="26">
                  <c:v>5</c:v>
                </c:pt>
                <c:pt idx="27">
                  <c:v>5</c:v>
                </c:pt>
                <c:pt idx="28">
                  <c:v>7</c:v>
                </c:pt>
                <c:pt idx="29">
                  <c:v>6</c:v>
                </c:pt>
                <c:pt idx="30">
                  <c:v>5</c:v>
                </c:pt>
                <c:pt idx="31">
                  <c:v>6</c:v>
                </c:pt>
                <c:pt idx="32">
                  <c:v>5</c:v>
                </c:pt>
                <c:pt idx="33">
                  <c:v>9</c:v>
                </c:pt>
                <c:pt idx="34">
                  <c:v>12</c:v>
                </c:pt>
                <c:pt idx="35">
                  <c:v>7</c:v>
                </c:pt>
                <c:pt idx="36">
                  <c:v>6</c:v>
                </c:pt>
                <c:pt idx="37">
                  <c:v>5</c:v>
                </c:pt>
                <c:pt idx="38">
                  <c:v>17</c:v>
                </c:pt>
                <c:pt idx="39">
                  <c:v>7</c:v>
                </c:pt>
                <c:pt idx="40">
                  <c:v>7</c:v>
                </c:pt>
                <c:pt idx="41">
                  <c:v>3</c:v>
                </c:pt>
                <c:pt idx="42">
                  <c:v>10</c:v>
                </c:pt>
                <c:pt idx="43">
                  <c:v>12</c:v>
                </c:pt>
                <c:pt idx="44">
                  <c:v>9</c:v>
                </c:pt>
                <c:pt idx="45">
                  <c:v>16</c:v>
                </c:pt>
                <c:pt idx="46">
                  <c:v>10</c:v>
                </c:pt>
                <c:pt idx="47">
                  <c:v>7</c:v>
                </c:pt>
                <c:pt idx="48">
                  <c:v>6</c:v>
                </c:pt>
                <c:pt idx="49">
                  <c:v>11</c:v>
                </c:pt>
                <c:pt idx="50">
                  <c:v>10</c:v>
                </c:pt>
                <c:pt idx="51">
                  <c:v>10</c:v>
                </c:pt>
                <c:pt idx="52">
                  <c:v>10</c:v>
                </c:pt>
                <c:pt idx="53">
                  <c:v>9</c:v>
                </c:pt>
                <c:pt idx="54">
                  <c:v>4</c:v>
                </c:pt>
                <c:pt idx="55">
                  <c:v>5</c:v>
                </c:pt>
                <c:pt idx="56">
                  <c:v>7</c:v>
                </c:pt>
                <c:pt idx="57">
                  <c:v>11</c:v>
                </c:pt>
                <c:pt idx="58">
                  <c:v>6</c:v>
                </c:pt>
                <c:pt idx="59">
                  <c:v>7</c:v>
                </c:pt>
                <c:pt idx="60">
                  <c:v>5</c:v>
                </c:pt>
                <c:pt idx="61">
                  <c:v>10</c:v>
                </c:pt>
                <c:pt idx="62">
                  <c:v>11</c:v>
                </c:pt>
                <c:pt idx="63">
                  <c:v>5</c:v>
                </c:pt>
                <c:pt idx="64">
                  <c:v>5</c:v>
                </c:pt>
                <c:pt idx="65">
                  <c:v>8</c:v>
                </c:pt>
              </c:numCache>
            </c:numRef>
          </c:val>
          <c:smooth val="0"/>
          <c:extLst>
            <c:ext xmlns:c16="http://schemas.microsoft.com/office/drawing/2014/chart" uri="{C3380CC4-5D6E-409C-BE32-E72D297353CC}">
              <c16:uniqueId val="{00000005-B3B7-4033-84EA-EF2E5582844B}"/>
            </c:ext>
          </c:extLst>
        </c:ser>
        <c:ser>
          <c:idx val="6"/>
          <c:order val="6"/>
          <c:tx>
            <c:strRef>
              <c:f>Inc_HF!$L$2</c:f>
              <c:strCache>
                <c:ptCount val="1"/>
                <c:pt idx="0">
                  <c:v>BB+HCN</c:v>
                </c:pt>
              </c:strCache>
            </c:strRef>
          </c:tx>
          <c:spPr>
            <a:ln w="28575" cap="rnd">
              <a:solidFill>
                <a:schemeClr val="accent1">
                  <a:lumMod val="60000"/>
                </a:schemeClr>
              </a:solidFill>
              <a:round/>
            </a:ln>
            <a:effectLst/>
          </c:spPr>
          <c:marker>
            <c:symbol val="none"/>
          </c:marker>
          <c:cat>
            <c:numRef>
              <c:f>Inc_HF!$C$3:$C$68</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Inc_HF!$L$3:$L$68</c:f>
              <c:numCache>
                <c:formatCode>General</c:formatCode>
                <c:ptCount val="66"/>
                <c:pt idx="0">
                  <c:v>7</c:v>
                </c:pt>
                <c:pt idx="1">
                  <c:v>7</c:v>
                </c:pt>
                <c:pt idx="2">
                  <c:v>12</c:v>
                </c:pt>
                <c:pt idx="3">
                  <c:v>10</c:v>
                </c:pt>
                <c:pt idx="4">
                  <c:v>13</c:v>
                </c:pt>
                <c:pt idx="5">
                  <c:v>14</c:v>
                </c:pt>
                <c:pt idx="6">
                  <c:v>12</c:v>
                </c:pt>
                <c:pt idx="7">
                  <c:v>12</c:v>
                </c:pt>
                <c:pt idx="8">
                  <c:v>23</c:v>
                </c:pt>
                <c:pt idx="9">
                  <c:v>9</c:v>
                </c:pt>
                <c:pt idx="10">
                  <c:v>15</c:v>
                </c:pt>
                <c:pt idx="11">
                  <c:v>18</c:v>
                </c:pt>
                <c:pt idx="12">
                  <c:v>11</c:v>
                </c:pt>
                <c:pt idx="13">
                  <c:v>11</c:v>
                </c:pt>
                <c:pt idx="14">
                  <c:v>12</c:v>
                </c:pt>
                <c:pt idx="15">
                  <c:v>12</c:v>
                </c:pt>
                <c:pt idx="16">
                  <c:v>15</c:v>
                </c:pt>
                <c:pt idx="17">
                  <c:v>17</c:v>
                </c:pt>
                <c:pt idx="18">
                  <c:v>16</c:v>
                </c:pt>
                <c:pt idx="19">
                  <c:v>18</c:v>
                </c:pt>
                <c:pt idx="20">
                  <c:v>17</c:v>
                </c:pt>
                <c:pt idx="21">
                  <c:v>8</c:v>
                </c:pt>
                <c:pt idx="22">
                  <c:v>12</c:v>
                </c:pt>
                <c:pt idx="23">
                  <c:v>17</c:v>
                </c:pt>
                <c:pt idx="24">
                  <c:v>19</c:v>
                </c:pt>
                <c:pt idx="25">
                  <c:v>12</c:v>
                </c:pt>
                <c:pt idx="26">
                  <c:v>12</c:v>
                </c:pt>
                <c:pt idx="27">
                  <c:v>8</c:v>
                </c:pt>
                <c:pt idx="28">
                  <c:v>6</c:v>
                </c:pt>
                <c:pt idx="29">
                  <c:v>10</c:v>
                </c:pt>
                <c:pt idx="30">
                  <c:v>12</c:v>
                </c:pt>
                <c:pt idx="31">
                  <c:v>20</c:v>
                </c:pt>
                <c:pt idx="32">
                  <c:v>11</c:v>
                </c:pt>
                <c:pt idx="33">
                  <c:v>12</c:v>
                </c:pt>
                <c:pt idx="34">
                  <c:v>9</c:v>
                </c:pt>
                <c:pt idx="35">
                  <c:v>14</c:v>
                </c:pt>
                <c:pt idx="36">
                  <c:v>12</c:v>
                </c:pt>
                <c:pt idx="37">
                  <c:v>7</c:v>
                </c:pt>
                <c:pt idx="38">
                  <c:v>11</c:v>
                </c:pt>
                <c:pt idx="39">
                  <c:v>8</c:v>
                </c:pt>
                <c:pt idx="40">
                  <c:v>13</c:v>
                </c:pt>
                <c:pt idx="41">
                  <c:v>21</c:v>
                </c:pt>
                <c:pt idx="42">
                  <c:v>12</c:v>
                </c:pt>
                <c:pt idx="43">
                  <c:v>13</c:v>
                </c:pt>
                <c:pt idx="44">
                  <c:v>13</c:v>
                </c:pt>
                <c:pt idx="45">
                  <c:v>13</c:v>
                </c:pt>
                <c:pt idx="46">
                  <c:v>10</c:v>
                </c:pt>
                <c:pt idx="47">
                  <c:v>7</c:v>
                </c:pt>
                <c:pt idx="48">
                  <c:v>6</c:v>
                </c:pt>
                <c:pt idx="49">
                  <c:v>4</c:v>
                </c:pt>
                <c:pt idx="50">
                  <c:v>7</c:v>
                </c:pt>
                <c:pt idx="51">
                  <c:v>4</c:v>
                </c:pt>
                <c:pt idx="52">
                  <c:v>14</c:v>
                </c:pt>
                <c:pt idx="53">
                  <c:v>12</c:v>
                </c:pt>
                <c:pt idx="54">
                  <c:v>5</c:v>
                </c:pt>
                <c:pt idx="55">
                  <c:v>17</c:v>
                </c:pt>
                <c:pt idx="56">
                  <c:v>12</c:v>
                </c:pt>
                <c:pt idx="57">
                  <c:v>11</c:v>
                </c:pt>
                <c:pt idx="58">
                  <c:v>11</c:v>
                </c:pt>
                <c:pt idx="59">
                  <c:v>7</c:v>
                </c:pt>
                <c:pt idx="60">
                  <c:v>8</c:v>
                </c:pt>
                <c:pt idx="61">
                  <c:v>8</c:v>
                </c:pt>
                <c:pt idx="62">
                  <c:v>5</c:v>
                </c:pt>
                <c:pt idx="63">
                  <c:v>5</c:v>
                </c:pt>
                <c:pt idx="64">
                  <c:v>4</c:v>
                </c:pt>
                <c:pt idx="65">
                  <c:v>3</c:v>
                </c:pt>
              </c:numCache>
            </c:numRef>
          </c:val>
          <c:smooth val="0"/>
          <c:extLst>
            <c:ext xmlns:c16="http://schemas.microsoft.com/office/drawing/2014/chart" uri="{C3380CC4-5D6E-409C-BE32-E72D297353CC}">
              <c16:uniqueId val="{00000006-B3B7-4033-84EA-EF2E5582844B}"/>
            </c:ext>
          </c:extLst>
        </c:ser>
        <c:ser>
          <c:idx val="7"/>
          <c:order val="7"/>
          <c:tx>
            <c:strRef>
              <c:f>Inc_HF!$M$2</c:f>
              <c:strCache>
                <c:ptCount val="1"/>
                <c:pt idx="0">
                  <c:v>BB+MRA</c:v>
                </c:pt>
              </c:strCache>
            </c:strRef>
          </c:tx>
          <c:spPr>
            <a:ln w="28575" cap="rnd">
              <a:solidFill>
                <a:schemeClr val="accent2">
                  <a:lumMod val="60000"/>
                </a:schemeClr>
              </a:solidFill>
              <a:round/>
            </a:ln>
            <a:effectLst/>
          </c:spPr>
          <c:marker>
            <c:symbol val="none"/>
          </c:marker>
          <c:cat>
            <c:numRef>
              <c:f>Inc_HF!$C$3:$C$68</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Inc_HF!$M$3:$M$68</c:f>
              <c:numCache>
                <c:formatCode>General</c:formatCode>
                <c:ptCount val="66"/>
                <c:pt idx="0">
                  <c:v>34</c:v>
                </c:pt>
                <c:pt idx="1">
                  <c:v>28</c:v>
                </c:pt>
                <c:pt idx="2">
                  <c:v>33</c:v>
                </c:pt>
                <c:pt idx="3">
                  <c:v>20</c:v>
                </c:pt>
                <c:pt idx="4">
                  <c:v>22</c:v>
                </c:pt>
                <c:pt idx="5">
                  <c:v>29</c:v>
                </c:pt>
                <c:pt idx="6">
                  <c:v>40</c:v>
                </c:pt>
                <c:pt idx="7">
                  <c:v>42</c:v>
                </c:pt>
                <c:pt idx="8">
                  <c:v>31</c:v>
                </c:pt>
                <c:pt idx="9">
                  <c:v>41</c:v>
                </c:pt>
                <c:pt idx="10">
                  <c:v>27</c:v>
                </c:pt>
                <c:pt idx="11">
                  <c:v>29</c:v>
                </c:pt>
                <c:pt idx="12">
                  <c:v>19</c:v>
                </c:pt>
                <c:pt idx="13">
                  <c:v>21</c:v>
                </c:pt>
                <c:pt idx="14">
                  <c:v>38</c:v>
                </c:pt>
                <c:pt idx="15">
                  <c:v>33</c:v>
                </c:pt>
                <c:pt idx="16">
                  <c:v>36</c:v>
                </c:pt>
                <c:pt idx="17">
                  <c:v>30</c:v>
                </c:pt>
                <c:pt idx="18">
                  <c:v>37</c:v>
                </c:pt>
                <c:pt idx="19">
                  <c:v>34</c:v>
                </c:pt>
                <c:pt idx="20">
                  <c:v>26</c:v>
                </c:pt>
                <c:pt idx="21">
                  <c:v>31</c:v>
                </c:pt>
                <c:pt idx="22">
                  <c:v>41</c:v>
                </c:pt>
                <c:pt idx="23">
                  <c:v>40</c:v>
                </c:pt>
                <c:pt idx="24">
                  <c:v>36</c:v>
                </c:pt>
                <c:pt idx="25">
                  <c:v>26</c:v>
                </c:pt>
                <c:pt idx="26">
                  <c:v>21</c:v>
                </c:pt>
                <c:pt idx="27">
                  <c:v>30</c:v>
                </c:pt>
                <c:pt idx="28">
                  <c:v>40</c:v>
                </c:pt>
                <c:pt idx="29">
                  <c:v>39</c:v>
                </c:pt>
                <c:pt idx="30">
                  <c:v>43</c:v>
                </c:pt>
                <c:pt idx="31">
                  <c:v>28</c:v>
                </c:pt>
                <c:pt idx="32">
                  <c:v>30</c:v>
                </c:pt>
                <c:pt idx="33">
                  <c:v>37</c:v>
                </c:pt>
                <c:pt idx="34">
                  <c:v>44</c:v>
                </c:pt>
                <c:pt idx="35">
                  <c:v>40</c:v>
                </c:pt>
                <c:pt idx="36">
                  <c:v>37</c:v>
                </c:pt>
                <c:pt idx="37">
                  <c:v>41</c:v>
                </c:pt>
                <c:pt idx="38">
                  <c:v>42</c:v>
                </c:pt>
                <c:pt idx="39">
                  <c:v>34</c:v>
                </c:pt>
                <c:pt idx="40">
                  <c:v>31</c:v>
                </c:pt>
                <c:pt idx="41">
                  <c:v>36</c:v>
                </c:pt>
                <c:pt idx="42">
                  <c:v>45</c:v>
                </c:pt>
                <c:pt idx="43">
                  <c:v>51</c:v>
                </c:pt>
                <c:pt idx="44">
                  <c:v>43</c:v>
                </c:pt>
                <c:pt idx="45">
                  <c:v>48</c:v>
                </c:pt>
                <c:pt idx="46">
                  <c:v>41</c:v>
                </c:pt>
                <c:pt idx="47">
                  <c:v>37</c:v>
                </c:pt>
                <c:pt idx="48">
                  <c:v>20</c:v>
                </c:pt>
                <c:pt idx="49">
                  <c:v>23</c:v>
                </c:pt>
                <c:pt idx="50">
                  <c:v>33</c:v>
                </c:pt>
                <c:pt idx="51">
                  <c:v>29</c:v>
                </c:pt>
                <c:pt idx="52">
                  <c:v>25</c:v>
                </c:pt>
                <c:pt idx="53">
                  <c:v>22</c:v>
                </c:pt>
                <c:pt idx="54">
                  <c:v>33</c:v>
                </c:pt>
                <c:pt idx="55">
                  <c:v>26</c:v>
                </c:pt>
                <c:pt idx="56">
                  <c:v>24</c:v>
                </c:pt>
                <c:pt idx="57">
                  <c:v>21</c:v>
                </c:pt>
                <c:pt idx="58">
                  <c:v>21</c:v>
                </c:pt>
                <c:pt idx="59">
                  <c:v>37</c:v>
                </c:pt>
                <c:pt idx="60">
                  <c:v>26</c:v>
                </c:pt>
                <c:pt idx="61">
                  <c:v>18</c:v>
                </c:pt>
                <c:pt idx="62">
                  <c:v>18</c:v>
                </c:pt>
                <c:pt idx="63">
                  <c:v>22</c:v>
                </c:pt>
                <c:pt idx="64">
                  <c:v>19</c:v>
                </c:pt>
                <c:pt idx="65">
                  <c:v>22</c:v>
                </c:pt>
              </c:numCache>
            </c:numRef>
          </c:val>
          <c:smooth val="0"/>
          <c:extLst>
            <c:ext xmlns:c16="http://schemas.microsoft.com/office/drawing/2014/chart" uri="{C3380CC4-5D6E-409C-BE32-E72D297353CC}">
              <c16:uniqueId val="{00000007-B3B7-4033-84EA-EF2E5582844B}"/>
            </c:ext>
          </c:extLst>
        </c:ser>
        <c:ser>
          <c:idx val="8"/>
          <c:order val="8"/>
          <c:tx>
            <c:strRef>
              <c:f>Inc_HF!$P$2</c:f>
              <c:strCache>
                <c:ptCount val="1"/>
                <c:pt idx="0">
                  <c:v>ARNI+SGLT2</c:v>
                </c:pt>
              </c:strCache>
            </c:strRef>
          </c:tx>
          <c:spPr>
            <a:ln w="28575" cap="rnd">
              <a:solidFill>
                <a:schemeClr val="accent3">
                  <a:lumMod val="60000"/>
                </a:schemeClr>
              </a:solidFill>
              <a:round/>
            </a:ln>
            <a:effectLst/>
          </c:spPr>
          <c:marker>
            <c:symbol val="none"/>
          </c:marker>
          <c:cat>
            <c:numRef>
              <c:f>Inc_HF!$C$3:$C$68</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Inc_HF!$P$3:$P$68</c:f>
              <c:numCache>
                <c:formatCode>General</c:formatCode>
                <c:ptCount val="66"/>
                <c:pt idx="48">
                  <c:v>18</c:v>
                </c:pt>
                <c:pt idx="49">
                  <c:v>33</c:v>
                </c:pt>
                <c:pt idx="50">
                  <c:v>65</c:v>
                </c:pt>
                <c:pt idx="51">
                  <c:v>51</c:v>
                </c:pt>
                <c:pt idx="52">
                  <c:v>86</c:v>
                </c:pt>
                <c:pt idx="53">
                  <c:v>83</c:v>
                </c:pt>
                <c:pt idx="54">
                  <c:v>112</c:v>
                </c:pt>
                <c:pt idx="55">
                  <c:v>140</c:v>
                </c:pt>
                <c:pt idx="56">
                  <c:v>185</c:v>
                </c:pt>
                <c:pt idx="57">
                  <c:v>184</c:v>
                </c:pt>
                <c:pt idx="58">
                  <c:v>200</c:v>
                </c:pt>
                <c:pt idx="59">
                  <c:v>173</c:v>
                </c:pt>
                <c:pt idx="60">
                  <c:v>159</c:v>
                </c:pt>
                <c:pt idx="61">
                  <c:v>164</c:v>
                </c:pt>
                <c:pt idx="62">
                  <c:v>209</c:v>
                </c:pt>
                <c:pt idx="63">
                  <c:v>154</c:v>
                </c:pt>
                <c:pt idx="64">
                  <c:v>240</c:v>
                </c:pt>
                <c:pt idx="65">
                  <c:v>220</c:v>
                </c:pt>
              </c:numCache>
            </c:numRef>
          </c:val>
          <c:smooth val="0"/>
          <c:extLst>
            <c:ext xmlns:c16="http://schemas.microsoft.com/office/drawing/2014/chart" uri="{C3380CC4-5D6E-409C-BE32-E72D297353CC}">
              <c16:uniqueId val="{00000008-B3B7-4033-84EA-EF2E5582844B}"/>
            </c:ext>
          </c:extLst>
        </c:ser>
        <c:ser>
          <c:idx val="9"/>
          <c:order val="9"/>
          <c:tx>
            <c:strRef>
              <c:f>Inc_HF!$Q$2</c:f>
              <c:strCache>
                <c:ptCount val="1"/>
                <c:pt idx="0">
                  <c:v>BB+SGLT2</c:v>
                </c:pt>
              </c:strCache>
            </c:strRef>
          </c:tx>
          <c:spPr>
            <a:ln w="28575" cap="rnd">
              <a:solidFill>
                <a:schemeClr val="accent4">
                  <a:lumMod val="60000"/>
                </a:schemeClr>
              </a:solidFill>
              <a:round/>
            </a:ln>
            <a:effectLst/>
          </c:spPr>
          <c:marker>
            <c:symbol val="none"/>
          </c:marker>
          <c:cat>
            <c:numRef>
              <c:f>Inc_HF!$C$3:$C$68</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Inc_HF!$Q$3:$Q$68</c:f>
              <c:numCache>
                <c:formatCode>General</c:formatCode>
                <c:ptCount val="66"/>
                <c:pt idx="48">
                  <c:v>18</c:v>
                </c:pt>
                <c:pt idx="49">
                  <c:v>22</c:v>
                </c:pt>
                <c:pt idx="50">
                  <c:v>40</c:v>
                </c:pt>
                <c:pt idx="51">
                  <c:v>41</c:v>
                </c:pt>
                <c:pt idx="52">
                  <c:v>54</c:v>
                </c:pt>
                <c:pt idx="53">
                  <c:v>63</c:v>
                </c:pt>
                <c:pt idx="54">
                  <c:v>81</c:v>
                </c:pt>
                <c:pt idx="55">
                  <c:v>116</c:v>
                </c:pt>
                <c:pt idx="56">
                  <c:v>118</c:v>
                </c:pt>
                <c:pt idx="57">
                  <c:v>136</c:v>
                </c:pt>
                <c:pt idx="58">
                  <c:v>141</c:v>
                </c:pt>
                <c:pt idx="59">
                  <c:v>136</c:v>
                </c:pt>
                <c:pt idx="60">
                  <c:v>100</c:v>
                </c:pt>
                <c:pt idx="61">
                  <c:v>138</c:v>
                </c:pt>
                <c:pt idx="62">
                  <c:v>128</c:v>
                </c:pt>
                <c:pt idx="63">
                  <c:v>108</c:v>
                </c:pt>
                <c:pt idx="64">
                  <c:v>158</c:v>
                </c:pt>
                <c:pt idx="65">
                  <c:v>175</c:v>
                </c:pt>
              </c:numCache>
            </c:numRef>
          </c:val>
          <c:smooth val="0"/>
          <c:extLst>
            <c:ext xmlns:c16="http://schemas.microsoft.com/office/drawing/2014/chart" uri="{C3380CC4-5D6E-409C-BE32-E72D297353CC}">
              <c16:uniqueId val="{00000009-B3B7-4033-84EA-EF2E5582844B}"/>
            </c:ext>
          </c:extLst>
        </c:ser>
        <c:ser>
          <c:idx val="10"/>
          <c:order val="10"/>
          <c:tx>
            <c:strRef>
              <c:f>Inc_HF!$S$2</c:f>
              <c:strCache>
                <c:ptCount val="1"/>
                <c:pt idx="0">
                  <c:v>MRA+SGLT2</c:v>
                </c:pt>
              </c:strCache>
            </c:strRef>
          </c:tx>
          <c:spPr>
            <a:ln w="28575" cap="rnd">
              <a:solidFill>
                <a:schemeClr val="accent5">
                  <a:lumMod val="60000"/>
                </a:schemeClr>
              </a:solidFill>
              <a:round/>
            </a:ln>
            <a:effectLst/>
          </c:spPr>
          <c:marker>
            <c:symbol val="none"/>
          </c:marker>
          <c:cat>
            <c:numRef>
              <c:f>Inc_HF!$C$3:$C$68</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Inc_HF!$S$3:$S$68</c:f>
              <c:numCache>
                <c:formatCode>General</c:formatCode>
                <c:ptCount val="66"/>
                <c:pt idx="48">
                  <c:v>8</c:v>
                </c:pt>
                <c:pt idx="49">
                  <c:v>3</c:v>
                </c:pt>
                <c:pt idx="50">
                  <c:v>7</c:v>
                </c:pt>
                <c:pt idx="51">
                  <c:v>6</c:v>
                </c:pt>
                <c:pt idx="52">
                  <c:v>8</c:v>
                </c:pt>
                <c:pt idx="53">
                  <c:v>13</c:v>
                </c:pt>
                <c:pt idx="54">
                  <c:v>17</c:v>
                </c:pt>
                <c:pt idx="55">
                  <c:v>10</c:v>
                </c:pt>
                <c:pt idx="56">
                  <c:v>23</c:v>
                </c:pt>
                <c:pt idx="57">
                  <c:v>18</c:v>
                </c:pt>
                <c:pt idx="58">
                  <c:v>13</c:v>
                </c:pt>
                <c:pt idx="59">
                  <c:v>16</c:v>
                </c:pt>
                <c:pt idx="60">
                  <c:v>20</c:v>
                </c:pt>
                <c:pt idx="61">
                  <c:v>13</c:v>
                </c:pt>
                <c:pt idx="62">
                  <c:v>26</c:v>
                </c:pt>
                <c:pt idx="63">
                  <c:v>24</c:v>
                </c:pt>
                <c:pt idx="64">
                  <c:v>26</c:v>
                </c:pt>
                <c:pt idx="65">
                  <c:v>32</c:v>
                </c:pt>
              </c:numCache>
            </c:numRef>
          </c:val>
          <c:smooth val="0"/>
          <c:extLst>
            <c:ext xmlns:c16="http://schemas.microsoft.com/office/drawing/2014/chart" uri="{C3380CC4-5D6E-409C-BE32-E72D297353CC}">
              <c16:uniqueId val="{0000000A-B3B7-4033-84EA-EF2E5582844B}"/>
            </c:ext>
          </c:extLst>
        </c:ser>
        <c:ser>
          <c:idx val="11"/>
          <c:order val="11"/>
          <c:tx>
            <c:strRef>
              <c:f>Inc_HF!$T$2</c:f>
              <c:strCache>
                <c:ptCount val="1"/>
                <c:pt idx="0">
                  <c:v>SGLT2</c:v>
                </c:pt>
              </c:strCache>
            </c:strRef>
          </c:tx>
          <c:spPr>
            <a:ln w="28575" cap="rnd">
              <a:solidFill>
                <a:schemeClr val="accent6">
                  <a:lumMod val="60000"/>
                </a:schemeClr>
              </a:solidFill>
              <a:round/>
            </a:ln>
            <a:effectLst/>
          </c:spPr>
          <c:marker>
            <c:symbol val="none"/>
          </c:marker>
          <c:cat>
            <c:numRef>
              <c:f>Inc_HF!$C$3:$C$68</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Inc_HF!$T$3:$T$68</c:f>
              <c:numCache>
                <c:formatCode>General</c:formatCode>
                <c:ptCount val="66"/>
                <c:pt idx="48">
                  <c:v>365</c:v>
                </c:pt>
                <c:pt idx="49">
                  <c:v>510</c:v>
                </c:pt>
                <c:pt idx="50">
                  <c:v>699</c:v>
                </c:pt>
                <c:pt idx="51">
                  <c:v>1032</c:v>
                </c:pt>
                <c:pt idx="52">
                  <c:v>1317</c:v>
                </c:pt>
                <c:pt idx="53">
                  <c:v>1395</c:v>
                </c:pt>
                <c:pt idx="54">
                  <c:v>1518</c:v>
                </c:pt>
                <c:pt idx="55">
                  <c:v>1688</c:v>
                </c:pt>
                <c:pt idx="56">
                  <c:v>1730</c:v>
                </c:pt>
                <c:pt idx="57">
                  <c:v>1697</c:v>
                </c:pt>
                <c:pt idx="58">
                  <c:v>1762</c:v>
                </c:pt>
                <c:pt idx="59">
                  <c:v>1518</c:v>
                </c:pt>
                <c:pt idx="60">
                  <c:v>1231</c:v>
                </c:pt>
                <c:pt idx="61">
                  <c:v>1430</c:v>
                </c:pt>
                <c:pt idx="62">
                  <c:v>1554</c:v>
                </c:pt>
                <c:pt idx="63">
                  <c:v>1378</c:v>
                </c:pt>
                <c:pt idx="64">
                  <c:v>1648</c:v>
                </c:pt>
                <c:pt idx="65">
                  <c:v>1551</c:v>
                </c:pt>
              </c:numCache>
            </c:numRef>
          </c:val>
          <c:smooth val="0"/>
          <c:extLst>
            <c:ext xmlns:c16="http://schemas.microsoft.com/office/drawing/2014/chart" uri="{C3380CC4-5D6E-409C-BE32-E72D297353CC}">
              <c16:uniqueId val="{0000000B-B3B7-4033-84EA-EF2E5582844B}"/>
            </c:ext>
          </c:extLst>
        </c:ser>
        <c:dLbls>
          <c:showLegendKey val="0"/>
          <c:showVal val="0"/>
          <c:showCatName val="0"/>
          <c:showSerName val="0"/>
          <c:showPercent val="0"/>
          <c:showBubbleSize val="0"/>
        </c:dLbls>
        <c:smooth val="0"/>
        <c:axId val="211144392"/>
        <c:axId val="1"/>
      </c:lineChart>
      <c:dateAx>
        <c:axId val="211144392"/>
        <c:scaling>
          <c:orientation val="minMax"/>
        </c:scaling>
        <c:delete val="0"/>
        <c:axPos val="b"/>
        <c:numFmt formatCode="mmm\-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Offset val="100"/>
        <c:baseTimeUnit val="months"/>
        <c:majorUnit val="2"/>
        <c:majorTimeUnit val="months"/>
      </c:dateAx>
      <c:valAx>
        <c:axId val="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people</a:t>
                </a:r>
              </a:p>
            </c:rich>
          </c:tx>
          <c:overlay val="0"/>
          <c:spPr>
            <a:noFill/>
            <a:ln w="25400">
              <a:noFill/>
            </a:ln>
          </c:spPr>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144392"/>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Inc_HF!$G$2</c:f>
              <c:strCache>
                <c:ptCount val="1"/>
                <c:pt idx="0">
                  <c:v>MRA</c:v>
                </c:pt>
              </c:strCache>
            </c:strRef>
          </c:tx>
          <c:spPr>
            <a:ln w="28575" cap="rnd">
              <a:solidFill>
                <a:schemeClr val="accent2"/>
              </a:solidFill>
              <a:round/>
            </a:ln>
            <a:effectLst/>
          </c:spPr>
          <c:marker>
            <c:symbol val="none"/>
          </c:marker>
          <c:cat>
            <c:numRef>
              <c:f>Inc_HF!$C$3:$C$68</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Inc_HF!$G$3:$G$68</c:f>
              <c:numCache>
                <c:formatCode>General</c:formatCode>
                <c:ptCount val="66"/>
                <c:pt idx="0">
                  <c:v>54</c:v>
                </c:pt>
                <c:pt idx="1">
                  <c:v>59</c:v>
                </c:pt>
                <c:pt idx="2">
                  <c:v>50</c:v>
                </c:pt>
                <c:pt idx="3">
                  <c:v>65</c:v>
                </c:pt>
                <c:pt idx="4">
                  <c:v>60</c:v>
                </c:pt>
                <c:pt idx="5">
                  <c:v>52</c:v>
                </c:pt>
                <c:pt idx="6">
                  <c:v>77</c:v>
                </c:pt>
                <c:pt idx="7">
                  <c:v>77</c:v>
                </c:pt>
                <c:pt idx="8">
                  <c:v>72</c:v>
                </c:pt>
                <c:pt idx="9">
                  <c:v>81</c:v>
                </c:pt>
                <c:pt idx="10">
                  <c:v>79</c:v>
                </c:pt>
                <c:pt idx="11">
                  <c:v>90</c:v>
                </c:pt>
                <c:pt idx="12">
                  <c:v>58</c:v>
                </c:pt>
                <c:pt idx="13">
                  <c:v>66</c:v>
                </c:pt>
                <c:pt idx="14">
                  <c:v>61</c:v>
                </c:pt>
                <c:pt idx="15">
                  <c:v>68</c:v>
                </c:pt>
                <c:pt idx="16">
                  <c:v>70</c:v>
                </c:pt>
                <c:pt idx="17">
                  <c:v>68</c:v>
                </c:pt>
                <c:pt idx="18">
                  <c:v>85</c:v>
                </c:pt>
                <c:pt idx="19">
                  <c:v>76</c:v>
                </c:pt>
                <c:pt idx="20">
                  <c:v>78</c:v>
                </c:pt>
                <c:pt idx="21">
                  <c:v>86</c:v>
                </c:pt>
                <c:pt idx="22">
                  <c:v>83</c:v>
                </c:pt>
                <c:pt idx="23">
                  <c:v>64</c:v>
                </c:pt>
                <c:pt idx="24">
                  <c:v>80</c:v>
                </c:pt>
                <c:pt idx="25">
                  <c:v>71</c:v>
                </c:pt>
                <c:pt idx="26">
                  <c:v>84</c:v>
                </c:pt>
                <c:pt idx="27">
                  <c:v>78</c:v>
                </c:pt>
                <c:pt idx="28">
                  <c:v>71</c:v>
                </c:pt>
                <c:pt idx="29">
                  <c:v>101</c:v>
                </c:pt>
                <c:pt idx="30">
                  <c:v>69</c:v>
                </c:pt>
                <c:pt idx="31">
                  <c:v>84</c:v>
                </c:pt>
                <c:pt idx="32">
                  <c:v>93</c:v>
                </c:pt>
                <c:pt idx="33">
                  <c:v>88</c:v>
                </c:pt>
                <c:pt idx="34">
                  <c:v>77</c:v>
                </c:pt>
                <c:pt idx="35">
                  <c:v>96</c:v>
                </c:pt>
                <c:pt idx="36">
                  <c:v>91</c:v>
                </c:pt>
                <c:pt idx="37">
                  <c:v>51</c:v>
                </c:pt>
                <c:pt idx="38">
                  <c:v>74</c:v>
                </c:pt>
                <c:pt idx="39">
                  <c:v>90</c:v>
                </c:pt>
                <c:pt idx="40">
                  <c:v>70</c:v>
                </c:pt>
                <c:pt idx="41">
                  <c:v>86</c:v>
                </c:pt>
                <c:pt idx="42">
                  <c:v>88</c:v>
                </c:pt>
                <c:pt idx="43">
                  <c:v>78</c:v>
                </c:pt>
                <c:pt idx="44">
                  <c:v>93</c:v>
                </c:pt>
                <c:pt idx="45">
                  <c:v>88</c:v>
                </c:pt>
                <c:pt idx="46">
                  <c:v>90</c:v>
                </c:pt>
                <c:pt idx="47">
                  <c:v>107</c:v>
                </c:pt>
                <c:pt idx="48">
                  <c:v>81</c:v>
                </c:pt>
                <c:pt idx="49">
                  <c:v>87</c:v>
                </c:pt>
                <c:pt idx="50">
                  <c:v>99</c:v>
                </c:pt>
                <c:pt idx="51">
                  <c:v>74</c:v>
                </c:pt>
                <c:pt idx="52">
                  <c:v>105</c:v>
                </c:pt>
                <c:pt idx="53">
                  <c:v>107</c:v>
                </c:pt>
                <c:pt idx="54">
                  <c:v>99</c:v>
                </c:pt>
                <c:pt idx="55">
                  <c:v>117</c:v>
                </c:pt>
                <c:pt idx="56">
                  <c:v>103</c:v>
                </c:pt>
                <c:pt idx="57">
                  <c:v>100</c:v>
                </c:pt>
                <c:pt idx="58">
                  <c:v>103</c:v>
                </c:pt>
                <c:pt idx="59">
                  <c:v>122</c:v>
                </c:pt>
                <c:pt idx="60">
                  <c:v>124</c:v>
                </c:pt>
                <c:pt idx="61">
                  <c:v>94</c:v>
                </c:pt>
                <c:pt idx="62">
                  <c:v>104</c:v>
                </c:pt>
                <c:pt idx="63">
                  <c:v>102</c:v>
                </c:pt>
                <c:pt idx="64">
                  <c:v>117</c:v>
                </c:pt>
                <c:pt idx="65">
                  <c:v>104</c:v>
                </c:pt>
              </c:numCache>
            </c:numRef>
          </c:val>
          <c:smooth val="0"/>
          <c:extLst>
            <c:ext xmlns:c16="http://schemas.microsoft.com/office/drawing/2014/chart" uri="{C3380CC4-5D6E-409C-BE32-E72D297353CC}">
              <c16:uniqueId val="{00000001-2E42-4DDF-82B2-88A54939BAAC}"/>
            </c:ext>
          </c:extLst>
        </c:ser>
        <c:ser>
          <c:idx val="2"/>
          <c:order val="1"/>
          <c:tx>
            <c:strRef>
              <c:f>Inc_HF!$H$2</c:f>
              <c:strCache>
                <c:ptCount val="1"/>
                <c:pt idx="0">
                  <c:v>HCN</c:v>
                </c:pt>
              </c:strCache>
            </c:strRef>
          </c:tx>
          <c:spPr>
            <a:ln w="28575" cap="rnd">
              <a:solidFill>
                <a:schemeClr val="accent3"/>
              </a:solidFill>
              <a:round/>
            </a:ln>
            <a:effectLst/>
          </c:spPr>
          <c:marker>
            <c:symbol val="none"/>
          </c:marker>
          <c:cat>
            <c:numRef>
              <c:f>Inc_HF!$C$3:$C$68</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Inc_HF!$H$3:$H$68</c:f>
              <c:numCache>
                <c:formatCode>General</c:formatCode>
                <c:ptCount val="66"/>
                <c:pt idx="0">
                  <c:v>94</c:v>
                </c:pt>
                <c:pt idx="1">
                  <c:v>101</c:v>
                </c:pt>
                <c:pt idx="2">
                  <c:v>96</c:v>
                </c:pt>
                <c:pt idx="3">
                  <c:v>88</c:v>
                </c:pt>
                <c:pt idx="4">
                  <c:v>119</c:v>
                </c:pt>
                <c:pt idx="5">
                  <c:v>109</c:v>
                </c:pt>
                <c:pt idx="6">
                  <c:v>104</c:v>
                </c:pt>
                <c:pt idx="7">
                  <c:v>114</c:v>
                </c:pt>
                <c:pt idx="8">
                  <c:v>109</c:v>
                </c:pt>
                <c:pt idx="9">
                  <c:v>117</c:v>
                </c:pt>
                <c:pt idx="10">
                  <c:v>121</c:v>
                </c:pt>
                <c:pt idx="11">
                  <c:v>93</c:v>
                </c:pt>
                <c:pt idx="12">
                  <c:v>80</c:v>
                </c:pt>
                <c:pt idx="13">
                  <c:v>81</c:v>
                </c:pt>
                <c:pt idx="14">
                  <c:v>86</c:v>
                </c:pt>
                <c:pt idx="15">
                  <c:v>73</c:v>
                </c:pt>
                <c:pt idx="16">
                  <c:v>111</c:v>
                </c:pt>
                <c:pt idx="17">
                  <c:v>78</c:v>
                </c:pt>
                <c:pt idx="18">
                  <c:v>166</c:v>
                </c:pt>
                <c:pt idx="19">
                  <c:v>145</c:v>
                </c:pt>
                <c:pt idx="20">
                  <c:v>121</c:v>
                </c:pt>
                <c:pt idx="21">
                  <c:v>114</c:v>
                </c:pt>
                <c:pt idx="22">
                  <c:v>115</c:v>
                </c:pt>
                <c:pt idx="23">
                  <c:v>111</c:v>
                </c:pt>
                <c:pt idx="24">
                  <c:v>75</c:v>
                </c:pt>
                <c:pt idx="25">
                  <c:v>102</c:v>
                </c:pt>
                <c:pt idx="26">
                  <c:v>147</c:v>
                </c:pt>
                <c:pt idx="27">
                  <c:v>85</c:v>
                </c:pt>
                <c:pt idx="28">
                  <c:v>118</c:v>
                </c:pt>
                <c:pt idx="29">
                  <c:v>125</c:v>
                </c:pt>
                <c:pt idx="30">
                  <c:v>137</c:v>
                </c:pt>
                <c:pt idx="31">
                  <c:v>140</c:v>
                </c:pt>
                <c:pt idx="32">
                  <c:v>130</c:v>
                </c:pt>
                <c:pt idx="33">
                  <c:v>119</c:v>
                </c:pt>
                <c:pt idx="34">
                  <c:v>143</c:v>
                </c:pt>
                <c:pt idx="35">
                  <c:v>142</c:v>
                </c:pt>
                <c:pt idx="36">
                  <c:v>103</c:v>
                </c:pt>
                <c:pt idx="37">
                  <c:v>121</c:v>
                </c:pt>
                <c:pt idx="38">
                  <c:v>146</c:v>
                </c:pt>
                <c:pt idx="39">
                  <c:v>129</c:v>
                </c:pt>
                <c:pt idx="40">
                  <c:v>155</c:v>
                </c:pt>
                <c:pt idx="41">
                  <c:v>132</c:v>
                </c:pt>
                <c:pt idx="42">
                  <c:v>167</c:v>
                </c:pt>
                <c:pt idx="43">
                  <c:v>120</c:v>
                </c:pt>
                <c:pt idx="44">
                  <c:v>129</c:v>
                </c:pt>
                <c:pt idx="45">
                  <c:v>135</c:v>
                </c:pt>
                <c:pt idx="46">
                  <c:v>155</c:v>
                </c:pt>
                <c:pt idx="47">
                  <c:v>145</c:v>
                </c:pt>
                <c:pt idx="48">
                  <c:v>97</c:v>
                </c:pt>
                <c:pt idx="49">
                  <c:v>110</c:v>
                </c:pt>
                <c:pt idx="50">
                  <c:v>132</c:v>
                </c:pt>
                <c:pt idx="51">
                  <c:v>110</c:v>
                </c:pt>
                <c:pt idx="52">
                  <c:v>145</c:v>
                </c:pt>
                <c:pt idx="53">
                  <c:v>144</c:v>
                </c:pt>
                <c:pt idx="54">
                  <c:v>131</c:v>
                </c:pt>
                <c:pt idx="55">
                  <c:v>121</c:v>
                </c:pt>
                <c:pt idx="56">
                  <c:v>151</c:v>
                </c:pt>
                <c:pt idx="57">
                  <c:v>140</c:v>
                </c:pt>
                <c:pt idx="58">
                  <c:v>148</c:v>
                </c:pt>
                <c:pt idx="59">
                  <c:v>166</c:v>
                </c:pt>
                <c:pt idx="60">
                  <c:v>253</c:v>
                </c:pt>
                <c:pt idx="61">
                  <c:v>202</c:v>
                </c:pt>
                <c:pt idx="62">
                  <c:v>204</c:v>
                </c:pt>
                <c:pt idx="63">
                  <c:v>175</c:v>
                </c:pt>
                <c:pt idx="64">
                  <c:v>207</c:v>
                </c:pt>
                <c:pt idx="65">
                  <c:v>188</c:v>
                </c:pt>
              </c:numCache>
            </c:numRef>
          </c:val>
          <c:smooth val="0"/>
          <c:extLst>
            <c:ext xmlns:c16="http://schemas.microsoft.com/office/drawing/2014/chart" uri="{C3380CC4-5D6E-409C-BE32-E72D297353CC}">
              <c16:uniqueId val="{00000002-2E42-4DDF-82B2-88A54939BAAC}"/>
            </c:ext>
          </c:extLst>
        </c:ser>
        <c:ser>
          <c:idx val="3"/>
          <c:order val="2"/>
          <c:tx>
            <c:strRef>
              <c:f>Inc_HF!$I$2</c:f>
              <c:strCache>
                <c:ptCount val="1"/>
                <c:pt idx="0">
                  <c:v>ARNI</c:v>
                </c:pt>
              </c:strCache>
            </c:strRef>
          </c:tx>
          <c:spPr>
            <a:ln w="28575" cap="rnd">
              <a:solidFill>
                <a:schemeClr val="accent4"/>
              </a:solidFill>
              <a:round/>
            </a:ln>
            <a:effectLst/>
          </c:spPr>
          <c:marker>
            <c:symbol val="none"/>
          </c:marker>
          <c:cat>
            <c:numRef>
              <c:f>Inc_HF!$C$3:$C$68</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Inc_HF!$I$3:$I$68</c:f>
              <c:numCache>
                <c:formatCode>General</c:formatCode>
                <c:ptCount val="66"/>
                <c:pt idx="0">
                  <c:v>185</c:v>
                </c:pt>
                <c:pt idx="1">
                  <c:v>256</c:v>
                </c:pt>
                <c:pt idx="2">
                  <c:v>298</c:v>
                </c:pt>
                <c:pt idx="3">
                  <c:v>232</c:v>
                </c:pt>
                <c:pt idx="4">
                  <c:v>321</c:v>
                </c:pt>
                <c:pt idx="5">
                  <c:v>313</c:v>
                </c:pt>
                <c:pt idx="6">
                  <c:v>337</c:v>
                </c:pt>
                <c:pt idx="7">
                  <c:v>323</c:v>
                </c:pt>
                <c:pt idx="8">
                  <c:v>289</c:v>
                </c:pt>
                <c:pt idx="9">
                  <c:v>344</c:v>
                </c:pt>
                <c:pt idx="10">
                  <c:v>403</c:v>
                </c:pt>
                <c:pt idx="11">
                  <c:v>291</c:v>
                </c:pt>
                <c:pt idx="12">
                  <c:v>249</c:v>
                </c:pt>
                <c:pt idx="13">
                  <c:v>312</c:v>
                </c:pt>
                <c:pt idx="14">
                  <c:v>314</c:v>
                </c:pt>
                <c:pt idx="15">
                  <c:v>304</c:v>
                </c:pt>
                <c:pt idx="16">
                  <c:v>361</c:v>
                </c:pt>
                <c:pt idx="17">
                  <c:v>346</c:v>
                </c:pt>
                <c:pt idx="18">
                  <c:v>377</c:v>
                </c:pt>
                <c:pt idx="19">
                  <c:v>406</c:v>
                </c:pt>
                <c:pt idx="20">
                  <c:v>439</c:v>
                </c:pt>
                <c:pt idx="21">
                  <c:v>432</c:v>
                </c:pt>
                <c:pt idx="22">
                  <c:v>418</c:v>
                </c:pt>
                <c:pt idx="23">
                  <c:v>389</c:v>
                </c:pt>
                <c:pt idx="24">
                  <c:v>302</c:v>
                </c:pt>
                <c:pt idx="25">
                  <c:v>351</c:v>
                </c:pt>
                <c:pt idx="26">
                  <c:v>382</c:v>
                </c:pt>
                <c:pt idx="27">
                  <c:v>265</c:v>
                </c:pt>
                <c:pt idx="28">
                  <c:v>337</c:v>
                </c:pt>
                <c:pt idx="29">
                  <c:v>373</c:v>
                </c:pt>
                <c:pt idx="30">
                  <c:v>387</c:v>
                </c:pt>
                <c:pt idx="31">
                  <c:v>390</c:v>
                </c:pt>
                <c:pt idx="32">
                  <c:v>380</c:v>
                </c:pt>
                <c:pt idx="33">
                  <c:v>440</c:v>
                </c:pt>
                <c:pt idx="34">
                  <c:v>452</c:v>
                </c:pt>
                <c:pt idx="35">
                  <c:v>405</c:v>
                </c:pt>
                <c:pt idx="36">
                  <c:v>300</c:v>
                </c:pt>
                <c:pt idx="37">
                  <c:v>346</c:v>
                </c:pt>
                <c:pt idx="38">
                  <c:v>440</c:v>
                </c:pt>
                <c:pt idx="39">
                  <c:v>442</c:v>
                </c:pt>
                <c:pt idx="40">
                  <c:v>454</c:v>
                </c:pt>
                <c:pt idx="41">
                  <c:v>437</c:v>
                </c:pt>
                <c:pt idx="42">
                  <c:v>502</c:v>
                </c:pt>
                <c:pt idx="43">
                  <c:v>511</c:v>
                </c:pt>
                <c:pt idx="44">
                  <c:v>511</c:v>
                </c:pt>
                <c:pt idx="45">
                  <c:v>471</c:v>
                </c:pt>
                <c:pt idx="46">
                  <c:v>506</c:v>
                </c:pt>
                <c:pt idx="47">
                  <c:v>415</c:v>
                </c:pt>
                <c:pt idx="48">
                  <c:v>315</c:v>
                </c:pt>
                <c:pt idx="49">
                  <c:v>432</c:v>
                </c:pt>
                <c:pt idx="50">
                  <c:v>524</c:v>
                </c:pt>
                <c:pt idx="51">
                  <c:v>397</c:v>
                </c:pt>
                <c:pt idx="52">
                  <c:v>491</c:v>
                </c:pt>
                <c:pt idx="53">
                  <c:v>466</c:v>
                </c:pt>
                <c:pt idx="54">
                  <c:v>416</c:v>
                </c:pt>
                <c:pt idx="55">
                  <c:v>555</c:v>
                </c:pt>
                <c:pt idx="56">
                  <c:v>611</c:v>
                </c:pt>
                <c:pt idx="57">
                  <c:v>558</c:v>
                </c:pt>
                <c:pt idx="58">
                  <c:v>573</c:v>
                </c:pt>
                <c:pt idx="59">
                  <c:v>484</c:v>
                </c:pt>
                <c:pt idx="60">
                  <c:v>432</c:v>
                </c:pt>
                <c:pt idx="61">
                  <c:v>431</c:v>
                </c:pt>
                <c:pt idx="62">
                  <c:v>455</c:v>
                </c:pt>
                <c:pt idx="63">
                  <c:v>399</c:v>
                </c:pt>
                <c:pt idx="64">
                  <c:v>486</c:v>
                </c:pt>
                <c:pt idx="65">
                  <c:v>467</c:v>
                </c:pt>
              </c:numCache>
            </c:numRef>
          </c:val>
          <c:smooth val="0"/>
          <c:extLst>
            <c:ext xmlns:c16="http://schemas.microsoft.com/office/drawing/2014/chart" uri="{C3380CC4-5D6E-409C-BE32-E72D297353CC}">
              <c16:uniqueId val="{00000003-2E42-4DDF-82B2-88A54939BAAC}"/>
            </c:ext>
          </c:extLst>
        </c:ser>
        <c:ser>
          <c:idx val="4"/>
          <c:order val="3"/>
          <c:tx>
            <c:strRef>
              <c:f>Inc_HF!$J$2</c:f>
              <c:strCache>
                <c:ptCount val="1"/>
                <c:pt idx="0">
                  <c:v>ARNI+BB</c:v>
                </c:pt>
              </c:strCache>
            </c:strRef>
          </c:tx>
          <c:spPr>
            <a:ln w="28575" cap="rnd">
              <a:solidFill>
                <a:schemeClr val="accent5"/>
              </a:solidFill>
              <a:round/>
            </a:ln>
            <a:effectLst/>
          </c:spPr>
          <c:marker>
            <c:symbol val="none"/>
          </c:marker>
          <c:cat>
            <c:numRef>
              <c:f>Inc_HF!$C$3:$C$68</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Inc_HF!$J$3:$J$68</c:f>
              <c:numCache>
                <c:formatCode>General</c:formatCode>
                <c:ptCount val="66"/>
                <c:pt idx="0">
                  <c:v>45</c:v>
                </c:pt>
                <c:pt idx="1">
                  <c:v>42</c:v>
                </c:pt>
                <c:pt idx="2">
                  <c:v>52</c:v>
                </c:pt>
                <c:pt idx="3">
                  <c:v>46</c:v>
                </c:pt>
                <c:pt idx="4">
                  <c:v>61</c:v>
                </c:pt>
                <c:pt idx="5">
                  <c:v>83</c:v>
                </c:pt>
                <c:pt idx="6">
                  <c:v>73</c:v>
                </c:pt>
                <c:pt idx="7">
                  <c:v>86</c:v>
                </c:pt>
                <c:pt idx="8">
                  <c:v>81</c:v>
                </c:pt>
                <c:pt idx="9">
                  <c:v>101</c:v>
                </c:pt>
                <c:pt idx="10">
                  <c:v>98</c:v>
                </c:pt>
                <c:pt idx="11">
                  <c:v>76</c:v>
                </c:pt>
                <c:pt idx="12">
                  <c:v>68</c:v>
                </c:pt>
                <c:pt idx="13">
                  <c:v>67</c:v>
                </c:pt>
                <c:pt idx="14">
                  <c:v>70</c:v>
                </c:pt>
                <c:pt idx="15">
                  <c:v>80</c:v>
                </c:pt>
                <c:pt idx="16">
                  <c:v>95</c:v>
                </c:pt>
                <c:pt idx="17">
                  <c:v>100</c:v>
                </c:pt>
                <c:pt idx="18">
                  <c:v>117</c:v>
                </c:pt>
                <c:pt idx="19">
                  <c:v>121</c:v>
                </c:pt>
                <c:pt idx="20">
                  <c:v>139</c:v>
                </c:pt>
                <c:pt idx="21">
                  <c:v>129</c:v>
                </c:pt>
                <c:pt idx="22">
                  <c:v>135</c:v>
                </c:pt>
                <c:pt idx="23">
                  <c:v>127</c:v>
                </c:pt>
                <c:pt idx="24">
                  <c:v>99</c:v>
                </c:pt>
                <c:pt idx="25">
                  <c:v>97</c:v>
                </c:pt>
                <c:pt idx="26">
                  <c:v>130</c:v>
                </c:pt>
                <c:pt idx="27">
                  <c:v>94</c:v>
                </c:pt>
                <c:pt idx="28">
                  <c:v>145</c:v>
                </c:pt>
                <c:pt idx="29">
                  <c:v>122</c:v>
                </c:pt>
                <c:pt idx="30">
                  <c:v>151</c:v>
                </c:pt>
                <c:pt idx="31">
                  <c:v>147</c:v>
                </c:pt>
                <c:pt idx="32">
                  <c:v>175</c:v>
                </c:pt>
                <c:pt idx="33">
                  <c:v>182</c:v>
                </c:pt>
                <c:pt idx="34">
                  <c:v>141</c:v>
                </c:pt>
                <c:pt idx="35">
                  <c:v>168</c:v>
                </c:pt>
                <c:pt idx="36">
                  <c:v>92</c:v>
                </c:pt>
                <c:pt idx="37">
                  <c:v>137</c:v>
                </c:pt>
                <c:pt idx="38">
                  <c:v>177</c:v>
                </c:pt>
                <c:pt idx="39">
                  <c:v>144</c:v>
                </c:pt>
                <c:pt idx="40">
                  <c:v>140</c:v>
                </c:pt>
                <c:pt idx="41">
                  <c:v>174</c:v>
                </c:pt>
                <c:pt idx="42">
                  <c:v>180</c:v>
                </c:pt>
                <c:pt idx="43">
                  <c:v>208</c:v>
                </c:pt>
                <c:pt idx="44">
                  <c:v>212</c:v>
                </c:pt>
                <c:pt idx="45">
                  <c:v>201</c:v>
                </c:pt>
                <c:pt idx="46">
                  <c:v>185</c:v>
                </c:pt>
                <c:pt idx="47">
                  <c:v>217</c:v>
                </c:pt>
                <c:pt idx="48">
                  <c:v>120</c:v>
                </c:pt>
                <c:pt idx="49">
                  <c:v>146</c:v>
                </c:pt>
                <c:pt idx="50">
                  <c:v>174</c:v>
                </c:pt>
                <c:pt idx="51">
                  <c:v>142</c:v>
                </c:pt>
                <c:pt idx="52">
                  <c:v>182</c:v>
                </c:pt>
                <c:pt idx="53">
                  <c:v>179</c:v>
                </c:pt>
                <c:pt idx="54">
                  <c:v>197</c:v>
                </c:pt>
                <c:pt idx="55">
                  <c:v>228</c:v>
                </c:pt>
                <c:pt idx="56">
                  <c:v>209</c:v>
                </c:pt>
                <c:pt idx="57">
                  <c:v>204</c:v>
                </c:pt>
                <c:pt idx="58">
                  <c:v>200</c:v>
                </c:pt>
                <c:pt idx="59">
                  <c:v>192</c:v>
                </c:pt>
                <c:pt idx="60">
                  <c:v>160</c:v>
                </c:pt>
                <c:pt idx="61">
                  <c:v>170</c:v>
                </c:pt>
                <c:pt idx="62">
                  <c:v>216</c:v>
                </c:pt>
                <c:pt idx="63">
                  <c:v>179</c:v>
                </c:pt>
                <c:pt idx="64">
                  <c:v>220</c:v>
                </c:pt>
                <c:pt idx="65">
                  <c:v>213</c:v>
                </c:pt>
              </c:numCache>
            </c:numRef>
          </c:val>
          <c:smooth val="0"/>
          <c:extLst>
            <c:ext xmlns:c16="http://schemas.microsoft.com/office/drawing/2014/chart" uri="{C3380CC4-5D6E-409C-BE32-E72D297353CC}">
              <c16:uniqueId val="{00000004-2E42-4DDF-82B2-88A54939BAAC}"/>
            </c:ext>
          </c:extLst>
        </c:ser>
        <c:ser>
          <c:idx val="5"/>
          <c:order val="4"/>
          <c:tx>
            <c:strRef>
              <c:f>Inc_HF!$K$2</c:f>
              <c:strCache>
                <c:ptCount val="1"/>
                <c:pt idx="0">
                  <c:v>ARNI+HCN</c:v>
                </c:pt>
              </c:strCache>
            </c:strRef>
          </c:tx>
          <c:spPr>
            <a:ln w="28575" cap="rnd">
              <a:solidFill>
                <a:schemeClr val="accent6"/>
              </a:solidFill>
              <a:round/>
            </a:ln>
            <a:effectLst/>
          </c:spPr>
          <c:marker>
            <c:symbol val="none"/>
          </c:marker>
          <c:cat>
            <c:numRef>
              <c:f>Inc_HF!$C$3:$C$68</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Inc_HF!$K$3:$K$68</c:f>
              <c:numCache>
                <c:formatCode>General</c:formatCode>
                <c:ptCount val="66"/>
                <c:pt idx="0">
                  <c:v>4</c:v>
                </c:pt>
                <c:pt idx="1">
                  <c:v>3</c:v>
                </c:pt>
                <c:pt idx="2">
                  <c:v>3</c:v>
                </c:pt>
                <c:pt idx="3">
                  <c:v>5</c:v>
                </c:pt>
                <c:pt idx="4">
                  <c:v>6</c:v>
                </c:pt>
                <c:pt idx="5">
                  <c:v>4</c:v>
                </c:pt>
                <c:pt idx="6">
                  <c:v>6</c:v>
                </c:pt>
                <c:pt idx="7">
                  <c:v>6</c:v>
                </c:pt>
                <c:pt idx="8">
                  <c:v>5</c:v>
                </c:pt>
                <c:pt idx="9">
                  <c:v>5</c:v>
                </c:pt>
                <c:pt idx="10">
                  <c:v>6</c:v>
                </c:pt>
                <c:pt idx="11">
                  <c:v>5</c:v>
                </c:pt>
                <c:pt idx="12">
                  <c:v>4</c:v>
                </c:pt>
                <c:pt idx="13">
                  <c:v>4</c:v>
                </c:pt>
                <c:pt idx="14">
                  <c:v>3</c:v>
                </c:pt>
                <c:pt idx="15">
                  <c:v>3</c:v>
                </c:pt>
                <c:pt idx="16">
                  <c:v>1</c:v>
                </c:pt>
                <c:pt idx="17">
                  <c:v>2</c:v>
                </c:pt>
                <c:pt idx="18">
                  <c:v>8</c:v>
                </c:pt>
                <c:pt idx="19">
                  <c:v>5</c:v>
                </c:pt>
                <c:pt idx="20">
                  <c:v>6</c:v>
                </c:pt>
                <c:pt idx="21">
                  <c:v>7</c:v>
                </c:pt>
                <c:pt idx="22">
                  <c:v>3</c:v>
                </c:pt>
                <c:pt idx="23">
                  <c:v>4</c:v>
                </c:pt>
                <c:pt idx="24">
                  <c:v>6</c:v>
                </c:pt>
                <c:pt idx="25">
                  <c:v>4</c:v>
                </c:pt>
                <c:pt idx="26">
                  <c:v>5</c:v>
                </c:pt>
                <c:pt idx="27">
                  <c:v>5</c:v>
                </c:pt>
                <c:pt idx="28">
                  <c:v>7</c:v>
                </c:pt>
                <c:pt idx="29">
                  <c:v>6</c:v>
                </c:pt>
                <c:pt idx="30">
                  <c:v>5</c:v>
                </c:pt>
                <c:pt idx="31">
                  <c:v>6</c:v>
                </c:pt>
                <c:pt idx="32">
                  <c:v>5</c:v>
                </c:pt>
                <c:pt idx="33">
                  <c:v>9</c:v>
                </c:pt>
                <c:pt idx="34">
                  <c:v>12</c:v>
                </c:pt>
                <c:pt idx="35">
                  <c:v>7</c:v>
                </c:pt>
                <c:pt idx="36">
                  <c:v>6</c:v>
                </c:pt>
                <c:pt idx="37">
                  <c:v>5</c:v>
                </c:pt>
                <c:pt idx="38">
                  <c:v>17</c:v>
                </c:pt>
                <c:pt idx="39">
                  <c:v>7</c:v>
                </c:pt>
                <c:pt idx="40">
                  <c:v>7</c:v>
                </c:pt>
                <c:pt idx="41">
                  <c:v>3</c:v>
                </c:pt>
                <c:pt idx="42">
                  <c:v>10</c:v>
                </c:pt>
                <c:pt idx="43">
                  <c:v>12</c:v>
                </c:pt>
                <c:pt idx="44">
                  <c:v>9</c:v>
                </c:pt>
                <c:pt idx="45">
                  <c:v>16</c:v>
                </c:pt>
                <c:pt idx="46">
                  <c:v>10</c:v>
                </c:pt>
                <c:pt idx="47">
                  <c:v>7</c:v>
                </c:pt>
                <c:pt idx="48">
                  <c:v>6</c:v>
                </c:pt>
                <c:pt idx="49">
                  <c:v>11</c:v>
                </c:pt>
                <c:pt idx="50">
                  <c:v>10</c:v>
                </c:pt>
                <c:pt idx="51">
                  <c:v>10</c:v>
                </c:pt>
                <c:pt idx="52">
                  <c:v>10</c:v>
                </c:pt>
                <c:pt idx="53">
                  <c:v>9</c:v>
                </c:pt>
                <c:pt idx="54">
                  <c:v>4</c:v>
                </c:pt>
                <c:pt idx="55">
                  <c:v>5</c:v>
                </c:pt>
                <c:pt idx="56">
                  <c:v>7</c:v>
                </c:pt>
                <c:pt idx="57">
                  <c:v>11</c:v>
                </c:pt>
                <c:pt idx="58">
                  <c:v>6</c:v>
                </c:pt>
                <c:pt idx="59">
                  <c:v>7</c:v>
                </c:pt>
                <c:pt idx="60">
                  <c:v>5</c:v>
                </c:pt>
                <c:pt idx="61">
                  <c:v>10</c:v>
                </c:pt>
                <c:pt idx="62">
                  <c:v>11</c:v>
                </c:pt>
                <c:pt idx="63">
                  <c:v>5</c:v>
                </c:pt>
                <c:pt idx="64">
                  <c:v>5</c:v>
                </c:pt>
                <c:pt idx="65">
                  <c:v>8</c:v>
                </c:pt>
              </c:numCache>
            </c:numRef>
          </c:val>
          <c:smooth val="0"/>
          <c:extLst>
            <c:ext xmlns:c16="http://schemas.microsoft.com/office/drawing/2014/chart" uri="{C3380CC4-5D6E-409C-BE32-E72D297353CC}">
              <c16:uniqueId val="{00000005-2E42-4DDF-82B2-88A54939BAAC}"/>
            </c:ext>
          </c:extLst>
        </c:ser>
        <c:ser>
          <c:idx val="6"/>
          <c:order val="5"/>
          <c:tx>
            <c:strRef>
              <c:f>Inc_HF!$L$2</c:f>
              <c:strCache>
                <c:ptCount val="1"/>
                <c:pt idx="0">
                  <c:v>BB+HCN</c:v>
                </c:pt>
              </c:strCache>
            </c:strRef>
          </c:tx>
          <c:spPr>
            <a:ln w="28575" cap="rnd">
              <a:solidFill>
                <a:schemeClr val="accent1">
                  <a:lumMod val="60000"/>
                </a:schemeClr>
              </a:solidFill>
              <a:round/>
            </a:ln>
            <a:effectLst/>
          </c:spPr>
          <c:marker>
            <c:symbol val="none"/>
          </c:marker>
          <c:cat>
            <c:numRef>
              <c:f>Inc_HF!$C$3:$C$68</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Inc_HF!$L$3:$L$68</c:f>
              <c:numCache>
                <c:formatCode>General</c:formatCode>
                <c:ptCount val="66"/>
                <c:pt idx="0">
                  <c:v>7</c:v>
                </c:pt>
                <c:pt idx="1">
                  <c:v>7</c:v>
                </c:pt>
                <c:pt idx="2">
                  <c:v>12</c:v>
                </c:pt>
                <c:pt idx="3">
                  <c:v>10</c:v>
                </c:pt>
                <c:pt idx="4">
                  <c:v>13</c:v>
                </c:pt>
                <c:pt idx="5">
                  <c:v>14</c:v>
                </c:pt>
                <c:pt idx="6">
                  <c:v>12</c:v>
                </c:pt>
                <c:pt idx="7">
                  <c:v>12</c:v>
                </c:pt>
                <c:pt idx="8">
                  <c:v>23</c:v>
                </c:pt>
                <c:pt idx="9">
                  <c:v>9</c:v>
                </c:pt>
                <c:pt idx="10">
                  <c:v>15</c:v>
                </c:pt>
                <c:pt idx="11">
                  <c:v>18</c:v>
                </c:pt>
                <c:pt idx="12">
                  <c:v>11</c:v>
                </c:pt>
                <c:pt idx="13">
                  <c:v>11</c:v>
                </c:pt>
                <c:pt idx="14">
                  <c:v>12</c:v>
                </c:pt>
                <c:pt idx="15">
                  <c:v>12</c:v>
                </c:pt>
                <c:pt idx="16">
                  <c:v>15</c:v>
                </c:pt>
                <c:pt idx="17">
                  <c:v>17</c:v>
                </c:pt>
                <c:pt idx="18">
                  <c:v>16</c:v>
                </c:pt>
                <c:pt idx="19">
                  <c:v>18</c:v>
                </c:pt>
                <c:pt idx="20">
                  <c:v>17</c:v>
                </c:pt>
                <c:pt idx="21">
                  <c:v>8</c:v>
                </c:pt>
                <c:pt idx="22">
                  <c:v>12</c:v>
                </c:pt>
                <c:pt idx="23">
                  <c:v>17</c:v>
                </c:pt>
                <c:pt idx="24">
                  <c:v>19</c:v>
                </c:pt>
                <c:pt idx="25">
                  <c:v>12</c:v>
                </c:pt>
                <c:pt idx="26">
                  <c:v>12</c:v>
                </c:pt>
                <c:pt idx="27">
                  <c:v>8</c:v>
                </c:pt>
                <c:pt idx="28">
                  <c:v>6</c:v>
                </c:pt>
                <c:pt idx="29">
                  <c:v>10</c:v>
                </c:pt>
                <c:pt idx="30">
                  <c:v>12</c:v>
                </c:pt>
                <c:pt idx="31">
                  <c:v>20</c:v>
                </c:pt>
                <c:pt idx="32">
                  <c:v>11</c:v>
                </c:pt>
                <c:pt idx="33">
                  <c:v>12</c:v>
                </c:pt>
                <c:pt idx="34">
                  <c:v>9</c:v>
                </c:pt>
                <c:pt idx="35">
                  <c:v>14</c:v>
                </c:pt>
                <c:pt idx="36">
                  <c:v>12</c:v>
                </c:pt>
                <c:pt idx="37">
                  <c:v>7</c:v>
                </c:pt>
                <c:pt idx="38">
                  <c:v>11</c:v>
                </c:pt>
                <c:pt idx="39">
                  <c:v>8</c:v>
                </c:pt>
                <c:pt idx="40">
                  <c:v>13</c:v>
                </c:pt>
                <c:pt idx="41">
                  <c:v>21</c:v>
                </c:pt>
                <c:pt idx="42">
                  <c:v>12</c:v>
                </c:pt>
                <c:pt idx="43">
                  <c:v>13</c:v>
                </c:pt>
                <c:pt idx="44">
                  <c:v>13</c:v>
                </c:pt>
                <c:pt idx="45">
                  <c:v>13</c:v>
                </c:pt>
                <c:pt idx="46">
                  <c:v>10</c:v>
                </c:pt>
                <c:pt idx="47">
                  <c:v>7</c:v>
                </c:pt>
                <c:pt idx="48">
                  <c:v>6</c:v>
                </c:pt>
                <c:pt idx="49">
                  <c:v>4</c:v>
                </c:pt>
                <c:pt idx="50">
                  <c:v>7</c:v>
                </c:pt>
                <c:pt idx="51">
                  <c:v>4</c:v>
                </c:pt>
                <c:pt idx="52">
                  <c:v>14</c:v>
                </c:pt>
                <c:pt idx="53">
                  <c:v>12</c:v>
                </c:pt>
                <c:pt idx="54">
                  <c:v>5</c:v>
                </c:pt>
                <c:pt idx="55">
                  <c:v>17</c:v>
                </c:pt>
                <c:pt idx="56">
                  <c:v>12</c:v>
                </c:pt>
                <c:pt idx="57">
                  <c:v>11</c:v>
                </c:pt>
                <c:pt idx="58">
                  <c:v>11</c:v>
                </c:pt>
                <c:pt idx="59">
                  <c:v>7</c:v>
                </c:pt>
                <c:pt idx="60">
                  <c:v>8</c:v>
                </c:pt>
                <c:pt idx="61">
                  <c:v>8</c:v>
                </c:pt>
                <c:pt idx="62">
                  <c:v>5</c:v>
                </c:pt>
                <c:pt idx="63">
                  <c:v>5</c:v>
                </c:pt>
                <c:pt idx="64">
                  <c:v>4</c:v>
                </c:pt>
                <c:pt idx="65">
                  <c:v>3</c:v>
                </c:pt>
              </c:numCache>
            </c:numRef>
          </c:val>
          <c:smooth val="0"/>
          <c:extLst>
            <c:ext xmlns:c16="http://schemas.microsoft.com/office/drawing/2014/chart" uri="{C3380CC4-5D6E-409C-BE32-E72D297353CC}">
              <c16:uniqueId val="{00000006-2E42-4DDF-82B2-88A54939BAAC}"/>
            </c:ext>
          </c:extLst>
        </c:ser>
        <c:ser>
          <c:idx val="7"/>
          <c:order val="6"/>
          <c:tx>
            <c:strRef>
              <c:f>Inc_HF!$M$2</c:f>
              <c:strCache>
                <c:ptCount val="1"/>
                <c:pt idx="0">
                  <c:v>BB+MRA</c:v>
                </c:pt>
              </c:strCache>
            </c:strRef>
          </c:tx>
          <c:spPr>
            <a:ln w="28575" cap="rnd">
              <a:solidFill>
                <a:schemeClr val="accent2">
                  <a:lumMod val="60000"/>
                </a:schemeClr>
              </a:solidFill>
              <a:round/>
            </a:ln>
            <a:effectLst/>
          </c:spPr>
          <c:marker>
            <c:symbol val="none"/>
          </c:marker>
          <c:cat>
            <c:numRef>
              <c:f>Inc_HF!$C$3:$C$68</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Inc_HF!$M$3:$M$68</c:f>
              <c:numCache>
                <c:formatCode>General</c:formatCode>
                <c:ptCount val="66"/>
                <c:pt idx="0">
                  <c:v>34</c:v>
                </c:pt>
                <c:pt idx="1">
                  <c:v>28</c:v>
                </c:pt>
                <c:pt idx="2">
                  <c:v>33</c:v>
                </c:pt>
                <c:pt idx="3">
                  <c:v>20</c:v>
                </c:pt>
                <c:pt idx="4">
                  <c:v>22</c:v>
                </c:pt>
                <c:pt idx="5">
                  <c:v>29</c:v>
                </c:pt>
                <c:pt idx="6">
                  <c:v>40</c:v>
                </c:pt>
                <c:pt idx="7">
                  <c:v>42</c:v>
                </c:pt>
                <c:pt idx="8">
                  <c:v>31</c:v>
                </c:pt>
                <c:pt idx="9">
                  <c:v>41</c:v>
                </c:pt>
                <c:pt idx="10">
                  <c:v>27</c:v>
                </c:pt>
                <c:pt idx="11">
                  <c:v>29</c:v>
                </c:pt>
                <c:pt idx="12">
                  <c:v>19</c:v>
                </c:pt>
                <c:pt idx="13">
                  <c:v>21</c:v>
                </c:pt>
                <c:pt idx="14">
                  <c:v>38</c:v>
                </c:pt>
                <c:pt idx="15">
                  <c:v>33</c:v>
                </c:pt>
                <c:pt idx="16">
                  <c:v>36</c:v>
                </c:pt>
                <c:pt idx="17">
                  <c:v>30</c:v>
                </c:pt>
                <c:pt idx="18">
                  <c:v>37</c:v>
                </c:pt>
                <c:pt idx="19">
                  <c:v>34</c:v>
                </c:pt>
                <c:pt idx="20">
                  <c:v>26</c:v>
                </c:pt>
                <c:pt idx="21">
                  <c:v>31</c:v>
                </c:pt>
                <c:pt idx="22">
                  <c:v>41</c:v>
                </c:pt>
                <c:pt idx="23">
                  <c:v>40</c:v>
                </c:pt>
                <c:pt idx="24">
                  <c:v>36</c:v>
                </c:pt>
                <c:pt idx="25">
                  <c:v>26</c:v>
                </c:pt>
                <c:pt idx="26">
                  <c:v>21</c:v>
                </c:pt>
                <c:pt idx="27">
                  <c:v>30</c:v>
                </c:pt>
                <c:pt idx="28">
                  <c:v>40</c:v>
                </c:pt>
                <c:pt idx="29">
                  <c:v>39</c:v>
                </c:pt>
                <c:pt idx="30">
                  <c:v>43</c:v>
                </c:pt>
                <c:pt idx="31">
                  <c:v>28</c:v>
                </c:pt>
                <c:pt idx="32">
                  <c:v>30</c:v>
                </c:pt>
                <c:pt idx="33">
                  <c:v>37</c:v>
                </c:pt>
                <c:pt idx="34">
                  <c:v>44</c:v>
                </c:pt>
                <c:pt idx="35">
                  <c:v>40</c:v>
                </c:pt>
                <c:pt idx="36">
                  <c:v>37</c:v>
                </c:pt>
                <c:pt idx="37">
                  <c:v>41</c:v>
                </c:pt>
                <c:pt idx="38">
                  <c:v>42</c:v>
                </c:pt>
                <c:pt idx="39">
                  <c:v>34</c:v>
                </c:pt>
                <c:pt idx="40">
                  <c:v>31</c:v>
                </c:pt>
                <c:pt idx="41">
                  <c:v>36</c:v>
                </c:pt>
                <c:pt idx="42">
                  <c:v>45</c:v>
                </c:pt>
                <c:pt idx="43">
                  <c:v>51</c:v>
                </c:pt>
                <c:pt idx="44">
                  <c:v>43</c:v>
                </c:pt>
                <c:pt idx="45">
                  <c:v>48</c:v>
                </c:pt>
                <c:pt idx="46">
                  <c:v>41</c:v>
                </c:pt>
                <c:pt idx="47">
                  <c:v>37</c:v>
                </c:pt>
                <c:pt idx="48">
                  <c:v>20</c:v>
                </c:pt>
                <c:pt idx="49">
                  <c:v>23</c:v>
                </c:pt>
                <c:pt idx="50">
                  <c:v>33</c:v>
                </c:pt>
                <c:pt idx="51">
                  <c:v>29</c:v>
                </c:pt>
                <c:pt idx="52">
                  <c:v>25</c:v>
                </c:pt>
                <c:pt idx="53">
                  <c:v>22</c:v>
                </c:pt>
                <c:pt idx="54">
                  <c:v>33</c:v>
                </c:pt>
                <c:pt idx="55">
                  <c:v>26</c:v>
                </c:pt>
                <c:pt idx="56">
                  <c:v>24</c:v>
                </c:pt>
                <c:pt idx="57">
                  <c:v>21</c:v>
                </c:pt>
                <c:pt idx="58">
                  <c:v>21</c:v>
                </c:pt>
                <c:pt idx="59">
                  <c:v>37</c:v>
                </c:pt>
                <c:pt idx="60">
                  <c:v>26</c:v>
                </c:pt>
                <c:pt idx="61">
                  <c:v>18</c:v>
                </c:pt>
                <c:pt idx="62">
                  <c:v>18</c:v>
                </c:pt>
                <c:pt idx="63">
                  <c:v>22</c:v>
                </c:pt>
                <c:pt idx="64">
                  <c:v>19</c:v>
                </c:pt>
                <c:pt idx="65">
                  <c:v>22</c:v>
                </c:pt>
              </c:numCache>
            </c:numRef>
          </c:val>
          <c:smooth val="0"/>
          <c:extLst>
            <c:ext xmlns:c16="http://schemas.microsoft.com/office/drawing/2014/chart" uri="{C3380CC4-5D6E-409C-BE32-E72D297353CC}">
              <c16:uniqueId val="{00000007-2E42-4DDF-82B2-88A54939BAAC}"/>
            </c:ext>
          </c:extLst>
        </c:ser>
        <c:ser>
          <c:idx val="8"/>
          <c:order val="7"/>
          <c:tx>
            <c:strRef>
              <c:f>Inc_HF!$P$2</c:f>
              <c:strCache>
                <c:ptCount val="1"/>
                <c:pt idx="0">
                  <c:v>ARNI+SGLT2</c:v>
                </c:pt>
              </c:strCache>
            </c:strRef>
          </c:tx>
          <c:spPr>
            <a:ln w="28575" cap="rnd">
              <a:solidFill>
                <a:schemeClr val="accent3">
                  <a:lumMod val="60000"/>
                </a:schemeClr>
              </a:solidFill>
              <a:round/>
            </a:ln>
            <a:effectLst/>
          </c:spPr>
          <c:marker>
            <c:symbol val="none"/>
          </c:marker>
          <c:cat>
            <c:numRef>
              <c:f>Inc_HF!$C$3:$C$68</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Inc_HF!$P$3:$P$68</c:f>
              <c:numCache>
                <c:formatCode>General</c:formatCode>
                <c:ptCount val="66"/>
                <c:pt idx="48">
                  <c:v>18</c:v>
                </c:pt>
                <c:pt idx="49">
                  <c:v>33</c:v>
                </c:pt>
                <c:pt idx="50">
                  <c:v>65</c:v>
                </c:pt>
                <c:pt idx="51">
                  <c:v>51</c:v>
                </c:pt>
                <c:pt idx="52">
                  <c:v>86</c:v>
                </c:pt>
                <c:pt idx="53">
                  <c:v>83</c:v>
                </c:pt>
                <c:pt idx="54">
                  <c:v>112</c:v>
                </c:pt>
                <c:pt idx="55">
                  <c:v>140</c:v>
                </c:pt>
                <c:pt idx="56">
                  <c:v>185</c:v>
                </c:pt>
                <c:pt idx="57">
                  <c:v>184</c:v>
                </c:pt>
                <c:pt idx="58">
                  <c:v>200</c:v>
                </c:pt>
                <c:pt idx="59">
                  <c:v>173</c:v>
                </c:pt>
                <c:pt idx="60">
                  <c:v>159</c:v>
                </c:pt>
                <c:pt idx="61">
                  <c:v>164</c:v>
                </c:pt>
                <c:pt idx="62">
                  <c:v>209</c:v>
                </c:pt>
                <c:pt idx="63">
                  <c:v>154</c:v>
                </c:pt>
                <c:pt idx="64">
                  <c:v>240</c:v>
                </c:pt>
                <c:pt idx="65">
                  <c:v>220</c:v>
                </c:pt>
              </c:numCache>
            </c:numRef>
          </c:val>
          <c:smooth val="0"/>
          <c:extLst>
            <c:ext xmlns:c16="http://schemas.microsoft.com/office/drawing/2014/chart" uri="{C3380CC4-5D6E-409C-BE32-E72D297353CC}">
              <c16:uniqueId val="{00000008-2E42-4DDF-82B2-88A54939BAAC}"/>
            </c:ext>
          </c:extLst>
        </c:ser>
        <c:ser>
          <c:idx val="9"/>
          <c:order val="8"/>
          <c:tx>
            <c:strRef>
              <c:f>Inc_HF!$Q$2</c:f>
              <c:strCache>
                <c:ptCount val="1"/>
                <c:pt idx="0">
                  <c:v>BB+SGLT2</c:v>
                </c:pt>
              </c:strCache>
            </c:strRef>
          </c:tx>
          <c:spPr>
            <a:ln w="28575" cap="rnd">
              <a:solidFill>
                <a:schemeClr val="accent4">
                  <a:lumMod val="60000"/>
                </a:schemeClr>
              </a:solidFill>
              <a:round/>
            </a:ln>
            <a:effectLst/>
          </c:spPr>
          <c:marker>
            <c:symbol val="none"/>
          </c:marker>
          <c:cat>
            <c:numRef>
              <c:f>Inc_HF!$C$3:$C$68</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Inc_HF!$Q$3:$Q$68</c:f>
              <c:numCache>
                <c:formatCode>General</c:formatCode>
                <c:ptCount val="66"/>
                <c:pt idx="48">
                  <c:v>18</c:v>
                </c:pt>
                <c:pt idx="49">
                  <c:v>22</c:v>
                </c:pt>
                <c:pt idx="50">
                  <c:v>40</c:v>
                </c:pt>
                <c:pt idx="51">
                  <c:v>41</c:v>
                </c:pt>
                <c:pt idx="52">
                  <c:v>54</c:v>
                </c:pt>
                <c:pt idx="53">
                  <c:v>63</c:v>
                </c:pt>
                <c:pt idx="54">
                  <c:v>81</c:v>
                </c:pt>
                <c:pt idx="55">
                  <c:v>116</c:v>
                </c:pt>
                <c:pt idx="56">
                  <c:v>118</c:v>
                </c:pt>
                <c:pt idx="57">
                  <c:v>136</c:v>
                </c:pt>
                <c:pt idx="58">
                  <c:v>141</c:v>
                </c:pt>
                <c:pt idx="59">
                  <c:v>136</c:v>
                </c:pt>
                <c:pt idx="60">
                  <c:v>100</c:v>
                </c:pt>
                <c:pt idx="61">
                  <c:v>138</c:v>
                </c:pt>
                <c:pt idx="62">
                  <c:v>128</c:v>
                </c:pt>
                <c:pt idx="63">
                  <c:v>108</c:v>
                </c:pt>
                <c:pt idx="64">
                  <c:v>158</c:v>
                </c:pt>
                <c:pt idx="65">
                  <c:v>175</c:v>
                </c:pt>
              </c:numCache>
            </c:numRef>
          </c:val>
          <c:smooth val="0"/>
          <c:extLst>
            <c:ext xmlns:c16="http://schemas.microsoft.com/office/drawing/2014/chart" uri="{C3380CC4-5D6E-409C-BE32-E72D297353CC}">
              <c16:uniqueId val="{00000009-2E42-4DDF-82B2-88A54939BAAC}"/>
            </c:ext>
          </c:extLst>
        </c:ser>
        <c:ser>
          <c:idx val="10"/>
          <c:order val="9"/>
          <c:tx>
            <c:strRef>
              <c:f>Inc_HF!$S$2</c:f>
              <c:strCache>
                <c:ptCount val="1"/>
                <c:pt idx="0">
                  <c:v>MRA+SGLT2</c:v>
                </c:pt>
              </c:strCache>
            </c:strRef>
          </c:tx>
          <c:spPr>
            <a:ln w="28575" cap="rnd">
              <a:solidFill>
                <a:schemeClr val="accent5">
                  <a:lumMod val="60000"/>
                </a:schemeClr>
              </a:solidFill>
              <a:round/>
            </a:ln>
            <a:effectLst/>
          </c:spPr>
          <c:marker>
            <c:symbol val="none"/>
          </c:marker>
          <c:cat>
            <c:numRef>
              <c:f>Inc_HF!$C$3:$C$68</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Inc_HF!$S$3:$S$68</c:f>
              <c:numCache>
                <c:formatCode>General</c:formatCode>
                <c:ptCount val="66"/>
                <c:pt idx="48">
                  <c:v>8</c:v>
                </c:pt>
                <c:pt idx="49">
                  <c:v>3</c:v>
                </c:pt>
                <c:pt idx="50">
                  <c:v>7</c:v>
                </c:pt>
                <c:pt idx="51">
                  <c:v>6</c:v>
                </c:pt>
                <c:pt idx="52">
                  <c:v>8</c:v>
                </c:pt>
                <c:pt idx="53">
                  <c:v>13</c:v>
                </c:pt>
                <c:pt idx="54">
                  <c:v>17</c:v>
                </c:pt>
                <c:pt idx="55">
                  <c:v>10</c:v>
                </c:pt>
                <c:pt idx="56">
                  <c:v>23</c:v>
                </c:pt>
                <c:pt idx="57">
                  <c:v>18</c:v>
                </c:pt>
                <c:pt idx="58">
                  <c:v>13</c:v>
                </c:pt>
                <c:pt idx="59">
                  <c:v>16</c:v>
                </c:pt>
                <c:pt idx="60">
                  <c:v>20</c:v>
                </c:pt>
                <c:pt idx="61">
                  <c:v>13</c:v>
                </c:pt>
                <c:pt idx="62">
                  <c:v>26</c:v>
                </c:pt>
                <c:pt idx="63">
                  <c:v>24</c:v>
                </c:pt>
                <c:pt idx="64">
                  <c:v>26</c:v>
                </c:pt>
                <c:pt idx="65">
                  <c:v>32</c:v>
                </c:pt>
              </c:numCache>
            </c:numRef>
          </c:val>
          <c:smooth val="0"/>
          <c:extLst>
            <c:ext xmlns:c16="http://schemas.microsoft.com/office/drawing/2014/chart" uri="{C3380CC4-5D6E-409C-BE32-E72D297353CC}">
              <c16:uniqueId val="{0000000A-2E42-4DDF-82B2-88A54939BAAC}"/>
            </c:ext>
          </c:extLst>
        </c:ser>
        <c:ser>
          <c:idx val="11"/>
          <c:order val="10"/>
          <c:tx>
            <c:strRef>
              <c:f>Inc_HF!$T$2</c:f>
              <c:strCache>
                <c:ptCount val="1"/>
                <c:pt idx="0">
                  <c:v>SGLT2</c:v>
                </c:pt>
              </c:strCache>
            </c:strRef>
          </c:tx>
          <c:spPr>
            <a:ln w="28575" cap="rnd">
              <a:solidFill>
                <a:schemeClr val="accent6">
                  <a:lumMod val="60000"/>
                </a:schemeClr>
              </a:solidFill>
              <a:round/>
            </a:ln>
            <a:effectLst/>
          </c:spPr>
          <c:marker>
            <c:symbol val="none"/>
          </c:marker>
          <c:cat>
            <c:numRef>
              <c:f>Inc_HF!$C$3:$C$68</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Inc_HF!$T$3:$T$68</c:f>
              <c:numCache>
                <c:formatCode>General</c:formatCode>
                <c:ptCount val="66"/>
                <c:pt idx="48">
                  <c:v>365</c:v>
                </c:pt>
                <c:pt idx="49">
                  <c:v>510</c:v>
                </c:pt>
                <c:pt idx="50">
                  <c:v>699</c:v>
                </c:pt>
                <c:pt idx="51">
                  <c:v>1032</c:v>
                </c:pt>
                <c:pt idx="52">
                  <c:v>1317</c:v>
                </c:pt>
                <c:pt idx="53">
                  <c:v>1395</c:v>
                </c:pt>
                <c:pt idx="54">
                  <c:v>1518</c:v>
                </c:pt>
                <c:pt idx="55">
                  <c:v>1688</c:v>
                </c:pt>
                <c:pt idx="56">
                  <c:v>1730</c:v>
                </c:pt>
                <c:pt idx="57">
                  <c:v>1697</c:v>
                </c:pt>
                <c:pt idx="58">
                  <c:v>1762</c:v>
                </c:pt>
                <c:pt idx="59">
                  <c:v>1518</c:v>
                </c:pt>
                <c:pt idx="60">
                  <c:v>1231</c:v>
                </c:pt>
                <c:pt idx="61">
                  <c:v>1430</c:v>
                </c:pt>
                <c:pt idx="62">
                  <c:v>1554</c:v>
                </c:pt>
                <c:pt idx="63">
                  <c:v>1378</c:v>
                </c:pt>
                <c:pt idx="64">
                  <c:v>1648</c:v>
                </c:pt>
                <c:pt idx="65">
                  <c:v>1551</c:v>
                </c:pt>
              </c:numCache>
            </c:numRef>
          </c:val>
          <c:smooth val="0"/>
          <c:extLst>
            <c:ext xmlns:c16="http://schemas.microsoft.com/office/drawing/2014/chart" uri="{C3380CC4-5D6E-409C-BE32-E72D297353CC}">
              <c16:uniqueId val="{0000000B-2E42-4DDF-82B2-88A54939BAAC}"/>
            </c:ext>
          </c:extLst>
        </c:ser>
        <c:dLbls>
          <c:showLegendKey val="0"/>
          <c:showVal val="0"/>
          <c:showCatName val="0"/>
          <c:showSerName val="0"/>
          <c:showPercent val="0"/>
          <c:showBubbleSize val="0"/>
        </c:dLbls>
        <c:smooth val="0"/>
        <c:axId val="211144392"/>
        <c:axId val="1"/>
      </c:lineChart>
      <c:dateAx>
        <c:axId val="211144392"/>
        <c:scaling>
          <c:orientation val="minMax"/>
        </c:scaling>
        <c:delete val="0"/>
        <c:axPos val="b"/>
        <c:numFmt formatCode="mmm\-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Offset val="100"/>
        <c:baseTimeUnit val="months"/>
        <c:majorUnit val="2"/>
        <c:majorTimeUnit val="months"/>
      </c:dateAx>
      <c:valAx>
        <c:axId val="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people</a:t>
                </a:r>
              </a:p>
            </c:rich>
          </c:tx>
          <c:overlay val="0"/>
          <c:spPr>
            <a:noFill/>
            <a:ln w="25400">
              <a:noFill/>
            </a:ln>
          </c:spPr>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144392"/>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81714785651792"/>
          <c:y val="8.7432187798955022E-2"/>
          <c:w val="0.77544641294838135"/>
          <c:h val="0.59207741555670024"/>
        </c:manualLayout>
      </c:layout>
      <c:lineChart>
        <c:grouping val="standard"/>
        <c:varyColors val="0"/>
        <c:ser>
          <c:idx val="0"/>
          <c:order val="0"/>
          <c:tx>
            <c:strRef>
              <c:f>Inc_HF_Class!$D$2</c:f>
              <c:strCache>
                <c:ptCount val="1"/>
                <c:pt idx="0">
                  <c:v>BB</c:v>
                </c:pt>
              </c:strCache>
            </c:strRef>
          </c:tx>
          <c:spPr>
            <a:ln w="28575" cap="rnd">
              <a:solidFill>
                <a:schemeClr val="accent1"/>
              </a:solidFill>
              <a:round/>
            </a:ln>
            <a:effectLst/>
          </c:spPr>
          <c:marker>
            <c:symbol val="none"/>
          </c:marker>
          <c:cat>
            <c:numRef>
              <c:f>Inc_HF_Class!$C$3:$C$68</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Inc_HF_Class!$D$3:$D$68</c:f>
              <c:numCache>
                <c:formatCode>General</c:formatCode>
                <c:ptCount val="66"/>
                <c:pt idx="0">
                  <c:v>3057</c:v>
                </c:pt>
                <c:pt idx="1">
                  <c:v>3174</c:v>
                </c:pt>
                <c:pt idx="2">
                  <c:v>3564</c:v>
                </c:pt>
                <c:pt idx="3">
                  <c:v>3101</c:v>
                </c:pt>
                <c:pt idx="4">
                  <c:v>3822</c:v>
                </c:pt>
                <c:pt idx="5">
                  <c:v>3766</c:v>
                </c:pt>
                <c:pt idx="6">
                  <c:v>3974</c:v>
                </c:pt>
                <c:pt idx="7">
                  <c:v>4442</c:v>
                </c:pt>
                <c:pt idx="8">
                  <c:v>4255</c:v>
                </c:pt>
                <c:pt idx="9">
                  <c:v>4560</c:v>
                </c:pt>
                <c:pt idx="10">
                  <c:v>4799</c:v>
                </c:pt>
                <c:pt idx="11">
                  <c:v>4621</c:v>
                </c:pt>
                <c:pt idx="12">
                  <c:v>3386</c:v>
                </c:pt>
                <c:pt idx="13">
                  <c:v>3411</c:v>
                </c:pt>
                <c:pt idx="14">
                  <c:v>3807</c:v>
                </c:pt>
                <c:pt idx="15">
                  <c:v>3543</c:v>
                </c:pt>
                <c:pt idx="16">
                  <c:v>4358</c:v>
                </c:pt>
                <c:pt idx="17">
                  <c:v>3973</c:v>
                </c:pt>
                <c:pt idx="18">
                  <c:v>4558</c:v>
                </c:pt>
                <c:pt idx="19">
                  <c:v>4834</c:v>
                </c:pt>
                <c:pt idx="20">
                  <c:v>4621</c:v>
                </c:pt>
                <c:pt idx="21">
                  <c:v>5071</c:v>
                </c:pt>
                <c:pt idx="22">
                  <c:v>4930</c:v>
                </c:pt>
                <c:pt idx="23">
                  <c:v>4998</c:v>
                </c:pt>
                <c:pt idx="24">
                  <c:v>3786</c:v>
                </c:pt>
                <c:pt idx="25">
                  <c:v>4153</c:v>
                </c:pt>
                <c:pt idx="26">
                  <c:v>4243</c:v>
                </c:pt>
                <c:pt idx="27">
                  <c:v>3464</c:v>
                </c:pt>
                <c:pt idx="28">
                  <c:v>4928</c:v>
                </c:pt>
                <c:pt idx="29">
                  <c:v>5119</c:v>
                </c:pt>
                <c:pt idx="30">
                  <c:v>5206</c:v>
                </c:pt>
                <c:pt idx="31">
                  <c:v>4979</c:v>
                </c:pt>
                <c:pt idx="32">
                  <c:v>5341</c:v>
                </c:pt>
                <c:pt idx="33">
                  <c:v>5380</c:v>
                </c:pt>
                <c:pt idx="34">
                  <c:v>5305</c:v>
                </c:pt>
                <c:pt idx="35">
                  <c:v>5730</c:v>
                </c:pt>
                <c:pt idx="36">
                  <c:v>3585</c:v>
                </c:pt>
                <c:pt idx="37">
                  <c:v>4046</c:v>
                </c:pt>
                <c:pt idx="38">
                  <c:v>4734</c:v>
                </c:pt>
                <c:pt idx="39">
                  <c:v>4392</c:v>
                </c:pt>
                <c:pt idx="40">
                  <c:v>4596</c:v>
                </c:pt>
                <c:pt idx="41">
                  <c:v>4940</c:v>
                </c:pt>
                <c:pt idx="42">
                  <c:v>5082</c:v>
                </c:pt>
                <c:pt idx="43">
                  <c:v>5155</c:v>
                </c:pt>
                <c:pt idx="44">
                  <c:v>5104</c:v>
                </c:pt>
                <c:pt idx="45">
                  <c:v>5249</c:v>
                </c:pt>
                <c:pt idx="46">
                  <c:v>5660</c:v>
                </c:pt>
                <c:pt idx="47">
                  <c:v>5887</c:v>
                </c:pt>
                <c:pt idx="48">
                  <c:v>3246</c:v>
                </c:pt>
                <c:pt idx="49">
                  <c:v>3953</c:v>
                </c:pt>
                <c:pt idx="50">
                  <c:v>4646</c:v>
                </c:pt>
                <c:pt idx="51">
                  <c:v>3969</c:v>
                </c:pt>
                <c:pt idx="52">
                  <c:v>4558</c:v>
                </c:pt>
                <c:pt idx="53">
                  <c:v>4890</c:v>
                </c:pt>
                <c:pt idx="54">
                  <c:v>5108</c:v>
                </c:pt>
                <c:pt idx="55">
                  <c:v>5750</c:v>
                </c:pt>
                <c:pt idx="56">
                  <c:v>5822</c:v>
                </c:pt>
                <c:pt idx="57">
                  <c:v>5913</c:v>
                </c:pt>
                <c:pt idx="58">
                  <c:v>6599</c:v>
                </c:pt>
                <c:pt idx="59">
                  <c:v>6966</c:v>
                </c:pt>
                <c:pt idx="60">
                  <c:v>6447</c:v>
                </c:pt>
                <c:pt idx="61">
                  <c:v>5533</c:v>
                </c:pt>
                <c:pt idx="62">
                  <c:v>6135</c:v>
                </c:pt>
                <c:pt idx="63">
                  <c:v>4944</c:v>
                </c:pt>
                <c:pt idx="64">
                  <c:v>6075</c:v>
                </c:pt>
                <c:pt idx="65">
                  <c:v>5749</c:v>
                </c:pt>
              </c:numCache>
            </c:numRef>
          </c:val>
          <c:smooth val="0"/>
          <c:extLst>
            <c:ext xmlns:c16="http://schemas.microsoft.com/office/drawing/2014/chart" uri="{C3380CC4-5D6E-409C-BE32-E72D297353CC}">
              <c16:uniqueId val="{00000000-27CF-479C-813E-7FCC3E1BA438}"/>
            </c:ext>
          </c:extLst>
        </c:ser>
        <c:ser>
          <c:idx val="1"/>
          <c:order val="1"/>
          <c:tx>
            <c:strRef>
              <c:f>Inc_HF_Class!$E$2</c:f>
              <c:strCache>
                <c:ptCount val="1"/>
                <c:pt idx="0">
                  <c:v>MRA</c:v>
                </c:pt>
              </c:strCache>
            </c:strRef>
          </c:tx>
          <c:spPr>
            <a:ln w="28575" cap="rnd">
              <a:solidFill>
                <a:schemeClr val="accent2"/>
              </a:solidFill>
              <a:round/>
            </a:ln>
            <a:effectLst/>
          </c:spPr>
          <c:marker>
            <c:symbol val="none"/>
          </c:marker>
          <c:cat>
            <c:numRef>
              <c:f>Inc_HF_Class!$C$3:$C$68</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Inc_HF_Class!$E$3:$E$68</c:f>
              <c:numCache>
                <c:formatCode>General</c:formatCode>
                <c:ptCount val="66"/>
                <c:pt idx="0">
                  <c:v>120</c:v>
                </c:pt>
                <c:pt idx="1">
                  <c:v>116</c:v>
                </c:pt>
                <c:pt idx="2">
                  <c:v>127</c:v>
                </c:pt>
                <c:pt idx="3">
                  <c:v>119</c:v>
                </c:pt>
                <c:pt idx="4">
                  <c:v>115</c:v>
                </c:pt>
                <c:pt idx="5">
                  <c:v>108</c:v>
                </c:pt>
                <c:pt idx="6">
                  <c:v>168</c:v>
                </c:pt>
                <c:pt idx="7">
                  <c:v>151</c:v>
                </c:pt>
                <c:pt idx="8">
                  <c:v>148</c:v>
                </c:pt>
                <c:pt idx="9">
                  <c:v>171</c:v>
                </c:pt>
                <c:pt idx="10">
                  <c:v>153</c:v>
                </c:pt>
                <c:pt idx="11">
                  <c:v>169</c:v>
                </c:pt>
                <c:pt idx="12">
                  <c:v>107</c:v>
                </c:pt>
                <c:pt idx="13">
                  <c:v>145</c:v>
                </c:pt>
                <c:pt idx="14">
                  <c:v>139</c:v>
                </c:pt>
                <c:pt idx="15">
                  <c:v>138</c:v>
                </c:pt>
                <c:pt idx="16">
                  <c:v>146</c:v>
                </c:pt>
                <c:pt idx="17">
                  <c:v>136</c:v>
                </c:pt>
                <c:pt idx="18">
                  <c:v>160</c:v>
                </c:pt>
                <c:pt idx="19">
                  <c:v>149</c:v>
                </c:pt>
                <c:pt idx="20">
                  <c:v>152</c:v>
                </c:pt>
                <c:pt idx="21">
                  <c:v>154</c:v>
                </c:pt>
                <c:pt idx="22">
                  <c:v>173</c:v>
                </c:pt>
                <c:pt idx="23">
                  <c:v>148</c:v>
                </c:pt>
                <c:pt idx="24">
                  <c:v>155</c:v>
                </c:pt>
                <c:pt idx="25">
                  <c:v>136</c:v>
                </c:pt>
                <c:pt idx="26">
                  <c:v>148</c:v>
                </c:pt>
                <c:pt idx="27">
                  <c:v>137</c:v>
                </c:pt>
                <c:pt idx="28">
                  <c:v>156</c:v>
                </c:pt>
                <c:pt idx="29">
                  <c:v>183</c:v>
                </c:pt>
                <c:pt idx="30">
                  <c:v>153</c:v>
                </c:pt>
                <c:pt idx="31">
                  <c:v>163</c:v>
                </c:pt>
                <c:pt idx="32">
                  <c:v>181</c:v>
                </c:pt>
                <c:pt idx="33">
                  <c:v>190</c:v>
                </c:pt>
                <c:pt idx="34">
                  <c:v>173</c:v>
                </c:pt>
                <c:pt idx="35">
                  <c:v>182</c:v>
                </c:pt>
                <c:pt idx="36">
                  <c:v>184</c:v>
                </c:pt>
                <c:pt idx="37">
                  <c:v>144</c:v>
                </c:pt>
                <c:pt idx="38">
                  <c:v>169</c:v>
                </c:pt>
                <c:pt idx="39">
                  <c:v>172</c:v>
                </c:pt>
                <c:pt idx="40">
                  <c:v>157</c:v>
                </c:pt>
                <c:pt idx="41">
                  <c:v>175</c:v>
                </c:pt>
                <c:pt idx="42">
                  <c:v>200</c:v>
                </c:pt>
                <c:pt idx="43">
                  <c:v>193</c:v>
                </c:pt>
                <c:pt idx="44">
                  <c:v>196</c:v>
                </c:pt>
                <c:pt idx="45">
                  <c:v>210</c:v>
                </c:pt>
                <c:pt idx="46">
                  <c:v>184</c:v>
                </c:pt>
                <c:pt idx="47">
                  <c:v>205</c:v>
                </c:pt>
                <c:pt idx="48">
                  <c:v>156</c:v>
                </c:pt>
                <c:pt idx="49">
                  <c:v>155</c:v>
                </c:pt>
                <c:pt idx="50">
                  <c:v>214</c:v>
                </c:pt>
                <c:pt idx="51">
                  <c:v>166</c:v>
                </c:pt>
                <c:pt idx="52">
                  <c:v>196</c:v>
                </c:pt>
                <c:pt idx="53">
                  <c:v>207</c:v>
                </c:pt>
                <c:pt idx="54">
                  <c:v>227</c:v>
                </c:pt>
                <c:pt idx="55">
                  <c:v>239</c:v>
                </c:pt>
                <c:pt idx="56">
                  <c:v>223</c:v>
                </c:pt>
                <c:pt idx="57">
                  <c:v>222</c:v>
                </c:pt>
                <c:pt idx="58">
                  <c:v>242</c:v>
                </c:pt>
                <c:pt idx="59">
                  <c:v>264</c:v>
                </c:pt>
                <c:pt idx="60">
                  <c:v>245</c:v>
                </c:pt>
                <c:pt idx="61">
                  <c:v>197</c:v>
                </c:pt>
                <c:pt idx="62">
                  <c:v>237</c:v>
                </c:pt>
                <c:pt idx="63">
                  <c:v>229</c:v>
                </c:pt>
                <c:pt idx="64">
                  <c:v>251</c:v>
                </c:pt>
                <c:pt idx="65">
                  <c:v>259</c:v>
                </c:pt>
              </c:numCache>
            </c:numRef>
          </c:val>
          <c:smooth val="0"/>
          <c:extLst>
            <c:ext xmlns:c16="http://schemas.microsoft.com/office/drawing/2014/chart" uri="{C3380CC4-5D6E-409C-BE32-E72D297353CC}">
              <c16:uniqueId val="{00000001-27CF-479C-813E-7FCC3E1BA438}"/>
            </c:ext>
          </c:extLst>
        </c:ser>
        <c:ser>
          <c:idx val="2"/>
          <c:order val="2"/>
          <c:tx>
            <c:strRef>
              <c:f>Inc_HF_Class!$F$2</c:f>
              <c:strCache>
                <c:ptCount val="1"/>
                <c:pt idx="0">
                  <c:v>HCN</c:v>
                </c:pt>
              </c:strCache>
            </c:strRef>
          </c:tx>
          <c:spPr>
            <a:ln w="28575" cap="rnd">
              <a:solidFill>
                <a:schemeClr val="accent3"/>
              </a:solidFill>
              <a:round/>
            </a:ln>
            <a:effectLst/>
          </c:spPr>
          <c:marker>
            <c:symbol val="none"/>
          </c:marker>
          <c:cat>
            <c:numRef>
              <c:f>Inc_HF_Class!$C$3:$C$68</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Inc_HF_Class!$F$3:$F$68</c:f>
              <c:numCache>
                <c:formatCode>General</c:formatCode>
                <c:ptCount val="66"/>
                <c:pt idx="0">
                  <c:v>155</c:v>
                </c:pt>
                <c:pt idx="1">
                  <c:v>181</c:v>
                </c:pt>
                <c:pt idx="2">
                  <c:v>184</c:v>
                </c:pt>
                <c:pt idx="3">
                  <c:v>157</c:v>
                </c:pt>
                <c:pt idx="4">
                  <c:v>203</c:v>
                </c:pt>
                <c:pt idx="5">
                  <c:v>177</c:v>
                </c:pt>
                <c:pt idx="6">
                  <c:v>191</c:v>
                </c:pt>
                <c:pt idx="7">
                  <c:v>206</c:v>
                </c:pt>
                <c:pt idx="8">
                  <c:v>211</c:v>
                </c:pt>
                <c:pt idx="9">
                  <c:v>221</c:v>
                </c:pt>
                <c:pt idx="10">
                  <c:v>229</c:v>
                </c:pt>
                <c:pt idx="11">
                  <c:v>189</c:v>
                </c:pt>
                <c:pt idx="12">
                  <c:v>157</c:v>
                </c:pt>
                <c:pt idx="13">
                  <c:v>157</c:v>
                </c:pt>
                <c:pt idx="14">
                  <c:v>169</c:v>
                </c:pt>
                <c:pt idx="15">
                  <c:v>156</c:v>
                </c:pt>
                <c:pt idx="16">
                  <c:v>192</c:v>
                </c:pt>
                <c:pt idx="17">
                  <c:v>171</c:v>
                </c:pt>
                <c:pt idx="18">
                  <c:v>266</c:v>
                </c:pt>
                <c:pt idx="19">
                  <c:v>264</c:v>
                </c:pt>
                <c:pt idx="20">
                  <c:v>209</c:v>
                </c:pt>
                <c:pt idx="21">
                  <c:v>210</c:v>
                </c:pt>
                <c:pt idx="22">
                  <c:v>210</c:v>
                </c:pt>
                <c:pt idx="23">
                  <c:v>189</c:v>
                </c:pt>
                <c:pt idx="24">
                  <c:v>158</c:v>
                </c:pt>
                <c:pt idx="25">
                  <c:v>192</c:v>
                </c:pt>
                <c:pt idx="26">
                  <c:v>242</c:v>
                </c:pt>
                <c:pt idx="27">
                  <c:v>146</c:v>
                </c:pt>
                <c:pt idx="28">
                  <c:v>200</c:v>
                </c:pt>
                <c:pt idx="29">
                  <c:v>216</c:v>
                </c:pt>
                <c:pt idx="30">
                  <c:v>213</c:v>
                </c:pt>
                <c:pt idx="31">
                  <c:v>247</c:v>
                </c:pt>
                <c:pt idx="32">
                  <c:v>240</c:v>
                </c:pt>
                <c:pt idx="33">
                  <c:v>211</c:v>
                </c:pt>
                <c:pt idx="34">
                  <c:v>247</c:v>
                </c:pt>
                <c:pt idx="35">
                  <c:v>233</c:v>
                </c:pt>
                <c:pt idx="36">
                  <c:v>172</c:v>
                </c:pt>
                <c:pt idx="37">
                  <c:v>222</c:v>
                </c:pt>
                <c:pt idx="38">
                  <c:v>266</c:v>
                </c:pt>
                <c:pt idx="39">
                  <c:v>222</c:v>
                </c:pt>
                <c:pt idx="40">
                  <c:v>274</c:v>
                </c:pt>
                <c:pt idx="41">
                  <c:v>242</c:v>
                </c:pt>
                <c:pt idx="42">
                  <c:v>285</c:v>
                </c:pt>
                <c:pt idx="43">
                  <c:v>243</c:v>
                </c:pt>
                <c:pt idx="44">
                  <c:v>226</c:v>
                </c:pt>
                <c:pt idx="45">
                  <c:v>236</c:v>
                </c:pt>
                <c:pt idx="46">
                  <c:v>260</c:v>
                </c:pt>
                <c:pt idx="47">
                  <c:v>242</c:v>
                </c:pt>
                <c:pt idx="48">
                  <c:v>155</c:v>
                </c:pt>
                <c:pt idx="49">
                  <c:v>189</c:v>
                </c:pt>
                <c:pt idx="50">
                  <c:v>227</c:v>
                </c:pt>
                <c:pt idx="51">
                  <c:v>186</c:v>
                </c:pt>
                <c:pt idx="52">
                  <c:v>249</c:v>
                </c:pt>
                <c:pt idx="53">
                  <c:v>250</c:v>
                </c:pt>
                <c:pt idx="54">
                  <c:v>227</c:v>
                </c:pt>
                <c:pt idx="55">
                  <c:v>243</c:v>
                </c:pt>
                <c:pt idx="56">
                  <c:v>282</c:v>
                </c:pt>
                <c:pt idx="57">
                  <c:v>280</c:v>
                </c:pt>
                <c:pt idx="58">
                  <c:v>261</c:v>
                </c:pt>
                <c:pt idx="59">
                  <c:v>275</c:v>
                </c:pt>
                <c:pt idx="60">
                  <c:v>411</c:v>
                </c:pt>
                <c:pt idx="61">
                  <c:v>338</c:v>
                </c:pt>
                <c:pt idx="62">
                  <c:v>319</c:v>
                </c:pt>
                <c:pt idx="63">
                  <c:v>276</c:v>
                </c:pt>
                <c:pt idx="64">
                  <c:v>357</c:v>
                </c:pt>
                <c:pt idx="65">
                  <c:v>294</c:v>
                </c:pt>
              </c:numCache>
            </c:numRef>
          </c:val>
          <c:smooth val="0"/>
          <c:extLst>
            <c:ext xmlns:c16="http://schemas.microsoft.com/office/drawing/2014/chart" uri="{C3380CC4-5D6E-409C-BE32-E72D297353CC}">
              <c16:uniqueId val="{00000002-27CF-479C-813E-7FCC3E1BA438}"/>
            </c:ext>
          </c:extLst>
        </c:ser>
        <c:ser>
          <c:idx val="3"/>
          <c:order val="3"/>
          <c:tx>
            <c:strRef>
              <c:f>Inc_HF_Class!$G$2</c:f>
              <c:strCache>
                <c:ptCount val="1"/>
                <c:pt idx="0">
                  <c:v>ARNI</c:v>
                </c:pt>
              </c:strCache>
            </c:strRef>
          </c:tx>
          <c:spPr>
            <a:ln w="28575" cap="rnd">
              <a:solidFill>
                <a:srgbClr val="7030A0"/>
              </a:solidFill>
              <a:round/>
            </a:ln>
            <a:effectLst/>
          </c:spPr>
          <c:marker>
            <c:symbol val="none"/>
          </c:marker>
          <c:cat>
            <c:numRef>
              <c:f>Inc_HF_Class!$C$3:$C$68</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Inc_HF_Class!$G$3:$G$68</c:f>
              <c:numCache>
                <c:formatCode>General</c:formatCode>
                <c:ptCount val="66"/>
                <c:pt idx="0">
                  <c:v>766</c:v>
                </c:pt>
                <c:pt idx="1">
                  <c:v>961</c:v>
                </c:pt>
                <c:pt idx="2">
                  <c:v>1047</c:v>
                </c:pt>
                <c:pt idx="3">
                  <c:v>868</c:v>
                </c:pt>
                <c:pt idx="4">
                  <c:v>1097</c:v>
                </c:pt>
                <c:pt idx="5">
                  <c:v>1085</c:v>
                </c:pt>
                <c:pt idx="6">
                  <c:v>1075</c:v>
                </c:pt>
                <c:pt idx="7">
                  <c:v>1129</c:v>
                </c:pt>
                <c:pt idx="8">
                  <c:v>1067</c:v>
                </c:pt>
                <c:pt idx="9">
                  <c:v>1191</c:v>
                </c:pt>
                <c:pt idx="10">
                  <c:v>1325</c:v>
                </c:pt>
                <c:pt idx="11">
                  <c:v>1041</c:v>
                </c:pt>
                <c:pt idx="12">
                  <c:v>793</c:v>
                </c:pt>
                <c:pt idx="13">
                  <c:v>988</c:v>
                </c:pt>
                <c:pt idx="14">
                  <c:v>1033</c:v>
                </c:pt>
                <c:pt idx="15">
                  <c:v>941</c:v>
                </c:pt>
                <c:pt idx="16">
                  <c:v>1133</c:v>
                </c:pt>
                <c:pt idx="17">
                  <c:v>1068</c:v>
                </c:pt>
                <c:pt idx="18">
                  <c:v>1177</c:v>
                </c:pt>
                <c:pt idx="19">
                  <c:v>1244</c:v>
                </c:pt>
                <c:pt idx="20">
                  <c:v>1299</c:v>
                </c:pt>
                <c:pt idx="21">
                  <c:v>1294</c:v>
                </c:pt>
                <c:pt idx="22">
                  <c:v>1357</c:v>
                </c:pt>
                <c:pt idx="23">
                  <c:v>1117</c:v>
                </c:pt>
                <c:pt idx="24">
                  <c:v>903</c:v>
                </c:pt>
                <c:pt idx="25">
                  <c:v>1128</c:v>
                </c:pt>
                <c:pt idx="26">
                  <c:v>1154</c:v>
                </c:pt>
                <c:pt idx="27">
                  <c:v>762</c:v>
                </c:pt>
                <c:pt idx="28">
                  <c:v>1010</c:v>
                </c:pt>
                <c:pt idx="29">
                  <c:v>1134</c:v>
                </c:pt>
                <c:pt idx="30">
                  <c:v>1212</c:v>
                </c:pt>
                <c:pt idx="31">
                  <c:v>1211</c:v>
                </c:pt>
                <c:pt idx="32">
                  <c:v>1239</c:v>
                </c:pt>
                <c:pt idx="33">
                  <c:v>1379</c:v>
                </c:pt>
                <c:pt idx="34">
                  <c:v>1304</c:v>
                </c:pt>
                <c:pt idx="35">
                  <c:v>1249</c:v>
                </c:pt>
                <c:pt idx="36">
                  <c:v>870</c:v>
                </c:pt>
                <c:pt idx="37">
                  <c:v>1163</c:v>
                </c:pt>
                <c:pt idx="38">
                  <c:v>1365</c:v>
                </c:pt>
                <c:pt idx="39">
                  <c:v>1219</c:v>
                </c:pt>
                <c:pt idx="40">
                  <c:v>1317</c:v>
                </c:pt>
                <c:pt idx="41">
                  <c:v>1296</c:v>
                </c:pt>
                <c:pt idx="42">
                  <c:v>1346</c:v>
                </c:pt>
                <c:pt idx="43">
                  <c:v>1377</c:v>
                </c:pt>
                <c:pt idx="44">
                  <c:v>1418</c:v>
                </c:pt>
                <c:pt idx="45">
                  <c:v>1405</c:v>
                </c:pt>
                <c:pt idx="46">
                  <c:v>1414</c:v>
                </c:pt>
                <c:pt idx="47">
                  <c:v>1312</c:v>
                </c:pt>
                <c:pt idx="48">
                  <c:v>880</c:v>
                </c:pt>
                <c:pt idx="49">
                  <c:v>1211</c:v>
                </c:pt>
                <c:pt idx="50">
                  <c:v>1452</c:v>
                </c:pt>
                <c:pt idx="51">
                  <c:v>1206</c:v>
                </c:pt>
                <c:pt idx="52">
                  <c:v>1429</c:v>
                </c:pt>
                <c:pt idx="53">
                  <c:v>1456</c:v>
                </c:pt>
                <c:pt idx="54">
                  <c:v>1377</c:v>
                </c:pt>
                <c:pt idx="55">
                  <c:v>1756</c:v>
                </c:pt>
                <c:pt idx="56">
                  <c:v>1851</c:v>
                </c:pt>
                <c:pt idx="57">
                  <c:v>1798</c:v>
                </c:pt>
                <c:pt idx="58">
                  <c:v>1861</c:v>
                </c:pt>
                <c:pt idx="59">
                  <c:v>1598</c:v>
                </c:pt>
                <c:pt idx="60">
                  <c:v>1344</c:v>
                </c:pt>
                <c:pt idx="61">
                  <c:v>1594</c:v>
                </c:pt>
                <c:pt idx="62">
                  <c:v>1797</c:v>
                </c:pt>
                <c:pt idx="63">
                  <c:v>1402</c:v>
                </c:pt>
                <c:pt idx="64">
                  <c:v>1830</c:v>
                </c:pt>
                <c:pt idx="65">
                  <c:v>1813</c:v>
                </c:pt>
              </c:numCache>
            </c:numRef>
          </c:val>
          <c:smooth val="0"/>
          <c:extLst>
            <c:ext xmlns:c16="http://schemas.microsoft.com/office/drawing/2014/chart" uri="{C3380CC4-5D6E-409C-BE32-E72D297353CC}">
              <c16:uniqueId val="{00000003-27CF-479C-813E-7FCC3E1BA438}"/>
            </c:ext>
          </c:extLst>
        </c:ser>
        <c:ser>
          <c:idx val="4"/>
          <c:order val="4"/>
          <c:tx>
            <c:strRef>
              <c:f>Inc_HF_Class!$H$2</c:f>
              <c:strCache>
                <c:ptCount val="1"/>
                <c:pt idx="0">
                  <c:v>SGLT2</c:v>
                </c:pt>
              </c:strCache>
            </c:strRef>
          </c:tx>
          <c:spPr>
            <a:ln w="28575" cap="rnd">
              <a:solidFill>
                <a:schemeClr val="accent2">
                  <a:lumMod val="75000"/>
                </a:schemeClr>
              </a:solidFill>
              <a:round/>
            </a:ln>
            <a:effectLst/>
          </c:spPr>
          <c:marker>
            <c:symbol val="none"/>
          </c:marker>
          <c:cat>
            <c:numRef>
              <c:f>Inc_HF_Class!$C$3:$C$68</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Inc_HF_Class!$H$3:$H$68</c:f>
              <c:numCache>
                <c:formatCode>General</c:formatCode>
                <c:ptCount val="66"/>
                <c:pt idx="48">
                  <c:v>1064</c:v>
                </c:pt>
                <c:pt idx="49">
                  <c:v>1686</c:v>
                </c:pt>
                <c:pt idx="50">
                  <c:v>2142</c:v>
                </c:pt>
                <c:pt idx="51">
                  <c:v>2293</c:v>
                </c:pt>
                <c:pt idx="52">
                  <c:v>2775</c:v>
                </c:pt>
                <c:pt idx="53">
                  <c:v>2905</c:v>
                </c:pt>
                <c:pt idx="54">
                  <c:v>3060</c:v>
                </c:pt>
                <c:pt idx="55">
                  <c:v>3612</c:v>
                </c:pt>
                <c:pt idx="56">
                  <c:v>3805</c:v>
                </c:pt>
                <c:pt idx="57">
                  <c:v>3727</c:v>
                </c:pt>
                <c:pt idx="58">
                  <c:v>4000</c:v>
                </c:pt>
                <c:pt idx="59">
                  <c:v>3507</c:v>
                </c:pt>
                <c:pt idx="60">
                  <c:v>2698</c:v>
                </c:pt>
                <c:pt idx="61">
                  <c:v>3243</c:v>
                </c:pt>
                <c:pt idx="62">
                  <c:v>3808</c:v>
                </c:pt>
                <c:pt idx="63">
                  <c:v>3101</c:v>
                </c:pt>
                <c:pt idx="64">
                  <c:v>3764</c:v>
                </c:pt>
                <c:pt idx="65">
                  <c:v>3712</c:v>
                </c:pt>
              </c:numCache>
            </c:numRef>
          </c:val>
          <c:smooth val="0"/>
          <c:extLst>
            <c:ext xmlns:c16="http://schemas.microsoft.com/office/drawing/2014/chart" uri="{C3380CC4-5D6E-409C-BE32-E72D297353CC}">
              <c16:uniqueId val="{00000004-27CF-479C-813E-7FCC3E1BA438}"/>
            </c:ext>
          </c:extLst>
        </c:ser>
        <c:ser>
          <c:idx val="5"/>
          <c:order val="5"/>
          <c:tx>
            <c:strRef>
              <c:f>Inc_HF_Class!$I$2</c:f>
              <c:strCache>
                <c:ptCount val="1"/>
                <c:pt idx="0">
                  <c:v>sGC</c:v>
                </c:pt>
              </c:strCache>
            </c:strRef>
          </c:tx>
          <c:spPr>
            <a:ln w="28575" cap="rnd">
              <a:solidFill>
                <a:schemeClr val="accent6"/>
              </a:solidFill>
              <a:round/>
            </a:ln>
            <a:effectLst/>
          </c:spPr>
          <c:marker>
            <c:symbol val="none"/>
          </c:marker>
          <c:cat>
            <c:numRef>
              <c:f>Inc_HF_Class!$C$3:$C$68</c:f>
              <c:numCache>
                <c:formatCode>mmm\-yy</c:formatCode>
                <c:ptCount val="6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pt idx="44">
                  <c:v>44440</c:v>
                </c:pt>
                <c:pt idx="45">
                  <c:v>44470</c:v>
                </c:pt>
                <c:pt idx="46">
                  <c:v>44501</c:v>
                </c:pt>
                <c:pt idx="47">
                  <c:v>44531</c:v>
                </c:pt>
                <c:pt idx="48">
                  <c:v>44562</c:v>
                </c:pt>
                <c:pt idx="49">
                  <c:v>44593</c:v>
                </c:pt>
                <c:pt idx="50">
                  <c:v>44621</c:v>
                </c:pt>
                <c:pt idx="51">
                  <c:v>44652</c:v>
                </c:pt>
                <c:pt idx="52">
                  <c:v>44682</c:v>
                </c:pt>
                <c:pt idx="53">
                  <c:v>44713</c:v>
                </c:pt>
                <c:pt idx="54">
                  <c:v>44743</c:v>
                </c:pt>
                <c:pt idx="55">
                  <c:v>44774</c:v>
                </c:pt>
                <c:pt idx="56">
                  <c:v>44805</c:v>
                </c:pt>
                <c:pt idx="57">
                  <c:v>44835</c:v>
                </c:pt>
                <c:pt idx="58">
                  <c:v>44866</c:v>
                </c:pt>
                <c:pt idx="59">
                  <c:v>44896</c:v>
                </c:pt>
                <c:pt idx="60">
                  <c:v>44927</c:v>
                </c:pt>
                <c:pt idx="61">
                  <c:v>44958</c:v>
                </c:pt>
                <c:pt idx="62">
                  <c:v>44986</c:v>
                </c:pt>
                <c:pt idx="63">
                  <c:v>45017</c:v>
                </c:pt>
                <c:pt idx="64">
                  <c:v>45047</c:v>
                </c:pt>
                <c:pt idx="65">
                  <c:v>45078</c:v>
                </c:pt>
              </c:numCache>
            </c:numRef>
          </c:cat>
          <c:val>
            <c:numRef>
              <c:f>Inc_HF_Class!$I$3:$I$68</c:f>
              <c:numCache>
                <c:formatCode>General</c:formatCode>
                <c:ptCount val="66"/>
                <c:pt idx="59">
                  <c:v>74</c:v>
                </c:pt>
                <c:pt idx="60">
                  <c:v>60</c:v>
                </c:pt>
                <c:pt idx="61">
                  <c:v>82</c:v>
                </c:pt>
                <c:pt idx="62">
                  <c:v>70</c:v>
                </c:pt>
                <c:pt idx="63">
                  <c:v>65</c:v>
                </c:pt>
                <c:pt idx="64">
                  <c:v>71</c:v>
                </c:pt>
                <c:pt idx="65">
                  <c:v>59</c:v>
                </c:pt>
              </c:numCache>
            </c:numRef>
          </c:val>
          <c:smooth val="0"/>
          <c:extLst>
            <c:ext xmlns:c16="http://schemas.microsoft.com/office/drawing/2014/chart" uri="{C3380CC4-5D6E-409C-BE32-E72D297353CC}">
              <c16:uniqueId val="{00000005-27CF-479C-813E-7FCC3E1BA438}"/>
            </c:ext>
          </c:extLst>
        </c:ser>
        <c:dLbls>
          <c:showLegendKey val="0"/>
          <c:showVal val="0"/>
          <c:showCatName val="0"/>
          <c:showSerName val="0"/>
          <c:showPercent val="0"/>
          <c:showBubbleSize val="0"/>
        </c:dLbls>
        <c:smooth val="0"/>
        <c:axId val="202782312"/>
        <c:axId val="1"/>
      </c:lineChart>
      <c:dateAx>
        <c:axId val="202782312"/>
        <c:scaling>
          <c:orientation val="minMax"/>
        </c:scaling>
        <c:delete val="0"/>
        <c:axPos val="b"/>
        <c:numFmt formatCode="mmm\-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Offset val="100"/>
        <c:baseTimeUnit val="months"/>
        <c:majorUnit val="2"/>
        <c:majorTimeUnit val="months"/>
      </c:dateAx>
      <c:valAx>
        <c:axId val="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people</a:t>
                </a:r>
              </a:p>
            </c:rich>
          </c:tx>
          <c:overlay val="0"/>
          <c:spPr>
            <a:noFill/>
            <a:ln w="25400">
              <a:noFill/>
            </a:ln>
          </c:spPr>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782312"/>
        <c:crosses val="autoZero"/>
        <c:crossBetween val="between"/>
      </c:valAx>
      <c:spPr>
        <a:noFill/>
        <a:ln w="25400">
          <a:noFill/>
        </a:ln>
      </c:spPr>
    </c:plotArea>
    <c:legend>
      <c:legendPos val="r"/>
      <c:layout>
        <c:manualLayout>
          <c:xMode val="edge"/>
          <c:yMode val="edge"/>
          <c:x val="5.2955222702425357E-2"/>
          <c:y val="0.79300699094856131"/>
          <c:w val="0.85121149330017953"/>
          <c:h val="0.19785002575612631"/>
        </c:manualLayout>
      </c:layou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'Table1 only Summary'!$H$2</c:f>
              <c:strCache>
                <c:ptCount val="1"/>
                <c:pt idx="0">
                  <c:v>Mono</c:v>
                </c:pt>
              </c:strCache>
            </c:strRef>
          </c:tx>
          <c:spPr>
            <a:ln w="28575" cap="rnd">
              <a:solidFill>
                <a:schemeClr val="accent1"/>
              </a:solidFill>
              <a:round/>
            </a:ln>
            <a:effectLst/>
          </c:spPr>
          <c:marker>
            <c:symbol val="none"/>
          </c:marker>
          <c:cat>
            <c:numRef>
              <c:f>'Table1 only Summary'!$A$3:$A$80</c:f>
              <c:numCache>
                <c:formatCode>mmm\-yy</c:formatCode>
                <c:ptCount val="78"/>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numCache>
            </c:numRef>
          </c:cat>
          <c:val>
            <c:numRef>
              <c:f>'Table1 only Summary'!$H$3:$H$80</c:f>
              <c:numCache>
                <c:formatCode>General</c:formatCode>
                <c:ptCount val="78"/>
                <c:pt idx="0">
                  <c:v>97.7</c:v>
                </c:pt>
                <c:pt idx="1">
                  <c:v>97.7</c:v>
                </c:pt>
                <c:pt idx="2">
                  <c:v>97.6</c:v>
                </c:pt>
                <c:pt idx="3">
                  <c:v>97.6</c:v>
                </c:pt>
                <c:pt idx="4">
                  <c:v>97.6</c:v>
                </c:pt>
                <c:pt idx="5">
                  <c:v>96.8</c:v>
                </c:pt>
                <c:pt idx="6">
                  <c:v>96.1</c:v>
                </c:pt>
                <c:pt idx="7">
                  <c:v>95.4</c:v>
                </c:pt>
                <c:pt idx="8">
                  <c:v>95</c:v>
                </c:pt>
                <c:pt idx="9">
                  <c:v>94.6</c:v>
                </c:pt>
                <c:pt idx="10">
                  <c:v>94.1</c:v>
                </c:pt>
                <c:pt idx="11">
                  <c:v>93.7</c:v>
                </c:pt>
                <c:pt idx="12">
                  <c:v>94.1</c:v>
                </c:pt>
                <c:pt idx="13">
                  <c:v>93.8</c:v>
                </c:pt>
                <c:pt idx="14">
                  <c:v>93.4</c:v>
                </c:pt>
                <c:pt idx="15">
                  <c:v>93.2</c:v>
                </c:pt>
                <c:pt idx="16">
                  <c:v>92.8</c:v>
                </c:pt>
                <c:pt idx="17">
                  <c:v>92.6</c:v>
                </c:pt>
                <c:pt idx="18">
                  <c:v>92.3</c:v>
                </c:pt>
                <c:pt idx="19">
                  <c:v>92</c:v>
                </c:pt>
                <c:pt idx="20">
                  <c:v>91.8</c:v>
                </c:pt>
                <c:pt idx="21">
                  <c:v>91.4</c:v>
                </c:pt>
                <c:pt idx="22">
                  <c:v>91</c:v>
                </c:pt>
                <c:pt idx="23">
                  <c:v>90.7</c:v>
                </c:pt>
                <c:pt idx="24">
                  <c:v>91.5</c:v>
                </c:pt>
                <c:pt idx="25">
                  <c:v>91.2</c:v>
                </c:pt>
                <c:pt idx="26">
                  <c:v>90.8</c:v>
                </c:pt>
                <c:pt idx="27">
                  <c:v>90.6</c:v>
                </c:pt>
                <c:pt idx="28">
                  <c:v>90.4</c:v>
                </c:pt>
                <c:pt idx="29">
                  <c:v>90.2</c:v>
                </c:pt>
                <c:pt idx="30">
                  <c:v>89.9</c:v>
                </c:pt>
                <c:pt idx="31">
                  <c:v>89.6</c:v>
                </c:pt>
                <c:pt idx="32">
                  <c:v>89.4</c:v>
                </c:pt>
                <c:pt idx="33">
                  <c:v>89.1</c:v>
                </c:pt>
                <c:pt idx="34">
                  <c:v>88.9</c:v>
                </c:pt>
                <c:pt idx="35">
                  <c:v>88.3</c:v>
                </c:pt>
                <c:pt idx="36">
                  <c:v>89.6</c:v>
                </c:pt>
                <c:pt idx="37">
                  <c:v>89.1</c:v>
                </c:pt>
                <c:pt idx="38">
                  <c:v>88.5</c:v>
                </c:pt>
                <c:pt idx="39">
                  <c:v>88.7</c:v>
                </c:pt>
                <c:pt idx="40">
                  <c:v>88.5</c:v>
                </c:pt>
                <c:pt idx="41">
                  <c:v>88.3</c:v>
                </c:pt>
                <c:pt idx="42">
                  <c:v>87.9</c:v>
                </c:pt>
                <c:pt idx="43">
                  <c:v>87.8</c:v>
                </c:pt>
                <c:pt idx="44">
                  <c:v>87.5</c:v>
                </c:pt>
                <c:pt idx="45">
                  <c:v>87.2</c:v>
                </c:pt>
                <c:pt idx="46">
                  <c:v>87</c:v>
                </c:pt>
                <c:pt idx="47">
                  <c:v>86.6</c:v>
                </c:pt>
                <c:pt idx="48">
                  <c:v>88.1</c:v>
                </c:pt>
                <c:pt idx="49">
                  <c:v>87.6</c:v>
                </c:pt>
                <c:pt idx="50">
                  <c:v>87</c:v>
                </c:pt>
                <c:pt idx="51">
                  <c:v>87.1</c:v>
                </c:pt>
                <c:pt idx="52">
                  <c:v>87</c:v>
                </c:pt>
                <c:pt idx="53">
                  <c:v>86.8</c:v>
                </c:pt>
                <c:pt idx="54">
                  <c:v>86.4</c:v>
                </c:pt>
                <c:pt idx="55">
                  <c:v>86.3</c:v>
                </c:pt>
                <c:pt idx="56">
                  <c:v>86.1</c:v>
                </c:pt>
                <c:pt idx="57">
                  <c:v>85.8</c:v>
                </c:pt>
                <c:pt idx="58">
                  <c:v>85.7</c:v>
                </c:pt>
                <c:pt idx="59">
                  <c:v>85.1</c:v>
                </c:pt>
                <c:pt idx="60">
                  <c:v>86.7</c:v>
                </c:pt>
                <c:pt idx="61">
                  <c:v>86.1</c:v>
                </c:pt>
                <c:pt idx="62">
                  <c:v>85.4</c:v>
                </c:pt>
                <c:pt idx="63">
                  <c:v>85.2</c:v>
                </c:pt>
                <c:pt idx="64">
                  <c:v>84.7</c:v>
                </c:pt>
                <c:pt idx="65">
                  <c:v>84.5</c:v>
                </c:pt>
                <c:pt idx="66">
                  <c:v>84</c:v>
                </c:pt>
                <c:pt idx="67">
                  <c:v>83.4</c:v>
                </c:pt>
                <c:pt idx="68">
                  <c:v>83</c:v>
                </c:pt>
                <c:pt idx="69">
                  <c:v>82.6</c:v>
                </c:pt>
                <c:pt idx="70">
                  <c:v>82.1</c:v>
                </c:pt>
                <c:pt idx="71">
                  <c:v>81.400000000000006</c:v>
                </c:pt>
                <c:pt idx="72">
                  <c:v>83</c:v>
                </c:pt>
                <c:pt idx="73">
                  <c:v>82.4</c:v>
                </c:pt>
                <c:pt idx="74">
                  <c:v>81.599999999999994</c:v>
                </c:pt>
                <c:pt idx="75">
                  <c:v>81.7</c:v>
                </c:pt>
                <c:pt idx="76">
                  <c:v>81</c:v>
                </c:pt>
                <c:pt idx="77">
                  <c:v>80.8</c:v>
                </c:pt>
              </c:numCache>
            </c:numRef>
          </c:val>
          <c:smooth val="0"/>
          <c:extLst>
            <c:ext xmlns:c16="http://schemas.microsoft.com/office/drawing/2014/chart" uri="{C3380CC4-5D6E-409C-BE32-E72D297353CC}">
              <c16:uniqueId val="{00000000-8BAF-400F-9C22-09FBEBC98832}"/>
            </c:ext>
          </c:extLst>
        </c:ser>
        <c:ser>
          <c:idx val="1"/>
          <c:order val="1"/>
          <c:tx>
            <c:strRef>
              <c:f>'Table1 only Summary'!$I$2</c:f>
              <c:strCache>
                <c:ptCount val="1"/>
                <c:pt idx="0">
                  <c:v>Dual</c:v>
                </c:pt>
              </c:strCache>
            </c:strRef>
          </c:tx>
          <c:spPr>
            <a:ln w="28575" cap="rnd">
              <a:solidFill>
                <a:schemeClr val="accent2"/>
              </a:solidFill>
              <a:round/>
            </a:ln>
            <a:effectLst/>
          </c:spPr>
          <c:marker>
            <c:symbol val="none"/>
          </c:marker>
          <c:cat>
            <c:numRef>
              <c:f>'Table1 only Summary'!$A$3:$A$80</c:f>
              <c:numCache>
                <c:formatCode>mmm\-yy</c:formatCode>
                <c:ptCount val="78"/>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numCache>
            </c:numRef>
          </c:cat>
          <c:val>
            <c:numRef>
              <c:f>'Table1 only Summary'!$I$3:$I$80</c:f>
              <c:numCache>
                <c:formatCode>General</c:formatCode>
                <c:ptCount val="78"/>
                <c:pt idx="0">
                  <c:v>2.2000000000000002</c:v>
                </c:pt>
                <c:pt idx="1">
                  <c:v>2.2999999999999998</c:v>
                </c:pt>
                <c:pt idx="2">
                  <c:v>2.2999999999999998</c:v>
                </c:pt>
                <c:pt idx="3">
                  <c:v>2.2999999999999998</c:v>
                </c:pt>
                <c:pt idx="4">
                  <c:v>2.4</c:v>
                </c:pt>
                <c:pt idx="5">
                  <c:v>3.1</c:v>
                </c:pt>
                <c:pt idx="6">
                  <c:v>3.7</c:v>
                </c:pt>
                <c:pt idx="7">
                  <c:v>4.4000000000000004</c:v>
                </c:pt>
                <c:pt idx="8">
                  <c:v>4.7</c:v>
                </c:pt>
                <c:pt idx="9">
                  <c:v>5.0999999999999996</c:v>
                </c:pt>
                <c:pt idx="10">
                  <c:v>5.5</c:v>
                </c:pt>
                <c:pt idx="11">
                  <c:v>5.8</c:v>
                </c:pt>
                <c:pt idx="12">
                  <c:v>5.6</c:v>
                </c:pt>
                <c:pt idx="13">
                  <c:v>5.8</c:v>
                </c:pt>
                <c:pt idx="14">
                  <c:v>6.2</c:v>
                </c:pt>
                <c:pt idx="15">
                  <c:v>6.4</c:v>
                </c:pt>
                <c:pt idx="16">
                  <c:v>6.7</c:v>
                </c:pt>
                <c:pt idx="17">
                  <c:v>6.9</c:v>
                </c:pt>
                <c:pt idx="18">
                  <c:v>7.2</c:v>
                </c:pt>
                <c:pt idx="19">
                  <c:v>7.5</c:v>
                </c:pt>
                <c:pt idx="20">
                  <c:v>7.7</c:v>
                </c:pt>
                <c:pt idx="21">
                  <c:v>8</c:v>
                </c:pt>
                <c:pt idx="22">
                  <c:v>8.3000000000000007</c:v>
                </c:pt>
                <c:pt idx="23">
                  <c:v>8.6</c:v>
                </c:pt>
                <c:pt idx="24">
                  <c:v>8</c:v>
                </c:pt>
                <c:pt idx="25">
                  <c:v>8.1999999999999993</c:v>
                </c:pt>
                <c:pt idx="26">
                  <c:v>8.6</c:v>
                </c:pt>
                <c:pt idx="27">
                  <c:v>8.8000000000000007</c:v>
                </c:pt>
                <c:pt idx="28">
                  <c:v>9</c:v>
                </c:pt>
                <c:pt idx="29">
                  <c:v>9.1999999999999993</c:v>
                </c:pt>
                <c:pt idx="30">
                  <c:v>9.5</c:v>
                </c:pt>
                <c:pt idx="31">
                  <c:v>9.6999999999999993</c:v>
                </c:pt>
                <c:pt idx="32">
                  <c:v>9.9</c:v>
                </c:pt>
                <c:pt idx="33">
                  <c:v>10.199999999999999</c:v>
                </c:pt>
                <c:pt idx="34">
                  <c:v>10.4</c:v>
                </c:pt>
                <c:pt idx="35">
                  <c:v>10.8</c:v>
                </c:pt>
                <c:pt idx="36">
                  <c:v>9.9</c:v>
                </c:pt>
                <c:pt idx="37">
                  <c:v>10.3</c:v>
                </c:pt>
                <c:pt idx="38">
                  <c:v>10.8</c:v>
                </c:pt>
                <c:pt idx="39">
                  <c:v>10.6</c:v>
                </c:pt>
                <c:pt idx="40">
                  <c:v>10.8</c:v>
                </c:pt>
                <c:pt idx="41">
                  <c:v>11</c:v>
                </c:pt>
                <c:pt idx="42">
                  <c:v>11.3</c:v>
                </c:pt>
                <c:pt idx="43">
                  <c:v>11.4</c:v>
                </c:pt>
                <c:pt idx="44">
                  <c:v>11.6</c:v>
                </c:pt>
                <c:pt idx="45">
                  <c:v>11.9</c:v>
                </c:pt>
                <c:pt idx="46">
                  <c:v>12.1</c:v>
                </c:pt>
                <c:pt idx="47">
                  <c:v>12.5</c:v>
                </c:pt>
                <c:pt idx="48">
                  <c:v>11.2</c:v>
                </c:pt>
                <c:pt idx="49">
                  <c:v>11.6</c:v>
                </c:pt>
                <c:pt idx="50">
                  <c:v>12.2</c:v>
                </c:pt>
                <c:pt idx="51">
                  <c:v>12.1</c:v>
                </c:pt>
                <c:pt idx="52">
                  <c:v>12.2</c:v>
                </c:pt>
                <c:pt idx="53">
                  <c:v>12.4</c:v>
                </c:pt>
                <c:pt idx="54">
                  <c:v>12.7</c:v>
                </c:pt>
                <c:pt idx="55">
                  <c:v>12.8</c:v>
                </c:pt>
                <c:pt idx="56">
                  <c:v>12.9</c:v>
                </c:pt>
                <c:pt idx="57">
                  <c:v>13.2</c:v>
                </c:pt>
                <c:pt idx="58">
                  <c:v>13.4</c:v>
                </c:pt>
                <c:pt idx="59">
                  <c:v>13.8</c:v>
                </c:pt>
                <c:pt idx="60">
                  <c:v>12.4</c:v>
                </c:pt>
                <c:pt idx="61">
                  <c:v>12.8</c:v>
                </c:pt>
                <c:pt idx="62">
                  <c:v>13.1</c:v>
                </c:pt>
                <c:pt idx="63">
                  <c:v>13.2</c:v>
                </c:pt>
                <c:pt idx="64">
                  <c:v>13.5</c:v>
                </c:pt>
                <c:pt idx="65">
                  <c:v>13.5</c:v>
                </c:pt>
                <c:pt idx="66">
                  <c:v>13.7</c:v>
                </c:pt>
                <c:pt idx="67">
                  <c:v>14</c:v>
                </c:pt>
                <c:pt idx="68">
                  <c:v>14.2</c:v>
                </c:pt>
                <c:pt idx="69">
                  <c:v>14.4</c:v>
                </c:pt>
                <c:pt idx="70">
                  <c:v>14.5</c:v>
                </c:pt>
                <c:pt idx="71">
                  <c:v>14.9</c:v>
                </c:pt>
                <c:pt idx="72">
                  <c:v>14</c:v>
                </c:pt>
                <c:pt idx="73">
                  <c:v>14.3</c:v>
                </c:pt>
                <c:pt idx="74">
                  <c:v>14.7</c:v>
                </c:pt>
                <c:pt idx="75">
                  <c:v>14.6</c:v>
                </c:pt>
                <c:pt idx="76">
                  <c:v>15</c:v>
                </c:pt>
                <c:pt idx="77">
                  <c:v>15.1</c:v>
                </c:pt>
              </c:numCache>
            </c:numRef>
          </c:val>
          <c:smooth val="0"/>
          <c:extLst>
            <c:ext xmlns:c16="http://schemas.microsoft.com/office/drawing/2014/chart" uri="{C3380CC4-5D6E-409C-BE32-E72D297353CC}">
              <c16:uniqueId val="{00000001-8BAF-400F-9C22-09FBEBC98832}"/>
            </c:ext>
          </c:extLst>
        </c:ser>
        <c:ser>
          <c:idx val="2"/>
          <c:order val="2"/>
          <c:tx>
            <c:strRef>
              <c:f>'Table1 only Summary'!$J$2</c:f>
              <c:strCache>
                <c:ptCount val="1"/>
                <c:pt idx="0">
                  <c:v>Triple</c:v>
                </c:pt>
              </c:strCache>
            </c:strRef>
          </c:tx>
          <c:spPr>
            <a:ln w="28575" cap="rnd">
              <a:solidFill>
                <a:schemeClr val="accent3"/>
              </a:solidFill>
              <a:round/>
            </a:ln>
            <a:effectLst/>
          </c:spPr>
          <c:marker>
            <c:symbol val="none"/>
          </c:marker>
          <c:cat>
            <c:numRef>
              <c:f>'Table1 only Summary'!$A$3:$A$80</c:f>
              <c:numCache>
                <c:formatCode>mmm\-yy</c:formatCode>
                <c:ptCount val="78"/>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numCache>
            </c:numRef>
          </c:cat>
          <c:val>
            <c:numRef>
              <c:f>'Table1 only Summary'!$J$3:$J$80</c:f>
              <c:numCache>
                <c:formatCode>General</c:formatCode>
                <c:ptCount val="78"/>
                <c:pt idx="0">
                  <c:v>0</c:v>
                </c:pt>
                <c:pt idx="1">
                  <c:v>0</c:v>
                </c:pt>
                <c:pt idx="2">
                  <c:v>0</c:v>
                </c:pt>
                <c:pt idx="3">
                  <c:v>0</c:v>
                </c:pt>
                <c:pt idx="4">
                  <c:v>0</c:v>
                </c:pt>
                <c:pt idx="5">
                  <c:v>0.1</c:v>
                </c:pt>
                <c:pt idx="6">
                  <c:v>0.2</c:v>
                </c:pt>
                <c:pt idx="7">
                  <c:v>0.2</c:v>
                </c:pt>
                <c:pt idx="8">
                  <c:v>0.3</c:v>
                </c:pt>
                <c:pt idx="9">
                  <c:v>0.3</c:v>
                </c:pt>
                <c:pt idx="10">
                  <c:v>0.4</c:v>
                </c:pt>
                <c:pt idx="11">
                  <c:v>0.4</c:v>
                </c:pt>
                <c:pt idx="12">
                  <c:v>0.3</c:v>
                </c:pt>
                <c:pt idx="13">
                  <c:v>0.3</c:v>
                </c:pt>
                <c:pt idx="14">
                  <c:v>0.4</c:v>
                </c:pt>
                <c:pt idx="15">
                  <c:v>0.4</c:v>
                </c:pt>
                <c:pt idx="16">
                  <c:v>0.4</c:v>
                </c:pt>
                <c:pt idx="17">
                  <c:v>0.4</c:v>
                </c:pt>
                <c:pt idx="18">
                  <c:v>0.5</c:v>
                </c:pt>
                <c:pt idx="19">
                  <c:v>0.5</c:v>
                </c:pt>
                <c:pt idx="20">
                  <c:v>0.5</c:v>
                </c:pt>
                <c:pt idx="21">
                  <c:v>0.6</c:v>
                </c:pt>
                <c:pt idx="22">
                  <c:v>0.6</c:v>
                </c:pt>
                <c:pt idx="23">
                  <c:v>0.7</c:v>
                </c:pt>
                <c:pt idx="24">
                  <c:v>0.5</c:v>
                </c:pt>
                <c:pt idx="25">
                  <c:v>0.5</c:v>
                </c:pt>
                <c:pt idx="26">
                  <c:v>0.6</c:v>
                </c:pt>
                <c:pt idx="27">
                  <c:v>0.6</c:v>
                </c:pt>
                <c:pt idx="28">
                  <c:v>0.6</c:v>
                </c:pt>
                <c:pt idx="29">
                  <c:v>0.6</c:v>
                </c:pt>
                <c:pt idx="30">
                  <c:v>0.6</c:v>
                </c:pt>
                <c:pt idx="31">
                  <c:v>0.7</c:v>
                </c:pt>
                <c:pt idx="32">
                  <c:v>0.7</c:v>
                </c:pt>
                <c:pt idx="33">
                  <c:v>0.7</c:v>
                </c:pt>
                <c:pt idx="34">
                  <c:v>0.7</c:v>
                </c:pt>
                <c:pt idx="35">
                  <c:v>0.8</c:v>
                </c:pt>
                <c:pt idx="36">
                  <c:v>0.6</c:v>
                </c:pt>
                <c:pt idx="37">
                  <c:v>0.6</c:v>
                </c:pt>
                <c:pt idx="38">
                  <c:v>0.7</c:v>
                </c:pt>
                <c:pt idx="39">
                  <c:v>0.6</c:v>
                </c:pt>
                <c:pt idx="40">
                  <c:v>0.7</c:v>
                </c:pt>
                <c:pt idx="41">
                  <c:v>0.7</c:v>
                </c:pt>
                <c:pt idx="42">
                  <c:v>0.8</c:v>
                </c:pt>
                <c:pt idx="43">
                  <c:v>0.8</c:v>
                </c:pt>
                <c:pt idx="44">
                  <c:v>0.8</c:v>
                </c:pt>
                <c:pt idx="45">
                  <c:v>0.9</c:v>
                </c:pt>
                <c:pt idx="46">
                  <c:v>0.9</c:v>
                </c:pt>
                <c:pt idx="47">
                  <c:v>1</c:v>
                </c:pt>
                <c:pt idx="48">
                  <c:v>0.7</c:v>
                </c:pt>
                <c:pt idx="49">
                  <c:v>0.7</c:v>
                </c:pt>
                <c:pt idx="50">
                  <c:v>0.8</c:v>
                </c:pt>
                <c:pt idx="51">
                  <c:v>0.8</c:v>
                </c:pt>
                <c:pt idx="52">
                  <c:v>0.8</c:v>
                </c:pt>
                <c:pt idx="53">
                  <c:v>0.8</c:v>
                </c:pt>
                <c:pt idx="54">
                  <c:v>0.9</c:v>
                </c:pt>
                <c:pt idx="55">
                  <c:v>0.9</c:v>
                </c:pt>
                <c:pt idx="56">
                  <c:v>0.9</c:v>
                </c:pt>
                <c:pt idx="57">
                  <c:v>0.9</c:v>
                </c:pt>
                <c:pt idx="58">
                  <c:v>0.9</c:v>
                </c:pt>
                <c:pt idx="59">
                  <c:v>1</c:v>
                </c:pt>
                <c:pt idx="60">
                  <c:v>0.9</c:v>
                </c:pt>
                <c:pt idx="61">
                  <c:v>1.1000000000000001</c:v>
                </c:pt>
                <c:pt idx="62">
                  <c:v>1.4</c:v>
                </c:pt>
                <c:pt idx="63">
                  <c:v>1.5</c:v>
                </c:pt>
                <c:pt idx="64">
                  <c:v>1.7</c:v>
                </c:pt>
                <c:pt idx="65">
                  <c:v>1.9</c:v>
                </c:pt>
                <c:pt idx="66">
                  <c:v>2.1</c:v>
                </c:pt>
                <c:pt idx="67">
                  <c:v>2.2999999999999998</c:v>
                </c:pt>
                <c:pt idx="68">
                  <c:v>2.6</c:v>
                </c:pt>
                <c:pt idx="69">
                  <c:v>2.7</c:v>
                </c:pt>
                <c:pt idx="70">
                  <c:v>3.1</c:v>
                </c:pt>
                <c:pt idx="71">
                  <c:v>3.4</c:v>
                </c:pt>
                <c:pt idx="72">
                  <c:v>2.8</c:v>
                </c:pt>
                <c:pt idx="73">
                  <c:v>3.1</c:v>
                </c:pt>
                <c:pt idx="74">
                  <c:v>3.4</c:v>
                </c:pt>
                <c:pt idx="75">
                  <c:v>3.4</c:v>
                </c:pt>
                <c:pt idx="76">
                  <c:v>3.7</c:v>
                </c:pt>
                <c:pt idx="77">
                  <c:v>3.8</c:v>
                </c:pt>
              </c:numCache>
            </c:numRef>
          </c:val>
          <c:smooth val="0"/>
          <c:extLst>
            <c:ext xmlns:c16="http://schemas.microsoft.com/office/drawing/2014/chart" uri="{C3380CC4-5D6E-409C-BE32-E72D297353CC}">
              <c16:uniqueId val="{00000002-8BAF-400F-9C22-09FBEBC98832}"/>
            </c:ext>
          </c:extLst>
        </c:ser>
        <c:ser>
          <c:idx val="3"/>
          <c:order val="3"/>
          <c:tx>
            <c:strRef>
              <c:f>'Table1 only Summary'!$K$2</c:f>
              <c:strCache>
                <c:ptCount val="1"/>
                <c:pt idx="0">
                  <c:v>Quadruple</c:v>
                </c:pt>
              </c:strCache>
            </c:strRef>
          </c:tx>
          <c:spPr>
            <a:ln w="28575" cap="rnd">
              <a:solidFill>
                <a:schemeClr val="accent4"/>
              </a:solidFill>
              <a:round/>
            </a:ln>
            <a:effectLst/>
          </c:spPr>
          <c:marker>
            <c:symbol val="none"/>
          </c:marker>
          <c:cat>
            <c:numRef>
              <c:f>'Table1 only Summary'!$A$3:$A$80</c:f>
              <c:numCache>
                <c:formatCode>mmm\-yy</c:formatCode>
                <c:ptCount val="78"/>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numCache>
            </c:numRef>
          </c:cat>
          <c:val>
            <c:numRef>
              <c:f>'Table1 only Summary'!$K$3:$K$80</c:f>
              <c:numCache>
                <c:formatCode>General</c:formatCode>
                <c:ptCount val="7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0.1</c:v>
                </c:pt>
                <c:pt idx="63">
                  <c:v>0.1</c:v>
                </c:pt>
                <c:pt idx="64">
                  <c:v>0.1</c:v>
                </c:pt>
                <c:pt idx="65">
                  <c:v>0.1</c:v>
                </c:pt>
                <c:pt idx="66">
                  <c:v>0.2</c:v>
                </c:pt>
                <c:pt idx="67">
                  <c:v>0.2</c:v>
                </c:pt>
                <c:pt idx="68">
                  <c:v>0.2</c:v>
                </c:pt>
                <c:pt idx="69">
                  <c:v>0.2</c:v>
                </c:pt>
                <c:pt idx="70">
                  <c:v>0.3</c:v>
                </c:pt>
                <c:pt idx="71">
                  <c:v>0.3</c:v>
                </c:pt>
                <c:pt idx="72">
                  <c:v>0.2</c:v>
                </c:pt>
                <c:pt idx="73">
                  <c:v>0.2</c:v>
                </c:pt>
                <c:pt idx="74">
                  <c:v>0.3</c:v>
                </c:pt>
                <c:pt idx="75">
                  <c:v>0.2</c:v>
                </c:pt>
                <c:pt idx="76">
                  <c:v>0.3</c:v>
                </c:pt>
                <c:pt idx="77">
                  <c:v>0.3</c:v>
                </c:pt>
              </c:numCache>
            </c:numRef>
          </c:val>
          <c:smooth val="0"/>
          <c:extLst>
            <c:ext xmlns:c16="http://schemas.microsoft.com/office/drawing/2014/chart" uri="{C3380CC4-5D6E-409C-BE32-E72D297353CC}">
              <c16:uniqueId val="{00000003-8BAF-400F-9C22-09FBEBC98832}"/>
            </c:ext>
          </c:extLst>
        </c:ser>
        <c:dLbls>
          <c:showLegendKey val="0"/>
          <c:showVal val="0"/>
          <c:showCatName val="0"/>
          <c:showSerName val="0"/>
          <c:showPercent val="0"/>
          <c:showBubbleSize val="0"/>
        </c:dLbls>
        <c:smooth val="0"/>
        <c:axId val="211126872"/>
        <c:axId val="1"/>
      </c:lineChart>
      <c:dateAx>
        <c:axId val="211126872"/>
        <c:scaling>
          <c:orientation val="minMax"/>
        </c:scaling>
        <c:delete val="0"/>
        <c:axPos val="b"/>
        <c:numFmt formatCode="mmm\-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Offset val="100"/>
        <c:baseTimeUnit val="months"/>
        <c:majorUnit val="4"/>
        <c:majorTimeUnit val="months"/>
      </c:dateAx>
      <c:valAx>
        <c:axId val="1"/>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 of prevalent users of HF medicines</a:t>
                </a:r>
              </a:p>
            </c:rich>
          </c:tx>
          <c:overlay val="0"/>
          <c:spPr>
            <a:noFill/>
            <a:ln w="25400">
              <a:noFill/>
            </a:ln>
          </c:spPr>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126872"/>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'Table1 only'!$E$2</c:f>
              <c:strCache>
                <c:ptCount val="1"/>
                <c:pt idx="0">
                  <c:v>BB</c:v>
                </c:pt>
              </c:strCache>
            </c:strRef>
          </c:tx>
          <c:spPr>
            <a:ln w="28575" cap="rnd">
              <a:solidFill>
                <a:schemeClr val="tx1"/>
              </a:solidFill>
              <a:round/>
            </a:ln>
            <a:effectLst/>
          </c:spPr>
          <c:marker>
            <c:symbol val="none"/>
          </c:marker>
          <c:cat>
            <c:numRef>
              <c:f>'Table1 only'!$C$3:$C$80</c:f>
              <c:numCache>
                <c:formatCode>mmm\-yy</c:formatCode>
                <c:ptCount val="78"/>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numCache>
            </c:numRef>
          </c:cat>
          <c:val>
            <c:numRef>
              <c:f>'Table1 only'!$E$3:$E$80</c:f>
              <c:numCache>
                <c:formatCode>General</c:formatCode>
                <c:ptCount val="78"/>
                <c:pt idx="0">
                  <c:v>100792</c:v>
                </c:pt>
                <c:pt idx="1">
                  <c:v>106062</c:v>
                </c:pt>
                <c:pt idx="2">
                  <c:v>114114</c:v>
                </c:pt>
                <c:pt idx="3">
                  <c:v>109217</c:v>
                </c:pt>
                <c:pt idx="4">
                  <c:v>115887</c:v>
                </c:pt>
                <c:pt idx="5">
                  <c:v>114152</c:v>
                </c:pt>
                <c:pt idx="6">
                  <c:v>114579</c:v>
                </c:pt>
                <c:pt idx="7">
                  <c:v>117277</c:v>
                </c:pt>
                <c:pt idx="8">
                  <c:v>116036</c:v>
                </c:pt>
                <c:pt idx="9">
                  <c:v>119521</c:v>
                </c:pt>
                <c:pt idx="10">
                  <c:v>121292</c:v>
                </c:pt>
                <c:pt idx="11">
                  <c:v>125443</c:v>
                </c:pt>
                <c:pt idx="12">
                  <c:v>106770</c:v>
                </c:pt>
                <c:pt idx="13">
                  <c:v>110042</c:v>
                </c:pt>
                <c:pt idx="14">
                  <c:v>116692</c:v>
                </c:pt>
                <c:pt idx="15">
                  <c:v>114593</c:v>
                </c:pt>
                <c:pt idx="16">
                  <c:v>119151</c:v>
                </c:pt>
                <c:pt idx="17">
                  <c:v>116922</c:v>
                </c:pt>
                <c:pt idx="18">
                  <c:v>119428</c:v>
                </c:pt>
                <c:pt idx="19">
                  <c:v>121875</c:v>
                </c:pt>
                <c:pt idx="20">
                  <c:v>119133</c:v>
                </c:pt>
                <c:pt idx="21">
                  <c:v>126054</c:v>
                </c:pt>
                <c:pt idx="22">
                  <c:v>127067</c:v>
                </c:pt>
                <c:pt idx="23">
                  <c:v>131137</c:v>
                </c:pt>
                <c:pt idx="24">
                  <c:v>112367</c:v>
                </c:pt>
                <c:pt idx="25">
                  <c:v>115772</c:v>
                </c:pt>
                <c:pt idx="26">
                  <c:v>121688</c:v>
                </c:pt>
                <c:pt idx="27">
                  <c:v>121350</c:v>
                </c:pt>
                <c:pt idx="28">
                  <c:v>126059</c:v>
                </c:pt>
                <c:pt idx="29">
                  <c:v>121680</c:v>
                </c:pt>
                <c:pt idx="30">
                  <c:v>127706</c:v>
                </c:pt>
                <c:pt idx="31">
                  <c:v>128175</c:v>
                </c:pt>
                <c:pt idx="32">
                  <c:v>127537</c:v>
                </c:pt>
                <c:pt idx="33">
                  <c:v>133248</c:v>
                </c:pt>
                <c:pt idx="34">
                  <c:v>133323</c:v>
                </c:pt>
                <c:pt idx="35">
                  <c:v>139241</c:v>
                </c:pt>
                <c:pt idx="36">
                  <c:v>120063</c:v>
                </c:pt>
                <c:pt idx="37">
                  <c:v>125462</c:v>
                </c:pt>
                <c:pt idx="38">
                  <c:v>136916</c:v>
                </c:pt>
                <c:pt idx="39">
                  <c:v>125744</c:v>
                </c:pt>
                <c:pt idx="40">
                  <c:v>131270</c:v>
                </c:pt>
                <c:pt idx="41">
                  <c:v>135901</c:v>
                </c:pt>
                <c:pt idx="42">
                  <c:v>141181</c:v>
                </c:pt>
                <c:pt idx="43">
                  <c:v>140394</c:v>
                </c:pt>
                <c:pt idx="44">
                  <c:v>142755</c:v>
                </c:pt>
                <c:pt idx="45">
                  <c:v>145878</c:v>
                </c:pt>
                <c:pt idx="46">
                  <c:v>145932</c:v>
                </c:pt>
                <c:pt idx="47">
                  <c:v>154926</c:v>
                </c:pt>
                <c:pt idx="48">
                  <c:v>127181</c:v>
                </c:pt>
                <c:pt idx="49">
                  <c:v>134127</c:v>
                </c:pt>
                <c:pt idx="50">
                  <c:v>144203</c:v>
                </c:pt>
                <c:pt idx="51">
                  <c:v>141230</c:v>
                </c:pt>
                <c:pt idx="52">
                  <c:v>143910</c:v>
                </c:pt>
                <c:pt idx="53">
                  <c:v>145489</c:v>
                </c:pt>
                <c:pt idx="54">
                  <c:v>149006</c:v>
                </c:pt>
                <c:pt idx="55">
                  <c:v>150491</c:v>
                </c:pt>
                <c:pt idx="56">
                  <c:v>150791</c:v>
                </c:pt>
                <c:pt idx="57">
                  <c:v>152361</c:v>
                </c:pt>
                <c:pt idx="58">
                  <c:v>156203</c:v>
                </c:pt>
                <c:pt idx="59">
                  <c:v>161636</c:v>
                </c:pt>
                <c:pt idx="60">
                  <c:v>133211</c:v>
                </c:pt>
                <c:pt idx="61">
                  <c:v>137716</c:v>
                </c:pt>
                <c:pt idx="62">
                  <c:v>147327</c:v>
                </c:pt>
                <c:pt idx="63">
                  <c:v>141357</c:v>
                </c:pt>
                <c:pt idx="64">
                  <c:v>145832</c:v>
                </c:pt>
                <c:pt idx="65">
                  <c:v>145022</c:v>
                </c:pt>
                <c:pt idx="66">
                  <c:v>146421</c:v>
                </c:pt>
                <c:pt idx="67">
                  <c:v>151113</c:v>
                </c:pt>
                <c:pt idx="68">
                  <c:v>150400</c:v>
                </c:pt>
                <c:pt idx="69">
                  <c:v>152252</c:v>
                </c:pt>
                <c:pt idx="70">
                  <c:v>155444</c:v>
                </c:pt>
                <c:pt idx="71">
                  <c:v>162647</c:v>
                </c:pt>
                <c:pt idx="72">
                  <c:v>137684</c:v>
                </c:pt>
                <c:pt idx="73">
                  <c:v>143152</c:v>
                </c:pt>
                <c:pt idx="74">
                  <c:v>153573</c:v>
                </c:pt>
                <c:pt idx="75">
                  <c:v>147723</c:v>
                </c:pt>
                <c:pt idx="76">
                  <c:v>156302</c:v>
                </c:pt>
                <c:pt idx="77">
                  <c:v>154271</c:v>
                </c:pt>
              </c:numCache>
            </c:numRef>
          </c:val>
          <c:smooth val="0"/>
          <c:extLst>
            <c:ext xmlns:c16="http://schemas.microsoft.com/office/drawing/2014/chart" uri="{C3380CC4-5D6E-409C-BE32-E72D297353CC}">
              <c16:uniqueId val="{00000000-3080-41F8-9DCC-049ED7986AA6}"/>
            </c:ext>
          </c:extLst>
        </c:ser>
        <c:ser>
          <c:idx val="1"/>
          <c:order val="1"/>
          <c:tx>
            <c:strRef>
              <c:f>'Table1 only'!$F$2</c:f>
              <c:strCache>
                <c:ptCount val="1"/>
                <c:pt idx="0">
                  <c:v>BB+HCN</c:v>
                </c:pt>
              </c:strCache>
            </c:strRef>
          </c:tx>
          <c:spPr>
            <a:ln w="28575" cap="rnd">
              <a:solidFill>
                <a:schemeClr val="accent2"/>
              </a:solidFill>
              <a:round/>
            </a:ln>
            <a:effectLst/>
          </c:spPr>
          <c:marker>
            <c:symbol val="none"/>
          </c:marker>
          <c:cat>
            <c:numRef>
              <c:f>'Table1 only'!$C$3:$C$80</c:f>
              <c:numCache>
                <c:formatCode>mmm\-yy</c:formatCode>
                <c:ptCount val="78"/>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numCache>
            </c:numRef>
          </c:cat>
          <c:val>
            <c:numRef>
              <c:f>'Table1 only'!$F$3:$F$80</c:f>
              <c:numCache>
                <c:formatCode>General</c:formatCode>
                <c:ptCount val="78"/>
                <c:pt idx="0">
                  <c:v>1082</c:v>
                </c:pt>
                <c:pt idx="1">
                  <c:v>1152</c:v>
                </c:pt>
                <c:pt idx="2">
                  <c:v>1305</c:v>
                </c:pt>
                <c:pt idx="3">
                  <c:v>1250</c:v>
                </c:pt>
                <c:pt idx="4">
                  <c:v>1358</c:v>
                </c:pt>
                <c:pt idx="5">
                  <c:v>1301</c:v>
                </c:pt>
                <c:pt idx="6">
                  <c:v>1246</c:v>
                </c:pt>
                <c:pt idx="7">
                  <c:v>1288</c:v>
                </c:pt>
                <c:pt idx="8">
                  <c:v>1222</c:v>
                </c:pt>
                <c:pt idx="9">
                  <c:v>1274</c:v>
                </c:pt>
                <c:pt idx="10">
                  <c:v>1283</c:v>
                </c:pt>
                <c:pt idx="11">
                  <c:v>1397</c:v>
                </c:pt>
                <c:pt idx="12">
                  <c:v>999</c:v>
                </c:pt>
                <c:pt idx="13">
                  <c:v>1015</c:v>
                </c:pt>
                <c:pt idx="14">
                  <c:v>1129</c:v>
                </c:pt>
                <c:pt idx="15">
                  <c:v>1052</c:v>
                </c:pt>
                <c:pt idx="16">
                  <c:v>1127</c:v>
                </c:pt>
                <c:pt idx="17">
                  <c:v>1080</c:v>
                </c:pt>
                <c:pt idx="18">
                  <c:v>1132</c:v>
                </c:pt>
                <c:pt idx="19">
                  <c:v>1170</c:v>
                </c:pt>
                <c:pt idx="20">
                  <c:v>1132</c:v>
                </c:pt>
                <c:pt idx="21">
                  <c:v>1221</c:v>
                </c:pt>
                <c:pt idx="22">
                  <c:v>1229</c:v>
                </c:pt>
                <c:pt idx="23">
                  <c:v>1325</c:v>
                </c:pt>
                <c:pt idx="24">
                  <c:v>941</c:v>
                </c:pt>
                <c:pt idx="25">
                  <c:v>1004</c:v>
                </c:pt>
                <c:pt idx="26">
                  <c:v>1080</c:v>
                </c:pt>
                <c:pt idx="27">
                  <c:v>1060</c:v>
                </c:pt>
                <c:pt idx="28">
                  <c:v>1129</c:v>
                </c:pt>
                <c:pt idx="29">
                  <c:v>1099</c:v>
                </c:pt>
                <c:pt idx="30">
                  <c:v>1177</c:v>
                </c:pt>
                <c:pt idx="31">
                  <c:v>1181</c:v>
                </c:pt>
                <c:pt idx="32">
                  <c:v>1183</c:v>
                </c:pt>
                <c:pt idx="33">
                  <c:v>1237</c:v>
                </c:pt>
                <c:pt idx="34">
                  <c:v>1238</c:v>
                </c:pt>
                <c:pt idx="35">
                  <c:v>1342</c:v>
                </c:pt>
                <c:pt idx="36">
                  <c:v>941</c:v>
                </c:pt>
                <c:pt idx="37">
                  <c:v>1040</c:v>
                </c:pt>
                <c:pt idx="38">
                  <c:v>1161</c:v>
                </c:pt>
                <c:pt idx="39">
                  <c:v>1060</c:v>
                </c:pt>
                <c:pt idx="40">
                  <c:v>1107</c:v>
                </c:pt>
                <c:pt idx="41">
                  <c:v>1151</c:v>
                </c:pt>
                <c:pt idx="42">
                  <c:v>1227</c:v>
                </c:pt>
                <c:pt idx="43">
                  <c:v>1208</c:v>
                </c:pt>
                <c:pt idx="44">
                  <c:v>1219</c:v>
                </c:pt>
                <c:pt idx="45">
                  <c:v>1239</c:v>
                </c:pt>
                <c:pt idx="46">
                  <c:v>1275</c:v>
                </c:pt>
                <c:pt idx="47">
                  <c:v>1361</c:v>
                </c:pt>
                <c:pt idx="48">
                  <c:v>905</c:v>
                </c:pt>
                <c:pt idx="49">
                  <c:v>987</c:v>
                </c:pt>
                <c:pt idx="50">
                  <c:v>1130</c:v>
                </c:pt>
                <c:pt idx="51">
                  <c:v>1040</c:v>
                </c:pt>
                <c:pt idx="52">
                  <c:v>1101</c:v>
                </c:pt>
                <c:pt idx="53">
                  <c:v>1098</c:v>
                </c:pt>
                <c:pt idx="54">
                  <c:v>1171</c:v>
                </c:pt>
                <c:pt idx="55">
                  <c:v>1187</c:v>
                </c:pt>
                <c:pt idx="56">
                  <c:v>1171</c:v>
                </c:pt>
                <c:pt idx="57">
                  <c:v>1188</c:v>
                </c:pt>
                <c:pt idx="58">
                  <c:v>1231</c:v>
                </c:pt>
                <c:pt idx="59">
                  <c:v>1315</c:v>
                </c:pt>
                <c:pt idx="60">
                  <c:v>911</c:v>
                </c:pt>
                <c:pt idx="61">
                  <c:v>923</c:v>
                </c:pt>
                <c:pt idx="62">
                  <c:v>1038</c:v>
                </c:pt>
                <c:pt idx="63">
                  <c:v>985</c:v>
                </c:pt>
                <c:pt idx="64">
                  <c:v>1027</c:v>
                </c:pt>
                <c:pt idx="65">
                  <c:v>1046</c:v>
                </c:pt>
                <c:pt idx="66">
                  <c:v>1009</c:v>
                </c:pt>
                <c:pt idx="67">
                  <c:v>1101</c:v>
                </c:pt>
                <c:pt idx="68">
                  <c:v>1048</c:v>
                </c:pt>
                <c:pt idx="69">
                  <c:v>1070</c:v>
                </c:pt>
                <c:pt idx="70">
                  <c:v>1102</c:v>
                </c:pt>
                <c:pt idx="71">
                  <c:v>1160</c:v>
                </c:pt>
                <c:pt idx="72">
                  <c:v>810</c:v>
                </c:pt>
                <c:pt idx="73">
                  <c:v>886</c:v>
                </c:pt>
                <c:pt idx="74">
                  <c:v>910</c:v>
                </c:pt>
                <c:pt idx="75">
                  <c:v>858</c:v>
                </c:pt>
                <c:pt idx="76">
                  <c:v>934</c:v>
                </c:pt>
                <c:pt idx="77">
                  <c:v>910</c:v>
                </c:pt>
              </c:numCache>
            </c:numRef>
          </c:val>
          <c:smooth val="0"/>
          <c:extLst>
            <c:ext xmlns:c16="http://schemas.microsoft.com/office/drawing/2014/chart" uri="{C3380CC4-5D6E-409C-BE32-E72D297353CC}">
              <c16:uniqueId val="{00000001-3080-41F8-9DCC-049ED7986AA6}"/>
            </c:ext>
          </c:extLst>
        </c:ser>
        <c:ser>
          <c:idx val="2"/>
          <c:order val="2"/>
          <c:tx>
            <c:strRef>
              <c:f>'Table1 only'!$G$2</c:f>
              <c:strCache>
                <c:ptCount val="1"/>
                <c:pt idx="0">
                  <c:v>BB+MRA (for HF)</c:v>
                </c:pt>
              </c:strCache>
            </c:strRef>
          </c:tx>
          <c:spPr>
            <a:ln w="28575" cap="rnd">
              <a:solidFill>
                <a:schemeClr val="accent3"/>
              </a:solidFill>
              <a:round/>
            </a:ln>
            <a:effectLst/>
          </c:spPr>
          <c:marker>
            <c:symbol val="none"/>
          </c:marker>
          <c:cat>
            <c:numRef>
              <c:f>'Table1 only'!$C$3:$C$80</c:f>
              <c:numCache>
                <c:formatCode>mmm\-yy</c:formatCode>
                <c:ptCount val="78"/>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numCache>
            </c:numRef>
          </c:cat>
          <c:val>
            <c:numRef>
              <c:f>'Table1 only'!$G$3:$G$80</c:f>
              <c:numCache>
                <c:formatCode>General</c:formatCode>
                <c:ptCount val="78"/>
                <c:pt idx="0">
                  <c:v>1238</c:v>
                </c:pt>
                <c:pt idx="1">
                  <c:v>1352</c:v>
                </c:pt>
                <c:pt idx="2">
                  <c:v>1455</c:v>
                </c:pt>
                <c:pt idx="3">
                  <c:v>1397</c:v>
                </c:pt>
                <c:pt idx="4">
                  <c:v>1548</c:v>
                </c:pt>
                <c:pt idx="5">
                  <c:v>1505</c:v>
                </c:pt>
                <c:pt idx="6">
                  <c:v>1522</c:v>
                </c:pt>
                <c:pt idx="7">
                  <c:v>1556</c:v>
                </c:pt>
                <c:pt idx="8">
                  <c:v>1525</c:v>
                </c:pt>
                <c:pt idx="9">
                  <c:v>1591</c:v>
                </c:pt>
                <c:pt idx="10">
                  <c:v>1622</c:v>
                </c:pt>
                <c:pt idx="11">
                  <c:v>1739</c:v>
                </c:pt>
                <c:pt idx="12">
                  <c:v>1287</c:v>
                </c:pt>
                <c:pt idx="13">
                  <c:v>1326</c:v>
                </c:pt>
                <c:pt idx="14">
                  <c:v>1464</c:v>
                </c:pt>
                <c:pt idx="15">
                  <c:v>1391</c:v>
                </c:pt>
                <c:pt idx="16">
                  <c:v>1521</c:v>
                </c:pt>
                <c:pt idx="17">
                  <c:v>1453</c:v>
                </c:pt>
                <c:pt idx="18">
                  <c:v>1523</c:v>
                </c:pt>
                <c:pt idx="19">
                  <c:v>1517</c:v>
                </c:pt>
                <c:pt idx="20">
                  <c:v>1487</c:v>
                </c:pt>
                <c:pt idx="21">
                  <c:v>1632</c:v>
                </c:pt>
                <c:pt idx="22">
                  <c:v>1652</c:v>
                </c:pt>
                <c:pt idx="23">
                  <c:v>1787</c:v>
                </c:pt>
                <c:pt idx="24">
                  <c:v>1320</c:v>
                </c:pt>
                <c:pt idx="25">
                  <c:v>1341</c:v>
                </c:pt>
                <c:pt idx="26">
                  <c:v>1438</c:v>
                </c:pt>
                <c:pt idx="27">
                  <c:v>1445</c:v>
                </c:pt>
                <c:pt idx="28">
                  <c:v>1559</c:v>
                </c:pt>
                <c:pt idx="29">
                  <c:v>1478</c:v>
                </c:pt>
                <c:pt idx="30">
                  <c:v>1556</c:v>
                </c:pt>
                <c:pt idx="31">
                  <c:v>1600</c:v>
                </c:pt>
                <c:pt idx="32">
                  <c:v>1571</c:v>
                </c:pt>
                <c:pt idx="33">
                  <c:v>1684</c:v>
                </c:pt>
                <c:pt idx="34">
                  <c:v>1690</c:v>
                </c:pt>
                <c:pt idx="35">
                  <c:v>1893</c:v>
                </c:pt>
                <c:pt idx="36">
                  <c:v>1359</c:v>
                </c:pt>
                <c:pt idx="37">
                  <c:v>1469</c:v>
                </c:pt>
                <c:pt idx="38">
                  <c:v>1710</c:v>
                </c:pt>
                <c:pt idx="39">
                  <c:v>1518</c:v>
                </c:pt>
                <c:pt idx="40">
                  <c:v>1668</c:v>
                </c:pt>
                <c:pt idx="41">
                  <c:v>1705</c:v>
                </c:pt>
                <c:pt idx="42">
                  <c:v>1818</c:v>
                </c:pt>
                <c:pt idx="43">
                  <c:v>1778</c:v>
                </c:pt>
                <c:pt idx="44">
                  <c:v>1798</c:v>
                </c:pt>
                <c:pt idx="45">
                  <c:v>1890</c:v>
                </c:pt>
                <c:pt idx="46">
                  <c:v>1896</c:v>
                </c:pt>
                <c:pt idx="47">
                  <c:v>2125</c:v>
                </c:pt>
                <c:pt idx="48">
                  <c:v>1421</c:v>
                </c:pt>
                <c:pt idx="49">
                  <c:v>1539</c:v>
                </c:pt>
                <c:pt idx="50">
                  <c:v>1799</c:v>
                </c:pt>
                <c:pt idx="51">
                  <c:v>1699</c:v>
                </c:pt>
                <c:pt idx="52">
                  <c:v>1733</c:v>
                </c:pt>
                <c:pt idx="53">
                  <c:v>1752</c:v>
                </c:pt>
                <c:pt idx="54">
                  <c:v>1808</c:v>
                </c:pt>
                <c:pt idx="55">
                  <c:v>1870</c:v>
                </c:pt>
                <c:pt idx="56">
                  <c:v>1884</c:v>
                </c:pt>
                <c:pt idx="57">
                  <c:v>1939</c:v>
                </c:pt>
                <c:pt idx="58">
                  <c:v>2028</c:v>
                </c:pt>
                <c:pt idx="59">
                  <c:v>2173</c:v>
                </c:pt>
                <c:pt idx="60">
                  <c:v>1481</c:v>
                </c:pt>
                <c:pt idx="61">
                  <c:v>1551</c:v>
                </c:pt>
                <c:pt idx="62">
                  <c:v>1698</c:v>
                </c:pt>
                <c:pt idx="63">
                  <c:v>1639</c:v>
                </c:pt>
                <c:pt idx="64">
                  <c:v>1730</c:v>
                </c:pt>
                <c:pt idx="65">
                  <c:v>1717</c:v>
                </c:pt>
                <c:pt idx="66">
                  <c:v>1735</c:v>
                </c:pt>
                <c:pt idx="67">
                  <c:v>1826</c:v>
                </c:pt>
                <c:pt idx="68">
                  <c:v>1823</c:v>
                </c:pt>
                <c:pt idx="69">
                  <c:v>1845</c:v>
                </c:pt>
                <c:pt idx="70">
                  <c:v>1936</c:v>
                </c:pt>
                <c:pt idx="71">
                  <c:v>2139</c:v>
                </c:pt>
                <c:pt idx="72">
                  <c:v>1463</c:v>
                </c:pt>
                <c:pt idx="73">
                  <c:v>1525</c:v>
                </c:pt>
                <c:pt idx="74">
                  <c:v>1693</c:v>
                </c:pt>
                <c:pt idx="75">
                  <c:v>1567</c:v>
                </c:pt>
                <c:pt idx="76">
                  <c:v>1714</c:v>
                </c:pt>
                <c:pt idx="77">
                  <c:v>1685</c:v>
                </c:pt>
              </c:numCache>
            </c:numRef>
          </c:val>
          <c:smooth val="0"/>
          <c:extLst>
            <c:ext xmlns:c16="http://schemas.microsoft.com/office/drawing/2014/chart" uri="{C3380CC4-5D6E-409C-BE32-E72D297353CC}">
              <c16:uniqueId val="{00000002-3080-41F8-9DCC-049ED7986AA6}"/>
            </c:ext>
          </c:extLst>
        </c:ser>
        <c:ser>
          <c:idx val="3"/>
          <c:order val="3"/>
          <c:tx>
            <c:strRef>
              <c:f>'Table1 only'!$H$2</c:f>
              <c:strCache>
                <c:ptCount val="1"/>
                <c:pt idx="0">
                  <c:v>HCN</c:v>
                </c:pt>
              </c:strCache>
            </c:strRef>
          </c:tx>
          <c:spPr>
            <a:ln w="28575" cap="rnd">
              <a:solidFill>
                <a:schemeClr val="accent4"/>
              </a:solidFill>
              <a:round/>
            </a:ln>
            <a:effectLst/>
          </c:spPr>
          <c:marker>
            <c:symbol val="none"/>
          </c:marker>
          <c:cat>
            <c:numRef>
              <c:f>'Table1 only'!$C$3:$C$80</c:f>
              <c:numCache>
                <c:formatCode>mmm\-yy</c:formatCode>
                <c:ptCount val="78"/>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numCache>
            </c:numRef>
          </c:cat>
          <c:val>
            <c:numRef>
              <c:f>'Table1 only'!$H$3:$H$80</c:f>
              <c:numCache>
                <c:formatCode>General</c:formatCode>
                <c:ptCount val="78"/>
                <c:pt idx="0">
                  <c:v>2343</c:v>
                </c:pt>
                <c:pt idx="1">
                  <c:v>2458</c:v>
                </c:pt>
                <c:pt idx="2">
                  <c:v>2586</c:v>
                </c:pt>
                <c:pt idx="3">
                  <c:v>2533</c:v>
                </c:pt>
                <c:pt idx="4">
                  <c:v>2674</c:v>
                </c:pt>
                <c:pt idx="5">
                  <c:v>2598</c:v>
                </c:pt>
                <c:pt idx="6">
                  <c:v>2564</c:v>
                </c:pt>
                <c:pt idx="7">
                  <c:v>2560</c:v>
                </c:pt>
                <c:pt idx="8">
                  <c:v>2483</c:v>
                </c:pt>
                <c:pt idx="9">
                  <c:v>2521</c:v>
                </c:pt>
                <c:pt idx="10">
                  <c:v>2504</c:v>
                </c:pt>
                <c:pt idx="11">
                  <c:v>2589</c:v>
                </c:pt>
                <c:pt idx="12">
                  <c:v>2334</c:v>
                </c:pt>
                <c:pt idx="13">
                  <c:v>2453</c:v>
                </c:pt>
                <c:pt idx="14">
                  <c:v>2580</c:v>
                </c:pt>
                <c:pt idx="15">
                  <c:v>2511</c:v>
                </c:pt>
                <c:pt idx="16">
                  <c:v>2600</c:v>
                </c:pt>
                <c:pt idx="17">
                  <c:v>2545</c:v>
                </c:pt>
                <c:pt idx="18">
                  <c:v>2539</c:v>
                </c:pt>
                <c:pt idx="19">
                  <c:v>2531</c:v>
                </c:pt>
                <c:pt idx="20">
                  <c:v>2436</c:v>
                </c:pt>
                <c:pt idx="21">
                  <c:v>2520</c:v>
                </c:pt>
                <c:pt idx="22">
                  <c:v>2506</c:v>
                </c:pt>
                <c:pt idx="23">
                  <c:v>2472</c:v>
                </c:pt>
                <c:pt idx="24">
                  <c:v>2063</c:v>
                </c:pt>
                <c:pt idx="25">
                  <c:v>2182</c:v>
                </c:pt>
                <c:pt idx="26">
                  <c:v>2250</c:v>
                </c:pt>
                <c:pt idx="27">
                  <c:v>2265</c:v>
                </c:pt>
                <c:pt idx="28">
                  <c:v>2351</c:v>
                </c:pt>
                <c:pt idx="29">
                  <c:v>2276</c:v>
                </c:pt>
                <c:pt idx="30">
                  <c:v>2457</c:v>
                </c:pt>
                <c:pt idx="31">
                  <c:v>2514</c:v>
                </c:pt>
                <c:pt idx="32">
                  <c:v>2457</c:v>
                </c:pt>
                <c:pt idx="33">
                  <c:v>2516</c:v>
                </c:pt>
                <c:pt idx="34">
                  <c:v>2490</c:v>
                </c:pt>
                <c:pt idx="35">
                  <c:v>2521</c:v>
                </c:pt>
                <c:pt idx="36">
                  <c:v>2228</c:v>
                </c:pt>
                <c:pt idx="37">
                  <c:v>2430</c:v>
                </c:pt>
                <c:pt idx="38">
                  <c:v>2738</c:v>
                </c:pt>
                <c:pt idx="39">
                  <c:v>2420</c:v>
                </c:pt>
                <c:pt idx="40">
                  <c:v>2521</c:v>
                </c:pt>
                <c:pt idx="41">
                  <c:v>2590</c:v>
                </c:pt>
                <c:pt idx="42">
                  <c:v>2644</c:v>
                </c:pt>
                <c:pt idx="43">
                  <c:v>2635</c:v>
                </c:pt>
                <c:pt idx="44">
                  <c:v>2649</c:v>
                </c:pt>
                <c:pt idx="45">
                  <c:v>2619</c:v>
                </c:pt>
                <c:pt idx="46">
                  <c:v>2577</c:v>
                </c:pt>
                <c:pt idx="47">
                  <c:v>2735</c:v>
                </c:pt>
                <c:pt idx="48">
                  <c:v>2387</c:v>
                </c:pt>
                <c:pt idx="49">
                  <c:v>2545</c:v>
                </c:pt>
                <c:pt idx="50">
                  <c:v>2758</c:v>
                </c:pt>
                <c:pt idx="51">
                  <c:v>2661</c:v>
                </c:pt>
                <c:pt idx="52">
                  <c:v>2770</c:v>
                </c:pt>
                <c:pt idx="53">
                  <c:v>2744</c:v>
                </c:pt>
                <c:pt idx="54">
                  <c:v>2860</c:v>
                </c:pt>
                <c:pt idx="55">
                  <c:v>2828</c:v>
                </c:pt>
                <c:pt idx="56">
                  <c:v>2767</c:v>
                </c:pt>
                <c:pt idx="57">
                  <c:v>2763</c:v>
                </c:pt>
                <c:pt idx="58">
                  <c:v>2857</c:v>
                </c:pt>
                <c:pt idx="59">
                  <c:v>2896</c:v>
                </c:pt>
                <c:pt idx="60">
                  <c:v>2392</c:v>
                </c:pt>
                <c:pt idx="61">
                  <c:v>2460</c:v>
                </c:pt>
                <c:pt idx="62">
                  <c:v>2591</c:v>
                </c:pt>
                <c:pt idx="63">
                  <c:v>2538</c:v>
                </c:pt>
                <c:pt idx="64">
                  <c:v>2586</c:v>
                </c:pt>
                <c:pt idx="65">
                  <c:v>2613</c:v>
                </c:pt>
                <c:pt idx="66">
                  <c:v>2622</c:v>
                </c:pt>
                <c:pt idx="67">
                  <c:v>2627</c:v>
                </c:pt>
                <c:pt idx="68">
                  <c:v>2638</c:v>
                </c:pt>
                <c:pt idx="69">
                  <c:v>2602</c:v>
                </c:pt>
                <c:pt idx="70">
                  <c:v>2634</c:v>
                </c:pt>
                <c:pt idx="71">
                  <c:v>2740</c:v>
                </c:pt>
                <c:pt idx="72">
                  <c:v>2654</c:v>
                </c:pt>
                <c:pt idx="73">
                  <c:v>2782</c:v>
                </c:pt>
                <c:pt idx="74">
                  <c:v>2954</c:v>
                </c:pt>
                <c:pt idx="75">
                  <c:v>2925</c:v>
                </c:pt>
                <c:pt idx="76">
                  <c:v>3018</c:v>
                </c:pt>
                <c:pt idx="77">
                  <c:v>3029</c:v>
                </c:pt>
              </c:numCache>
            </c:numRef>
          </c:val>
          <c:smooth val="0"/>
          <c:extLst>
            <c:ext xmlns:c16="http://schemas.microsoft.com/office/drawing/2014/chart" uri="{C3380CC4-5D6E-409C-BE32-E72D297353CC}">
              <c16:uniqueId val="{00000003-3080-41F8-9DCC-049ED7986AA6}"/>
            </c:ext>
          </c:extLst>
        </c:ser>
        <c:ser>
          <c:idx val="4"/>
          <c:order val="4"/>
          <c:tx>
            <c:strRef>
              <c:f>'Table1 only'!$I$2</c:f>
              <c:strCache>
                <c:ptCount val="1"/>
                <c:pt idx="0">
                  <c:v>MRA (for HF)</c:v>
                </c:pt>
              </c:strCache>
            </c:strRef>
          </c:tx>
          <c:spPr>
            <a:ln w="28575" cap="rnd">
              <a:solidFill>
                <a:schemeClr val="accent5"/>
              </a:solidFill>
              <a:round/>
            </a:ln>
            <a:effectLst/>
          </c:spPr>
          <c:marker>
            <c:symbol val="none"/>
          </c:marker>
          <c:cat>
            <c:numRef>
              <c:f>'Table1 only'!$C$3:$C$80</c:f>
              <c:numCache>
                <c:formatCode>mmm\-yy</c:formatCode>
                <c:ptCount val="78"/>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numCache>
            </c:numRef>
          </c:cat>
          <c:val>
            <c:numRef>
              <c:f>'Table1 only'!$I$3:$I$80</c:f>
              <c:numCache>
                <c:formatCode>General</c:formatCode>
                <c:ptCount val="78"/>
                <c:pt idx="0">
                  <c:v>1261</c:v>
                </c:pt>
                <c:pt idx="1">
                  <c:v>1288</c:v>
                </c:pt>
                <c:pt idx="2">
                  <c:v>1486</c:v>
                </c:pt>
                <c:pt idx="3">
                  <c:v>1386</c:v>
                </c:pt>
                <c:pt idx="4">
                  <c:v>1473</c:v>
                </c:pt>
                <c:pt idx="5">
                  <c:v>1432</c:v>
                </c:pt>
                <c:pt idx="6">
                  <c:v>1392</c:v>
                </c:pt>
                <c:pt idx="7">
                  <c:v>1382</c:v>
                </c:pt>
                <c:pt idx="8">
                  <c:v>1362</c:v>
                </c:pt>
                <c:pt idx="9">
                  <c:v>1347</c:v>
                </c:pt>
                <c:pt idx="10">
                  <c:v>1382</c:v>
                </c:pt>
                <c:pt idx="11">
                  <c:v>1314</c:v>
                </c:pt>
                <c:pt idx="12">
                  <c:v>1364</c:v>
                </c:pt>
                <c:pt idx="13">
                  <c:v>1424</c:v>
                </c:pt>
                <c:pt idx="14">
                  <c:v>1456</c:v>
                </c:pt>
                <c:pt idx="15">
                  <c:v>1460</c:v>
                </c:pt>
                <c:pt idx="16">
                  <c:v>1499</c:v>
                </c:pt>
                <c:pt idx="17">
                  <c:v>1424</c:v>
                </c:pt>
                <c:pt idx="18">
                  <c:v>1488</c:v>
                </c:pt>
                <c:pt idx="19">
                  <c:v>1502</c:v>
                </c:pt>
                <c:pt idx="20">
                  <c:v>1445</c:v>
                </c:pt>
                <c:pt idx="21">
                  <c:v>1491</c:v>
                </c:pt>
                <c:pt idx="22">
                  <c:v>1422</c:v>
                </c:pt>
                <c:pt idx="23">
                  <c:v>1449</c:v>
                </c:pt>
                <c:pt idx="24">
                  <c:v>1448</c:v>
                </c:pt>
                <c:pt idx="25">
                  <c:v>1502</c:v>
                </c:pt>
                <c:pt idx="26">
                  <c:v>1560</c:v>
                </c:pt>
                <c:pt idx="27">
                  <c:v>1614</c:v>
                </c:pt>
                <c:pt idx="28">
                  <c:v>1663</c:v>
                </c:pt>
                <c:pt idx="29">
                  <c:v>1565</c:v>
                </c:pt>
                <c:pt idx="30">
                  <c:v>1643</c:v>
                </c:pt>
                <c:pt idx="31">
                  <c:v>1597</c:v>
                </c:pt>
                <c:pt idx="32">
                  <c:v>1571</c:v>
                </c:pt>
                <c:pt idx="33">
                  <c:v>1602</c:v>
                </c:pt>
                <c:pt idx="34">
                  <c:v>1618</c:v>
                </c:pt>
                <c:pt idx="35">
                  <c:v>1584</c:v>
                </c:pt>
                <c:pt idx="36">
                  <c:v>1693</c:v>
                </c:pt>
                <c:pt idx="37">
                  <c:v>1684</c:v>
                </c:pt>
                <c:pt idx="38">
                  <c:v>1845</c:v>
                </c:pt>
                <c:pt idx="39">
                  <c:v>1639</c:v>
                </c:pt>
                <c:pt idx="40">
                  <c:v>1676</c:v>
                </c:pt>
                <c:pt idx="41">
                  <c:v>1741</c:v>
                </c:pt>
                <c:pt idx="42">
                  <c:v>1743</c:v>
                </c:pt>
                <c:pt idx="43">
                  <c:v>1729</c:v>
                </c:pt>
                <c:pt idx="44">
                  <c:v>1746</c:v>
                </c:pt>
                <c:pt idx="45">
                  <c:v>1754</c:v>
                </c:pt>
                <c:pt idx="46">
                  <c:v>1708</c:v>
                </c:pt>
                <c:pt idx="47">
                  <c:v>1765</c:v>
                </c:pt>
                <c:pt idx="48">
                  <c:v>1772</c:v>
                </c:pt>
                <c:pt idx="49">
                  <c:v>1807</c:v>
                </c:pt>
                <c:pt idx="50">
                  <c:v>1897</c:v>
                </c:pt>
                <c:pt idx="51">
                  <c:v>1864</c:v>
                </c:pt>
                <c:pt idx="52">
                  <c:v>1882</c:v>
                </c:pt>
                <c:pt idx="53">
                  <c:v>1907</c:v>
                </c:pt>
                <c:pt idx="54">
                  <c:v>1912</c:v>
                </c:pt>
                <c:pt idx="55">
                  <c:v>1953</c:v>
                </c:pt>
                <c:pt idx="56">
                  <c:v>1934</c:v>
                </c:pt>
                <c:pt idx="57">
                  <c:v>1892</c:v>
                </c:pt>
                <c:pt idx="58">
                  <c:v>1903</c:v>
                </c:pt>
                <c:pt idx="59">
                  <c:v>1885</c:v>
                </c:pt>
                <c:pt idx="60">
                  <c:v>1985</c:v>
                </c:pt>
                <c:pt idx="61">
                  <c:v>1998</c:v>
                </c:pt>
                <c:pt idx="62">
                  <c:v>2127</c:v>
                </c:pt>
                <c:pt idx="63">
                  <c:v>2074</c:v>
                </c:pt>
                <c:pt idx="64">
                  <c:v>2126</c:v>
                </c:pt>
                <c:pt idx="65">
                  <c:v>2104</c:v>
                </c:pt>
                <c:pt idx="66">
                  <c:v>2117</c:v>
                </c:pt>
                <c:pt idx="67">
                  <c:v>2071</c:v>
                </c:pt>
                <c:pt idx="68">
                  <c:v>2064</c:v>
                </c:pt>
                <c:pt idx="69">
                  <c:v>2028</c:v>
                </c:pt>
                <c:pt idx="70">
                  <c:v>2007</c:v>
                </c:pt>
                <c:pt idx="71">
                  <c:v>1983</c:v>
                </c:pt>
                <c:pt idx="72">
                  <c:v>2091</c:v>
                </c:pt>
                <c:pt idx="73">
                  <c:v>2085</c:v>
                </c:pt>
                <c:pt idx="74">
                  <c:v>2214</c:v>
                </c:pt>
                <c:pt idx="75">
                  <c:v>2138</c:v>
                </c:pt>
                <c:pt idx="76">
                  <c:v>2245</c:v>
                </c:pt>
                <c:pt idx="77">
                  <c:v>2193</c:v>
                </c:pt>
              </c:numCache>
            </c:numRef>
          </c:val>
          <c:smooth val="0"/>
          <c:extLst>
            <c:ext xmlns:c16="http://schemas.microsoft.com/office/drawing/2014/chart" uri="{C3380CC4-5D6E-409C-BE32-E72D297353CC}">
              <c16:uniqueId val="{00000004-3080-41F8-9DCC-049ED7986AA6}"/>
            </c:ext>
          </c:extLst>
        </c:ser>
        <c:ser>
          <c:idx val="5"/>
          <c:order val="5"/>
          <c:tx>
            <c:strRef>
              <c:f>'Table1 only'!$J$2</c:f>
              <c:strCache>
                <c:ptCount val="1"/>
                <c:pt idx="0">
                  <c:v>ARNI</c:v>
                </c:pt>
              </c:strCache>
            </c:strRef>
          </c:tx>
          <c:spPr>
            <a:ln w="28575" cap="rnd">
              <a:solidFill>
                <a:schemeClr val="accent6"/>
              </a:solidFill>
              <a:round/>
            </a:ln>
            <a:effectLst/>
          </c:spPr>
          <c:marker>
            <c:symbol val="none"/>
          </c:marker>
          <c:cat>
            <c:numRef>
              <c:f>'Table1 only'!$C$3:$C$80</c:f>
              <c:numCache>
                <c:formatCode>mmm\-yy</c:formatCode>
                <c:ptCount val="78"/>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numCache>
            </c:numRef>
          </c:cat>
          <c:val>
            <c:numRef>
              <c:f>'Table1 only'!$J$3:$J$80</c:f>
              <c:numCache>
                <c:formatCode>General</c:formatCode>
                <c:ptCount val="78"/>
                <c:pt idx="5">
                  <c:v>602</c:v>
                </c:pt>
                <c:pt idx="6">
                  <c:v>1110</c:v>
                </c:pt>
                <c:pt idx="7">
                  <c:v>1543</c:v>
                </c:pt>
                <c:pt idx="8">
                  <c:v>1909</c:v>
                </c:pt>
                <c:pt idx="9">
                  <c:v>2128</c:v>
                </c:pt>
                <c:pt idx="10">
                  <c:v>2409</c:v>
                </c:pt>
                <c:pt idx="11">
                  <c:v>2531</c:v>
                </c:pt>
                <c:pt idx="12">
                  <c:v>3034</c:v>
                </c:pt>
                <c:pt idx="13">
                  <c:v>3253</c:v>
                </c:pt>
                <c:pt idx="14">
                  <c:v>3511</c:v>
                </c:pt>
                <c:pt idx="15">
                  <c:v>3667</c:v>
                </c:pt>
                <c:pt idx="16">
                  <c:v>3948</c:v>
                </c:pt>
                <c:pt idx="17">
                  <c:v>4144</c:v>
                </c:pt>
                <c:pt idx="18">
                  <c:v>4364</c:v>
                </c:pt>
                <c:pt idx="19">
                  <c:v>4491</c:v>
                </c:pt>
                <c:pt idx="20">
                  <c:v>4783</c:v>
                </c:pt>
                <c:pt idx="21">
                  <c:v>4858</c:v>
                </c:pt>
                <c:pt idx="22">
                  <c:v>5099</c:v>
                </c:pt>
                <c:pt idx="23">
                  <c:v>5055</c:v>
                </c:pt>
                <c:pt idx="24">
                  <c:v>5982</c:v>
                </c:pt>
                <c:pt idx="25">
                  <c:v>6289</c:v>
                </c:pt>
                <c:pt idx="26">
                  <c:v>6385</c:v>
                </c:pt>
                <c:pt idx="27">
                  <c:v>6473</c:v>
                </c:pt>
                <c:pt idx="28">
                  <c:v>6791</c:v>
                </c:pt>
                <c:pt idx="29">
                  <c:v>6909</c:v>
                </c:pt>
                <c:pt idx="30">
                  <c:v>7030</c:v>
                </c:pt>
                <c:pt idx="31">
                  <c:v>7238</c:v>
                </c:pt>
                <c:pt idx="32">
                  <c:v>7441</c:v>
                </c:pt>
                <c:pt idx="33">
                  <c:v>7532</c:v>
                </c:pt>
                <c:pt idx="34">
                  <c:v>7666</c:v>
                </c:pt>
                <c:pt idx="35">
                  <c:v>7486</c:v>
                </c:pt>
                <c:pt idx="36">
                  <c:v>8681</c:v>
                </c:pt>
                <c:pt idx="37">
                  <c:v>8989</c:v>
                </c:pt>
                <c:pt idx="38">
                  <c:v>9202</c:v>
                </c:pt>
                <c:pt idx="39">
                  <c:v>8691</c:v>
                </c:pt>
                <c:pt idx="40">
                  <c:v>9103</c:v>
                </c:pt>
                <c:pt idx="41">
                  <c:v>9407</c:v>
                </c:pt>
                <c:pt idx="42">
                  <c:v>9442</c:v>
                </c:pt>
                <c:pt idx="43">
                  <c:v>9543</c:v>
                </c:pt>
                <c:pt idx="44">
                  <c:v>9568</c:v>
                </c:pt>
                <c:pt idx="45">
                  <c:v>9629</c:v>
                </c:pt>
                <c:pt idx="46">
                  <c:v>9695</c:v>
                </c:pt>
                <c:pt idx="47">
                  <c:v>9489</c:v>
                </c:pt>
                <c:pt idx="48">
                  <c:v>11150</c:v>
                </c:pt>
                <c:pt idx="49">
                  <c:v>11311</c:v>
                </c:pt>
                <c:pt idx="50">
                  <c:v>11690</c:v>
                </c:pt>
                <c:pt idx="51">
                  <c:v>11807</c:v>
                </c:pt>
                <c:pt idx="52">
                  <c:v>12397</c:v>
                </c:pt>
                <c:pt idx="53">
                  <c:v>12205</c:v>
                </c:pt>
                <c:pt idx="54">
                  <c:v>12535</c:v>
                </c:pt>
                <c:pt idx="55">
                  <c:v>12640</c:v>
                </c:pt>
                <c:pt idx="56">
                  <c:v>12606</c:v>
                </c:pt>
                <c:pt idx="57">
                  <c:v>12655</c:v>
                </c:pt>
                <c:pt idx="58">
                  <c:v>12638</c:v>
                </c:pt>
                <c:pt idx="59">
                  <c:v>12305</c:v>
                </c:pt>
                <c:pt idx="60">
                  <c:v>14147</c:v>
                </c:pt>
                <c:pt idx="61">
                  <c:v>14319</c:v>
                </c:pt>
                <c:pt idx="62">
                  <c:v>14476</c:v>
                </c:pt>
                <c:pt idx="63">
                  <c:v>14540</c:v>
                </c:pt>
                <c:pt idx="64">
                  <c:v>14389</c:v>
                </c:pt>
                <c:pt idx="65">
                  <c:v>14401</c:v>
                </c:pt>
                <c:pt idx="66">
                  <c:v>14028</c:v>
                </c:pt>
                <c:pt idx="67">
                  <c:v>14031</c:v>
                </c:pt>
                <c:pt idx="68">
                  <c:v>13808</c:v>
                </c:pt>
                <c:pt idx="69">
                  <c:v>13786</c:v>
                </c:pt>
                <c:pt idx="70">
                  <c:v>13604</c:v>
                </c:pt>
                <c:pt idx="71">
                  <c:v>12903</c:v>
                </c:pt>
                <c:pt idx="72">
                  <c:v>14570</c:v>
                </c:pt>
                <c:pt idx="73">
                  <c:v>14841</c:v>
                </c:pt>
                <c:pt idx="74">
                  <c:v>14923</c:v>
                </c:pt>
                <c:pt idx="75">
                  <c:v>14998</c:v>
                </c:pt>
                <c:pt idx="76">
                  <c:v>14942</c:v>
                </c:pt>
                <c:pt idx="77">
                  <c:v>14933</c:v>
                </c:pt>
              </c:numCache>
            </c:numRef>
          </c:val>
          <c:smooth val="0"/>
          <c:extLst>
            <c:ext xmlns:c16="http://schemas.microsoft.com/office/drawing/2014/chart" uri="{C3380CC4-5D6E-409C-BE32-E72D297353CC}">
              <c16:uniqueId val="{00000005-3080-41F8-9DCC-049ED7986AA6}"/>
            </c:ext>
          </c:extLst>
        </c:ser>
        <c:ser>
          <c:idx val="6"/>
          <c:order val="6"/>
          <c:tx>
            <c:strRef>
              <c:f>'Table1 only'!$K$2</c:f>
              <c:strCache>
                <c:ptCount val="1"/>
                <c:pt idx="0">
                  <c:v>ARNI+BB</c:v>
                </c:pt>
              </c:strCache>
            </c:strRef>
          </c:tx>
          <c:spPr>
            <a:ln w="28575" cap="rnd">
              <a:solidFill>
                <a:srgbClr val="FF0000"/>
              </a:solidFill>
              <a:round/>
            </a:ln>
            <a:effectLst/>
          </c:spPr>
          <c:marker>
            <c:symbol val="none"/>
          </c:marker>
          <c:cat>
            <c:numRef>
              <c:f>'Table1 only'!$C$3:$C$80</c:f>
              <c:numCache>
                <c:formatCode>mmm\-yy</c:formatCode>
                <c:ptCount val="78"/>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numCache>
            </c:numRef>
          </c:cat>
          <c:val>
            <c:numRef>
              <c:f>'Table1 only'!$K$3:$K$80</c:f>
              <c:numCache>
                <c:formatCode>General</c:formatCode>
                <c:ptCount val="78"/>
                <c:pt idx="5">
                  <c:v>882</c:v>
                </c:pt>
                <c:pt idx="6">
                  <c:v>1715</c:v>
                </c:pt>
                <c:pt idx="7">
                  <c:v>2561</c:v>
                </c:pt>
                <c:pt idx="8">
                  <c:v>3033</c:v>
                </c:pt>
                <c:pt idx="9">
                  <c:v>3659</c:v>
                </c:pt>
                <c:pt idx="10">
                  <c:v>4282</c:v>
                </c:pt>
                <c:pt idx="11">
                  <c:v>4829</c:v>
                </c:pt>
                <c:pt idx="12">
                  <c:v>4180</c:v>
                </c:pt>
                <c:pt idx="13">
                  <c:v>4576</c:v>
                </c:pt>
                <c:pt idx="14">
                  <c:v>5321</c:v>
                </c:pt>
                <c:pt idx="15">
                  <c:v>5531</c:v>
                </c:pt>
                <c:pt idx="16">
                  <c:v>6123</c:v>
                </c:pt>
                <c:pt idx="17">
                  <c:v>6401</c:v>
                </c:pt>
                <c:pt idx="18">
                  <c:v>6919</c:v>
                </c:pt>
                <c:pt idx="19">
                  <c:v>7505</c:v>
                </c:pt>
                <c:pt idx="20">
                  <c:v>7610</c:v>
                </c:pt>
                <c:pt idx="21">
                  <c:v>8567</c:v>
                </c:pt>
                <c:pt idx="22">
                  <c:v>9144</c:v>
                </c:pt>
                <c:pt idx="23">
                  <c:v>9806</c:v>
                </c:pt>
                <c:pt idx="24">
                  <c:v>7901</c:v>
                </c:pt>
                <c:pt idx="25">
                  <c:v>8461</c:v>
                </c:pt>
                <c:pt idx="26">
                  <c:v>9487</c:v>
                </c:pt>
                <c:pt idx="27">
                  <c:v>9673</c:v>
                </c:pt>
                <c:pt idx="28">
                  <c:v>10375</c:v>
                </c:pt>
                <c:pt idx="29">
                  <c:v>10315</c:v>
                </c:pt>
                <c:pt idx="30">
                  <c:v>11302</c:v>
                </c:pt>
                <c:pt idx="31">
                  <c:v>11674</c:v>
                </c:pt>
                <c:pt idx="32">
                  <c:v>12103</c:v>
                </c:pt>
                <c:pt idx="33">
                  <c:v>13053</c:v>
                </c:pt>
                <c:pt idx="34">
                  <c:v>13449</c:v>
                </c:pt>
                <c:pt idx="35">
                  <c:v>14685</c:v>
                </c:pt>
                <c:pt idx="36">
                  <c:v>11667</c:v>
                </c:pt>
                <c:pt idx="37">
                  <c:v>12693</c:v>
                </c:pt>
                <c:pt idx="38">
                  <c:v>14663</c:v>
                </c:pt>
                <c:pt idx="39">
                  <c:v>13275</c:v>
                </c:pt>
                <c:pt idx="40">
                  <c:v>14186</c:v>
                </c:pt>
                <c:pt idx="41">
                  <c:v>15033</c:v>
                </c:pt>
                <c:pt idx="42">
                  <c:v>16181</c:v>
                </c:pt>
                <c:pt idx="43">
                  <c:v>16351</c:v>
                </c:pt>
                <c:pt idx="44">
                  <c:v>17061</c:v>
                </c:pt>
                <c:pt idx="45">
                  <c:v>18003</c:v>
                </c:pt>
                <c:pt idx="46">
                  <c:v>18305</c:v>
                </c:pt>
                <c:pt idx="47">
                  <c:v>20118</c:v>
                </c:pt>
                <c:pt idx="48">
                  <c:v>14937</c:v>
                </c:pt>
                <c:pt idx="49">
                  <c:v>16459</c:v>
                </c:pt>
                <c:pt idx="50">
                  <c:v>18638</c:v>
                </c:pt>
                <c:pt idx="51">
                  <c:v>18082</c:v>
                </c:pt>
                <c:pt idx="52">
                  <c:v>18751</c:v>
                </c:pt>
                <c:pt idx="53">
                  <c:v>19344</c:v>
                </c:pt>
                <c:pt idx="54">
                  <c:v>20412</c:v>
                </c:pt>
                <c:pt idx="55">
                  <c:v>20800</c:v>
                </c:pt>
                <c:pt idx="56">
                  <c:v>21239</c:v>
                </c:pt>
                <c:pt idx="57">
                  <c:v>22006</c:v>
                </c:pt>
                <c:pt idx="58">
                  <c:v>22899</c:v>
                </c:pt>
                <c:pt idx="59">
                  <c:v>24615</c:v>
                </c:pt>
                <c:pt idx="60">
                  <c:v>18121</c:v>
                </c:pt>
                <c:pt idx="61">
                  <c:v>19142</c:v>
                </c:pt>
                <c:pt idx="62">
                  <c:v>20798</c:v>
                </c:pt>
                <c:pt idx="63">
                  <c:v>19784</c:v>
                </c:pt>
                <c:pt idx="64">
                  <c:v>20668</c:v>
                </c:pt>
                <c:pt idx="65">
                  <c:v>20291</c:v>
                </c:pt>
                <c:pt idx="66">
                  <c:v>20898</c:v>
                </c:pt>
                <c:pt idx="67">
                  <c:v>21754</c:v>
                </c:pt>
                <c:pt idx="68">
                  <c:v>21870</c:v>
                </c:pt>
                <c:pt idx="69">
                  <c:v>22126</c:v>
                </c:pt>
                <c:pt idx="70">
                  <c:v>22686</c:v>
                </c:pt>
                <c:pt idx="71">
                  <c:v>24347</c:v>
                </c:pt>
                <c:pt idx="72">
                  <c:v>18271</c:v>
                </c:pt>
                <c:pt idx="73">
                  <c:v>19429</c:v>
                </c:pt>
                <c:pt idx="74">
                  <c:v>21338</c:v>
                </c:pt>
                <c:pt idx="75">
                  <c:v>20115</c:v>
                </c:pt>
                <c:pt idx="76">
                  <c:v>21905</c:v>
                </c:pt>
                <c:pt idx="77">
                  <c:v>21440</c:v>
                </c:pt>
              </c:numCache>
            </c:numRef>
          </c:val>
          <c:smooth val="0"/>
          <c:extLst>
            <c:ext xmlns:c16="http://schemas.microsoft.com/office/drawing/2014/chart" uri="{C3380CC4-5D6E-409C-BE32-E72D297353CC}">
              <c16:uniqueId val="{00000006-3080-41F8-9DCC-049ED7986AA6}"/>
            </c:ext>
          </c:extLst>
        </c:ser>
        <c:ser>
          <c:idx val="7"/>
          <c:order val="7"/>
          <c:tx>
            <c:strRef>
              <c:f>'Table1 only'!$L$2</c:f>
              <c:strCache>
                <c:ptCount val="1"/>
                <c:pt idx="0">
                  <c:v>ARNI+BB+HCN</c:v>
                </c:pt>
              </c:strCache>
            </c:strRef>
          </c:tx>
          <c:spPr>
            <a:ln w="28575" cap="rnd">
              <a:solidFill>
                <a:schemeClr val="accent2">
                  <a:lumMod val="60000"/>
                </a:schemeClr>
              </a:solidFill>
              <a:round/>
            </a:ln>
            <a:effectLst/>
          </c:spPr>
          <c:marker>
            <c:symbol val="none"/>
          </c:marker>
          <c:cat>
            <c:numRef>
              <c:f>'Table1 only'!$C$3:$C$80</c:f>
              <c:numCache>
                <c:formatCode>mmm\-yy</c:formatCode>
                <c:ptCount val="78"/>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numCache>
            </c:numRef>
          </c:cat>
          <c:val>
            <c:numRef>
              <c:f>'Table1 only'!$L$3:$L$80</c:f>
              <c:numCache>
                <c:formatCode>General</c:formatCode>
                <c:ptCount val="78"/>
                <c:pt idx="5">
                  <c:v>43</c:v>
                </c:pt>
                <c:pt idx="6">
                  <c:v>90</c:v>
                </c:pt>
                <c:pt idx="7">
                  <c:v>124</c:v>
                </c:pt>
                <c:pt idx="8">
                  <c:v>168</c:v>
                </c:pt>
                <c:pt idx="9">
                  <c:v>197</c:v>
                </c:pt>
                <c:pt idx="10">
                  <c:v>246</c:v>
                </c:pt>
                <c:pt idx="11">
                  <c:v>267</c:v>
                </c:pt>
                <c:pt idx="12">
                  <c:v>200</c:v>
                </c:pt>
                <c:pt idx="13">
                  <c:v>210</c:v>
                </c:pt>
                <c:pt idx="14">
                  <c:v>265</c:v>
                </c:pt>
                <c:pt idx="15">
                  <c:v>251</c:v>
                </c:pt>
                <c:pt idx="16">
                  <c:v>282</c:v>
                </c:pt>
                <c:pt idx="17">
                  <c:v>284</c:v>
                </c:pt>
                <c:pt idx="18">
                  <c:v>319</c:v>
                </c:pt>
                <c:pt idx="19">
                  <c:v>360</c:v>
                </c:pt>
                <c:pt idx="20">
                  <c:v>352</c:v>
                </c:pt>
                <c:pt idx="21">
                  <c:v>419</c:v>
                </c:pt>
                <c:pt idx="22">
                  <c:v>447</c:v>
                </c:pt>
                <c:pt idx="23">
                  <c:v>503</c:v>
                </c:pt>
                <c:pt idx="24">
                  <c:v>344</c:v>
                </c:pt>
                <c:pt idx="25">
                  <c:v>355</c:v>
                </c:pt>
                <c:pt idx="26">
                  <c:v>385</c:v>
                </c:pt>
                <c:pt idx="27">
                  <c:v>393</c:v>
                </c:pt>
                <c:pt idx="28">
                  <c:v>420</c:v>
                </c:pt>
                <c:pt idx="29">
                  <c:v>403</c:v>
                </c:pt>
                <c:pt idx="30">
                  <c:v>509</c:v>
                </c:pt>
                <c:pt idx="31">
                  <c:v>502</c:v>
                </c:pt>
                <c:pt idx="32">
                  <c:v>502</c:v>
                </c:pt>
                <c:pt idx="33">
                  <c:v>556</c:v>
                </c:pt>
                <c:pt idx="34">
                  <c:v>564</c:v>
                </c:pt>
                <c:pt idx="35">
                  <c:v>631</c:v>
                </c:pt>
                <c:pt idx="36">
                  <c:v>413</c:v>
                </c:pt>
                <c:pt idx="37">
                  <c:v>481</c:v>
                </c:pt>
                <c:pt idx="38">
                  <c:v>587</c:v>
                </c:pt>
                <c:pt idx="39">
                  <c:v>469</c:v>
                </c:pt>
                <c:pt idx="40">
                  <c:v>536</c:v>
                </c:pt>
                <c:pt idx="41">
                  <c:v>567</c:v>
                </c:pt>
                <c:pt idx="42">
                  <c:v>652</c:v>
                </c:pt>
                <c:pt idx="43">
                  <c:v>694</c:v>
                </c:pt>
                <c:pt idx="44">
                  <c:v>692</c:v>
                </c:pt>
                <c:pt idx="45">
                  <c:v>775</c:v>
                </c:pt>
                <c:pt idx="46">
                  <c:v>761</c:v>
                </c:pt>
                <c:pt idx="47">
                  <c:v>893</c:v>
                </c:pt>
                <c:pt idx="48">
                  <c:v>526</c:v>
                </c:pt>
                <c:pt idx="49">
                  <c:v>614</c:v>
                </c:pt>
                <c:pt idx="50">
                  <c:v>694</c:v>
                </c:pt>
                <c:pt idx="51">
                  <c:v>709</c:v>
                </c:pt>
                <c:pt idx="52">
                  <c:v>742</c:v>
                </c:pt>
                <c:pt idx="53">
                  <c:v>774</c:v>
                </c:pt>
                <c:pt idx="54">
                  <c:v>799</c:v>
                </c:pt>
                <c:pt idx="55">
                  <c:v>842</c:v>
                </c:pt>
                <c:pt idx="56">
                  <c:v>844</c:v>
                </c:pt>
                <c:pt idx="57">
                  <c:v>884</c:v>
                </c:pt>
                <c:pt idx="58">
                  <c:v>897</c:v>
                </c:pt>
                <c:pt idx="59">
                  <c:v>1033</c:v>
                </c:pt>
                <c:pt idx="60">
                  <c:v>613</c:v>
                </c:pt>
                <c:pt idx="61">
                  <c:v>677</c:v>
                </c:pt>
                <c:pt idx="62">
                  <c:v>749</c:v>
                </c:pt>
                <c:pt idx="63">
                  <c:v>666</c:v>
                </c:pt>
                <c:pt idx="64">
                  <c:v>735</c:v>
                </c:pt>
                <c:pt idx="65">
                  <c:v>747</c:v>
                </c:pt>
                <c:pt idx="66">
                  <c:v>722</c:v>
                </c:pt>
                <c:pt idx="67">
                  <c:v>798</c:v>
                </c:pt>
                <c:pt idx="68">
                  <c:v>795</c:v>
                </c:pt>
                <c:pt idx="69">
                  <c:v>824</c:v>
                </c:pt>
                <c:pt idx="70">
                  <c:v>857</c:v>
                </c:pt>
                <c:pt idx="71">
                  <c:v>989</c:v>
                </c:pt>
                <c:pt idx="72">
                  <c:v>581</c:v>
                </c:pt>
                <c:pt idx="73">
                  <c:v>658</c:v>
                </c:pt>
                <c:pt idx="74">
                  <c:v>711</c:v>
                </c:pt>
                <c:pt idx="75">
                  <c:v>669</c:v>
                </c:pt>
                <c:pt idx="76">
                  <c:v>763</c:v>
                </c:pt>
                <c:pt idx="77">
                  <c:v>727</c:v>
                </c:pt>
              </c:numCache>
            </c:numRef>
          </c:val>
          <c:smooth val="0"/>
          <c:extLst>
            <c:ext xmlns:c16="http://schemas.microsoft.com/office/drawing/2014/chart" uri="{C3380CC4-5D6E-409C-BE32-E72D297353CC}">
              <c16:uniqueId val="{00000007-3080-41F8-9DCC-049ED7986AA6}"/>
            </c:ext>
          </c:extLst>
        </c:ser>
        <c:ser>
          <c:idx val="8"/>
          <c:order val="8"/>
          <c:tx>
            <c:strRef>
              <c:f>'Table1 only'!$M$2</c:f>
              <c:strCache>
                <c:ptCount val="1"/>
                <c:pt idx="0">
                  <c:v>SGLT2 (for HF)</c:v>
                </c:pt>
              </c:strCache>
            </c:strRef>
          </c:tx>
          <c:spPr>
            <a:ln w="28575" cap="rnd">
              <a:solidFill>
                <a:schemeClr val="accent3">
                  <a:lumMod val="60000"/>
                </a:schemeClr>
              </a:solidFill>
              <a:round/>
            </a:ln>
            <a:effectLst/>
          </c:spPr>
          <c:marker>
            <c:symbol val="none"/>
          </c:marker>
          <c:cat>
            <c:numRef>
              <c:f>'Table1 only'!$C$3:$C$80</c:f>
              <c:numCache>
                <c:formatCode>mmm\-yy</c:formatCode>
                <c:ptCount val="78"/>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numCache>
            </c:numRef>
          </c:cat>
          <c:val>
            <c:numRef>
              <c:f>'Table1 only'!$M$3:$M$80</c:f>
              <c:numCache>
                <c:formatCode>General</c:formatCode>
                <c:ptCount val="78"/>
                <c:pt idx="60">
                  <c:v>467</c:v>
                </c:pt>
                <c:pt idx="61">
                  <c:v>912</c:v>
                </c:pt>
                <c:pt idx="62">
                  <c:v>1470</c:v>
                </c:pt>
                <c:pt idx="63">
                  <c:v>2294</c:v>
                </c:pt>
                <c:pt idx="64">
                  <c:v>3237</c:v>
                </c:pt>
                <c:pt idx="65">
                  <c:v>4023</c:v>
                </c:pt>
                <c:pt idx="66">
                  <c:v>4892</c:v>
                </c:pt>
                <c:pt idx="67">
                  <c:v>5735</c:v>
                </c:pt>
                <c:pt idx="68">
                  <c:v>6424</c:v>
                </c:pt>
                <c:pt idx="69">
                  <c:v>7115</c:v>
                </c:pt>
                <c:pt idx="70">
                  <c:v>7604</c:v>
                </c:pt>
                <c:pt idx="71">
                  <c:v>7866</c:v>
                </c:pt>
                <c:pt idx="72">
                  <c:v>7636</c:v>
                </c:pt>
                <c:pt idx="73">
                  <c:v>8069</c:v>
                </c:pt>
                <c:pt idx="74">
                  <c:v>8818</c:v>
                </c:pt>
                <c:pt idx="75">
                  <c:v>8785</c:v>
                </c:pt>
                <c:pt idx="76">
                  <c:v>9590</c:v>
                </c:pt>
                <c:pt idx="77">
                  <c:v>9896</c:v>
                </c:pt>
              </c:numCache>
            </c:numRef>
          </c:val>
          <c:smooth val="0"/>
          <c:extLst>
            <c:ext xmlns:c16="http://schemas.microsoft.com/office/drawing/2014/chart" uri="{C3380CC4-5D6E-409C-BE32-E72D297353CC}">
              <c16:uniqueId val="{00000008-3080-41F8-9DCC-049ED7986AA6}"/>
            </c:ext>
          </c:extLst>
        </c:ser>
        <c:ser>
          <c:idx val="9"/>
          <c:order val="9"/>
          <c:tx>
            <c:strRef>
              <c:f>'Table1 only'!$N$2</c:f>
              <c:strCache>
                <c:ptCount val="1"/>
                <c:pt idx="0">
                  <c:v>ARNI+SGLT2 (for HF)</c:v>
                </c:pt>
              </c:strCache>
            </c:strRef>
          </c:tx>
          <c:spPr>
            <a:ln w="28575" cap="rnd">
              <a:solidFill>
                <a:schemeClr val="accent4">
                  <a:lumMod val="60000"/>
                </a:schemeClr>
              </a:solidFill>
              <a:round/>
            </a:ln>
            <a:effectLst/>
          </c:spPr>
          <c:marker>
            <c:symbol val="none"/>
          </c:marker>
          <c:cat>
            <c:numRef>
              <c:f>'Table1 only'!$C$3:$C$80</c:f>
              <c:numCache>
                <c:formatCode>mmm\-yy</c:formatCode>
                <c:ptCount val="78"/>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numCache>
            </c:numRef>
          </c:cat>
          <c:val>
            <c:numRef>
              <c:f>'Table1 only'!$N$3:$N$80</c:f>
              <c:numCache>
                <c:formatCode>General</c:formatCode>
                <c:ptCount val="78"/>
                <c:pt idx="60">
                  <c:v>142</c:v>
                </c:pt>
                <c:pt idx="61">
                  <c:v>392</c:v>
                </c:pt>
                <c:pt idx="62">
                  <c:v>648</c:v>
                </c:pt>
                <c:pt idx="63">
                  <c:v>845</c:v>
                </c:pt>
                <c:pt idx="64">
                  <c:v>1112</c:v>
                </c:pt>
                <c:pt idx="65">
                  <c:v>1284</c:v>
                </c:pt>
                <c:pt idx="66">
                  <c:v>1420</c:v>
                </c:pt>
                <c:pt idx="67">
                  <c:v>1635</c:v>
                </c:pt>
                <c:pt idx="68">
                  <c:v>1790</c:v>
                </c:pt>
                <c:pt idx="69">
                  <c:v>2072</c:v>
                </c:pt>
                <c:pt idx="70">
                  <c:v>2163</c:v>
                </c:pt>
                <c:pt idx="71">
                  <c:v>2254</c:v>
                </c:pt>
                <c:pt idx="72">
                  <c:v>2740</c:v>
                </c:pt>
                <c:pt idx="73">
                  <c:v>2897</c:v>
                </c:pt>
                <c:pt idx="74">
                  <c:v>3297</c:v>
                </c:pt>
                <c:pt idx="75">
                  <c:v>3306</c:v>
                </c:pt>
                <c:pt idx="76">
                  <c:v>3546</c:v>
                </c:pt>
                <c:pt idx="77">
                  <c:v>3808</c:v>
                </c:pt>
              </c:numCache>
            </c:numRef>
          </c:val>
          <c:smooth val="0"/>
          <c:extLst>
            <c:ext xmlns:c16="http://schemas.microsoft.com/office/drawing/2014/chart" uri="{C3380CC4-5D6E-409C-BE32-E72D297353CC}">
              <c16:uniqueId val="{00000009-3080-41F8-9DCC-049ED7986AA6}"/>
            </c:ext>
          </c:extLst>
        </c:ser>
        <c:ser>
          <c:idx val="10"/>
          <c:order val="10"/>
          <c:tx>
            <c:strRef>
              <c:f>'Table1 only'!$O$2</c:f>
              <c:strCache>
                <c:ptCount val="1"/>
                <c:pt idx="0">
                  <c:v>BB+SGLT2 (for HF)</c:v>
                </c:pt>
              </c:strCache>
            </c:strRef>
          </c:tx>
          <c:spPr>
            <a:ln w="28575" cap="rnd">
              <a:solidFill>
                <a:schemeClr val="accent5">
                  <a:lumMod val="60000"/>
                </a:schemeClr>
              </a:solidFill>
              <a:round/>
            </a:ln>
            <a:effectLst/>
          </c:spPr>
          <c:marker>
            <c:symbol val="none"/>
          </c:marker>
          <c:cat>
            <c:numRef>
              <c:f>'Table1 only'!$C$3:$C$80</c:f>
              <c:numCache>
                <c:formatCode>mmm\-yy</c:formatCode>
                <c:ptCount val="78"/>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pt idx="24">
                  <c:v>43466</c:v>
                </c:pt>
                <c:pt idx="25">
                  <c:v>43497</c:v>
                </c:pt>
                <c:pt idx="26">
                  <c:v>43525</c:v>
                </c:pt>
                <c:pt idx="27">
                  <c:v>43556</c:v>
                </c:pt>
                <c:pt idx="28">
                  <c:v>43586</c:v>
                </c:pt>
                <c:pt idx="29">
                  <c:v>43617</c:v>
                </c:pt>
                <c:pt idx="30">
                  <c:v>43647</c:v>
                </c:pt>
                <c:pt idx="31">
                  <c:v>43678</c:v>
                </c:pt>
                <c:pt idx="32">
                  <c:v>43709</c:v>
                </c:pt>
                <c:pt idx="33">
                  <c:v>43739</c:v>
                </c:pt>
                <c:pt idx="34">
                  <c:v>43770</c:v>
                </c:pt>
                <c:pt idx="35">
                  <c:v>43800</c:v>
                </c:pt>
                <c:pt idx="36">
                  <c:v>43831</c:v>
                </c:pt>
                <c:pt idx="37">
                  <c:v>43862</c:v>
                </c:pt>
                <c:pt idx="38">
                  <c:v>43891</c:v>
                </c:pt>
                <c:pt idx="39">
                  <c:v>43922</c:v>
                </c:pt>
                <c:pt idx="40">
                  <c:v>43952</c:v>
                </c:pt>
                <c:pt idx="41">
                  <c:v>43983</c:v>
                </c:pt>
                <c:pt idx="42">
                  <c:v>44013</c:v>
                </c:pt>
                <c:pt idx="43">
                  <c:v>44044</c:v>
                </c:pt>
                <c:pt idx="44">
                  <c:v>44075</c:v>
                </c:pt>
                <c:pt idx="45">
                  <c:v>44105</c:v>
                </c:pt>
                <c:pt idx="46">
                  <c:v>44136</c:v>
                </c:pt>
                <c:pt idx="47">
                  <c:v>44166</c:v>
                </c:pt>
                <c:pt idx="48">
                  <c:v>44197</c:v>
                </c:pt>
                <c:pt idx="49">
                  <c:v>44228</c:v>
                </c:pt>
                <c:pt idx="50">
                  <c:v>44256</c:v>
                </c:pt>
                <c:pt idx="51">
                  <c:v>44287</c:v>
                </c:pt>
                <c:pt idx="52">
                  <c:v>44317</c:v>
                </c:pt>
                <c:pt idx="53">
                  <c:v>44348</c:v>
                </c:pt>
                <c:pt idx="54">
                  <c:v>44378</c:v>
                </c:pt>
                <c:pt idx="55">
                  <c:v>44409</c:v>
                </c:pt>
                <c:pt idx="56">
                  <c:v>44440</c:v>
                </c:pt>
                <c:pt idx="57">
                  <c:v>44470</c:v>
                </c:pt>
                <c:pt idx="58">
                  <c:v>44501</c:v>
                </c:pt>
                <c:pt idx="59">
                  <c:v>44531</c:v>
                </c:pt>
                <c:pt idx="60">
                  <c:v>44562</c:v>
                </c:pt>
                <c:pt idx="61">
                  <c:v>44593</c:v>
                </c:pt>
                <c:pt idx="62">
                  <c:v>44621</c:v>
                </c:pt>
                <c:pt idx="63">
                  <c:v>44652</c:v>
                </c:pt>
                <c:pt idx="64">
                  <c:v>44682</c:v>
                </c:pt>
                <c:pt idx="65">
                  <c:v>44713</c:v>
                </c:pt>
                <c:pt idx="66">
                  <c:v>44743</c:v>
                </c:pt>
                <c:pt idx="67">
                  <c:v>44774</c:v>
                </c:pt>
                <c:pt idx="68">
                  <c:v>44805</c:v>
                </c:pt>
                <c:pt idx="69">
                  <c:v>44835</c:v>
                </c:pt>
                <c:pt idx="70">
                  <c:v>44866</c:v>
                </c:pt>
                <c:pt idx="71">
                  <c:v>44896</c:v>
                </c:pt>
                <c:pt idx="72">
                  <c:v>44927</c:v>
                </c:pt>
                <c:pt idx="73">
                  <c:v>44958</c:v>
                </c:pt>
                <c:pt idx="74">
                  <c:v>44986</c:v>
                </c:pt>
                <c:pt idx="75">
                  <c:v>45017</c:v>
                </c:pt>
                <c:pt idx="76">
                  <c:v>45047</c:v>
                </c:pt>
                <c:pt idx="77">
                  <c:v>45078</c:v>
                </c:pt>
              </c:numCache>
            </c:numRef>
          </c:cat>
          <c:val>
            <c:numRef>
              <c:f>'Table1 only'!$O$3:$O$80</c:f>
              <c:numCache>
                <c:formatCode>General</c:formatCode>
                <c:ptCount val="78"/>
                <c:pt idx="60">
                  <c:v>162</c:v>
                </c:pt>
                <c:pt idx="61">
                  <c:v>355</c:v>
                </c:pt>
                <c:pt idx="62">
                  <c:v>634</c:v>
                </c:pt>
                <c:pt idx="63">
                  <c:v>841</c:v>
                </c:pt>
                <c:pt idx="64">
                  <c:v>1137</c:v>
                </c:pt>
                <c:pt idx="65">
                  <c:v>1415</c:v>
                </c:pt>
                <c:pt idx="66">
                  <c:v>1726</c:v>
                </c:pt>
                <c:pt idx="67">
                  <c:v>2170</c:v>
                </c:pt>
                <c:pt idx="68">
                  <c:v>2477</c:v>
                </c:pt>
                <c:pt idx="69">
                  <c:v>2878</c:v>
                </c:pt>
                <c:pt idx="70">
                  <c:v>3284</c:v>
                </c:pt>
                <c:pt idx="71">
                  <c:v>3687</c:v>
                </c:pt>
                <c:pt idx="72">
                  <c:v>3301</c:v>
                </c:pt>
                <c:pt idx="73">
                  <c:v>3745</c:v>
                </c:pt>
                <c:pt idx="74">
                  <c:v>4348</c:v>
                </c:pt>
                <c:pt idx="75">
                  <c:v>4322</c:v>
                </c:pt>
                <c:pt idx="76">
                  <c:v>4911</c:v>
                </c:pt>
                <c:pt idx="77">
                  <c:v>5208</c:v>
                </c:pt>
              </c:numCache>
            </c:numRef>
          </c:val>
          <c:smooth val="0"/>
          <c:extLst>
            <c:ext xmlns:c16="http://schemas.microsoft.com/office/drawing/2014/chart" uri="{C3380CC4-5D6E-409C-BE32-E72D297353CC}">
              <c16:uniqueId val="{0000000A-3080-41F8-9DCC-049ED7986AA6}"/>
            </c:ext>
          </c:extLst>
        </c:ser>
        <c:dLbls>
          <c:showLegendKey val="0"/>
          <c:showVal val="0"/>
          <c:showCatName val="0"/>
          <c:showSerName val="0"/>
          <c:showPercent val="0"/>
          <c:showBubbleSize val="0"/>
        </c:dLbls>
        <c:smooth val="0"/>
        <c:axId val="659790584"/>
        <c:axId val="620950112"/>
      </c:lineChart>
      <c:dateAx>
        <c:axId val="65979058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950112"/>
        <c:crosses val="autoZero"/>
        <c:auto val="1"/>
        <c:lblOffset val="100"/>
        <c:baseTimeUnit val="months"/>
        <c:majorUnit val="2"/>
        <c:majorTimeUnit val="months"/>
      </c:dateAx>
      <c:valAx>
        <c:axId val="6209501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people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9790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01">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0">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80">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F847B-FAB5-48A2-86D1-5FE1511BF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16564</Words>
  <Characters>94419</Characters>
  <Application>Microsoft Office Word</Application>
  <DocSecurity>0</DocSecurity>
  <Lines>786</Lines>
  <Paragraphs>221</Paragraphs>
  <ScaleCrop>false</ScaleCrop>
  <Company/>
  <LinksUpToDate>false</LinksUpToDate>
  <CharactersWithSpaces>110762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2024-12-11T07:07:00Z</dcterms:created>
  <dcterms:modified xsi:type="dcterms:W3CDTF">2024-12-11T07:07:00Z</dcterms:modified>
</cp:coreProperties>
</file>