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702B" w14:textId="0AEC3137" w:rsidR="0015166E" w:rsidRPr="00AF7C04" w:rsidRDefault="0015166E" w:rsidP="00924A91">
      <w:pPr>
        <w:pStyle w:val="2-SectionHeading"/>
        <w:spacing w:before="0"/>
      </w:pPr>
      <w:r w:rsidRPr="00AF7C04">
        <w:t xml:space="preserve">PBS Post-market Review workplan – </w:t>
      </w:r>
      <w:r>
        <w:t>September</w:t>
      </w:r>
      <w:r w:rsidRPr="00AF7C04">
        <w:t xml:space="preserve"> 202</w:t>
      </w:r>
      <w:r w:rsidR="0054744D">
        <w:t>5</w:t>
      </w:r>
    </w:p>
    <w:p w14:paraId="4E65EF2C" w14:textId="77777777" w:rsidR="0015166E" w:rsidRPr="00AF7C04" w:rsidRDefault="0015166E" w:rsidP="00924A91">
      <w:pPr>
        <w:pStyle w:val="3Bodytext"/>
        <w:keepLines/>
        <w:ind w:left="0" w:firstLine="0"/>
      </w:pPr>
      <w:r w:rsidRPr="00AF7C04">
        <w:t xml:space="preserve">There are currently no Post-market Reviews (PMRs) of medicines on the Pharmaceutical Benefits Scheme (PBS) underway. Table 1 includes information on current research projects being undertaken by the PMR section. In line with the </w:t>
      </w:r>
      <w:hyperlink r:id="rId7" w:history="1">
        <w:r w:rsidRPr="00AF7C04">
          <w:rPr>
            <w:rStyle w:val="Hyperlink"/>
          </w:rPr>
          <w:t xml:space="preserve">PMR </w:t>
        </w:r>
        <w:r>
          <w:rPr>
            <w:rStyle w:val="Hyperlink"/>
          </w:rPr>
          <w:t>F</w:t>
        </w:r>
        <w:r w:rsidRPr="00AF7C04">
          <w:rPr>
            <w:rStyle w:val="Hyperlink"/>
          </w:rPr>
          <w:t>ramework</w:t>
        </w:r>
      </w:hyperlink>
      <w:r w:rsidRPr="00AF7C04">
        <w:t xml:space="preserve">, these research projects may inform the Pharmaceutical Benefits Advisory Committee (PBAC) of potential PMR topics. </w:t>
      </w:r>
    </w:p>
    <w:p w14:paraId="379544C0" w14:textId="6CE496F4" w:rsidR="0015166E" w:rsidRPr="00AF7C04" w:rsidRDefault="00376001" w:rsidP="00924A91">
      <w:pPr>
        <w:pStyle w:val="3Bodytext"/>
        <w:keepLines/>
        <w:ind w:left="0" w:firstLine="0"/>
      </w:pPr>
      <w:r>
        <w:t>U</w:t>
      </w:r>
      <w:r w:rsidR="0015166E" w:rsidRPr="00AF7C04">
        <w:t xml:space="preserve">pdates have been made following consideration of the PMR workplan by the PBAC at its </w:t>
      </w:r>
      <w:r w:rsidR="0015166E">
        <w:t>September</w:t>
      </w:r>
      <w:r w:rsidR="0015166E" w:rsidRPr="00AF7C04">
        <w:t xml:space="preserve"> 202</w:t>
      </w:r>
      <w:r>
        <w:t>5</w:t>
      </w:r>
      <w:r w:rsidR="0015166E" w:rsidRPr="00AF7C04">
        <w:t xml:space="preserve"> intracycle meeting. Project timelines in the table are indicative and reflect the status at the time of publishing.</w:t>
      </w:r>
    </w:p>
    <w:p w14:paraId="747B4473" w14:textId="38F944C8" w:rsidR="0015166E" w:rsidRPr="00AF7C04" w:rsidRDefault="0015166E" w:rsidP="0015166E">
      <w:pPr>
        <w:pStyle w:val="3Bodytext"/>
        <w:keepLines/>
        <w:ind w:left="0" w:firstLine="0"/>
      </w:pPr>
      <w:r w:rsidRPr="00AF7C04">
        <w:t xml:space="preserve">If you have any questions relating to the PMR workplan, please email </w:t>
      </w:r>
      <w:r>
        <w:t xml:space="preserve">the </w:t>
      </w:r>
      <w:hyperlink r:id="rId8" w:history="1">
        <w:r w:rsidR="0004521D">
          <w:rPr>
            <w:rStyle w:val="Hyperlink"/>
          </w:rPr>
          <w:t>Quality Use of Medicines (QUM) Reviews and Programs</w:t>
        </w:r>
        <w:r w:rsidRPr="00C84DF9">
          <w:rPr>
            <w:rStyle w:val="Hyperlink"/>
          </w:rPr>
          <w:t xml:space="preserve"> section</w:t>
        </w:r>
      </w:hyperlink>
      <w:r>
        <w:t>.</w:t>
      </w:r>
      <w:r w:rsidRPr="00AF7C04">
        <w:t xml:space="preserve"> </w:t>
      </w:r>
    </w:p>
    <w:tbl>
      <w:tblPr>
        <w:tblStyle w:val="TableGrid"/>
        <w:tblW w:w="14160" w:type="dxa"/>
        <w:tblLayout w:type="fixed"/>
        <w:tblLook w:val="04A0" w:firstRow="1" w:lastRow="0" w:firstColumn="1" w:lastColumn="0" w:noHBand="0" w:noVBand="1"/>
      </w:tblPr>
      <w:tblGrid>
        <w:gridCol w:w="2541"/>
        <w:gridCol w:w="8746"/>
        <w:gridCol w:w="2873"/>
      </w:tblGrid>
      <w:tr w:rsidR="00D3413A" w:rsidRPr="008D79AC" w14:paraId="213EDB2F" w14:textId="77777777" w:rsidTr="00BD6801">
        <w:trPr>
          <w:trHeight w:val="300"/>
          <w:tblHeader/>
        </w:trPr>
        <w:tc>
          <w:tcPr>
            <w:tcW w:w="2541" w:type="dxa"/>
            <w:tcBorders>
              <w:top w:val="single" w:sz="8" w:space="0" w:color="auto"/>
              <w:left w:val="single" w:sz="8" w:space="0" w:color="auto"/>
              <w:bottom w:val="single" w:sz="8" w:space="0" w:color="auto"/>
              <w:right w:val="single" w:sz="8" w:space="0" w:color="auto"/>
            </w:tcBorders>
            <w:shd w:val="clear" w:color="auto" w:fill="DDD9C3" w:themeFill="background2" w:themeFillShade="E6"/>
            <w:hideMark/>
          </w:tcPr>
          <w:p w14:paraId="78F80184" w14:textId="77777777" w:rsidR="00D3413A" w:rsidRPr="00460250" w:rsidRDefault="00D3413A" w:rsidP="00D3413A">
            <w:pPr>
              <w:rPr>
                <w:rFonts w:ascii="Calibri" w:eastAsia="Calibri" w:hAnsi="Calibri" w:cs="Calibri"/>
                <w:b/>
                <w:bCs/>
                <w:color w:val="000000" w:themeColor="text1"/>
                <w:sz w:val="22"/>
                <w:szCs w:val="22"/>
                <w:lang w:eastAsia="en-US"/>
              </w:rPr>
            </w:pPr>
            <w:r w:rsidRPr="00460250">
              <w:rPr>
                <w:rFonts w:ascii="Calibri" w:eastAsia="Calibri" w:hAnsi="Calibri" w:cs="Calibri"/>
                <w:b/>
                <w:bCs/>
                <w:color w:val="000000" w:themeColor="text1"/>
                <w:sz w:val="22"/>
                <w:szCs w:val="22"/>
                <w:lang w:eastAsia="en-US"/>
              </w:rPr>
              <w:t>Indication</w:t>
            </w:r>
          </w:p>
        </w:tc>
        <w:tc>
          <w:tcPr>
            <w:tcW w:w="8746" w:type="dxa"/>
            <w:tcBorders>
              <w:top w:val="single" w:sz="8" w:space="0" w:color="auto"/>
              <w:left w:val="single" w:sz="8" w:space="0" w:color="auto"/>
              <w:bottom w:val="single" w:sz="8" w:space="0" w:color="auto"/>
              <w:right w:val="single" w:sz="8" w:space="0" w:color="auto"/>
            </w:tcBorders>
            <w:shd w:val="clear" w:color="auto" w:fill="DDD9C3" w:themeFill="background2" w:themeFillShade="E6"/>
            <w:hideMark/>
          </w:tcPr>
          <w:p w14:paraId="5D5F17D1" w14:textId="77777777" w:rsidR="00D3413A" w:rsidRPr="00460250" w:rsidRDefault="00D3413A" w:rsidP="00D3413A">
            <w:pPr>
              <w:rPr>
                <w:rFonts w:ascii="Calibri" w:eastAsia="Calibri" w:hAnsi="Calibri" w:cs="Calibri"/>
                <w:b/>
                <w:bCs/>
                <w:color w:val="000000" w:themeColor="text1"/>
                <w:sz w:val="22"/>
                <w:szCs w:val="22"/>
                <w:lang w:eastAsia="en-US"/>
              </w:rPr>
            </w:pPr>
            <w:r w:rsidRPr="00460250">
              <w:rPr>
                <w:rFonts w:ascii="Calibri" w:eastAsia="Calibri" w:hAnsi="Calibri" w:cs="Calibri"/>
                <w:b/>
                <w:bCs/>
                <w:color w:val="000000" w:themeColor="text1"/>
                <w:sz w:val="22"/>
                <w:szCs w:val="22"/>
                <w:lang w:eastAsia="en-US"/>
              </w:rPr>
              <w:t>Project title</w:t>
            </w:r>
          </w:p>
          <w:p w14:paraId="2421984D" w14:textId="77777777" w:rsidR="00D3413A" w:rsidRPr="00460250" w:rsidRDefault="00D3413A" w:rsidP="00D3413A">
            <w:pPr>
              <w:rPr>
                <w:rFonts w:ascii="Calibri" w:eastAsia="Calibri" w:hAnsi="Calibri" w:cs="Calibri"/>
                <w:b/>
                <w:bCs/>
                <w:color w:val="000000" w:themeColor="text1"/>
                <w:sz w:val="22"/>
                <w:szCs w:val="22"/>
                <w:lang w:eastAsia="en-US"/>
              </w:rPr>
            </w:pPr>
            <w:r w:rsidRPr="00460250">
              <w:rPr>
                <w:rFonts w:ascii="Calibri" w:eastAsia="Calibri" w:hAnsi="Calibri" w:cs="Calibri"/>
                <w:b/>
                <w:bCs/>
                <w:color w:val="000000" w:themeColor="text1"/>
                <w:sz w:val="22"/>
                <w:szCs w:val="22"/>
                <w:lang w:eastAsia="en-US"/>
              </w:rPr>
              <w:t>Background, Status and Next steps</w:t>
            </w:r>
          </w:p>
        </w:tc>
        <w:tc>
          <w:tcPr>
            <w:tcW w:w="2873" w:type="dxa"/>
            <w:tcBorders>
              <w:top w:val="single" w:sz="8" w:space="0" w:color="auto"/>
              <w:left w:val="single" w:sz="8" w:space="0" w:color="auto"/>
              <w:bottom w:val="single" w:sz="8" w:space="0" w:color="auto"/>
              <w:right w:val="single" w:sz="8" w:space="0" w:color="auto"/>
            </w:tcBorders>
            <w:shd w:val="clear" w:color="auto" w:fill="DDD9C3" w:themeFill="background2" w:themeFillShade="E6"/>
            <w:hideMark/>
          </w:tcPr>
          <w:p w14:paraId="37DC809D" w14:textId="77777777" w:rsidR="00D3413A" w:rsidRPr="00460250" w:rsidRDefault="00D3413A" w:rsidP="00D3413A">
            <w:pPr>
              <w:rPr>
                <w:rFonts w:ascii="Calibri" w:eastAsia="Calibri" w:hAnsi="Calibri" w:cs="Calibri"/>
                <w:b/>
                <w:bCs/>
                <w:color w:val="000000" w:themeColor="text1"/>
                <w:sz w:val="22"/>
                <w:szCs w:val="22"/>
                <w:lang w:eastAsia="en-US"/>
              </w:rPr>
            </w:pPr>
            <w:r w:rsidRPr="00460250">
              <w:rPr>
                <w:rFonts w:ascii="Calibri" w:eastAsia="Calibri" w:hAnsi="Calibri" w:cs="Calibri"/>
                <w:b/>
                <w:bCs/>
                <w:color w:val="000000" w:themeColor="text1"/>
                <w:sz w:val="22"/>
                <w:szCs w:val="22"/>
                <w:lang w:eastAsia="en-US"/>
              </w:rPr>
              <w:t>Medicines</w:t>
            </w:r>
          </w:p>
        </w:tc>
      </w:tr>
      <w:tr w:rsidR="00D3413A" w:rsidRPr="00204CA5" w14:paraId="4651EB13"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tcPr>
          <w:p w14:paraId="036B4CE1"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Type 2 diabetes mellitus (T2DM)</w:t>
            </w:r>
          </w:p>
          <w:p w14:paraId="46710D0F" w14:textId="77777777" w:rsidR="00D3413A" w:rsidRPr="00460250" w:rsidRDefault="00D3413A" w:rsidP="00D3413A">
            <w:pPr>
              <w:rPr>
                <w:rFonts w:asciiTheme="minorHAnsi" w:eastAsiaTheme="minorHAnsi" w:hAnsiTheme="minorHAnsi" w:cstheme="minorHAnsi"/>
                <w:sz w:val="22"/>
                <w:szCs w:val="22"/>
                <w:lang w:eastAsia="en-US"/>
              </w:rPr>
            </w:pPr>
          </w:p>
        </w:tc>
        <w:tc>
          <w:tcPr>
            <w:tcW w:w="8746" w:type="dxa"/>
            <w:tcBorders>
              <w:top w:val="single" w:sz="8" w:space="0" w:color="auto"/>
              <w:left w:val="single" w:sz="8" w:space="0" w:color="auto"/>
              <w:bottom w:val="single" w:sz="8" w:space="0" w:color="auto"/>
              <w:right w:val="single" w:sz="8" w:space="0" w:color="auto"/>
            </w:tcBorders>
            <w:hideMark/>
          </w:tcPr>
          <w:p w14:paraId="7A0ED090" w14:textId="77777777" w:rsidR="00D3413A"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PBS restrictions for T2DM medicines</w:t>
            </w:r>
          </w:p>
          <w:p w14:paraId="605D2F2A" w14:textId="77777777" w:rsidR="004C1521" w:rsidRPr="00460250" w:rsidRDefault="004C1521" w:rsidP="00D3413A">
            <w:pPr>
              <w:rPr>
                <w:rFonts w:asciiTheme="minorHAnsi" w:eastAsiaTheme="minorHAnsi" w:hAnsiTheme="minorHAnsi" w:cstheme="minorHAnsi"/>
                <w:b/>
                <w:bCs/>
                <w:sz w:val="22"/>
                <w:szCs w:val="22"/>
                <w:lang w:eastAsia="en-US"/>
              </w:rPr>
            </w:pPr>
          </w:p>
          <w:p w14:paraId="25641588"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Background</w:t>
            </w:r>
          </w:p>
          <w:p w14:paraId="0B9AC792" w14:textId="0E90A47D"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In September 2019, a stakeholder wrote to the PBAC requesting broader listings for sodium-glucose cotransporter-2 (SGLT2) inhibitors and glucagon-like peptide-1 receptor agonists (GLP</w:t>
            </w:r>
            <w:r w:rsidRPr="00460250">
              <w:rPr>
                <w:rFonts w:asciiTheme="minorHAnsi" w:eastAsiaTheme="minorHAnsi" w:hAnsiTheme="minorHAnsi" w:cstheme="minorHAnsi"/>
                <w:sz w:val="22"/>
                <w:szCs w:val="22"/>
                <w:lang w:eastAsia="en-US"/>
              </w:rPr>
              <w:noBreakHyphen/>
              <w:t>1 RAs) on the PBS. Following a series of cost-effectiveness analyses, in March 2022</w:t>
            </w:r>
            <w:r w:rsidR="00280DC8">
              <w:rPr>
                <w:rFonts w:asciiTheme="minorHAnsi" w:eastAsiaTheme="minorHAnsi" w:hAnsiTheme="minorHAnsi" w:cstheme="minorHAnsi"/>
                <w:sz w:val="22"/>
                <w:szCs w:val="22"/>
                <w:lang w:eastAsia="en-US"/>
              </w:rPr>
              <w:t xml:space="preserve"> and July 2024</w:t>
            </w:r>
            <w:r w:rsidRPr="00460250">
              <w:rPr>
                <w:rFonts w:asciiTheme="minorHAnsi" w:eastAsiaTheme="minorHAnsi" w:hAnsiTheme="minorHAnsi" w:cstheme="minorHAnsi"/>
                <w:sz w:val="22"/>
                <w:szCs w:val="22"/>
                <w:lang w:eastAsia="en-US"/>
              </w:rPr>
              <w:t>, the PBAC recommended that the</w:t>
            </w:r>
            <w:r w:rsidRPr="00460250">
              <w:rPr>
                <w:rFonts w:asciiTheme="minorHAnsi" w:eastAsiaTheme="minorHAnsi" w:hAnsiTheme="minorHAnsi" w:cstheme="minorHAnsi"/>
                <w:b/>
                <w:bCs/>
                <w:sz w:val="22"/>
                <w:szCs w:val="22"/>
                <w:lang w:eastAsia="en-US"/>
              </w:rPr>
              <w:t xml:space="preserve"> </w:t>
            </w:r>
            <w:r w:rsidRPr="00460250">
              <w:rPr>
                <w:rFonts w:asciiTheme="minorHAnsi" w:eastAsiaTheme="minorHAnsi" w:hAnsiTheme="minorHAnsi" w:cstheme="minorHAnsi"/>
                <w:sz w:val="22"/>
                <w:szCs w:val="22"/>
                <w:lang w:eastAsia="en-US"/>
              </w:rPr>
              <w:t>listings for dapagliflozin and empagliflozin be revised to allow for use as add-on therapy to metformin in patients with T2DM and high cardiovascular</w:t>
            </w:r>
            <w:r w:rsidR="00280DC8">
              <w:rPr>
                <w:rFonts w:asciiTheme="minorHAnsi" w:eastAsiaTheme="minorHAnsi" w:hAnsiTheme="minorHAnsi" w:cstheme="minorHAnsi"/>
                <w:sz w:val="22"/>
                <w:szCs w:val="22"/>
                <w:lang w:eastAsia="en-US"/>
              </w:rPr>
              <w:t xml:space="preserve"> (CV)</w:t>
            </w:r>
            <w:r w:rsidRPr="00460250">
              <w:rPr>
                <w:rFonts w:asciiTheme="minorHAnsi" w:eastAsiaTheme="minorHAnsi" w:hAnsiTheme="minorHAnsi" w:cstheme="minorHAnsi"/>
                <w:sz w:val="22"/>
                <w:szCs w:val="22"/>
                <w:lang w:eastAsia="en-US"/>
              </w:rPr>
              <w:t xml:space="preserve"> risk, without a glycaemic requirement. </w:t>
            </w:r>
            <w:r w:rsidR="00280DC8">
              <w:rPr>
                <w:rFonts w:asciiTheme="minorHAnsi" w:eastAsiaTheme="minorHAnsi" w:hAnsiTheme="minorHAnsi" w:cstheme="minorHAnsi"/>
                <w:sz w:val="22"/>
                <w:szCs w:val="22"/>
                <w:lang w:eastAsia="en-US"/>
              </w:rPr>
              <w:t xml:space="preserve">The restriction changes were implemented on </w:t>
            </w:r>
            <w:r w:rsidR="00280DC8" w:rsidRPr="00280DC8">
              <w:rPr>
                <w:rFonts w:asciiTheme="minorHAnsi" w:eastAsiaTheme="minorHAnsi" w:hAnsiTheme="minorHAnsi" w:cstheme="minorHAnsi"/>
                <w:sz w:val="22"/>
                <w:szCs w:val="22"/>
                <w:lang w:eastAsia="en-US"/>
              </w:rPr>
              <w:t>1 December 2024,</w:t>
            </w:r>
            <w:r w:rsidR="00280DC8">
              <w:rPr>
                <w:rFonts w:asciiTheme="minorHAnsi" w:eastAsiaTheme="minorHAnsi" w:hAnsiTheme="minorHAnsi" w:cstheme="minorHAnsi"/>
                <w:sz w:val="22"/>
                <w:szCs w:val="22"/>
                <w:lang w:eastAsia="en-US"/>
              </w:rPr>
              <w:t xml:space="preserve"> for dapagliflozin, and </w:t>
            </w:r>
            <w:r w:rsidR="00280DC8" w:rsidRPr="00280DC8">
              <w:rPr>
                <w:rFonts w:asciiTheme="minorHAnsi" w:eastAsiaTheme="minorHAnsi" w:hAnsiTheme="minorHAnsi" w:cstheme="minorHAnsi"/>
                <w:sz w:val="22"/>
                <w:szCs w:val="22"/>
                <w:lang w:eastAsia="en-US"/>
              </w:rPr>
              <w:t>1 April 2025</w:t>
            </w:r>
            <w:r w:rsidR="00280DC8">
              <w:rPr>
                <w:rFonts w:asciiTheme="minorHAnsi" w:eastAsiaTheme="minorHAnsi" w:hAnsiTheme="minorHAnsi" w:cstheme="minorHAnsi"/>
                <w:sz w:val="22"/>
                <w:szCs w:val="22"/>
                <w:lang w:eastAsia="en-US"/>
              </w:rPr>
              <w:t xml:space="preserve">, for emplagliflozin, following acceptable price offers by the sponsors. </w:t>
            </w:r>
          </w:p>
          <w:p w14:paraId="00DE5ABF" w14:textId="3503E226" w:rsidR="004C1521" w:rsidRPr="00460250" w:rsidRDefault="004C1521" w:rsidP="00D3413A">
            <w:pPr>
              <w:rPr>
                <w:rFonts w:asciiTheme="minorHAnsi" w:eastAsiaTheme="minorHAnsi" w:hAnsiTheme="minorHAnsi" w:cstheme="minorHAnsi"/>
                <w:sz w:val="22"/>
                <w:szCs w:val="22"/>
                <w:lang w:eastAsia="en-US"/>
              </w:rPr>
            </w:pPr>
          </w:p>
          <w:p w14:paraId="3874D590" w14:textId="3B726D94" w:rsidR="004C1521"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In </w:t>
            </w:r>
            <w:r w:rsidR="00280DC8">
              <w:rPr>
                <w:rFonts w:asciiTheme="minorHAnsi" w:eastAsiaTheme="minorHAnsi" w:hAnsiTheme="minorHAnsi" w:cstheme="minorHAnsi"/>
                <w:sz w:val="22"/>
                <w:szCs w:val="22"/>
                <w:lang w:eastAsia="en-US"/>
              </w:rPr>
              <w:t xml:space="preserve">March 2023, </w:t>
            </w:r>
            <w:r w:rsidRPr="00460250">
              <w:rPr>
                <w:rFonts w:asciiTheme="minorHAnsi" w:eastAsiaTheme="minorHAnsi" w:hAnsiTheme="minorHAnsi" w:cstheme="minorHAnsi"/>
                <w:sz w:val="22"/>
                <w:szCs w:val="22"/>
                <w:lang w:eastAsia="en-US"/>
              </w:rPr>
              <w:t xml:space="preserve">July 2023, </w:t>
            </w:r>
            <w:r w:rsidR="00280DC8">
              <w:rPr>
                <w:rFonts w:asciiTheme="minorHAnsi" w:eastAsiaTheme="minorHAnsi" w:hAnsiTheme="minorHAnsi" w:cstheme="minorHAnsi"/>
                <w:sz w:val="22"/>
                <w:szCs w:val="22"/>
                <w:lang w:eastAsia="en-US"/>
              </w:rPr>
              <w:t xml:space="preserve">and March 2024, </w:t>
            </w:r>
            <w:r w:rsidR="004C1521">
              <w:rPr>
                <w:rFonts w:asciiTheme="minorHAnsi" w:eastAsiaTheme="minorHAnsi" w:hAnsiTheme="minorHAnsi" w:cstheme="minorHAnsi"/>
                <w:sz w:val="22"/>
                <w:szCs w:val="22"/>
                <w:lang w:eastAsia="en-US"/>
              </w:rPr>
              <w:t xml:space="preserve">following an analysis of the utilisation of T2DM medicines through the PBS, </w:t>
            </w:r>
            <w:r w:rsidRPr="00460250">
              <w:rPr>
                <w:rFonts w:asciiTheme="minorHAnsi" w:eastAsiaTheme="minorHAnsi" w:hAnsiTheme="minorHAnsi" w:cstheme="minorHAnsi"/>
                <w:sz w:val="22"/>
                <w:szCs w:val="22"/>
                <w:lang w:eastAsia="en-US"/>
              </w:rPr>
              <w:t xml:space="preserve">the PBAC recommended several changes to simplify the restrictions for pioglitazone, </w:t>
            </w:r>
            <w:r w:rsidR="004C1521" w:rsidRPr="003E4397">
              <w:rPr>
                <w:rFonts w:asciiTheme="minorHAnsi" w:eastAsiaTheme="minorHAnsi" w:hAnsiTheme="minorHAnsi" w:cstheme="minorHAnsi"/>
                <w:sz w:val="22"/>
                <w:szCs w:val="22"/>
                <w:lang w:eastAsia="en-US"/>
              </w:rPr>
              <w:t>dipeptidyl-peptidase 4 (DPP4) inhibitors</w:t>
            </w:r>
            <w:r w:rsidRPr="00460250">
              <w:rPr>
                <w:rFonts w:asciiTheme="minorHAnsi" w:eastAsiaTheme="minorHAnsi" w:hAnsiTheme="minorHAnsi" w:cstheme="minorHAnsi"/>
                <w:sz w:val="22"/>
                <w:szCs w:val="22"/>
                <w:lang w:eastAsia="en-US"/>
              </w:rPr>
              <w:t>, SGLT2 inhibitors and GLP-1 RAs. The PBAC recommended that GLP-1 RAs be made second</w:t>
            </w:r>
            <w:r w:rsidRPr="00460250">
              <w:rPr>
                <w:rFonts w:asciiTheme="minorHAnsi" w:eastAsiaTheme="minorHAnsi" w:hAnsiTheme="minorHAnsi" w:cstheme="minorHAnsi"/>
                <w:sz w:val="22"/>
                <w:szCs w:val="22"/>
                <w:lang w:eastAsia="en-US"/>
              </w:rPr>
              <w:noBreakHyphen/>
              <w:t xml:space="preserve">line to SGLT2 inhibitors and change to a telephone/electronic authority for therapy initiation. </w:t>
            </w:r>
            <w:r w:rsidR="00280DC8">
              <w:rPr>
                <w:rFonts w:asciiTheme="minorHAnsi" w:eastAsiaTheme="minorHAnsi" w:hAnsiTheme="minorHAnsi" w:cstheme="minorHAnsi"/>
                <w:sz w:val="22"/>
                <w:szCs w:val="22"/>
                <w:lang w:eastAsia="en-US"/>
              </w:rPr>
              <w:t xml:space="preserve">These changes were implemented on 1 </w:t>
            </w:r>
            <w:r w:rsidRPr="00460250">
              <w:rPr>
                <w:rFonts w:asciiTheme="minorHAnsi" w:eastAsiaTheme="minorHAnsi" w:hAnsiTheme="minorHAnsi" w:cstheme="minorHAnsi"/>
                <w:sz w:val="22"/>
                <w:szCs w:val="22"/>
                <w:lang w:eastAsia="en-US"/>
              </w:rPr>
              <w:t>June 2024</w:t>
            </w:r>
            <w:r w:rsidR="00280DC8">
              <w:rPr>
                <w:rFonts w:asciiTheme="minorHAnsi" w:eastAsiaTheme="minorHAnsi" w:hAnsiTheme="minorHAnsi" w:cstheme="minorHAnsi"/>
                <w:sz w:val="22"/>
                <w:szCs w:val="22"/>
                <w:lang w:eastAsia="en-US"/>
              </w:rPr>
              <w:t xml:space="preserve">, and </w:t>
            </w:r>
            <w:r w:rsidRPr="00460250">
              <w:rPr>
                <w:rFonts w:asciiTheme="minorHAnsi" w:eastAsiaTheme="minorHAnsi" w:hAnsiTheme="minorHAnsi" w:cstheme="minorHAnsi"/>
                <w:sz w:val="22"/>
                <w:szCs w:val="22"/>
                <w:lang w:eastAsia="en-US"/>
              </w:rPr>
              <w:t>were accompanied by stakeholder communication and educational materials published on the</w:t>
            </w:r>
            <w:r w:rsidR="004C1521">
              <w:t xml:space="preserve"> </w:t>
            </w:r>
            <w:hyperlink r:id="rId9" w:history="1">
              <w:r w:rsidR="004C1521" w:rsidRPr="004C1521">
                <w:rPr>
                  <w:rStyle w:val="Hyperlink"/>
                  <w:rFonts w:asciiTheme="minorHAnsi" w:eastAsiaTheme="minorHAnsi" w:hAnsiTheme="minorHAnsi" w:cstheme="minorHAnsi"/>
                  <w:sz w:val="22"/>
                  <w:szCs w:val="22"/>
                  <w:lang w:eastAsia="en-US"/>
                </w:rPr>
                <w:t>PBS restriction changes to type 2 diabetes mellitus (T2DM) medicines</w:t>
              </w:r>
            </w:hyperlink>
            <w:r w:rsidRPr="00460250">
              <w:rPr>
                <w:rFonts w:asciiTheme="minorHAnsi" w:eastAsiaTheme="minorHAnsi" w:hAnsiTheme="minorHAnsi" w:cstheme="minorHAnsi"/>
                <w:sz w:val="22"/>
                <w:szCs w:val="22"/>
                <w:lang w:eastAsia="en-US"/>
              </w:rPr>
              <w:t xml:space="preserve">. </w:t>
            </w:r>
          </w:p>
          <w:p w14:paraId="79119A21" w14:textId="04A5EF5A" w:rsidR="004C1521" w:rsidRPr="00460250" w:rsidRDefault="004C1521" w:rsidP="00D3413A">
            <w:pPr>
              <w:rPr>
                <w:rFonts w:asciiTheme="minorHAnsi" w:eastAsiaTheme="minorHAnsi" w:hAnsiTheme="minorHAnsi" w:cstheme="minorHAnsi"/>
                <w:sz w:val="22"/>
                <w:szCs w:val="22"/>
                <w:lang w:eastAsia="en-US"/>
              </w:rPr>
            </w:pPr>
          </w:p>
          <w:p w14:paraId="0F446FA4"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Status</w:t>
            </w:r>
          </w:p>
          <w:p w14:paraId="4F7BAAD6" w14:textId="376E9659"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This project is complete.</w:t>
            </w:r>
          </w:p>
          <w:p w14:paraId="33345711" w14:textId="77777777" w:rsidR="004C1521" w:rsidRPr="00460250" w:rsidRDefault="004C1521" w:rsidP="00D3413A">
            <w:pPr>
              <w:rPr>
                <w:rFonts w:asciiTheme="minorHAnsi" w:eastAsiaTheme="minorHAnsi" w:hAnsiTheme="minorHAnsi" w:cstheme="minorHAnsi"/>
                <w:sz w:val="22"/>
                <w:szCs w:val="22"/>
                <w:lang w:eastAsia="en-US"/>
              </w:rPr>
            </w:pPr>
          </w:p>
          <w:p w14:paraId="5655BFCA"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lastRenderedPageBreak/>
              <w:t>Next steps</w:t>
            </w:r>
          </w:p>
          <w:p w14:paraId="43A7004F"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Review the utilisation of T2DM medicines approximately 2 years after the restriction changes.</w:t>
            </w:r>
          </w:p>
          <w:p w14:paraId="32AB7F60" w14:textId="77777777" w:rsidR="00DB5C99" w:rsidRPr="00460250" w:rsidRDefault="00DB5C99" w:rsidP="00D3413A">
            <w:pPr>
              <w:rPr>
                <w:rFonts w:asciiTheme="minorHAnsi" w:eastAsiaTheme="minorHAnsi" w:hAnsiTheme="minorHAnsi" w:cstheme="minorHAnsi"/>
                <w:sz w:val="22"/>
                <w:szCs w:val="22"/>
                <w:lang w:eastAsia="en-US"/>
              </w:rPr>
            </w:pPr>
          </w:p>
        </w:tc>
        <w:tc>
          <w:tcPr>
            <w:tcW w:w="2873" w:type="dxa"/>
            <w:tcBorders>
              <w:top w:val="single" w:sz="8" w:space="0" w:color="auto"/>
              <w:left w:val="single" w:sz="8" w:space="0" w:color="auto"/>
              <w:bottom w:val="single" w:sz="8" w:space="0" w:color="auto"/>
              <w:right w:val="single" w:sz="8" w:space="0" w:color="auto"/>
            </w:tcBorders>
          </w:tcPr>
          <w:p w14:paraId="78425B4A" w14:textId="77777777" w:rsidR="00D3413A" w:rsidRPr="00460250" w:rsidRDefault="00D3413A" w:rsidP="00D3413A">
            <w:pPr>
              <w:numPr>
                <w:ilvl w:val="0"/>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SGLT2 inhibitors:</w:t>
            </w:r>
          </w:p>
          <w:p w14:paraId="24B528C9"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dapagliflozin</w:t>
            </w:r>
          </w:p>
          <w:p w14:paraId="54EA6715"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empagliflozin </w:t>
            </w:r>
          </w:p>
          <w:p w14:paraId="3F817615" w14:textId="77777777" w:rsidR="00D3413A" w:rsidRPr="00460250" w:rsidRDefault="00D3413A" w:rsidP="00D3413A">
            <w:pPr>
              <w:numPr>
                <w:ilvl w:val="0"/>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GLP-1 RAs: </w:t>
            </w:r>
          </w:p>
          <w:p w14:paraId="649BDB38"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semaglutide</w:t>
            </w:r>
          </w:p>
          <w:p w14:paraId="4A35DA25"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dulaglutide</w:t>
            </w:r>
          </w:p>
          <w:p w14:paraId="0EFE9F60" w14:textId="77777777" w:rsidR="00D3413A" w:rsidRPr="00460250" w:rsidRDefault="00D3413A" w:rsidP="00D3413A">
            <w:pPr>
              <w:numPr>
                <w:ilvl w:val="0"/>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Pioglitazone</w:t>
            </w:r>
          </w:p>
          <w:p w14:paraId="5934E8DC" w14:textId="77777777" w:rsidR="00D3413A" w:rsidRPr="00460250" w:rsidRDefault="00D3413A" w:rsidP="00D3413A">
            <w:pPr>
              <w:numPr>
                <w:ilvl w:val="0"/>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DPP4 inhibitors:</w:t>
            </w:r>
          </w:p>
          <w:p w14:paraId="5DD62898"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alogliptin</w:t>
            </w:r>
          </w:p>
          <w:p w14:paraId="7BE045E7"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saxagliptin</w:t>
            </w:r>
          </w:p>
          <w:p w14:paraId="65E6A454"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sitagliptin</w:t>
            </w:r>
          </w:p>
          <w:p w14:paraId="5C3B1CA1"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linagliptin</w:t>
            </w:r>
          </w:p>
          <w:p w14:paraId="62C63ED4" w14:textId="77777777" w:rsidR="00D3413A" w:rsidRPr="00460250" w:rsidRDefault="00D3413A" w:rsidP="00D3413A">
            <w:pPr>
              <w:numPr>
                <w:ilvl w:val="1"/>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vildagliptin</w:t>
            </w:r>
          </w:p>
          <w:p w14:paraId="6A652BE5" w14:textId="77777777" w:rsidR="00D3413A" w:rsidRPr="00460250" w:rsidRDefault="00D3413A" w:rsidP="00D3413A">
            <w:pPr>
              <w:rPr>
                <w:rFonts w:asciiTheme="minorHAnsi" w:eastAsiaTheme="minorHAnsi" w:hAnsiTheme="minorHAnsi" w:cstheme="minorHAnsi"/>
                <w:sz w:val="22"/>
                <w:szCs w:val="22"/>
                <w:lang w:eastAsia="en-US"/>
              </w:rPr>
            </w:pPr>
          </w:p>
        </w:tc>
      </w:tr>
      <w:tr w:rsidR="00D3413A" w:rsidRPr="00204CA5" w14:paraId="4480DEFF"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4FB40D8B"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Cancer</w:t>
            </w:r>
          </w:p>
        </w:tc>
        <w:tc>
          <w:tcPr>
            <w:tcW w:w="8746" w:type="dxa"/>
            <w:tcBorders>
              <w:top w:val="single" w:sz="8" w:space="0" w:color="auto"/>
              <w:left w:val="single" w:sz="8" w:space="0" w:color="auto"/>
              <w:bottom w:val="single" w:sz="8" w:space="0" w:color="auto"/>
              <w:right w:val="single" w:sz="8" w:space="0" w:color="auto"/>
            </w:tcBorders>
            <w:hideMark/>
          </w:tcPr>
          <w:p w14:paraId="49787EF0" w14:textId="77777777" w:rsidR="00D3413A"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Monitoring of final trial overall survival (OS) results in PBAC submissions for cancer medicines</w:t>
            </w:r>
          </w:p>
          <w:p w14:paraId="5066D341" w14:textId="77777777" w:rsidR="004C1521" w:rsidRPr="00460250" w:rsidRDefault="004C1521" w:rsidP="00D3413A">
            <w:pPr>
              <w:rPr>
                <w:rFonts w:asciiTheme="minorHAnsi" w:eastAsiaTheme="minorHAnsi" w:hAnsiTheme="minorHAnsi" w:cstheme="minorHAnsi"/>
                <w:sz w:val="22"/>
                <w:szCs w:val="22"/>
                <w:lang w:eastAsia="en-US"/>
              </w:rPr>
            </w:pPr>
          </w:p>
          <w:p w14:paraId="2EAA972E"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Background</w:t>
            </w:r>
          </w:p>
          <w:p w14:paraId="617678F4"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Surrogate end points have an increasingly important role in cancer medicine research, clinical practice, and evidence to support registration and subsidy of new medicines. In May 2022, the PBAC recommended a review of the use of surrogate outcome measures in PBAC submissions for cancer medicines between 2012-2021, including a literature review of the reliability of surrogate endpoints in various malignancies.</w:t>
            </w:r>
          </w:p>
          <w:p w14:paraId="73A30E63" w14:textId="77777777" w:rsidR="004C1521" w:rsidRPr="00460250" w:rsidRDefault="004C1521" w:rsidP="00D3413A">
            <w:pPr>
              <w:rPr>
                <w:rFonts w:asciiTheme="minorHAnsi" w:eastAsiaTheme="minorHAnsi" w:hAnsiTheme="minorHAnsi" w:cstheme="minorHAnsi"/>
                <w:sz w:val="22"/>
                <w:szCs w:val="22"/>
                <w:lang w:eastAsia="en-US"/>
              </w:rPr>
            </w:pPr>
          </w:p>
          <w:p w14:paraId="190B2027"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The </w:t>
            </w:r>
            <w:hyperlink r:id="rId10" w:history="1">
              <w:r w:rsidRPr="00460250">
                <w:rPr>
                  <w:rStyle w:val="Hyperlink"/>
                  <w:rFonts w:asciiTheme="minorHAnsi" w:eastAsiaTheme="minorHAnsi" w:hAnsiTheme="minorHAnsi" w:cstheme="minorHAnsi"/>
                  <w:sz w:val="22"/>
                  <w:szCs w:val="22"/>
                  <w:lang w:eastAsia="en-US"/>
                </w:rPr>
                <w:t>report on cancer surrogates</w:t>
              </w:r>
            </w:hyperlink>
            <w:r w:rsidRPr="00460250">
              <w:rPr>
                <w:rFonts w:asciiTheme="minorHAnsi" w:eastAsiaTheme="minorHAnsi" w:hAnsiTheme="minorHAnsi" w:cstheme="minorHAnsi"/>
                <w:sz w:val="22"/>
                <w:szCs w:val="22"/>
                <w:lang w:eastAsia="en-US"/>
              </w:rPr>
              <w:t xml:space="preserve"> was provided to the Economics Sub-Committee (ESC) in June 2023 and the PBAC in July 2023. The PBAC noted ESC Advice regarding potential further research and actions. The report was published on the PBS website and provided to relevant stakeholders in September 2023. </w:t>
            </w:r>
          </w:p>
          <w:p w14:paraId="200BAEB4" w14:textId="77777777" w:rsidR="004C1521" w:rsidRPr="00460250" w:rsidRDefault="004C1521" w:rsidP="00D3413A">
            <w:pPr>
              <w:rPr>
                <w:rFonts w:asciiTheme="minorHAnsi" w:eastAsiaTheme="minorHAnsi" w:hAnsiTheme="minorHAnsi" w:cstheme="minorHAnsi"/>
                <w:sz w:val="22"/>
                <w:szCs w:val="22"/>
                <w:lang w:eastAsia="en-US"/>
              </w:rPr>
            </w:pPr>
          </w:p>
          <w:p w14:paraId="5ADD4724"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The report found that for submissions and resubmissions that presented interim or immature OS trial data between January 2012 to May 2022, around 60% had not subsequently published final trial results (60/101 trials). The ESC noted that OS results, where published, were generally consistent with interim results but expressed concern over potential publication bias in trials reporting final results. </w:t>
            </w:r>
          </w:p>
          <w:p w14:paraId="5ABDBE4B" w14:textId="77777777" w:rsidR="004C1521" w:rsidRPr="00460250" w:rsidRDefault="004C1521" w:rsidP="00D3413A">
            <w:pPr>
              <w:rPr>
                <w:rFonts w:asciiTheme="minorHAnsi" w:eastAsiaTheme="minorHAnsi" w:hAnsiTheme="minorHAnsi" w:cstheme="minorHAnsi"/>
                <w:sz w:val="22"/>
                <w:szCs w:val="22"/>
                <w:lang w:eastAsia="en-US"/>
              </w:rPr>
            </w:pPr>
          </w:p>
          <w:p w14:paraId="75FF1B26"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In September 2023, the PBAC recommended a further project to develop a system to monitor final trial OS results for cancer medicines.</w:t>
            </w:r>
          </w:p>
          <w:p w14:paraId="13213B3B" w14:textId="77777777" w:rsidR="004C1521" w:rsidRPr="00460250" w:rsidRDefault="004C1521" w:rsidP="00D3413A">
            <w:pPr>
              <w:rPr>
                <w:rFonts w:asciiTheme="minorHAnsi" w:eastAsiaTheme="minorHAnsi" w:hAnsiTheme="minorHAnsi" w:cstheme="minorHAnsi"/>
                <w:sz w:val="22"/>
                <w:szCs w:val="22"/>
                <w:lang w:eastAsia="en-US"/>
              </w:rPr>
            </w:pPr>
          </w:p>
          <w:p w14:paraId="56C1704C"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Status</w:t>
            </w:r>
          </w:p>
          <w:p w14:paraId="55FDF83D"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The Department has contracted a health technology assessment (HTA) group to develop a report on final trial OS results for cancer medicines recommended by the PBAC between January 2012 and March 2024. The report aims to explore whether final trial OS results for cancer medicines align with the interim results considered by the PBAC and any reasons for trial results not being available. </w:t>
            </w:r>
          </w:p>
          <w:p w14:paraId="106CB415" w14:textId="2F735909" w:rsidR="0020076C" w:rsidRPr="009708BA" w:rsidRDefault="0020076C"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lastRenderedPageBreak/>
              <w:t>The report</w:t>
            </w:r>
            <w:r w:rsidR="004C1521" w:rsidRPr="009708BA">
              <w:rPr>
                <w:rFonts w:asciiTheme="minorHAnsi" w:eastAsiaTheme="minorHAnsi" w:hAnsiTheme="minorHAnsi" w:cstheme="minorHAnsi"/>
                <w:sz w:val="22"/>
                <w:szCs w:val="22"/>
                <w:lang w:eastAsia="en-US"/>
              </w:rPr>
              <w:t xml:space="preserve"> on</w:t>
            </w:r>
            <w:r w:rsidRPr="009708BA">
              <w:rPr>
                <w:rFonts w:asciiTheme="minorHAnsi" w:eastAsiaTheme="minorHAnsi" w:hAnsiTheme="minorHAnsi" w:cstheme="minorHAnsi"/>
                <w:sz w:val="22"/>
                <w:szCs w:val="22"/>
                <w:lang w:eastAsia="en-US"/>
              </w:rPr>
              <w:t xml:space="preserve"> final trial OS results for cancer medicines was considered by ESC in October 2025.</w:t>
            </w:r>
            <w:r w:rsidR="00587785" w:rsidRPr="009708BA">
              <w:rPr>
                <w:rFonts w:asciiTheme="minorHAnsi" w:eastAsiaTheme="minorHAnsi" w:hAnsiTheme="minorHAnsi" w:cstheme="minorHAnsi"/>
                <w:sz w:val="22"/>
                <w:szCs w:val="22"/>
                <w:lang w:eastAsia="en-US"/>
              </w:rPr>
              <w:t xml:space="preserve"> Sponsors and </w:t>
            </w:r>
            <w:r w:rsidR="00E35648" w:rsidRPr="009708BA">
              <w:rPr>
                <w:rFonts w:asciiTheme="minorHAnsi" w:eastAsiaTheme="minorHAnsi" w:hAnsiTheme="minorHAnsi" w:cstheme="minorHAnsi"/>
                <w:sz w:val="22"/>
                <w:szCs w:val="22"/>
                <w:lang w:eastAsia="en-US"/>
              </w:rPr>
              <w:t>other stakeholders</w:t>
            </w:r>
            <w:r w:rsidR="00587785" w:rsidRPr="009708BA">
              <w:rPr>
                <w:rFonts w:asciiTheme="minorHAnsi" w:eastAsiaTheme="minorHAnsi" w:hAnsiTheme="minorHAnsi" w:cstheme="minorHAnsi"/>
                <w:sz w:val="22"/>
                <w:szCs w:val="22"/>
                <w:lang w:eastAsia="en-US"/>
              </w:rPr>
              <w:t xml:space="preserve"> were </w:t>
            </w:r>
            <w:r w:rsidR="00E35648" w:rsidRPr="009708BA">
              <w:rPr>
                <w:rFonts w:asciiTheme="minorHAnsi" w:eastAsiaTheme="minorHAnsi" w:hAnsiTheme="minorHAnsi" w:cstheme="minorHAnsi"/>
                <w:sz w:val="22"/>
                <w:szCs w:val="22"/>
                <w:lang w:eastAsia="en-US"/>
              </w:rPr>
              <w:t>given</w:t>
            </w:r>
            <w:r w:rsidR="00587785" w:rsidRPr="009708BA">
              <w:rPr>
                <w:rFonts w:asciiTheme="minorHAnsi" w:eastAsiaTheme="minorHAnsi" w:hAnsiTheme="minorHAnsi" w:cstheme="minorHAnsi"/>
                <w:sz w:val="22"/>
                <w:szCs w:val="22"/>
                <w:lang w:eastAsia="en-US"/>
              </w:rPr>
              <w:t xml:space="preserve"> an opportunity </w:t>
            </w:r>
            <w:r w:rsidR="00E35648" w:rsidRPr="009708BA">
              <w:rPr>
                <w:rFonts w:asciiTheme="minorHAnsi" w:eastAsiaTheme="minorHAnsi" w:hAnsiTheme="minorHAnsi" w:cstheme="minorHAnsi"/>
                <w:sz w:val="22"/>
                <w:szCs w:val="22"/>
                <w:lang w:eastAsia="en-US"/>
              </w:rPr>
              <w:t xml:space="preserve">to provide </w:t>
            </w:r>
            <w:r w:rsidR="00587785" w:rsidRPr="009708BA">
              <w:rPr>
                <w:rFonts w:asciiTheme="minorHAnsi" w:eastAsiaTheme="minorHAnsi" w:hAnsiTheme="minorHAnsi" w:cstheme="minorHAnsi"/>
                <w:sz w:val="22"/>
                <w:szCs w:val="22"/>
                <w:lang w:eastAsia="en-US"/>
              </w:rPr>
              <w:t>pre</w:t>
            </w:r>
            <w:r w:rsidR="00E35648" w:rsidRPr="009708BA">
              <w:rPr>
                <w:rFonts w:asciiTheme="minorHAnsi" w:eastAsiaTheme="minorHAnsi" w:hAnsiTheme="minorHAnsi" w:cstheme="minorHAnsi"/>
                <w:sz w:val="22"/>
                <w:szCs w:val="22"/>
                <w:lang w:eastAsia="en-US"/>
              </w:rPr>
              <w:noBreakHyphen/>
            </w:r>
            <w:r w:rsidR="00587785" w:rsidRPr="009708BA">
              <w:rPr>
                <w:rFonts w:asciiTheme="minorHAnsi" w:eastAsiaTheme="minorHAnsi" w:hAnsiTheme="minorHAnsi" w:cstheme="minorHAnsi"/>
                <w:sz w:val="22"/>
                <w:szCs w:val="22"/>
                <w:lang w:eastAsia="en-US"/>
              </w:rPr>
              <w:t>sub</w:t>
            </w:r>
            <w:r w:rsidR="00E35648" w:rsidRPr="009708BA">
              <w:rPr>
                <w:rFonts w:asciiTheme="minorHAnsi" w:eastAsiaTheme="minorHAnsi" w:hAnsiTheme="minorHAnsi" w:cstheme="minorHAnsi"/>
                <w:sz w:val="22"/>
                <w:szCs w:val="22"/>
                <w:lang w:eastAsia="en-US"/>
              </w:rPr>
              <w:noBreakHyphen/>
            </w:r>
            <w:r w:rsidR="00587785" w:rsidRPr="009708BA">
              <w:rPr>
                <w:rFonts w:asciiTheme="minorHAnsi" w:eastAsiaTheme="minorHAnsi" w:hAnsiTheme="minorHAnsi" w:cstheme="minorHAnsi"/>
                <w:sz w:val="22"/>
                <w:szCs w:val="22"/>
                <w:lang w:eastAsia="en-US"/>
              </w:rPr>
              <w:t>committee responses and pre-PBAC responses.</w:t>
            </w:r>
          </w:p>
          <w:p w14:paraId="25F2CFDA" w14:textId="77777777" w:rsidR="004C1521" w:rsidRDefault="004C1521" w:rsidP="00D3413A">
            <w:pPr>
              <w:rPr>
                <w:rFonts w:asciiTheme="minorHAnsi" w:eastAsiaTheme="minorHAnsi" w:hAnsiTheme="minorHAnsi" w:cstheme="minorHAnsi"/>
                <w:b/>
                <w:bCs/>
                <w:sz w:val="22"/>
                <w:szCs w:val="22"/>
                <w:lang w:eastAsia="en-US"/>
              </w:rPr>
            </w:pPr>
          </w:p>
          <w:p w14:paraId="0B2913D4" w14:textId="0D238004"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Next steps</w:t>
            </w:r>
          </w:p>
          <w:p w14:paraId="05741174" w14:textId="77777777" w:rsidR="00D3413A" w:rsidRPr="009708BA" w:rsidRDefault="00D3413A" w:rsidP="00587785">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Provide the report on final trial OS results for cancer medicines to the PBAC in November 2025. </w:t>
            </w:r>
            <w:r w:rsidR="00587785" w:rsidRPr="009708BA">
              <w:rPr>
                <w:rFonts w:asciiTheme="minorHAnsi" w:eastAsiaTheme="minorHAnsi" w:hAnsiTheme="minorHAnsi" w:cstheme="minorHAnsi"/>
                <w:sz w:val="22"/>
                <w:szCs w:val="22"/>
                <w:lang w:eastAsia="en-US"/>
              </w:rPr>
              <w:t xml:space="preserve">The Department will undertake any next steps as requested by the PBAC. </w:t>
            </w:r>
          </w:p>
          <w:p w14:paraId="5A5AD40B" w14:textId="5BD12224" w:rsidR="00587785" w:rsidRPr="00460250" w:rsidRDefault="00587785" w:rsidP="00587785">
            <w:pPr>
              <w:rPr>
                <w:rFonts w:asciiTheme="minorHAnsi" w:eastAsiaTheme="minorHAnsi" w:hAnsiTheme="minorHAnsi" w:cstheme="minorHAnsi"/>
                <w:sz w:val="22"/>
                <w:szCs w:val="22"/>
                <w:lang w:eastAsia="en-US"/>
              </w:rPr>
            </w:pPr>
          </w:p>
        </w:tc>
        <w:tc>
          <w:tcPr>
            <w:tcW w:w="2873" w:type="dxa"/>
            <w:tcBorders>
              <w:top w:val="single" w:sz="8" w:space="0" w:color="auto"/>
              <w:left w:val="single" w:sz="8" w:space="0" w:color="auto"/>
              <w:bottom w:val="single" w:sz="8" w:space="0" w:color="auto"/>
              <w:right w:val="single" w:sz="8" w:space="0" w:color="auto"/>
            </w:tcBorders>
            <w:hideMark/>
          </w:tcPr>
          <w:p w14:paraId="698593B8" w14:textId="77777777" w:rsidR="00D3413A" w:rsidRPr="00460250" w:rsidRDefault="00D3413A" w:rsidP="00460250">
            <w:pPr>
              <w:numPr>
                <w:ilvl w:val="0"/>
                <w:numId w:val="32"/>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Oncology medicines</w:t>
            </w:r>
          </w:p>
        </w:tc>
      </w:tr>
      <w:tr w:rsidR="00D3413A" w:rsidRPr="00204CA5" w14:paraId="15AB4731"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1EF7BEB8"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Epilepsy</w:t>
            </w:r>
          </w:p>
        </w:tc>
        <w:tc>
          <w:tcPr>
            <w:tcW w:w="8746" w:type="dxa"/>
            <w:tcBorders>
              <w:top w:val="single" w:sz="8" w:space="0" w:color="auto"/>
              <w:left w:val="single" w:sz="8" w:space="0" w:color="auto"/>
              <w:bottom w:val="single" w:sz="8" w:space="0" w:color="auto"/>
              <w:right w:val="single" w:sz="8" w:space="0" w:color="auto"/>
            </w:tcBorders>
          </w:tcPr>
          <w:p w14:paraId="215C69C5"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PBS restrictions for anti-epileptic drugs (AEDs)</w:t>
            </w:r>
          </w:p>
          <w:p w14:paraId="5C64CCAE" w14:textId="77777777" w:rsidR="004C1521" w:rsidRPr="009708BA" w:rsidRDefault="004C1521" w:rsidP="00D3413A">
            <w:pPr>
              <w:rPr>
                <w:rFonts w:asciiTheme="minorHAnsi" w:eastAsiaTheme="minorHAnsi" w:hAnsiTheme="minorHAnsi" w:cstheme="minorHAnsi"/>
                <w:sz w:val="22"/>
                <w:szCs w:val="22"/>
                <w:lang w:eastAsia="en-US"/>
              </w:rPr>
            </w:pPr>
          </w:p>
          <w:p w14:paraId="715264A2"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Background</w:t>
            </w:r>
          </w:p>
          <w:p w14:paraId="00EB924B"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At its September 2020 meeting, the PBAC recommended amending the PBS restrictions to allow for the first</w:t>
            </w:r>
            <w:r w:rsidRPr="009708BA">
              <w:rPr>
                <w:rFonts w:asciiTheme="minorHAnsi" w:eastAsiaTheme="minorHAnsi" w:hAnsiTheme="minorHAnsi" w:cstheme="minorHAnsi"/>
                <w:sz w:val="22"/>
                <w:szCs w:val="22"/>
                <w:lang w:eastAsia="en-US"/>
              </w:rPr>
              <w:noBreakHyphen/>
              <w:t xml:space="preserve">line use of levetiracetam (LEV) and lamotrigine (LTG) in women of childbearing potential. These restriction changes took effect on 1 January 2021. These changes followed feedback from the Epilepsy Society of Australia (ESA) on best practice clinical management of epilepsy for women of childbearing potential. The PBAC noted that the previous PBS restrictions for LEV and LTG restricted access to those who had failed to have their epilepsy controlled with other AEDs and may have resulted in prescribers continuing to use sodium valproate among women of childbearing potential when safer options were available. </w:t>
            </w:r>
          </w:p>
          <w:p w14:paraId="5FEB0FEA" w14:textId="77777777" w:rsidR="004C1521" w:rsidRPr="009708BA" w:rsidRDefault="004C1521" w:rsidP="00D3413A">
            <w:pPr>
              <w:rPr>
                <w:rFonts w:asciiTheme="minorHAnsi" w:eastAsiaTheme="minorHAnsi" w:hAnsiTheme="minorHAnsi" w:cstheme="minorHAnsi"/>
                <w:sz w:val="22"/>
                <w:szCs w:val="22"/>
                <w:lang w:eastAsia="en-US"/>
              </w:rPr>
            </w:pPr>
          </w:p>
          <w:p w14:paraId="6857E909"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Subsequently, the PBAC requested that the Department provide to the Drug Utilisation Sub</w:t>
            </w:r>
            <w:r w:rsidRPr="009708BA">
              <w:rPr>
                <w:rFonts w:asciiTheme="minorHAnsi" w:eastAsiaTheme="minorHAnsi" w:hAnsiTheme="minorHAnsi" w:cstheme="minorHAnsi"/>
                <w:sz w:val="22"/>
                <w:szCs w:val="22"/>
                <w:lang w:eastAsia="en-US"/>
              </w:rPr>
              <w:noBreakHyphen/>
              <w:t>committee (DUSC):</w:t>
            </w:r>
          </w:p>
          <w:p w14:paraId="0F93FB67" w14:textId="77777777" w:rsidR="00D3413A" w:rsidRPr="009708BA" w:rsidRDefault="00D3413A" w:rsidP="00D3413A">
            <w:pPr>
              <w:numPr>
                <w:ilvl w:val="0"/>
                <w:numId w:val="30"/>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utilisation data and any further evidence on the broader use of other second-line AEDs, and</w:t>
            </w:r>
          </w:p>
          <w:p w14:paraId="3B206A65" w14:textId="77777777" w:rsidR="00D3413A" w:rsidRPr="009708BA" w:rsidRDefault="00D3413A" w:rsidP="00D3413A">
            <w:pPr>
              <w:numPr>
                <w:ilvl w:val="0"/>
                <w:numId w:val="30"/>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estimates of cost to the PBS of allowing first-line use of LEV and LTG in the remaining population with epilepsy (i.e. males and females of all ages).</w:t>
            </w:r>
          </w:p>
          <w:p w14:paraId="659E8592" w14:textId="77777777" w:rsidR="00D3413A" w:rsidRPr="009708BA" w:rsidRDefault="00D3413A" w:rsidP="00D3413A">
            <w:pPr>
              <w:rPr>
                <w:rFonts w:asciiTheme="minorHAnsi" w:eastAsiaTheme="minorHAnsi" w:hAnsiTheme="minorHAnsi" w:cstheme="minorHAnsi"/>
                <w:sz w:val="22"/>
                <w:szCs w:val="22"/>
                <w:lang w:eastAsia="en-US"/>
              </w:rPr>
            </w:pPr>
          </w:p>
          <w:p w14:paraId="0D772CED"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This project was on hold for 24 months to allow for the collection of sufficient PBS utilisation data following the 1 January 2021 restriction changes to LEV and LTG. </w:t>
            </w:r>
          </w:p>
          <w:p w14:paraId="66B0D108" w14:textId="77777777" w:rsidR="004C1521" w:rsidRPr="009708BA" w:rsidRDefault="004C1521" w:rsidP="00D3413A">
            <w:pPr>
              <w:rPr>
                <w:rFonts w:asciiTheme="minorHAnsi" w:eastAsiaTheme="minorHAnsi" w:hAnsiTheme="minorHAnsi" w:cstheme="minorHAnsi"/>
                <w:sz w:val="22"/>
                <w:szCs w:val="22"/>
                <w:lang w:eastAsia="en-US"/>
              </w:rPr>
            </w:pPr>
          </w:p>
          <w:p w14:paraId="30032F61"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In September 2023, the DUSC considered the </w:t>
            </w:r>
            <w:r w:rsidRPr="009708BA">
              <w:rPr>
                <w:rFonts w:asciiTheme="minorHAnsi" w:eastAsiaTheme="minorHAnsi" w:hAnsiTheme="minorHAnsi" w:cstheme="minorHAnsi"/>
                <w:i/>
                <w:iCs/>
                <w:sz w:val="22"/>
                <w:szCs w:val="22"/>
                <w:lang w:eastAsia="en-US"/>
              </w:rPr>
              <w:t>Utilisation analysis of PBS-listed AEDs in a cohort of epilepsy patients</w:t>
            </w:r>
            <w:r w:rsidRPr="009708BA">
              <w:rPr>
                <w:rFonts w:asciiTheme="minorHAnsi" w:eastAsiaTheme="minorHAnsi" w:hAnsiTheme="minorHAnsi" w:cstheme="minorHAnsi"/>
                <w:sz w:val="22"/>
                <w:szCs w:val="22"/>
                <w:lang w:eastAsia="en-US"/>
              </w:rPr>
              <w:t xml:space="preserve">. The DUSC was also requested to advise the Department on the </w:t>
            </w:r>
            <w:r w:rsidRPr="009708BA">
              <w:rPr>
                <w:rFonts w:asciiTheme="minorHAnsi" w:eastAsiaTheme="minorHAnsi" w:hAnsiTheme="minorHAnsi" w:cstheme="minorHAnsi"/>
                <w:sz w:val="22"/>
                <w:szCs w:val="22"/>
                <w:lang w:eastAsia="en-US"/>
              </w:rPr>
              <w:lastRenderedPageBreak/>
              <w:t xml:space="preserve">development of the cost estimates to the PBS of allowing first-line use of LEV and LTG in the remaining population with epilepsy (i.e. males and females of all ages). </w:t>
            </w:r>
          </w:p>
          <w:p w14:paraId="3CF60711" w14:textId="77777777" w:rsidR="004C1521" w:rsidRPr="009708BA" w:rsidRDefault="004C1521" w:rsidP="00D3413A">
            <w:pPr>
              <w:rPr>
                <w:rFonts w:asciiTheme="minorHAnsi" w:eastAsiaTheme="minorHAnsi" w:hAnsiTheme="minorHAnsi" w:cstheme="minorHAnsi"/>
                <w:sz w:val="22"/>
                <w:szCs w:val="22"/>
                <w:lang w:eastAsia="en-US"/>
              </w:rPr>
            </w:pPr>
          </w:p>
          <w:p w14:paraId="053D6752"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In April 2024,</w:t>
            </w:r>
            <w:r w:rsidRPr="009708BA">
              <w:rPr>
                <w:rFonts w:asciiTheme="minorHAnsi" w:eastAsiaTheme="minorHAnsi" w:hAnsiTheme="minorHAnsi" w:cstheme="minorHAnsi"/>
                <w:b/>
                <w:bCs/>
                <w:i/>
                <w:iCs/>
                <w:sz w:val="22"/>
                <w:szCs w:val="22"/>
                <w:lang w:eastAsia="en-US"/>
              </w:rPr>
              <w:t xml:space="preserve"> </w:t>
            </w:r>
            <w:r w:rsidRPr="009708BA">
              <w:rPr>
                <w:rFonts w:asciiTheme="minorHAnsi" w:eastAsiaTheme="minorHAnsi" w:hAnsiTheme="minorHAnsi" w:cstheme="minorHAnsi"/>
                <w:sz w:val="22"/>
                <w:szCs w:val="22"/>
                <w:lang w:eastAsia="en-US"/>
              </w:rPr>
              <w:t>the Department contracted a HTA evaluation group to:</w:t>
            </w:r>
          </w:p>
          <w:p w14:paraId="1FB1686B" w14:textId="77777777" w:rsidR="00D3413A" w:rsidRPr="009708BA" w:rsidRDefault="00D3413A" w:rsidP="00D3413A">
            <w:pPr>
              <w:numPr>
                <w:ilvl w:val="0"/>
                <w:numId w:val="31"/>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undertake a systematic literature review to identify relevant clinical guidelines for the use of AEDs for the treatment of epilepsy and compare these to the PBS restrictions and Therapeutic Goods Administration (TGA)-approved indications for these medicines, and</w:t>
            </w:r>
          </w:p>
          <w:p w14:paraId="73FF8A1D" w14:textId="77777777" w:rsidR="00D3413A" w:rsidRPr="009708BA" w:rsidRDefault="00D3413A" w:rsidP="00D3413A">
            <w:pPr>
              <w:numPr>
                <w:ilvl w:val="0"/>
                <w:numId w:val="31"/>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estimate the cost to the PBS of expanding the restrictions for the second-line AEDs LEV and LTG to allow their first-line use in the general Australian population with epilepsy.</w:t>
            </w:r>
          </w:p>
          <w:p w14:paraId="2D62720C" w14:textId="77777777" w:rsidR="00D3413A" w:rsidRPr="009708BA" w:rsidRDefault="00D3413A" w:rsidP="00D3413A">
            <w:pPr>
              <w:rPr>
                <w:rFonts w:asciiTheme="minorHAnsi" w:eastAsiaTheme="minorHAnsi" w:hAnsiTheme="minorHAnsi" w:cstheme="minorHAnsi"/>
                <w:sz w:val="22"/>
                <w:szCs w:val="22"/>
                <w:lang w:eastAsia="en-US"/>
              </w:rPr>
            </w:pPr>
          </w:p>
          <w:p w14:paraId="34BE0569"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The evaluation group’s report was considered by the DUSC in April 2025 and the PBAC in May 2025.</w:t>
            </w:r>
          </w:p>
          <w:p w14:paraId="55D8D785" w14:textId="77777777" w:rsidR="004C1521" w:rsidRPr="009708BA" w:rsidRDefault="004C1521" w:rsidP="00D3413A">
            <w:pPr>
              <w:rPr>
                <w:rFonts w:asciiTheme="minorHAnsi" w:eastAsiaTheme="minorHAnsi" w:hAnsiTheme="minorHAnsi" w:cstheme="minorHAnsi"/>
                <w:sz w:val="22"/>
                <w:szCs w:val="22"/>
                <w:lang w:eastAsia="en-US"/>
              </w:rPr>
            </w:pPr>
          </w:p>
          <w:p w14:paraId="78E258D2"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Status</w:t>
            </w:r>
          </w:p>
          <w:p w14:paraId="1E765BAA" w14:textId="071503DD"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This project is complete. Please refer to the  </w:t>
            </w:r>
            <w:hyperlink r:id="rId11" w:history="1">
              <w:r w:rsidRPr="009708BA">
                <w:rPr>
                  <w:rStyle w:val="Hyperlink"/>
                  <w:rFonts w:asciiTheme="minorHAnsi" w:eastAsiaTheme="minorHAnsi" w:hAnsiTheme="minorHAnsi" w:cstheme="minorHAnsi"/>
                  <w:i/>
                  <w:iCs/>
                  <w:color w:val="auto"/>
                  <w:sz w:val="22"/>
                  <w:szCs w:val="22"/>
                  <w:lang w:eastAsia="en-US"/>
                </w:rPr>
                <w:t>Review of clinical guidelines and cost estimates for the use of AEDs for the treatment of epileps</w:t>
              </w:r>
              <w:r w:rsidR="00587785" w:rsidRPr="009708BA">
                <w:rPr>
                  <w:rStyle w:val="Hyperlink"/>
                  <w:rFonts w:asciiTheme="minorHAnsi" w:eastAsiaTheme="minorHAnsi" w:hAnsiTheme="minorHAnsi" w:cstheme="minorHAnsi"/>
                  <w:i/>
                  <w:iCs/>
                  <w:color w:val="auto"/>
                  <w:sz w:val="22"/>
                  <w:szCs w:val="22"/>
                  <w:lang w:eastAsia="en-US"/>
                </w:rPr>
                <w:t>y</w:t>
              </w:r>
            </w:hyperlink>
            <w:r w:rsidRPr="009708BA">
              <w:rPr>
                <w:rFonts w:asciiTheme="minorHAnsi" w:eastAsiaTheme="minorHAnsi" w:hAnsiTheme="minorHAnsi" w:cstheme="minorHAnsi"/>
                <w:sz w:val="22"/>
                <w:szCs w:val="22"/>
                <w:lang w:eastAsia="en-US"/>
              </w:rPr>
              <w:t xml:space="preserve"> website for further information.</w:t>
            </w:r>
          </w:p>
          <w:p w14:paraId="33470078" w14:textId="77777777" w:rsidR="004C1521" w:rsidRPr="009708BA" w:rsidRDefault="004C1521" w:rsidP="00D3413A">
            <w:pPr>
              <w:rPr>
                <w:rFonts w:asciiTheme="minorHAnsi" w:eastAsiaTheme="minorHAnsi" w:hAnsiTheme="minorHAnsi" w:cstheme="minorHAnsi"/>
                <w:sz w:val="22"/>
                <w:szCs w:val="22"/>
                <w:lang w:eastAsia="en-US"/>
              </w:rPr>
            </w:pPr>
          </w:p>
          <w:p w14:paraId="3DA74779"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Next steps</w:t>
            </w:r>
          </w:p>
          <w:p w14:paraId="556DC812" w14:textId="06437115"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Undertake further work to estimate the cost to the R/PBS of a separate Restricted Benefit listing for </w:t>
            </w:r>
            <w:r w:rsidR="00F4382F" w:rsidRPr="009708BA">
              <w:rPr>
                <w:rFonts w:asciiTheme="minorHAnsi" w:eastAsiaTheme="minorHAnsi" w:hAnsiTheme="minorHAnsi" w:cstheme="minorHAnsi"/>
                <w:sz w:val="22"/>
                <w:szCs w:val="22"/>
                <w:lang w:eastAsia="en-US"/>
              </w:rPr>
              <w:t>LTG</w:t>
            </w:r>
            <w:r w:rsidRPr="009708BA">
              <w:rPr>
                <w:rFonts w:asciiTheme="minorHAnsi" w:eastAsiaTheme="minorHAnsi" w:hAnsiTheme="minorHAnsi" w:cstheme="minorHAnsi"/>
                <w:sz w:val="22"/>
                <w:szCs w:val="22"/>
                <w:lang w:eastAsia="en-US"/>
              </w:rPr>
              <w:t xml:space="preserve"> for bipolar disorder for the PBAC’s consideration at a future meeting. This additional work will be undertaken as a separate research project (see entry below).</w:t>
            </w:r>
          </w:p>
        </w:tc>
        <w:tc>
          <w:tcPr>
            <w:tcW w:w="2873" w:type="dxa"/>
            <w:tcBorders>
              <w:top w:val="single" w:sz="8" w:space="0" w:color="auto"/>
              <w:left w:val="single" w:sz="8" w:space="0" w:color="auto"/>
              <w:bottom w:val="single" w:sz="8" w:space="0" w:color="auto"/>
              <w:right w:val="single" w:sz="8" w:space="0" w:color="auto"/>
            </w:tcBorders>
            <w:hideMark/>
          </w:tcPr>
          <w:p w14:paraId="6FA12F95" w14:textId="77777777" w:rsidR="00D3413A" w:rsidRPr="00460250" w:rsidRDefault="00D3413A" w:rsidP="00D3413A">
            <w:pPr>
              <w:numPr>
                <w:ilvl w:val="0"/>
                <w:numId w:val="32"/>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All PBS-listed AEDs</w:t>
            </w:r>
          </w:p>
        </w:tc>
      </w:tr>
      <w:tr w:rsidR="009708BA" w:rsidRPr="009708BA" w14:paraId="2729CD05"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66D6D12E"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Bipolar disorder</w:t>
            </w:r>
          </w:p>
        </w:tc>
        <w:tc>
          <w:tcPr>
            <w:tcW w:w="8746" w:type="dxa"/>
            <w:tcBorders>
              <w:top w:val="single" w:sz="8" w:space="0" w:color="auto"/>
              <w:left w:val="single" w:sz="8" w:space="0" w:color="auto"/>
              <w:bottom w:val="single" w:sz="8" w:space="0" w:color="auto"/>
              <w:right w:val="single" w:sz="8" w:space="0" w:color="auto"/>
            </w:tcBorders>
            <w:hideMark/>
          </w:tcPr>
          <w:p w14:paraId="5A23BC42"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Lamotrigine (LTG) for bipolar disorder</w:t>
            </w:r>
          </w:p>
          <w:p w14:paraId="0A6B4991" w14:textId="77777777" w:rsidR="004C1521" w:rsidRPr="009708BA" w:rsidRDefault="004C1521" w:rsidP="00D3413A">
            <w:pPr>
              <w:rPr>
                <w:rFonts w:asciiTheme="minorHAnsi" w:eastAsiaTheme="minorHAnsi" w:hAnsiTheme="minorHAnsi" w:cstheme="minorHAnsi"/>
                <w:b/>
                <w:bCs/>
                <w:sz w:val="22"/>
                <w:szCs w:val="22"/>
                <w:lang w:eastAsia="en-US"/>
              </w:rPr>
            </w:pPr>
          </w:p>
          <w:p w14:paraId="27FA150E"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Background</w:t>
            </w:r>
          </w:p>
          <w:p w14:paraId="40069533" w14:textId="1906C172" w:rsidR="00D3413A" w:rsidRPr="009708BA" w:rsidRDefault="00D3413A" w:rsidP="00D3413A">
            <w:pPr>
              <w:rPr>
                <w:rFonts w:asciiTheme="minorHAnsi" w:eastAsiaTheme="minorHAnsi" w:hAnsiTheme="minorHAnsi" w:cstheme="minorHAnsi"/>
                <w:bCs/>
                <w:sz w:val="22"/>
                <w:szCs w:val="22"/>
                <w:lang w:eastAsia="en-US"/>
              </w:rPr>
            </w:pPr>
            <w:r w:rsidRPr="009708BA">
              <w:rPr>
                <w:rFonts w:asciiTheme="minorHAnsi" w:eastAsiaTheme="minorHAnsi" w:hAnsiTheme="minorHAnsi" w:cstheme="minorHAnsi"/>
                <w:bCs/>
                <w:sz w:val="22"/>
                <w:szCs w:val="22"/>
                <w:lang w:eastAsia="en-US"/>
              </w:rPr>
              <w:t xml:space="preserve">At its </w:t>
            </w:r>
            <w:hyperlink r:id="rId12" w:history="1">
              <w:r w:rsidRPr="009708BA">
                <w:rPr>
                  <w:rStyle w:val="Hyperlink"/>
                  <w:rFonts w:asciiTheme="minorHAnsi" w:eastAsiaTheme="minorHAnsi" w:hAnsiTheme="minorHAnsi" w:cstheme="minorHAnsi"/>
                  <w:color w:val="auto"/>
                  <w:sz w:val="22"/>
                  <w:szCs w:val="22"/>
                  <w:lang w:eastAsia="en-US"/>
                </w:rPr>
                <w:t>May 2025 Intracycle meeting</w:t>
              </w:r>
            </w:hyperlink>
            <w:r w:rsidRPr="009708BA">
              <w:rPr>
                <w:rStyle w:val="Hyperlink"/>
                <w:rFonts w:eastAsiaTheme="minorHAnsi"/>
                <w:color w:val="auto"/>
              </w:rPr>
              <w:t xml:space="preserve"> </w:t>
            </w:r>
            <w:r w:rsidRPr="009708BA">
              <w:rPr>
                <w:rFonts w:asciiTheme="minorHAnsi" w:eastAsiaTheme="minorHAnsi" w:hAnsiTheme="minorHAnsi" w:cstheme="minorHAnsi"/>
                <w:bCs/>
                <w:sz w:val="22"/>
                <w:szCs w:val="22"/>
                <w:lang w:eastAsia="en-US"/>
              </w:rPr>
              <w:t xml:space="preserve">the PBAC considered the </w:t>
            </w:r>
            <w:hyperlink r:id="rId13" w:history="1">
              <w:r w:rsidRPr="009708BA">
                <w:rPr>
                  <w:rStyle w:val="Hyperlink"/>
                  <w:rFonts w:asciiTheme="minorHAnsi" w:eastAsiaTheme="minorHAnsi" w:hAnsiTheme="minorHAnsi" w:cstheme="minorHAnsi"/>
                  <w:i/>
                  <w:iCs/>
                  <w:color w:val="auto"/>
                  <w:sz w:val="22"/>
                  <w:szCs w:val="22"/>
                  <w:lang w:eastAsia="en-US"/>
                </w:rPr>
                <w:t>Review of clinical guidelines and cost estimates for the use of anti-epileptic drugs (AEDs) for the treatment of epilepsy</w:t>
              </w:r>
            </w:hyperlink>
            <w:r w:rsidRPr="009708BA">
              <w:rPr>
                <w:rFonts w:asciiTheme="minorHAnsi" w:eastAsiaTheme="minorHAnsi" w:hAnsiTheme="minorHAnsi" w:cstheme="minorHAnsi"/>
                <w:bCs/>
                <w:sz w:val="22"/>
                <w:szCs w:val="22"/>
                <w:lang w:eastAsia="en-US"/>
              </w:rPr>
              <w:t xml:space="preserve"> report (see above entry). </w:t>
            </w:r>
          </w:p>
          <w:p w14:paraId="3DB7FEDC" w14:textId="77777777" w:rsidR="00071670" w:rsidRPr="009708BA" w:rsidRDefault="00071670" w:rsidP="00D3413A">
            <w:pPr>
              <w:rPr>
                <w:rFonts w:asciiTheme="minorHAnsi" w:eastAsiaTheme="minorHAnsi" w:hAnsiTheme="minorHAnsi" w:cstheme="minorHAnsi"/>
                <w:bCs/>
                <w:sz w:val="22"/>
                <w:szCs w:val="22"/>
                <w:lang w:eastAsia="en-US"/>
              </w:rPr>
            </w:pPr>
          </w:p>
          <w:p w14:paraId="57969A92" w14:textId="77777777" w:rsidR="00D3413A" w:rsidRPr="009708BA" w:rsidRDefault="00D3413A" w:rsidP="00D3413A">
            <w:pPr>
              <w:rPr>
                <w:rFonts w:asciiTheme="minorHAnsi" w:eastAsiaTheme="minorHAnsi" w:hAnsiTheme="minorHAnsi" w:cstheme="minorHAnsi"/>
                <w:bCs/>
                <w:sz w:val="22"/>
                <w:szCs w:val="22"/>
                <w:lang w:eastAsia="en-US"/>
              </w:rPr>
            </w:pPr>
            <w:r w:rsidRPr="009708BA">
              <w:rPr>
                <w:rFonts w:asciiTheme="minorHAnsi" w:eastAsiaTheme="minorHAnsi" w:hAnsiTheme="minorHAnsi" w:cstheme="minorHAnsi"/>
                <w:bCs/>
                <w:sz w:val="22"/>
                <w:szCs w:val="22"/>
                <w:lang w:eastAsia="en-US"/>
              </w:rPr>
              <w:t xml:space="preserve">The PBAC recommended amending the PBS restrictions for levetiracetam (LEV) (tablets and liquid forms) and LTG (tablets) to Restricted Benefit listings for “epileptic seizures” and removal of the following clinical criteria from the current listings: “The condition must have failed to be controlled satisfactorily by other anti-epileptic drugs; OR Patient must be a woman of </w:t>
            </w:r>
            <w:r w:rsidRPr="009708BA">
              <w:rPr>
                <w:rFonts w:asciiTheme="minorHAnsi" w:eastAsiaTheme="minorHAnsi" w:hAnsiTheme="minorHAnsi" w:cstheme="minorHAnsi"/>
                <w:bCs/>
                <w:sz w:val="22"/>
                <w:szCs w:val="22"/>
                <w:lang w:eastAsia="en-US"/>
              </w:rPr>
              <w:lastRenderedPageBreak/>
              <w:t>childbearing potential.” This restriction change will allow the subsidised first-line use of these medicines in the general Australian population with epilepsy.</w:t>
            </w:r>
          </w:p>
          <w:p w14:paraId="5FB484C8" w14:textId="77777777" w:rsidR="004C1521" w:rsidRPr="009708BA" w:rsidRDefault="004C1521" w:rsidP="00D3413A">
            <w:pPr>
              <w:rPr>
                <w:rFonts w:asciiTheme="minorHAnsi" w:eastAsiaTheme="minorHAnsi" w:hAnsiTheme="minorHAnsi" w:cstheme="minorHAnsi"/>
                <w:bCs/>
                <w:sz w:val="22"/>
                <w:szCs w:val="22"/>
                <w:lang w:eastAsia="en-US"/>
              </w:rPr>
            </w:pPr>
          </w:p>
          <w:p w14:paraId="47B4B319" w14:textId="77777777" w:rsidR="00D3413A" w:rsidRPr="009708BA" w:rsidRDefault="00D3413A" w:rsidP="00D3413A">
            <w:pPr>
              <w:rPr>
                <w:rFonts w:asciiTheme="minorHAnsi" w:eastAsiaTheme="minorHAnsi" w:hAnsiTheme="minorHAnsi" w:cstheme="minorHAnsi"/>
                <w:bCs/>
                <w:sz w:val="22"/>
                <w:szCs w:val="22"/>
                <w:lang w:eastAsia="en-US"/>
              </w:rPr>
            </w:pPr>
            <w:r w:rsidRPr="009708BA">
              <w:rPr>
                <w:rFonts w:asciiTheme="minorHAnsi" w:eastAsiaTheme="minorHAnsi" w:hAnsiTheme="minorHAnsi" w:cstheme="minorHAnsi"/>
                <w:bCs/>
                <w:sz w:val="22"/>
                <w:szCs w:val="22"/>
                <w:lang w:eastAsia="en-US"/>
              </w:rPr>
              <w:t>The PBAC considered there may be an unmet need to subsidise LTG for mental illnesses such as bipolar disorder. The PBAC recommended in principle extending subsidy of LTG to this indication and requested that the Department undertake further work to estimate the cost to the R/PBS of a separate Restricted Benefit listing for LTG for bipolar disorder for its consideration at a future meeting.</w:t>
            </w:r>
          </w:p>
          <w:p w14:paraId="3249A1B2" w14:textId="77777777" w:rsidR="004C1521" w:rsidRPr="009708BA" w:rsidRDefault="004C1521" w:rsidP="00D3413A">
            <w:pPr>
              <w:rPr>
                <w:rFonts w:asciiTheme="minorHAnsi" w:eastAsiaTheme="minorHAnsi" w:hAnsiTheme="minorHAnsi" w:cstheme="minorHAnsi"/>
                <w:bCs/>
                <w:sz w:val="22"/>
                <w:szCs w:val="22"/>
                <w:lang w:eastAsia="en-US"/>
              </w:rPr>
            </w:pPr>
          </w:p>
          <w:p w14:paraId="7A479AAC"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Status</w:t>
            </w:r>
          </w:p>
          <w:p w14:paraId="1AC60F94" w14:textId="0BC6ECEA" w:rsidR="00DB5C99" w:rsidRPr="009708BA" w:rsidRDefault="00D3413A" w:rsidP="00D3413A">
            <w:pPr>
              <w:rPr>
                <w:rFonts w:asciiTheme="minorHAnsi" w:eastAsiaTheme="minorHAnsi" w:hAnsiTheme="minorHAnsi" w:cstheme="minorHAnsi"/>
                <w:bCs/>
                <w:sz w:val="22"/>
                <w:szCs w:val="22"/>
                <w:lang w:eastAsia="en-US"/>
              </w:rPr>
            </w:pPr>
            <w:r w:rsidRPr="009708BA">
              <w:rPr>
                <w:rFonts w:asciiTheme="minorHAnsi" w:eastAsiaTheme="minorHAnsi" w:hAnsiTheme="minorHAnsi" w:cstheme="minorHAnsi"/>
                <w:bCs/>
                <w:sz w:val="22"/>
                <w:szCs w:val="22"/>
                <w:lang w:eastAsia="en-US"/>
              </w:rPr>
              <w:t xml:space="preserve">The Department </w:t>
            </w:r>
            <w:r w:rsidR="00F4382F" w:rsidRPr="009708BA">
              <w:rPr>
                <w:rFonts w:asciiTheme="minorHAnsi" w:eastAsiaTheme="minorHAnsi" w:hAnsiTheme="minorHAnsi" w:cstheme="minorHAnsi"/>
                <w:bCs/>
                <w:sz w:val="22"/>
                <w:szCs w:val="22"/>
                <w:lang w:eastAsia="en-US"/>
              </w:rPr>
              <w:t>has undertaken the modelling to estimate</w:t>
            </w:r>
            <w:r w:rsidRPr="009708BA">
              <w:rPr>
                <w:rFonts w:asciiTheme="minorHAnsi" w:eastAsiaTheme="minorHAnsi" w:hAnsiTheme="minorHAnsi" w:cstheme="minorHAnsi"/>
                <w:bCs/>
                <w:sz w:val="22"/>
                <w:szCs w:val="22"/>
                <w:lang w:eastAsia="en-US"/>
              </w:rPr>
              <w:t xml:space="preserve"> the financial impact to the R/PBS of a separate Restricted Benefit listing for LTG for bipolar disorder. It is anticipated that the findings of the modelling will be provided to the PBAC for consideration in </w:t>
            </w:r>
            <w:r w:rsidR="00F4382F" w:rsidRPr="009708BA">
              <w:rPr>
                <w:rFonts w:asciiTheme="minorHAnsi" w:eastAsiaTheme="minorHAnsi" w:hAnsiTheme="minorHAnsi" w:cstheme="minorHAnsi"/>
                <w:bCs/>
                <w:sz w:val="22"/>
                <w:szCs w:val="22"/>
                <w:lang w:eastAsia="en-US"/>
              </w:rPr>
              <w:t>November</w:t>
            </w:r>
            <w:r w:rsidRPr="009708BA">
              <w:rPr>
                <w:rFonts w:asciiTheme="minorHAnsi" w:eastAsiaTheme="minorHAnsi" w:hAnsiTheme="minorHAnsi" w:cstheme="minorHAnsi"/>
                <w:bCs/>
                <w:sz w:val="22"/>
                <w:szCs w:val="22"/>
                <w:lang w:eastAsia="en-US"/>
              </w:rPr>
              <w:t xml:space="preserve"> 2025. LTG sponsors and relevant clinical groups will be provided with the </w:t>
            </w:r>
            <w:r w:rsidR="00F4382F" w:rsidRPr="009708BA">
              <w:rPr>
                <w:rFonts w:asciiTheme="minorHAnsi" w:eastAsiaTheme="minorHAnsi" w:hAnsiTheme="minorHAnsi" w:cstheme="minorHAnsi"/>
                <w:bCs/>
                <w:sz w:val="22"/>
                <w:szCs w:val="22"/>
                <w:lang w:eastAsia="en-US"/>
              </w:rPr>
              <w:t>findings</w:t>
            </w:r>
            <w:r w:rsidRPr="009708BA">
              <w:rPr>
                <w:rFonts w:asciiTheme="minorHAnsi" w:eastAsiaTheme="minorHAnsi" w:hAnsiTheme="minorHAnsi" w:cstheme="minorHAnsi"/>
                <w:bCs/>
                <w:sz w:val="22"/>
                <w:szCs w:val="22"/>
                <w:lang w:eastAsia="en-US"/>
              </w:rPr>
              <w:t xml:space="preserve"> and invited to provide a pre-PBAC response prior to the PBAC’s consideration.</w:t>
            </w:r>
          </w:p>
          <w:p w14:paraId="2805BB76" w14:textId="77777777" w:rsidR="00DB5C99" w:rsidRPr="009708BA" w:rsidRDefault="00DB5C99" w:rsidP="00D3413A">
            <w:pPr>
              <w:rPr>
                <w:rFonts w:asciiTheme="minorHAnsi" w:eastAsiaTheme="minorHAnsi" w:hAnsiTheme="minorHAnsi" w:cstheme="minorHAnsi"/>
                <w:bCs/>
                <w:sz w:val="22"/>
                <w:szCs w:val="22"/>
                <w:lang w:eastAsia="en-US"/>
              </w:rPr>
            </w:pPr>
          </w:p>
        </w:tc>
        <w:tc>
          <w:tcPr>
            <w:tcW w:w="2873" w:type="dxa"/>
            <w:tcBorders>
              <w:top w:val="single" w:sz="8" w:space="0" w:color="auto"/>
              <w:left w:val="single" w:sz="8" w:space="0" w:color="auto"/>
              <w:bottom w:val="single" w:sz="8" w:space="0" w:color="auto"/>
              <w:right w:val="single" w:sz="8" w:space="0" w:color="auto"/>
            </w:tcBorders>
            <w:hideMark/>
          </w:tcPr>
          <w:p w14:paraId="7EF564D2" w14:textId="77777777" w:rsidR="00D3413A" w:rsidRPr="009708BA" w:rsidRDefault="00D3413A" w:rsidP="00D3413A">
            <w:pPr>
              <w:numPr>
                <w:ilvl w:val="0"/>
                <w:numId w:val="32"/>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lastRenderedPageBreak/>
              <w:t>Lamotrigine</w:t>
            </w:r>
          </w:p>
        </w:tc>
      </w:tr>
      <w:tr w:rsidR="00D3413A" w:rsidRPr="00204CA5" w14:paraId="5C851BC9"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09AAEEB2"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Various</w:t>
            </w:r>
          </w:p>
        </w:tc>
        <w:tc>
          <w:tcPr>
            <w:tcW w:w="8746" w:type="dxa"/>
            <w:tcBorders>
              <w:top w:val="single" w:sz="8" w:space="0" w:color="auto"/>
              <w:left w:val="single" w:sz="8" w:space="0" w:color="auto"/>
              <w:bottom w:val="single" w:sz="8" w:space="0" w:color="auto"/>
              <w:right w:val="single" w:sz="8" w:space="0" w:color="auto"/>
            </w:tcBorders>
          </w:tcPr>
          <w:p w14:paraId="7D93C6C7" w14:textId="77777777" w:rsidR="00D3413A"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Review of PBS prescribing by nurse practitioners and endorsed midwives</w:t>
            </w:r>
          </w:p>
          <w:p w14:paraId="5C5043B5" w14:textId="77777777" w:rsidR="004C1521" w:rsidRPr="00460250" w:rsidRDefault="004C1521" w:rsidP="00D3413A">
            <w:pPr>
              <w:rPr>
                <w:rFonts w:asciiTheme="minorHAnsi" w:eastAsiaTheme="minorHAnsi" w:hAnsiTheme="minorHAnsi" w:cstheme="minorHAnsi"/>
                <w:sz w:val="22"/>
                <w:szCs w:val="22"/>
                <w:lang w:eastAsia="en-US"/>
              </w:rPr>
            </w:pPr>
          </w:p>
          <w:p w14:paraId="293DAF43"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Background</w:t>
            </w:r>
          </w:p>
          <w:p w14:paraId="3E7977A1" w14:textId="3209D106" w:rsidR="00D3413A" w:rsidRPr="00460250" w:rsidRDefault="00E35648" w:rsidP="00D3413A">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w:t>
            </w:r>
            <w:r w:rsidR="00D3413A" w:rsidRPr="00460250">
              <w:rPr>
                <w:rFonts w:asciiTheme="minorHAnsi" w:eastAsiaTheme="minorHAnsi" w:hAnsiTheme="minorHAnsi" w:cstheme="minorHAnsi"/>
                <w:sz w:val="22"/>
                <w:szCs w:val="22"/>
                <w:lang w:eastAsia="en-US"/>
              </w:rPr>
              <w:t xml:space="preserve"> review of items for Nurse Practitioner (NP) and Endorsed Midwife (EM) prescribing on the PBS</w:t>
            </w:r>
            <w:r>
              <w:rPr>
                <w:rFonts w:asciiTheme="minorHAnsi" w:eastAsiaTheme="minorHAnsi" w:hAnsiTheme="minorHAnsi" w:cstheme="minorHAnsi"/>
                <w:sz w:val="22"/>
                <w:szCs w:val="22"/>
                <w:lang w:eastAsia="en-US"/>
              </w:rPr>
              <w:t xml:space="preserve"> </w:t>
            </w:r>
            <w:r w:rsidR="00D3413A" w:rsidRPr="00460250">
              <w:rPr>
                <w:rFonts w:asciiTheme="minorHAnsi" w:eastAsiaTheme="minorHAnsi" w:hAnsiTheme="minorHAnsi" w:cstheme="minorHAnsi"/>
                <w:sz w:val="22"/>
                <w:szCs w:val="22"/>
                <w:lang w:eastAsia="en-US"/>
              </w:rPr>
              <w:t>forms part of the Department’s implementation of the Nurse Practitioner Workforce Plan released in May 2023. The purpose of the review is to identify PBS</w:t>
            </w:r>
            <w:r w:rsidR="00D3413A" w:rsidRPr="00460250">
              <w:rPr>
                <w:rFonts w:asciiTheme="minorHAnsi" w:eastAsiaTheme="minorHAnsi" w:hAnsiTheme="minorHAnsi" w:cstheme="minorHAnsi"/>
                <w:sz w:val="22"/>
                <w:szCs w:val="22"/>
                <w:lang w:eastAsia="en-US"/>
              </w:rPr>
              <w:noBreakHyphen/>
              <w:t>subsidised medicines that are able to be privately prescribed by NPs and EMs (i.e. within their scope of practice and in accordance with state and territory regulations), but where these groups are not recognised as eligible prescribers on the PBS schedule. Between 1 March – 1 April 2024, the Department published a consultation survey to inform the Review, to collect data on which medicines are frequently being prescribed privately (i.e., non-PBS) by NPs and EMs that are subsidised through the PBS when prescribed by another prescriber type, and the settings in which this is occurring. The survey received feedback from consumers, carers, health professionals, consumer groups and peak representative organisations.</w:t>
            </w:r>
          </w:p>
          <w:p w14:paraId="54EF309B" w14:textId="77777777" w:rsidR="00D3413A" w:rsidRPr="00460250" w:rsidRDefault="00D3413A" w:rsidP="00D3413A">
            <w:pPr>
              <w:rPr>
                <w:rFonts w:asciiTheme="minorHAnsi" w:eastAsiaTheme="minorHAnsi" w:hAnsiTheme="minorHAnsi" w:cstheme="minorHAnsi"/>
                <w:sz w:val="22"/>
                <w:szCs w:val="22"/>
                <w:lang w:eastAsia="en-US"/>
              </w:rPr>
            </w:pPr>
          </w:p>
          <w:p w14:paraId="77289155"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Between July 2024 and July 2025, the PBAC considered and provided advice on five tranches of PBS medicines identified during consultation that may be suitable for prescribing by NPs or EMs. </w:t>
            </w:r>
          </w:p>
          <w:p w14:paraId="6A5C60B7" w14:textId="77777777" w:rsidR="00D3413A" w:rsidRPr="00460250" w:rsidRDefault="00D3413A" w:rsidP="00D3413A">
            <w:pPr>
              <w:rPr>
                <w:rFonts w:asciiTheme="minorHAnsi" w:eastAsiaTheme="minorHAnsi" w:hAnsiTheme="minorHAnsi" w:cstheme="minorHAnsi"/>
                <w:sz w:val="22"/>
                <w:szCs w:val="22"/>
                <w:lang w:eastAsia="en-US"/>
              </w:rPr>
            </w:pPr>
          </w:p>
          <w:p w14:paraId="74F7299D"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Status</w:t>
            </w:r>
          </w:p>
          <w:p w14:paraId="490463C5" w14:textId="6DF28041"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The Review is now complete. Please refer to the </w:t>
            </w:r>
            <w:hyperlink r:id="rId14" w:anchor=":~:text=This%20included%20a%20recommended%20action%20to%20%E2%80%98review%20nurse,PBS%20%28RPBS%29%20with%20their%20full%20scope%20of%20practice%E2%80%99." w:history="1">
              <w:r w:rsidRPr="009708BA">
                <w:rPr>
                  <w:rStyle w:val="Hyperlink"/>
                  <w:rFonts w:asciiTheme="minorHAnsi" w:eastAsiaTheme="minorHAnsi" w:hAnsiTheme="minorHAnsi" w:cstheme="minorHAnsi"/>
                  <w:i/>
                  <w:iCs/>
                  <w:color w:val="auto"/>
                  <w:sz w:val="22"/>
                  <w:szCs w:val="22"/>
                  <w:lang w:eastAsia="en-US"/>
                </w:rPr>
                <w:t>Review of PBS items for prescribing by nurse practitioners and endorsed midwives</w:t>
              </w:r>
            </w:hyperlink>
            <w:r w:rsidRPr="009708BA">
              <w:rPr>
                <w:rFonts w:asciiTheme="minorHAnsi" w:eastAsiaTheme="minorHAnsi" w:hAnsiTheme="minorHAnsi" w:cstheme="minorHAnsi"/>
                <w:sz w:val="22"/>
                <w:szCs w:val="22"/>
                <w:lang w:eastAsia="en-US"/>
              </w:rPr>
              <w:t xml:space="preserve"> webpage for further information</w:t>
            </w:r>
            <w:r w:rsidR="00E35648" w:rsidRPr="009708BA">
              <w:rPr>
                <w:rFonts w:asciiTheme="minorHAnsi" w:eastAsiaTheme="minorHAnsi" w:hAnsiTheme="minorHAnsi" w:cstheme="minorHAnsi"/>
                <w:sz w:val="22"/>
                <w:szCs w:val="22"/>
                <w:lang w:eastAsia="en-US"/>
              </w:rPr>
              <w:t>.</w:t>
            </w:r>
          </w:p>
          <w:p w14:paraId="72EAFE00" w14:textId="77777777" w:rsidR="004C1521" w:rsidRPr="009708BA" w:rsidRDefault="004C1521" w:rsidP="00D3413A">
            <w:pPr>
              <w:rPr>
                <w:rFonts w:asciiTheme="minorHAnsi" w:eastAsiaTheme="minorHAnsi" w:hAnsiTheme="minorHAnsi" w:cstheme="minorHAnsi"/>
                <w:sz w:val="22"/>
                <w:szCs w:val="22"/>
                <w:lang w:eastAsia="en-US"/>
              </w:rPr>
            </w:pPr>
          </w:p>
          <w:p w14:paraId="48746098"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Next steps</w:t>
            </w:r>
          </w:p>
          <w:p w14:paraId="31F76DA9" w14:textId="697B8A99" w:rsidR="00D3413A" w:rsidRPr="00460250"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PBAC recommendations arising from the PBS Review will be implemented as part of routine monthly changes to the PBS schedule. All authorised PBS prescribers are encouraged to check the </w:t>
            </w:r>
            <w:hyperlink r:id="rId15" w:tgtFrame="_parent" w:tooltip="Summary of Changes" w:history="1">
              <w:r w:rsidRPr="009708BA">
                <w:rPr>
                  <w:rStyle w:val="Hyperlink"/>
                  <w:rFonts w:asciiTheme="minorHAnsi" w:eastAsiaTheme="minorHAnsi" w:hAnsiTheme="minorHAnsi" w:cstheme="minorHAnsi"/>
                  <w:color w:val="auto"/>
                  <w:sz w:val="22"/>
                  <w:szCs w:val="22"/>
                  <w:lang w:eastAsia="en-US"/>
                </w:rPr>
                <w:t>Summary of Changes</w:t>
              </w:r>
            </w:hyperlink>
            <w:r w:rsidRPr="009708BA">
              <w:rPr>
                <w:rFonts w:asciiTheme="minorHAnsi" w:eastAsiaTheme="minorHAnsi" w:hAnsiTheme="minorHAnsi" w:cstheme="minorHAnsi"/>
                <w:sz w:val="22"/>
                <w:szCs w:val="22"/>
                <w:lang w:eastAsia="en-US"/>
              </w:rPr>
              <w:t> to the PBS that is published at the beginning of each new calendar month for changes to individual medicine listings.</w:t>
            </w:r>
          </w:p>
        </w:tc>
        <w:tc>
          <w:tcPr>
            <w:tcW w:w="2873" w:type="dxa"/>
            <w:tcBorders>
              <w:top w:val="single" w:sz="8" w:space="0" w:color="auto"/>
              <w:left w:val="single" w:sz="8" w:space="0" w:color="auto"/>
              <w:bottom w:val="single" w:sz="8" w:space="0" w:color="auto"/>
              <w:right w:val="single" w:sz="8" w:space="0" w:color="auto"/>
            </w:tcBorders>
            <w:hideMark/>
          </w:tcPr>
          <w:p w14:paraId="7C36C734"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Various</w:t>
            </w:r>
          </w:p>
        </w:tc>
      </w:tr>
      <w:tr w:rsidR="00D3413A" w:rsidRPr="00204CA5" w14:paraId="7BBF72CF"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7987DEA2"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Severe dry eye</w:t>
            </w:r>
          </w:p>
        </w:tc>
        <w:tc>
          <w:tcPr>
            <w:tcW w:w="8746" w:type="dxa"/>
            <w:tcBorders>
              <w:top w:val="single" w:sz="8" w:space="0" w:color="auto"/>
              <w:left w:val="single" w:sz="8" w:space="0" w:color="auto"/>
              <w:bottom w:val="single" w:sz="8" w:space="0" w:color="auto"/>
              <w:right w:val="single" w:sz="8" w:space="0" w:color="auto"/>
            </w:tcBorders>
            <w:hideMark/>
          </w:tcPr>
          <w:p w14:paraId="6C74ED47"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 xml:space="preserve">PBS-listed ocular lubricants for treatment of severe dry eye </w:t>
            </w:r>
          </w:p>
          <w:p w14:paraId="1AA6B8E9" w14:textId="77777777" w:rsidR="004C1521" w:rsidRPr="009708BA" w:rsidRDefault="004C1521" w:rsidP="00D3413A">
            <w:pPr>
              <w:rPr>
                <w:rFonts w:asciiTheme="minorHAnsi" w:eastAsiaTheme="minorHAnsi" w:hAnsiTheme="minorHAnsi" w:cstheme="minorHAnsi"/>
                <w:sz w:val="22"/>
                <w:szCs w:val="22"/>
                <w:lang w:eastAsia="en-US"/>
              </w:rPr>
            </w:pPr>
          </w:p>
          <w:p w14:paraId="5CBFA385"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Background</w:t>
            </w:r>
          </w:p>
          <w:p w14:paraId="3EF1005B"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In March 2023, the PBAC requested that a systematic literature review be undertaken to compare the efficacy and safety of ocular lubricants containing preservatives (PC) versus ocular lubricants without preservatives (PF) in patients with severe dry eye. In late-2023, a contract was executed with an external evaluation group to undertake the review. </w:t>
            </w:r>
          </w:p>
          <w:p w14:paraId="337A6DEA" w14:textId="77777777" w:rsidR="004C1521" w:rsidRPr="009708BA" w:rsidRDefault="004C1521" w:rsidP="00D3413A">
            <w:pPr>
              <w:rPr>
                <w:rFonts w:asciiTheme="minorHAnsi" w:eastAsiaTheme="minorHAnsi" w:hAnsiTheme="minorHAnsi" w:cstheme="minorHAnsi"/>
                <w:sz w:val="22"/>
                <w:szCs w:val="22"/>
                <w:lang w:eastAsia="en-US"/>
              </w:rPr>
            </w:pPr>
          </w:p>
          <w:p w14:paraId="3EA77122" w14:textId="4380F543"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The Department provided the final report</w:t>
            </w:r>
            <w:r w:rsidR="00070607" w:rsidRPr="009708BA">
              <w:rPr>
                <w:rFonts w:asciiTheme="minorHAnsi" w:eastAsiaTheme="minorHAnsi" w:hAnsiTheme="minorHAnsi" w:cstheme="minorHAnsi"/>
                <w:sz w:val="22"/>
                <w:szCs w:val="22"/>
                <w:lang w:eastAsia="en-US"/>
              </w:rPr>
              <w:t xml:space="preserve">, </w:t>
            </w:r>
            <w:r w:rsidR="00070607" w:rsidRPr="009708BA">
              <w:rPr>
                <w:rFonts w:asciiTheme="minorHAnsi" w:eastAsiaTheme="minorHAnsi" w:hAnsiTheme="minorHAnsi" w:cstheme="minorHAnsi"/>
                <w:i/>
                <w:iCs/>
                <w:sz w:val="22"/>
                <w:szCs w:val="22"/>
                <w:lang w:eastAsia="en-US"/>
              </w:rPr>
              <w:t xml:space="preserve">Systematic literature review comparing the efficacy and safety of preservative-containing (PC) ocular lubricants versus preservative-free (PF) ocular lubricants in patients with severe dry </w:t>
            </w:r>
            <w:r w:rsidRPr="009708BA">
              <w:rPr>
                <w:rFonts w:asciiTheme="minorHAnsi" w:eastAsiaTheme="minorHAnsi" w:hAnsiTheme="minorHAnsi" w:cstheme="minorHAnsi"/>
                <w:sz w:val="22"/>
                <w:szCs w:val="22"/>
                <w:lang w:eastAsia="en-US"/>
              </w:rPr>
              <w:t xml:space="preserve">to peak Australian optometry and ophthalmology representative groups and sponsors of PBS-listed ocular lubricants for a pre-PBAC response. </w:t>
            </w:r>
          </w:p>
          <w:p w14:paraId="1F3DA360" w14:textId="77777777" w:rsidR="004C1521" w:rsidRPr="009708BA" w:rsidRDefault="004C1521" w:rsidP="00D3413A">
            <w:pPr>
              <w:rPr>
                <w:rFonts w:asciiTheme="minorHAnsi" w:eastAsiaTheme="minorHAnsi" w:hAnsiTheme="minorHAnsi" w:cstheme="minorHAnsi"/>
                <w:sz w:val="22"/>
                <w:szCs w:val="22"/>
                <w:lang w:eastAsia="en-US"/>
              </w:rPr>
            </w:pPr>
          </w:p>
          <w:p w14:paraId="38AC0988" w14:textId="1B225690"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The </w:t>
            </w:r>
            <w:r w:rsidR="00070607" w:rsidRPr="009708BA">
              <w:rPr>
                <w:rFonts w:asciiTheme="minorHAnsi" w:eastAsiaTheme="minorHAnsi" w:hAnsiTheme="minorHAnsi" w:cstheme="minorHAnsi"/>
                <w:sz w:val="22"/>
                <w:szCs w:val="22"/>
                <w:lang w:eastAsia="en-US"/>
              </w:rPr>
              <w:t>PBAC considered the Report findings and pre-PBAC responses at its July 2024 meeting.</w:t>
            </w:r>
            <w:r w:rsidRPr="009708BA">
              <w:rPr>
                <w:rFonts w:asciiTheme="minorHAnsi" w:eastAsiaTheme="minorHAnsi" w:hAnsiTheme="minorHAnsi" w:cstheme="minorHAnsi"/>
                <w:sz w:val="22"/>
                <w:szCs w:val="22"/>
                <w:lang w:eastAsia="en-US"/>
              </w:rPr>
              <w:t xml:space="preserve"> Noting limitations in the literature, the PBAC considered that the Report did not find evidence to support the superior effectiveness or safety of PF products compared to PC products. </w:t>
            </w:r>
            <w:r w:rsidR="001B7DFF" w:rsidRPr="009708BA">
              <w:rPr>
                <w:rFonts w:asciiTheme="minorHAnsi" w:eastAsiaTheme="minorHAnsi" w:hAnsiTheme="minorHAnsi" w:cstheme="minorHAnsi"/>
                <w:sz w:val="22"/>
                <w:szCs w:val="22"/>
                <w:lang w:eastAsia="en-US"/>
              </w:rPr>
              <w:t>The PBAC requested that an options paper be developed for its future consideration, taking current clinical practice and guidelines into account, while ensuring that PBS-listed ocular lubricants remain cost-effective for the eligible population. The PBAC also requested information on the utilisation of ocular lubricants and associated costs to the PBS of any potential changes to the PBS listings for ocular lubricants to support its consideration.</w:t>
            </w:r>
            <w:r w:rsidR="0027112A" w:rsidRPr="009708BA">
              <w:rPr>
                <w:rFonts w:asciiTheme="minorHAnsi" w:eastAsiaTheme="minorHAnsi" w:hAnsiTheme="minorHAnsi" w:cstheme="minorHAnsi"/>
                <w:sz w:val="22"/>
                <w:szCs w:val="22"/>
                <w:lang w:eastAsia="en-US"/>
              </w:rPr>
              <w:t xml:space="preserve"> For further information, please refer to the</w:t>
            </w:r>
            <w:r w:rsidRPr="009708BA">
              <w:rPr>
                <w:rFonts w:asciiTheme="minorHAnsi" w:eastAsiaTheme="minorHAnsi" w:hAnsiTheme="minorHAnsi" w:cstheme="minorHAnsi"/>
                <w:sz w:val="22"/>
                <w:szCs w:val="22"/>
                <w:lang w:eastAsia="en-US"/>
              </w:rPr>
              <w:t xml:space="preserve"> </w:t>
            </w:r>
            <w:hyperlink r:id="rId16" w:history="1">
              <w:r w:rsidRPr="009708BA">
                <w:rPr>
                  <w:rStyle w:val="Hyperlink"/>
                  <w:rFonts w:asciiTheme="minorHAnsi" w:eastAsiaTheme="minorHAnsi" w:hAnsiTheme="minorHAnsi" w:cstheme="minorHAnsi"/>
                  <w:color w:val="auto"/>
                  <w:sz w:val="22"/>
                  <w:szCs w:val="22"/>
                </w:rPr>
                <w:t>PBAC outcome</w:t>
              </w:r>
            </w:hyperlink>
            <w:r w:rsidRPr="009708BA">
              <w:rPr>
                <w:rFonts w:asciiTheme="minorHAnsi" w:eastAsiaTheme="minorHAnsi" w:hAnsiTheme="minorHAnsi" w:cstheme="minorHAnsi"/>
                <w:sz w:val="22"/>
                <w:szCs w:val="22"/>
                <w:lang w:eastAsia="en-US"/>
              </w:rPr>
              <w:t xml:space="preserve"> </w:t>
            </w:r>
            <w:r w:rsidR="0027112A" w:rsidRPr="009708BA">
              <w:rPr>
                <w:rFonts w:asciiTheme="minorHAnsi" w:eastAsiaTheme="minorHAnsi" w:hAnsiTheme="minorHAnsi" w:cstheme="minorHAnsi"/>
                <w:sz w:val="22"/>
                <w:szCs w:val="22"/>
                <w:lang w:eastAsia="en-US"/>
              </w:rPr>
              <w:t>from its July 2024 meeting</w:t>
            </w:r>
            <w:r w:rsidRPr="009708BA">
              <w:rPr>
                <w:rFonts w:asciiTheme="minorHAnsi" w:eastAsiaTheme="minorHAnsi" w:hAnsiTheme="minorHAnsi" w:cstheme="minorHAnsi"/>
                <w:sz w:val="22"/>
                <w:szCs w:val="22"/>
                <w:lang w:eastAsia="en-US"/>
              </w:rPr>
              <w:t>.</w:t>
            </w:r>
          </w:p>
          <w:p w14:paraId="7E2E7E00" w14:textId="77777777" w:rsidR="004C1521" w:rsidRPr="009708BA" w:rsidRDefault="004C1521" w:rsidP="00D3413A">
            <w:pPr>
              <w:rPr>
                <w:rFonts w:asciiTheme="minorHAnsi" w:eastAsiaTheme="minorHAnsi" w:hAnsiTheme="minorHAnsi" w:cstheme="minorHAnsi"/>
                <w:sz w:val="22"/>
                <w:szCs w:val="22"/>
                <w:lang w:eastAsia="en-US"/>
              </w:rPr>
            </w:pPr>
          </w:p>
          <w:p w14:paraId="11F84E5F" w14:textId="77777777" w:rsidR="004C1521" w:rsidRPr="009708BA" w:rsidRDefault="004C1521" w:rsidP="00D3413A">
            <w:pPr>
              <w:rPr>
                <w:rFonts w:asciiTheme="minorHAnsi" w:eastAsiaTheme="minorHAnsi" w:hAnsiTheme="minorHAnsi" w:cstheme="minorHAnsi"/>
                <w:b/>
                <w:bCs/>
                <w:sz w:val="22"/>
                <w:szCs w:val="22"/>
                <w:lang w:eastAsia="en-US"/>
              </w:rPr>
            </w:pPr>
          </w:p>
          <w:p w14:paraId="1CCB2C43"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lastRenderedPageBreak/>
              <w:t>Status</w:t>
            </w:r>
          </w:p>
          <w:p w14:paraId="5691FE38" w14:textId="74F4A186" w:rsidR="004C1521"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In November 2024, a HTA evaluation group was contracted to </w:t>
            </w:r>
            <w:r w:rsidR="009A18B4" w:rsidRPr="009708BA">
              <w:rPr>
                <w:rFonts w:asciiTheme="minorHAnsi" w:eastAsiaTheme="minorHAnsi" w:hAnsiTheme="minorHAnsi" w:cstheme="minorHAnsi"/>
                <w:sz w:val="22"/>
                <w:szCs w:val="22"/>
                <w:lang w:eastAsia="en-US"/>
              </w:rPr>
              <w:t xml:space="preserve">undertake </w:t>
            </w:r>
            <w:r w:rsidRPr="009708BA">
              <w:rPr>
                <w:rFonts w:asciiTheme="minorHAnsi" w:eastAsiaTheme="minorHAnsi" w:hAnsiTheme="minorHAnsi" w:cstheme="minorHAnsi"/>
                <w:sz w:val="22"/>
                <w:szCs w:val="22"/>
                <w:lang w:eastAsia="en-US"/>
              </w:rPr>
              <w:t xml:space="preserve">a utilisation analysis </w:t>
            </w:r>
            <w:r w:rsidR="001B7DFF" w:rsidRPr="009708BA">
              <w:rPr>
                <w:rFonts w:asciiTheme="minorHAnsi" w:eastAsiaTheme="minorHAnsi" w:hAnsiTheme="minorHAnsi" w:cstheme="minorHAnsi"/>
                <w:sz w:val="22"/>
                <w:szCs w:val="22"/>
                <w:lang w:eastAsia="en-US"/>
              </w:rPr>
              <w:t>of PBS</w:t>
            </w:r>
            <w:r w:rsidR="009A18B4" w:rsidRPr="009708BA">
              <w:rPr>
                <w:rFonts w:asciiTheme="minorHAnsi" w:eastAsiaTheme="minorHAnsi" w:hAnsiTheme="minorHAnsi" w:cstheme="minorHAnsi"/>
                <w:sz w:val="22"/>
                <w:szCs w:val="22"/>
                <w:lang w:eastAsia="en-US"/>
              </w:rPr>
              <w:t xml:space="preserve"> ocular lubricants </w:t>
            </w:r>
            <w:r w:rsidRPr="009708BA">
              <w:rPr>
                <w:rFonts w:asciiTheme="minorHAnsi" w:eastAsiaTheme="minorHAnsi" w:hAnsiTheme="minorHAnsi" w:cstheme="minorHAnsi"/>
                <w:sz w:val="22"/>
                <w:szCs w:val="22"/>
                <w:lang w:eastAsia="en-US"/>
              </w:rPr>
              <w:t xml:space="preserve">and </w:t>
            </w:r>
            <w:r w:rsidR="009A18B4" w:rsidRPr="009708BA">
              <w:rPr>
                <w:rFonts w:asciiTheme="minorHAnsi" w:eastAsiaTheme="minorHAnsi" w:hAnsiTheme="minorHAnsi" w:cstheme="minorHAnsi"/>
                <w:sz w:val="22"/>
                <w:szCs w:val="22"/>
                <w:lang w:eastAsia="en-US"/>
              </w:rPr>
              <w:t xml:space="preserve">develop </w:t>
            </w:r>
            <w:r w:rsidRPr="009708BA">
              <w:rPr>
                <w:rFonts w:asciiTheme="minorHAnsi" w:eastAsiaTheme="minorHAnsi" w:hAnsiTheme="minorHAnsi" w:cstheme="minorHAnsi"/>
                <w:sz w:val="22"/>
                <w:szCs w:val="22"/>
                <w:lang w:eastAsia="en-US"/>
              </w:rPr>
              <w:t>financial estimates</w:t>
            </w:r>
            <w:r w:rsidR="009A18B4" w:rsidRPr="009708BA">
              <w:rPr>
                <w:rFonts w:asciiTheme="minorHAnsi" w:eastAsiaTheme="minorHAnsi" w:hAnsiTheme="minorHAnsi" w:cstheme="minorHAnsi"/>
                <w:sz w:val="22"/>
                <w:szCs w:val="22"/>
                <w:lang w:eastAsia="en-US"/>
              </w:rPr>
              <w:t xml:space="preserve"> of costs to the PBS </w:t>
            </w:r>
            <w:r w:rsidRPr="009708BA">
              <w:rPr>
                <w:rFonts w:asciiTheme="minorHAnsi" w:eastAsiaTheme="minorHAnsi" w:hAnsiTheme="minorHAnsi" w:cstheme="minorHAnsi"/>
                <w:sz w:val="22"/>
                <w:szCs w:val="22"/>
                <w:lang w:eastAsia="en-US"/>
              </w:rPr>
              <w:t xml:space="preserve">for potential changes to the </w:t>
            </w:r>
            <w:r w:rsidR="009A18B4" w:rsidRPr="009708BA">
              <w:rPr>
                <w:rFonts w:asciiTheme="minorHAnsi" w:eastAsiaTheme="minorHAnsi" w:hAnsiTheme="minorHAnsi" w:cstheme="minorHAnsi"/>
                <w:sz w:val="22"/>
                <w:szCs w:val="22"/>
                <w:lang w:eastAsia="en-US"/>
              </w:rPr>
              <w:t xml:space="preserve">PBS </w:t>
            </w:r>
            <w:r w:rsidRPr="009708BA">
              <w:rPr>
                <w:rFonts w:asciiTheme="minorHAnsi" w:eastAsiaTheme="minorHAnsi" w:hAnsiTheme="minorHAnsi" w:cstheme="minorHAnsi"/>
                <w:sz w:val="22"/>
                <w:szCs w:val="22"/>
                <w:lang w:eastAsia="en-US"/>
              </w:rPr>
              <w:t xml:space="preserve">restrictions for ocular lubricants in patients with severe dry eye, for the PBAC’s consideration. </w:t>
            </w:r>
          </w:p>
          <w:p w14:paraId="49D65EB6" w14:textId="77777777" w:rsidR="00E35648" w:rsidRPr="009708BA" w:rsidRDefault="00E35648" w:rsidP="00D3413A">
            <w:pPr>
              <w:rPr>
                <w:rFonts w:asciiTheme="minorHAnsi" w:eastAsiaTheme="minorHAnsi" w:hAnsiTheme="minorHAnsi" w:cstheme="minorHAnsi"/>
                <w:sz w:val="22"/>
                <w:szCs w:val="22"/>
                <w:lang w:eastAsia="en-US"/>
              </w:rPr>
            </w:pPr>
          </w:p>
          <w:p w14:paraId="396DBB8A" w14:textId="7334B647" w:rsidR="00D3413A" w:rsidRPr="009708BA" w:rsidRDefault="00070607"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The evaluation group’s Report, </w:t>
            </w:r>
            <w:r w:rsidRPr="009708BA">
              <w:rPr>
                <w:rFonts w:asciiTheme="minorHAnsi" w:eastAsiaTheme="minorHAnsi" w:hAnsiTheme="minorHAnsi" w:cstheme="minorHAnsi"/>
                <w:i/>
                <w:iCs/>
                <w:sz w:val="22"/>
                <w:szCs w:val="22"/>
                <w:lang w:eastAsia="en-US"/>
              </w:rPr>
              <w:t xml:space="preserve">Utilisation analysis and potential changes to the restrictions for PBS listings of ocular lubricants in patients with severe dry eye, </w:t>
            </w:r>
            <w:r w:rsidRPr="009708BA">
              <w:rPr>
                <w:rFonts w:asciiTheme="minorHAnsi" w:eastAsiaTheme="minorHAnsi" w:hAnsiTheme="minorHAnsi" w:cstheme="minorHAnsi"/>
                <w:sz w:val="22"/>
                <w:szCs w:val="22"/>
                <w:lang w:eastAsia="en-US"/>
              </w:rPr>
              <w:t>was considered by the DUSC</w:t>
            </w:r>
            <w:r w:rsidR="00D3413A" w:rsidRPr="009708BA">
              <w:rPr>
                <w:rFonts w:asciiTheme="minorHAnsi" w:eastAsiaTheme="minorHAnsi" w:hAnsiTheme="minorHAnsi" w:cstheme="minorHAnsi"/>
                <w:sz w:val="22"/>
                <w:szCs w:val="22"/>
                <w:lang w:eastAsia="en-US"/>
              </w:rPr>
              <w:t xml:space="preserve"> </w:t>
            </w:r>
            <w:r w:rsidRPr="009708BA">
              <w:rPr>
                <w:rFonts w:asciiTheme="minorHAnsi" w:eastAsiaTheme="minorHAnsi" w:hAnsiTheme="minorHAnsi" w:cstheme="minorHAnsi"/>
                <w:sz w:val="22"/>
                <w:szCs w:val="22"/>
                <w:lang w:eastAsia="en-US"/>
              </w:rPr>
              <w:t>in October 2025 and is expected to be considered by the PBAC in November 2025. Sponsors</w:t>
            </w:r>
            <w:r w:rsidR="00E35648" w:rsidRPr="009708BA">
              <w:rPr>
                <w:rFonts w:asciiTheme="minorHAnsi" w:eastAsiaTheme="minorHAnsi" w:hAnsiTheme="minorHAnsi" w:cstheme="minorHAnsi"/>
                <w:sz w:val="22"/>
                <w:szCs w:val="22"/>
                <w:lang w:eastAsia="en-US"/>
              </w:rPr>
              <w:t xml:space="preserve"> and other stakeholders were</w:t>
            </w:r>
            <w:r w:rsidRPr="009708BA">
              <w:rPr>
                <w:rFonts w:asciiTheme="minorHAnsi" w:eastAsiaTheme="minorHAnsi" w:hAnsiTheme="minorHAnsi" w:cstheme="minorHAnsi"/>
                <w:sz w:val="22"/>
                <w:szCs w:val="22"/>
                <w:lang w:eastAsia="en-US"/>
              </w:rPr>
              <w:t xml:space="preserve"> given the opportunity to provide a pre-PBAC response.</w:t>
            </w:r>
          </w:p>
          <w:p w14:paraId="77BDC76C" w14:textId="77777777" w:rsidR="00070607" w:rsidRPr="009708BA" w:rsidRDefault="00070607" w:rsidP="00D3413A">
            <w:pPr>
              <w:rPr>
                <w:rFonts w:asciiTheme="minorHAnsi" w:eastAsiaTheme="minorHAnsi" w:hAnsiTheme="minorHAnsi" w:cstheme="minorHAnsi"/>
                <w:sz w:val="22"/>
                <w:szCs w:val="22"/>
                <w:lang w:eastAsia="en-US"/>
              </w:rPr>
            </w:pPr>
          </w:p>
          <w:p w14:paraId="41C075A0"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Next steps</w:t>
            </w:r>
          </w:p>
          <w:p w14:paraId="0F6D4276" w14:textId="78336342" w:rsidR="00D3413A" w:rsidRPr="009708BA" w:rsidRDefault="00070607"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sz w:val="22"/>
                <w:szCs w:val="22"/>
                <w:lang w:eastAsia="en-US"/>
              </w:rPr>
              <w:t xml:space="preserve">The DUSC and PBAC advice will be provided to sponsors </w:t>
            </w:r>
            <w:r w:rsidR="0027112A" w:rsidRPr="009708BA">
              <w:rPr>
                <w:rFonts w:asciiTheme="minorHAnsi" w:eastAsiaTheme="minorHAnsi" w:hAnsiTheme="minorHAnsi" w:cstheme="minorHAnsi"/>
                <w:sz w:val="22"/>
                <w:szCs w:val="22"/>
                <w:lang w:eastAsia="en-US"/>
              </w:rPr>
              <w:t>after</w:t>
            </w:r>
            <w:r w:rsidRPr="009708BA">
              <w:rPr>
                <w:rFonts w:asciiTheme="minorHAnsi" w:eastAsiaTheme="minorHAnsi" w:hAnsiTheme="minorHAnsi" w:cstheme="minorHAnsi"/>
                <w:sz w:val="22"/>
                <w:szCs w:val="22"/>
                <w:lang w:eastAsia="en-US"/>
              </w:rPr>
              <w:t xml:space="preserve"> the PBAC</w:t>
            </w:r>
            <w:r w:rsidR="0027112A" w:rsidRPr="009708BA">
              <w:rPr>
                <w:rFonts w:asciiTheme="minorHAnsi" w:eastAsiaTheme="minorHAnsi" w:hAnsiTheme="minorHAnsi" w:cstheme="minorHAnsi"/>
                <w:sz w:val="22"/>
                <w:szCs w:val="22"/>
                <w:lang w:eastAsia="en-US"/>
              </w:rPr>
              <w:t>’s</w:t>
            </w:r>
            <w:r w:rsidRPr="009708BA">
              <w:rPr>
                <w:rFonts w:asciiTheme="minorHAnsi" w:eastAsiaTheme="minorHAnsi" w:hAnsiTheme="minorHAnsi" w:cstheme="minorHAnsi"/>
                <w:sz w:val="22"/>
                <w:szCs w:val="22"/>
                <w:lang w:eastAsia="en-US"/>
              </w:rPr>
              <w:t xml:space="preserve"> consideration.</w:t>
            </w:r>
            <w:r w:rsidRPr="009708BA" w:rsidDel="00070607">
              <w:rPr>
                <w:rFonts w:asciiTheme="minorHAnsi" w:eastAsiaTheme="minorHAnsi" w:hAnsiTheme="minorHAnsi" w:cstheme="minorHAnsi"/>
                <w:sz w:val="22"/>
                <w:szCs w:val="22"/>
                <w:lang w:eastAsia="en-US"/>
              </w:rPr>
              <w:t xml:space="preserve"> </w:t>
            </w:r>
          </w:p>
        </w:tc>
        <w:tc>
          <w:tcPr>
            <w:tcW w:w="2873" w:type="dxa"/>
            <w:tcBorders>
              <w:top w:val="single" w:sz="8" w:space="0" w:color="auto"/>
              <w:left w:val="single" w:sz="8" w:space="0" w:color="auto"/>
              <w:bottom w:val="single" w:sz="8" w:space="0" w:color="auto"/>
              <w:right w:val="single" w:sz="8" w:space="0" w:color="auto"/>
            </w:tcBorders>
            <w:hideMark/>
          </w:tcPr>
          <w:p w14:paraId="6D9B5958"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 xml:space="preserve">PBS listed preservative containing and preservative free ocular lubricants </w:t>
            </w:r>
          </w:p>
        </w:tc>
      </w:tr>
      <w:tr w:rsidR="00D3413A" w:rsidRPr="00204CA5" w14:paraId="4C44CBA8"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7AA47A7D"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Hypertension</w:t>
            </w:r>
          </w:p>
        </w:tc>
        <w:tc>
          <w:tcPr>
            <w:tcW w:w="8746" w:type="dxa"/>
            <w:tcBorders>
              <w:top w:val="single" w:sz="8" w:space="0" w:color="auto"/>
              <w:left w:val="single" w:sz="8" w:space="0" w:color="auto"/>
              <w:bottom w:val="single" w:sz="8" w:space="0" w:color="auto"/>
              <w:right w:val="single" w:sz="8" w:space="0" w:color="auto"/>
            </w:tcBorders>
          </w:tcPr>
          <w:p w14:paraId="12FC0107"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Utilisation analysis of antihypertensives</w:t>
            </w:r>
          </w:p>
          <w:p w14:paraId="193543A5" w14:textId="77777777" w:rsidR="004C1521" w:rsidRPr="009708BA" w:rsidRDefault="004C1521" w:rsidP="00D3413A">
            <w:pPr>
              <w:rPr>
                <w:rFonts w:asciiTheme="minorHAnsi" w:eastAsiaTheme="minorHAnsi" w:hAnsiTheme="minorHAnsi" w:cstheme="minorHAnsi"/>
                <w:b/>
                <w:bCs/>
                <w:sz w:val="22"/>
                <w:szCs w:val="22"/>
                <w:lang w:eastAsia="en-US"/>
              </w:rPr>
            </w:pPr>
          </w:p>
          <w:p w14:paraId="68C02782"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Background</w:t>
            </w:r>
          </w:p>
          <w:p w14:paraId="2EB88862"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In September 2023, the PBAC recommended that the Department undertake a research project on the use of antihypertensive medications through the PBS, focussing on quantifying the potential underuse of fixed dose combination (FDC) medicines, and initiation of antihypertensive therapy with two or more medicines (including initiation with an FDC versus multiple single drug products). The PBAC noted that the PBS restrictions do not allow patients to initiate subsidised antihypertensive therapy with an FDC as recommended in some clinical guidelines.</w:t>
            </w:r>
          </w:p>
          <w:p w14:paraId="7854EF7D" w14:textId="77777777" w:rsidR="00D3413A" w:rsidRPr="009708BA" w:rsidRDefault="00D3413A" w:rsidP="00D3413A">
            <w:pPr>
              <w:rPr>
                <w:rFonts w:asciiTheme="minorHAnsi" w:eastAsiaTheme="minorHAnsi" w:hAnsiTheme="minorHAnsi" w:cstheme="minorHAnsi"/>
                <w:sz w:val="22"/>
                <w:szCs w:val="22"/>
                <w:lang w:eastAsia="en-US"/>
              </w:rPr>
            </w:pPr>
          </w:p>
          <w:p w14:paraId="6D749115"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The Department contracted a HTA group to undertake this project. In addition to the utilisation analysis, the report included a literature review and costings analysis. </w:t>
            </w:r>
          </w:p>
          <w:p w14:paraId="1B4E518C" w14:textId="77777777" w:rsidR="004C1521" w:rsidRPr="009708BA" w:rsidRDefault="004C1521" w:rsidP="00D3413A">
            <w:pPr>
              <w:rPr>
                <w:rFonts w:asciiTheme="minorHAnsi" w:eastAsiaTheme="minorHAnsi" w:hAnsiTheme="minorHAnsi" w:cstheme="minorHAnsi"/>
                <w:sz w:val="22"/>
                <w:szCs w:val="22"/>
                <w:lang w:eastAsia="en-US"/>
              </w:rPr>
            </w:pPr>
          </w:p>
          <w:p w14:paraId="2BEECA71"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Status</w:t>
            </w:r>
          </w:p>
          <w:p w14:paraId="02D9159D" w14:textId="3B3B4C16"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The PBAC considered the report at the December 2024 meeting. The PBAC recommended changing the PBS restrictions for all antihypertensive dual therapy fixed dose combinations (FDCs) to unrestricted benefit listings, with the 60-day prescription items to remain Restricted Benefit listings with a single clinical criterion requiring the patient’s condition to be stable</w:t>
            </w:r>
            <w:r w:rsidR="00F4382F" w:rsidRPr="009708BA">
              <w:rPr>
                <w:rFonts w:asciiTheme="minorHAnsi" w:eastAsiaTheme="minorHAnsi" w:hAnsiTheme="minorHAnsi" w:cstheme="minorHAnsi"/>
                <w:sz w:val="22"/>
                <w:szCs w:val="22"/>
                <w:lang w:eastAsia="en-US"/>
              </w:rPr>
              <w:t xml:space="preserve">. </w:t>
            </w:r>
          </w:p>
          <w:p w14:paraId="4762D097" w14:textId="77777777" w:rsidR="004C1521" w:rsidRPr="009708BA" w:rsidRDefault="004C1521" w:rsidP="00D3413A">
            <w:pPr>
              <w:rPr>
                <w:rFonts w:asciiTheme="minorHAnsi" w:eastAsiaTheme="minorHAnsi" w:hAnsiTheme="minorHAnsi" w:cstheme="minorHAnsi"/>
                <w:sz w:val="22"/>
                <w:szCs w:val="22"/>
                <w:lang w:eastAsia="en-US"/>
              </w:rPr>
            </w:pPr>
          </w:p>
          <w:p w14:paraId="5D1EE33A"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lastRenderedPageBreak/>
              <w:t>The PBAC considered that the recommended restriction changes were likely to result in cost savings for the PBS and consumers but considered the reported savings to be overestimated. The PBAC noted the Department’s intention to revise the financial estimates, and that these would be brought back to the PBAC for consideration if a cost to the PBS was estimated.</w:t>
            </w:r>
          </w:p>
          <w:p w14:paraId="050014F3"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For further information please refer to the </w:t>
            </w:r>
            <w:hyperlink r:id="rId17" w:history="1">
              <w:r w:rsidRPr="009708BA">
                <w:rPr>
                  <w:rStyle w:val="Hyperlink"/>
                  <w:rFonts w:asciiTheme="minorHAnsi" w:eastAsiaTheme="minorHAnsi" w:hAnsiTheme="minorHAnsi" w:cstheme="minorHAnsi"/>
                  <w:color w:val="auto"/>
                  <w:sz w:val="22"/>
                  <w:szCs w:val="22"/>
                  <w:lang w:eastAsia="en-US"/>
                </w:rPr>
                <w:t>December 2024 PBAC Outcomes</w:t>
              </w:r>
            </w:hyperlink>
            <w:r w:rsidRPr="009708BA">
              <w:rPr>
                <w:rFonts w:asciiTheme="minorHAnsi" w:eastAsiaTheme="minorHAnsi" w:hAnsiTheme="minorHAnsi" w:cstheme="minorHAnsi"/>
                <w:sz w:val="22"/>
                <w:szCs w:val="22"/>
                <w:lang w:eastAsia="en-US"/>
              </w:rPr>
              <w:t>.</w:t>
            </w:r>
          </w:p>
          <w:p w14:paraId="31487EDF" w14:textId="77777777" w:rsidR="004C1521" w:rsidRPr="009708BA" w:rsidRDefault="004C1521" w:rsidP="00D3413A">
            <w:pPr>
              <w:rPr>
                <w:rFonts w:asciiTheme="minorHAnsi" w:eastAsiaTheme="minorHAnsi" w:hAnsiTheme="minorHAnsi" w:cstheme="minorHAnsi"/>
                <w:sz w:val="22"/>
                <w:szCs w:val="22"/>
                <w:lang w:eastAsia="en-US"/>
              </w:rPr>
            </w:pPr>
          </w:p>
          <w:p w14:paraId="6F304F78"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b/>
                <w:bCs/>
                <w:sz w:val="22"/>
                <w:szCs w:val="22"/>
                <w:lang w:eastAsia="en-US"/>
              </w:rPr>
              <w:t>Next steps</w:t>
            </w:r>
          </w:p>
          <w:p w14:paraId="47DA3AA3" w14:textId="0CC3C5A6" w:rsidR="00D3413A" w:rsidRPr="009708BA" w:rsidRDefault="0027112A" w:rsidP="00572756">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The Department is revising </w:t>
            </w:r>
            <w:r w:rsidR="00D3413A" w:rsidRPr="009708BA">
              <w:rPr>
                <w:rFonts w:asciiTheme="minorHAnsi" w:eastAsiaTheme="minorHAnsi" w:hAnsiTheme="minorHAnsi" w:cstheme="minorHAnsi"/>
                <w:sz w:val="22"/>
                <w:szCs w:val="22"/>
                <w:lang w:eastAsia="en-US"/>
              </w:rPr>
              <w:t xml:space="preserve">the financial estimates and </w:t>
            </w:r>
            <w:r w:rsidRPr="009708BA">
              <w:rPr>
                <w:rFonts w:asciiTheme="minorHAnsi" w:eastAsiaTheme="minorHAnsi" w:hAnsiTheme="minorHAnsi" w:cstheme="minorHAnsi"/>
                <w:sz w:val="22"/>
                <w:szCs w:val="22"/>
                <w:lang w:eastAsia="en-US"/>
              </w:rPr>
              <w:t xml:space="preserve">will </w:t>
            </w:r>
            <w:r w:rsidR="00D3413A" w:rsidRPr="009708BA">
              <w:rPr>
                <w:rFonts w:asciiTheme="minorHAnsi" w:eastAsiaTheme="minorHAnsi" w:hAnsiTheme="minorHAnsi" w:cstheme="minorHAnsi"/>
                <w:sz w:val="22"/>
                <w:szCs w:val="22"/>
                <w:lang w:eastAsia="en-US"/>
              </w:rPr>
              <w:t>either bring these back to PBAC for further consideration if a cost is estimated</w:t>
            </w:r>
            <w:r w:rsidRPr="009708BA">
              <w:rPr>
                <w:rFonts w:asciiTheme="minorHAnsi" w:eastAsiaTheme="minorHAnsi" w:hAnsiTheme="minorHAnsi" w:cstheme="minorHAnsi"/>
                <w:sz w:val="22"/>
                <w:szCs w:val="22"/>
                <w:lang w:eastAsia="en-US"/>
              </w:rPr>
              <w:t>;</w:t>
            </w:r>
            <w:r w:rsidR="00D3413A" w:rsidRPr="009708BA">
              <w:rPr>
                <w:rFonts w:asciiTheme="minorHAnsi" w:eastAsiaTheme="minorHAnsi" w:hAnsiTheme="minorHAnsi" w:cstheme="minorHAnsi"/>
                <w:sz w:val="22"/>
                <w:szCs w:val="22"/>
                <w:lang w:eastAsia="en-US"/>
              </w:rPr>
              <w:t xml:space="preserve"> or implement the restriction changes if a saving is estimated.</w:t>
            </w:r>
            <w:r w:rsidRPr="009708BA">
              <w:rPr>
                <w:rFonts w:asciiTheme="minorHAnsi" w:eastAsiaTheme="minorHAnsi" w:hAnsiTheme="minorHAnsi" w:cstheme="minorHAnsi"/>
                <w:sz w:val="22"/>
                <w:szCs w:val="22"/>
                <w:lang w:eastAsia="en-US"/>
              </w:rPr>
              <w:t xml:space="preserve"> Once the estimates are finalised, the </w:t>
            </w:r>
            <w:r w:rsidR="00D3413A" w:rsidRPr="009708BA">
              <w:rPr>
                <w:rFonts w:asciiTheme="minorHAnsi" w:eastAsiaTheme="minorHAnsi" w:hAnsiTheme="minorHAnsi" w:cstheme="minorHAnsi"/>
                <w:sz w:val="22"/>
                <w:szCs w:val="22"/>
                <w:lang w:eastAsia="en-US"/>
              </w:rPr>
              <w:t xml:space="preserve">report and outcomes of PBAC consideration </w:t>
            </w:r>
            <w:r w:rsidRPr="009708BA">
              <w:rPr>
                <w:rFonts w:asciiTheme="minorHAnsi" w:eastAsiaTheme="minorHAnsi" w:hAnsiTheme="minorHAnsi" w:cstheme="minorHAnsi"/>
                <w:sz w:val="22"/>
                <w:szCs w:val="22"/>
                <w:lang w:eastAsia="en-US"/>
              </w:rPr>
              <w:t xml:space="preserve">will be published </w:t>
            </w:r>
            <w:r w:rsidR="00D3413A" w:rsidRPr="009708BA">
              <w:rPr>
                <w:rFonts w:asciiTheme="minorHAnsi" w:eastAsiaTheme="minorHAnsi" w:hAnsiTheme="minorHAnsi" w:cstheme="minorHAnsi"/>
                <w:sz w:val="22"/>
                <w:szCs w:val="22"/>
                <w:lang w:eastAsia="en-US"/>
              </w:rPr>
              <w:t>on the PBS website.</w:t>
            </w:r>
            <w:r w:rsidRPr="009708BA">
              <w:rPr>
                <w:rFonts w:asciiTheme="minorHAnsi" w:eastAsiaTheme="minorHAnsi" w:hAnsiTheme="minorHAnsi" w:cstheme="minorHAnsi"/>
                <w:sz w:val="22"/>
                <w:szCs w:val="22"/>
                <w:lang w:eastAsia="en-US"/>
              </w:rPr>
              <w:t xml:space="preserve"> </w:t>
            </w:r>
            <w:r w:rsidR="00572756" w:rsidRPr="009708BA">
              <w:rPr>
                <w:rFonts w:asciiTheme="minorHAnsi" w:eastAsiaTheme="minorHAnsi" w:hAnsiTheme="minorHAnsi" w:cstheme="minorHAnsi"/>
                <w:sz w:val="22"/>
                <w:szCs w:val="22"/>
                <w:lang w:eastAsia="en-US"/>
              </w:rPr>
              <w:t xml:space="preserve">The report findings will also be communicated to </w:t>
            </w:r>
            <w:r w:rsidR="00D3413A" w:rsidRPr="009708BA">
              <w:rPr>
                <w:rFonts w:asciiTheme="minorHAnsi" w:eastAsiaTheme="minorHAnsi" w:hAnsiTheme="minorHAnsi" w:cstheme="minorHAnsi"/>
                <w:sz w:val="22"/>
                <w:szCs w:val="22"/>
                <w:lang w:eastAsia="en-US"/>
              </w:rPr>
              <w:t>prescribers and consumers, including quality use of medicines issues identified, through relevant publications and peak bodies.</w:t>
            </w:r>
          </w:p>
        </w:tc>
        <w:tc>
          <w:tcPr>
            <w:tcW w:w="2873" w:type="dxa"/>
            <w:tcBorders>
              <w:top w:val="single" w:sz="8" w:space="0" w:color="auto"/>
              <w:left w:val="single" w:sz="8" w:space="0" w:color="auto"/>
              <w:bottom w:val="single" w:sz="8" w:space="0" w:color="auto"/>
              <w:right w:val="single" w:sz="8" w:space="0" w:color="auto"/>
            </w:tcBorders>
            <w:hideMark/>
          </w:tcPr>
          <w:p w14:paraId="1A08522A"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PBS-listed antihypertensives</w:t>
            </w:r>
          </w:p>
        </w:tc>
      </w:tr>
      <w:tr w:rsidR="00D3413A" w:rsidRPr="00204CA5" w14:paraId="7A995F4D"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0645C0EE"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Hypercholesterolaemia</w:t>
            </w:r>
          </w:p>
        </w:tc>
        <w:tc>
          <w:tcPr>
            <w:tcW w:w="8746" w:type="dxa"/>
            <w:tcBorders>
              <w:top w:val="single" w:sz="8" w:space="0" w:color="auto"/>
              <w:left w:val="single" w:sz="8" w:space="0" w:color="auto"/>
              <w:bottom w:val="single" w:sz="8" w:space="0" w:color="auto"/>
              <w:right w:val="single" w:sz="8" w:space="0" w:color="auto"/>
            </w:tcBorders>
            <w:hideMark/>
          </w:tcPr>
          <w:p w14:paraId="3D071638" w14:textId="77777777" w:rsidR="00D3413A"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Restriction review for ezetimibe and its fixed dose combinations</w:t>
            </w:r>
          </w:p>
          <w:p w14:paraId="25666A4E" w14:textId="77777777" w:rsidR="004C1521" w:rsidRPr="00460250" w:rsidRDefault="004C1521" w:rsidP="00D3413A">
            <w:pPr>
              <w:rPr>
                <w:rFonts w:asciiTheme="minorHAnsi" w:eastAsiaTheme="minorHAnsi" w:hAnsiTheme="minorHAnsi" w:cstheme="minorHAnsi"/>
                <w:b/>
                <w:bCs/>
                <w:sz w:val="22"/>
                <w:szCs w:val="22"/>
                <w:lang w:eastAsia="en-US"/>
              </w:rPr>
            </w:pPr>
          </w:p>
          <w:p w14:paraId="53EC3F2E"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Background</w:t>
            </w:r>
          </w:p>
          <w:p w14:paraId="2940A393"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Ezetimibe and its fixed dose combinations (FDCs) were identified as a potential medicine on the F2 formulary for a restriction review, on the basis that:</w:t>
            </w:r>
          </w:p>
          <w:p w14:paraId="2FD00C67" w14:textId="77777777" w:rsidR="00D3413A" w:rsidRPr="00460250" w:rsidRDefault="00D3413A" w:rsidP="00D3413A">
            <w:pPr>
              <w:numPr>
                <w:ilvl w:val="0"/>
                <w:numId w:val="34"/>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the PBS restrictions were relatively complex and did not align with clinical guidelines.</w:t>
            </w:r>
          </w:p>
          <w:p w14:paraId="5B78A8A1" w14:textId="77777777" w:rsidR="00D3413A" w:rsidRPr="00460250" w:rsidRDefault="00D3413A" w:rsidP="00D3413A">
            <w:pPr>
              <w:numPr>
                <w:ilvl w:val="0"/>
                <w:numId w:val="34"/>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the PBS price has reduced to be similar to Unrestricted Benefit listings for the treatment of hypercholesterolaemia</w:t>
            </w:r>
          </w:p>
          <w:p w14:paraId="3EEA00D4" w14:textId="77777777" w:rsidR="00D3413A" w:rsidRDefault="00D3413A" w:rsidP="00D3413A">
            <w:pPr>
              <w:numPr>
                <w:ilvl w:val="0"/>
                <w:numId w:val="34"/>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a stakeholder had written to the Department to highlight that the PBS restrictions referenced an outdated cardiovascular risk calculator. </w:t>
            </w:r>
          </w:p>
          <w:p w14:paraId="535D3B2D" w14:textId="77777777" w:rsidR="004C1521" w:rsidRPr="00460250" w:rsidRDefault="004C1521" w:rsidP="00460250">
            <w:pPr>
              <w:ind w:left="720"/>
              <w:rPr>
                <w:rFonts w:asciiTheme="minorHAnsi" w:eastAsiaTheme="minorHAnsi" w:hAnsiTheme="minorHAnsi" w:cstheme="minorHAnsi"/>
                <w:sz w:val="22"/>
                <w:szCs w:val="22"/>
                <w:lang w:eastAsia="en-US"/>
              </w:rPr>
            </w:pPr>
          </w:p>
          <w:p w14:paraId="322EA4C6"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In May 2024, the PBAC recommended that the ezetimibe and ezetimibe + HMG-CoA reductase inhibitor (statin) FDCs be changed from Authority Required (STREAMLINED) to Unrestricted benefit listings on the PBS. The PBAC considered that the clinical place of ezetimibe and its FDCs were well established and that the change to an Unrestricted PBS listing was unlikely to result in increased utilisation or expenditure.</w:t>
            </w:r>
          </w:p>
          <w:p w14:paraId="60297B5C" w14:textId="77777777" w:rsidR="004C1521" w:rsidRPr="00460250" w:rsidRDefault="004C1521" w:rsidP="00D3413A">
            <w:pPr>
              <w:rPr>
                <w:rFonts w:asciiTheme="minorHAnsi" w:eastAsiaTheme="minorHAnsi" w:hAnsiTheme="minorHAnsi" w:cstheme="minorHAnsi"/>
                <w:sz w:val="22"/>
                <w:szCs w:val="22"/>
                <w:lang w:eastAsia="en-US"/>
              </w:rPr>
            </w:pPr>
          </w:p>
          <w:p w14:paraId="42741F04"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b/>
                <w:bCs/>
                <w:sz w:val="22"/>
                <w:szCs w:val="22"/>
                <w:lang w:eastAsia="en-US"/>
              </w:rPr>
              <w:t>Status</w:t>
            </w:r>
          </w:p>
          <w:p w14:paraId="7BD6A32F" w14:textId="77777777" w:rsidR="00D3413A" w:rsidRPr="00460250"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This project is complete. The recommended restriction changes were implemented on 1 November 2024. For further information please refer to the ‘</w:t>
            </w:r>
            <w:hyperlink r:id="rId18" w:history="1">
              <w:r w:rsidRPr="009708BA">
                <w:rPr>
                  <w:rStyle w:val="Hyperlink"/>
                  <w:rFonts w:asciiTheme="minorHAnsi" w:eastAsiaTheme="minorHAnsi" w:hAnsiTheme="minorHAnsi" w:cstheme="minorHAnsi"/>
                  <w:color w:val="auto"/>
                  <w:sz w:val="22"/>
                  <w:szCs w:val="22"/>
                  <w:lang w:eastAsia="en-US"/>
                </w:rPr>
                <w:t>PBS restrictions for ezetimibe and its fixed dose combinations</w:t>
              </w:r>
            </w:hyperlink>
            <w:r w:rsidRPr="009708BA">
              <w:rPr>
                <w:rFonts w:asciiTheme="minorHAnsi" w:eastAsiaTheme="minorHAnsi" w:hAnsiTheme="minorHAnsi" w:cstheme="minorHAnsi"/>
                <w:sz w:val="22"/>
                <w:szCs w:val="22"/>
                <w:lang w:eastAsia="en-US"/>
              </w:rPr>
              <w:t>’ website.</w:t>
            </w:r>
            <w:r w:rsidRPr="009708BA">
              <w:rPr>
                <w:rFonts w:asciiTheme="minorHAnsi" w:eastAsiaTheme="minorHAnsi" w:hAnsiTheme="minorHAnsi" w:cstheme="minorHAnsi"/>
                <w:b/>
                <w:bCs/>
                <w:sz w:val="22"/>
                <w:szCs w:val="22"/>
                <w:lang w:eastAsia="en-US"/>
              </w:rPr>
              <w:t xml:space="preserve"> </w:t>
            </w:r>
          </w:p>
        </w:tc>
        <w:tc>
          <w:tcPr>
            <w:tcW w:w="2873" w:type="dxa"/>
            <w:tcBorders>
              <w:top w:val="single" w:sz="8" w:space="0" w:color="auto"/>
              <w:left w:val="single" w:sz="8" w:space="0" w:color="auto"/>
              <w:bottom w:val="single" w:sz="8" w:space="0" w:color="auto"/>
              <w:right w:val="single" w:sz="8" w:space="0" w:color="auto"/>
            </w:tcBorders>
            <w:hideMark/>
          </w:tcPr>
          <w:p w14:paraId="743F2DE5" w14:textId="77777777" w:rsidR="00D3413A" w:rsidRPr="00460250" w:rsidRDefault="00D3413A" w:rsidP="00D3413A">
            <w:pPr>
              <w:numPr>
                <w:ilvl w:val="0"/>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Ezetimibe</w:t>
            </w:r>
          </w:p>
          <w:p w14:paraId="36D092B8" w14:textId="77777777" w:rsidR="00D3413A" w:rsidRPr="00460250" w:rsidRDefault="00D3413A" w:rsidP="00D3413A">
            <w:pPr>
              <w:numPr>
                <w:ilvl w:val="0"/>
                <w:numId w:val="28"/>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Ezetimibe fixed dose combinations</w:t>
            </w:r>
          </w:p>
        </w:tc>
      </w:tr>
      <w:tr w:rsidR="00D3413A" w:rsidRPr="00204CA5" w14:paraId="443EF072"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68EA1198"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lastRenderedPageBreak/>
              <w:t xml:space="preserve">Relapsing-remitting multiple sclerosis </w:t>
            </w:r>
          </w:p>
        </w:tc>
        <w:tc>
          <w:tcPr>
            <w:tcW w:w="8746" w:type="dxa"/>
            <w:tcBorders>
              <w:top w:val="single" w:sz="8" w:space="0" w:color="auto"/>
              <w:left w:val="single" w:sz="8" w:space="0" w:color="auto"/>
              <w:bottom w:val="single" w:sz="8" w:space="0" w:color="auto"/>
              <w:right w:val="single" w:sz="8" w:space="0" w:color="auto"/>
            </w:tcBorders>
          </w:tcPr>
          <w:p w14:paraId="76B1E189"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Utilisation analysis of PBS-listed disease modifying therapies for relapsing-remitting multiple sclerosis (RRMS)</w:t>
            </w:r>
          </w:p>
          <w:p w14:paraId="57A4ADF7" w14:textId="77777777" w:rsidR="004C1521" w:rsidRPr="009708BA" w:rsidRDefault="004C1521" w:rsidP="00D3413A">
            <w:pPr>
              <w:rPr>
                <w:rFonts w:asciiTheme="minorHAnsi" w:eastAsiaTheme="minorHAnsi" w:hAnsiTheme="minorHAnsi" w:cstheme="minorHAnsi"/>
                <w:b/>
                <w:bCs/>
                <w:sz w:val="22"/>
                <w:szCs w:val="22"/>
                <w:lang w:eastAsia="en-US"/>
              </w:rPr>
            </w:pPr>
          </w:p>
          <w:p w14:paraId="21264580"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Background</w:t>
            </w:r>
          </w:p>
          <w:p w14:paraId="5444F55F" w14:textId="3DACBBF8"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In September 2024, the PBAC considered the PMR work plan and noted that the PBS prices of high-efficacy disease modifying therapies (DMTs) for RRMS have diverged since the price reduction of fingolimod on 1 December 2022. The PBAC recalled that there is currently no PBS requirement for patients to trial less costly medicines for RRMS before moving to more expensive therapies. The PBAC noted that an analysis of the PBS market for RRMS medicines has not been undertaken for some time and advised that a utilisation analysis of the current market for PBS-listed medicines for RRMS, including information around the market share of fingolimod, would be informative.</w:t>
            </w:r>
          </w:p>
          <w:p w14:paraId="442AEDF0" w14:textId="77777777" w:rsidR="004C1521" w:rsidRPr="009708BA" w:rsidRDefault="004C1521" w:rsidP="00D3413A">
            <w:pPr>
              <w:rPr>
                <w:rFonts w:asciiTheme="minorHAnsi" w:eastAsiaTheme="minorHAnsi" w:hAnsiTheme="minorHAnsi" w:cstheme="minorHAnsi"/>
                <w:b/>
                <w:bCs/>
                <w:sz w:val="22"/>
                <w:szCs w:val="22"/>
                <w:lang w:eastAsia="en-US"/>
              </w:rPr>
            </w:pPr>
          </w:p>
          <w:p w14:paraId="74862E5A"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Status</w:t>
            </w:r>
          </w:p>
          <w:p w14:paraId="5AAD21AA" w14:textId="7F6E4175"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In June 2025, the DUSC considered the </w:t>
            </w:r>
            <w:r w:rsidR="00572756" w:rsidRPr="009708BA">
              <w:rPr>
                <w:rFonts w:asciiTheme="minorHAnsi" w:eastAsiaTheme="minorHAnsi" w:hAnsiTheme="minorHAnsi" w:cstheme="minorHAnsi"/>
                <w:sz w:val="22"/>
                <w:szCs w:val="22"/>
                <w:lang w:eastAsia="en-US"/>
              </w:rPr>
              <w:t>u</w:t>
            </w:r>
            <w:r w:rsidRPr="009708BA">
              <w:rPr>
                <w:rFonts w:asciiTheme="minorHAnsi" w:eastAsiaTheme="minorHAnsi" w:hAnsiTheme="minorHAnsi" w:cstheme="minorHAnsi"/>
                <w:sz w:val="22"/>
                <w:szCs w:val="22"/>
                <w:lang w:eastAsia="en-US"/>
              </w:rPr>
              <w:t>tilisation analysis of PBS-listed disease modifying therapies for RRMS. DUSC considered the increasing use of newer generation DMTs (e.g. ocrelizumab, ofatumumab, natalizumab) were replacing older DMTs (e.g. fingolimod) and moderate efficacy DMTs was in line with current clinical practice, and noted the increasing market share of newer generation DMTs had not increased the overall benefits paid (based on effective prices) for PBS-listed DMTs. DUSC considered a data linkage process may lead to useful insights on why incident patients were declining in this cohort.</w:t>
            </w:r>
          </w:p>
          <w:p w14:paraId="3EF1510C" w14:textId="77777777" w:rsidR="00D3413A" w:rsidRPr="009708BA" w:rsidRDefault="00D3413A" w:rsidP="00D3413A">
            <w:pPr>
              <w:rPr>
                <w:rFonts w:asciiTheme="minorHAnsi" w:eastAsiaTheme="minorHAnsi" w:hAnsiTheme="minorHAnsi" w:cstheme="minorHAnsi"/>
                <w:sz w:val="22"/>
                <w:szCs w:val="22"/>
                <w:lang w:eastAsia="en-US"/>
              </w:rPr>
            </w:pPr>
          </w:p>
          <w:p w14:paraId="4ABF0E7A" w14:textId="43D2161F" w:rsidR="00D3413A" w:rsidRPr="009708BA" w:rsidRDefault="007862E0"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The</w:t>
            </w:r>
            <w:r w:rsidR="00D3413A" w:rsidRPr="009708BA">
              <w:rPr>
                <w:rFonts w:asciiTheme="minorHAnsi" w:eastAsiaTheme="minorHAnsi" w:hAnsiTheme="minorHAnsi" w:cstheme="minorHAnsi"/>
                <w:sz w:val="22"/>
                <w:szCs w:val="22"/>
                <w:lang w:eastAsia="en-US"/>
              </w:rPr>
              <w:t xml:space="preserve"> report </w:t>
            </w:r>
            <w:r w:rsidRPr="009708BA">
              <w:rPr>
                <w:rFonts w:asciiTheme="minorHAnsi" w:eastAsiaTheme="minorHAnsi" w:hAnsiTheme="minorHAnsi" w:cstheme="minorHAnsi"/>
                <w:sz w:val="22"/>
                <w:szCs w:val="22"/>
                <w:lang w:eastAsia="en-US"/>
              </w:rPr>
              <w:t>was presented to PBAC</w:t>
            </w:r>
            <w:r w:rsidR="00572756" w:rsidRPr="009708BA">
              <w:rPr>
                <w:rFonts w:asciiTheme="minorHAnsi" w:eastAsiaTheme="minorHAnsi" w:hAnsiTheme="minorHAnsi" w:cstheme="minorHAnsi"/>
                <w:sz w:val="22"/>
                <w:szCs w:val="22"/>
                <w:lang w:eastAsia="en-US"/>
              </w:rPr>
              <w:t xml:space="preserve"> </w:t>
            </w:r>
            <w:r w:rsidRPr="009708BA">
              <w:rPr>
                <w:rFonts w:asciiTheme="minorHAnsi" w:eastAsiaTheme="minorHAnsi" w:hAnsiTheme="minorHAnsi" w:cstheme="minorHAnsi"/>
                <w:sz w:val="22"/>
                <w:szCs w:val="22"/>
                <w:lang w:eastAsia="en-US"/>
              </w:rPr>
              <w:t xml:space="preserve">at </w:t>
            </w:r>
            <w:r w:rsidR="00D3413A" w:rsidRPr="009708BA">
              <w:rPr>
                <w:rFonts w:asciiTheme="minorHAnsi" w:eastAsiaTheme="minorHAnsi" w:hAnsiTheme="minorHAnsi" w:cstheme="minorHAnsi"/>
                <w:sz w:val="22"/>
                <w:szCs w:val="22"/>
                <w:lang w:eastAsia="en-US"/>
              </w:rPr>
              <w:t>it</w:t>
            </w:r>
            <w:r w:rsidRPr="009708BA">
              <w:rPr>
                <w:rFonts w:asciiTheme="minorHAnsi" w:eastAsiaTheme="minorHAnsi" w:hAnsiTheme="minorHAnsi" w:cstheme="minorHAnsi"/>
                <w:sz w:val="22"/>
                <w:szCs w:val="22"/>
                <w:lang w:eastAsia="en-US"/>
              </w:rPr>
              <w:t>’</w:t>
            </w:r>
            <w:r w:rsidR="00D3413A" w:rsidRPr="009708BA">
              <w:rPr>
                <w:rFonts w:asciiTheme="minorHAnsi" w:eastAsiaTheme="minorHAnsi" w:hAnsiTheme="minorHAnsi" w:cstheme="minorHAnsi"/>
                <w:sz w:val="22"/>
                <w:szCs w:val="22"/>
                <w:lang w:eastAsia="en-US"/>
              </w:rPr>
              <w:t>s July 2025 meeting.</w:t>
            </w:r>
            <w:r w:rsidRPr="009708BA">
              <w:rPr>
                <w:rFonts w:asciiTheme="minorHAnsi" w:eastAsiaTheme="minorHAnsi" w:hAnsiTheme="minorHAnsi" w:cstheme="minorHAnsi"/>
                <w:sz w:val="22"/>
                <w:szCs w:val="22"/>
                <w:lang w:eastAsia="en-US"/>
              </w:rPr>
              <w:t xml:space="preserve"> No further actions were requested by the committee.</w:t>
            </w:r>
          </w:p>
          <w:p w14:paraId="1E9B4559" w14:textId="77777777" w:rsidR="00D3413A" w:rsidRPr="009708BA" w:rsidRDefault="00D3413A" w:rsidP="00D3413A">
            <w:pPr>
              <w:rPr>
                <w:rFonts w:asciiTheme="minorHAnsi" w:eastAsiaTheme="minorHAnsi" w:hAnsiTheme="minorHAnsi" w:cstheme="minorHAnsi"/>
                <w:sz w:val="22"/>
                <w:szCs w:val="22"/>
                <w:lang w:eastAsia="en-US"/>
              </w:rPr>
            </w:pPr>
          </w:p>
          <w:p w14:paraId="45C037CE"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Next Steps</w:t>
            </w:r>
          </w:p>
          <w:p w14:paraId="7A29B6D2" w14:textId="239B462F"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sz w:val="22"/>
                <w:szCs w:val="22"/>
                <w:lang w:eastAsia="en-US"/>
              </w:rPr>
              <w:t xml:space="preserve">This project is complete. A </w:t>
            </w:r>
            <w:r w:rsidR="00572756" w:rsidRPr="009708BA">
              <w:rPr>
                <w:rFonts w:asciiTheme="minorHAnsi" w:eastAsiaTheme="minorHAnsi" w:hAnsiTheme="minorHAnsi" w:cstheme="minorHAnsi"/>
                <w:sz w:val="22"/>
                <w:szCs w:val="22"/>
                <w:lang w:eastAsia="en-US"/>
              </w:rPr>
              <w:t>Public Release Document from</w:t>
            </w:r>
            <w:r w:rsidR="005E2659" w:rsidRPr="009708BA">
              <w:rPr>
                <w:rFonts w:asciiTheme="minorHAnsi" w:eastAsiaTheme="minorHAnsi" w:hAnsiTheme="minorHAnsi" w:cstheme="minorHAnsi"/>
                <w:sz w:val="22"/>
                <w:szCs w:val="22"/>
                <w:lang w:eastAsia="en-US"/>
              </w:rPr>
              <w:t xml:space="preserve"> the</w:t>
            </w:r>
            <w:r w:rsidR="00572756" w:rsidRPr="009708BA">
              <w:rPr>
                <w:rFonts w:asciiTheme="minorHAnsi" w:eastAsiaTheme="minorHAnsi" w:hAnsiTheme="minorHAnsi" w:cstheme="minorHAnsi"/>
                <w:sz w:val="22"/>
                <w:szCs w:val="22"/>
                <w:lang w:eastAsia="en-US"/>
              </w:rPr>
              <w:t xml:space="preserve"> </w:t>
            </w:r>
            <w:r w:rsidR="005E2659" w:rsidRPr="009708BA">
              <w:rPr>
                <w:rFonts w:asciiTheme="minorHAnsi" w:eastAsiaTheme="minorHAnsi" w:hAnsiTheme="minorHAnsi" w:cstheme="minorHAnsi"/>
                <w:sz w:val="22"/>
                <w:szCs w:val="22"/>
                <w:lang w:eastAsia="en-US"/>
              </w:rPr>
              <w:t xml:space="preserve">June 2025 </w:t>
            </w:r>
            <w:r w:rsidR="00572756" w:rsidRPr="009708BA">
              <w:rPr>
                <w:rFonts w:asciiTheme="minorHAnsi" w:eastAsiaTheme="minorHAnsi" w:hAnsiTheme="minorHAnsi" w:cstheme="minorHAnsi"/>
                <w:sz w:val="22"/>
                <w:szCs w:val="22"/>
                <w:lang w:eastAsia="en-US"/>
              </w:rPr>
              <w:t>DUSC consideration</w:t>
            </w:r>
            <w:r w:rsidRPr="009708BA">
              <w:rPr>
                <w:rFonts w:asciiTheme="minorHAnsi" w:eastAsiaTheme="minorHAnsi" w:hAnsiTheme="minorHAnsi" w:cstheme="minorHAnsi"/>
                <w:sz w:val="22"/>
                <w:szCs w:val="22"/>
                <w:lang w:eastAsia="en-US"/>
              </w:rPr>
              <w:t xml:space="preserve"> will be published</w:t>
            </w:r>
            <w:r w:rsidRPr="009708BA">
              <w:rPr>
                <w:rFonts w:asciiTheme="minorHAnsi" w:eastAsiaTheme="minorHAnsi" w:hAnsiTheme="minorHAnsi" w:cstheme="minorHAnsi"/>
                <w:b/>
                <w:bCs/>
                <w:sz w:val="22"/>
                <w:szCs w:val="22"/>
                <w:lang w:eastAsia="en-US"/>
              </w:rPr>
              <w:t>.</w:t>
            </w:r>
          </w:p>
        </w:tc>
        <w:tc>
          <w:tcPr>
            <w:tcW w:w="2873" w:type="dxa"/>
            <w:tcBorders>
              <w:top w:val="single" w:sz="8" w:space="0" w:color="auto"/>
              <w:left w:val="single" w:sz="8" w:space="0" w:color="auto"/>
              <w:bottom w:val="single" w:sz="8" w:space="0" w:color="auto"/>
              <w:right w:val="single" w:sz="8" w:space="0" w:color="auto"/>
            </w:tcBorders>
            <w:hideMark/>
          </w:tcPr>
          <w:p w14:paraId="2D578017"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Alemtuzumab</w:t>
            </w:r>
          </w:p>
          <w:p w14:paraId="10D9B81E"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Natalizumab</w:t>
            </w:r>
          </w:p>
          <w:p w14:paraId="0B790E80"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Ocrelizumab</w:t>
            </w:r>
          </w:p>
          <w:p w14:paraId="3E2DEF6F"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Ozanimod</w:t>
            </w:r>
          </w:p>
          <w:p w14:paraId="0347523D"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Ofatumumab</w:t>
            </w:r>
          </w:p>
          <w:p w14:paraId="622AAAA0"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Fingolimod</w:t>
            </w:r>
          </w:p>
          <w:p w14:paraId="19E0AC5F"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Cladribine</w:t>
            </w:r>
          </w:p>
          <w:p w14:paraId="5B4186BC"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Siponimod</w:t>
            </w:r>
          </w:p>
          <w:p w14:paraId="7BDACC69"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Teriflunomide</w:t>
            </w:r>
          </w:p>
          <w:p w14:paraId="13E0CA7D"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Peginterferon beta 1a</w:t>
            </w:r>
          </w:p>
          <w:p w14:paraId="31C4D815"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Interferon beta 1b</w:t>
            </w:r>
          </w:p>
          <w:p w14:paraId="67A259B8"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Glatiramer acetate</w:t>
            </w:r>
          </w:p>
          <w:p w14:paraId="5A58DB9B"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Dimethyl fumarate</w:t>
            </w:r>
          </w:p>
          <w:p w14:paraId="1DEDBB80"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Diroximel fumarate</w:t>
            </w:r>
          </w:p>
        </w:tc>
      </w:tr>
      <w:tr w:rsidR="00D3413A" w:rsidRPr="00204CA5" w14:paraId="686BAE7A"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3D9B222D"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Various</w:t>
            </w:r>
          </w:p>
        </w:tc>
        <w:tc>
          <w:tcPr>
            <w:tcW w:w="8746" w:type="dxa"/>
            <w:tcBorders>
              <w:top w:val="single" w:sz="8" w:space="0" w:color="auto"/>
              <w:left w:val="single" w:sz="8" w:space="0" w:color="auto"/>
              <w:bottom w:val="single" w:sz="8" w:space="0" w:color="auto"/>
              <w:right w:val="single" w:sz="8" w:space="0" w:color="auto"/>
            </w:tcBorders>
            <w:hideMark/>
          </w:tcPr>
          <w:p w14:paraId="037AED3F" w14:textId="77777777" w:rsidR="00D3413A" w:rsidRDefault="00D3413A" w:rsidP="00D3413A">
            <w:pPr>
              <w:rPr>
                <w:rFonts w:asciiTheme="minorHAnsi" w:eastAsiaTheme="minorHAnsi" w:hAnsiTheme="minorHAnsi" w:cstheme="minorHAnsi"/>
                <w:b/>
                <w:bCs/>
                <w:sz w:val="22"/>
                <w:szCs w:val="22"/>
                <w:lang w:eastAsia="en-US"/>
              </w:rPr>
            </w:pPr>
            <w:bookmarkStart w:id="0" w:name="_Hlk179881954"/>
            <w:r w:rsidRPr="00460250">
              <w:rPr>
                <w:rFonts w:asciiTheme="minorHAnsi" w:eastAsiaTheme="minorHAnsi" w:hAnsiTheme="minorHAnsi" w:cstheme="minorHAnsi"/>
                <w:b/>
                <w:bCs/>
                <w:sz w:val="22"/>
                <w:szCs w:val="22"/>
                <w:lang w:eastAsia="en-US"/>
              </w:rPr>
              <w:t>Review of PBS restrictions for low-cost medicines</w:t>
            </w:r>
            <w:bookmarkEnd w:id="0"/>
          </w:p>
          <w:p w14:paraId="584B9782" w14:textId="77777777" w:rsidR="004C1521" w:rsidRPr="00460250" w:rsidRDefault="004C1521" w:rsidP="00D3413A">
            <w:pPr>
              <w:rPr>
                <w:rFonts w:asciiTheme="minorHAnsi" w:eastAsiaTheme="minorHAnsi" w:hAnsiTheme="minorHAnsi" w:cstheme="minorHAnsi"/>
                <w:b/>
                <w:bCs/>
                <w:sz w:val="22"/>
                <w:szCs w:val="22"/>
                <w:lang w:eastAsia="en-US"/>
              </w:rPr>
            </w:pPr>
          </w:p>
          <w:p w14:paraId="1DEC35A6"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Background</w:t>
            </w:r>
          </w:p>
          <w:p w14:paraId="09D2D7C8"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In September 2023, as part of its consideration of the PMR workplan, the PBAC supported a proposal that the Department would consider on a rolling basis whether medicines that have </w:t>
            </w:r>
            <w:r w:rsidRPr="00460250">
              <w:rPr>
                <w:rFonts w:asciiTheme="minorHAnsi" w:eastAsiaTheme="minorHAnsi" w:hAnsiTheme="minorHAnsi" w:cstheme="minorHAnsi"/>
                <w:sz w:val="22"/>
                <w:szCs w:val="22"/>
                <w:lang w:eastAsia="en-US"/>
              </w:rPr>
              <w:lastRenderedPageBreak/>
              <w:t>moved to the F2 formulary would be suitable for a restriction review. The PBAC noted that this work may support the TGA’s Medicines Repurposing Program (MRP).</w:t>
            </w:r>
          </w:p>
          <w:p w14:paraId="328D0DA8" w14:textId="77777777" w:rsidR="004C1521" w:rsidRPr="00460250" w:rsidRDefault="004C1521" w:rsidP="00D3413A">
            <w:pPr>
              <w:rPr>
                <w:rFonts w:asciiTheme="minorHAnsi" w:eastAsiaTheme="minorHAnsi" w:hAnsiTheme="minorHAnsi" w:cstheme="minorHAnsi"/>
                <w:sz w:val="22"/>
                <w:szCs w:val="22"/>
                <w:lang w:eastAsia="en-US"/>
              </w:rPr>
            </w:pPr>
          </w:p>
          <w:p w14:paraId="78ACC927"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Status</w:t>
            </w:r>
          </w:p>
          <w:p w14:paraId="17ADD189"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At its September 2024 meeting, the PBAC supported the Department’s proposal to provide further information to inform its consideration of whether an unrestricted benefit PBS listing is appropriate for several PBS-listed antidepressants. The PBAC noted that for some Restricted Benefit listings, the TGA-approved indications are broader than the PBS-listed indications. In addition, Australian clinical guidelines recommend a wider range of uses beyond the PBS-listed and/or TGA-approved indication(s). The PBAC considered that because of the low cost of these medicines, there may be little incentive for sponsors to bring forward a TGA application or PBAC submission to change the indication or restriction.</w:t>
            </w:r>
          </w:p>
          <w:p w14:paraId="03FD5DFB" w14:textId="77777777" w:rsidR="004C1521" w:rsidRPr="009708BA" w:rsidRDefault="004C1521" w:rsidP="00D3413A">
            <w:pPr>
              <w:rPr>
                <w:rFonts w:asciiTheme="minorHAnsi" w:eastAsiaTheme="minorHAnsi" w:hAnsiTheme="minorHAnsi" w:cstheme="minorHAnsi"/>
                <w:sz w:val="22"/>
                <w:szCs w:val="22"/>
                <w:lang w:eastAsia="en-US"/>
              </w:rPr>
            </w:pPr>
          </w:p>
          <w:p w14:paraId="024C2BB2" w14:textId="77777777"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Restriction reviews for ezetimibe and antihypertensives have been undertaken (see above).</w:t>
            </w:r>
          </w:p>
          <w:p w14:paraId="538DD04C" w14:textId="77777777" w:rsidR="004C1521" w:rsidRPr="009708BA" w:rsidRDefault="004C1521" w:rsidP="00D3413A">
            <w:pPr>
              <w:rPr>
                <w:rFonts w:asciiTheme="minorHAnsi" w:eastAsiaTheme="minorHAnsi" w:hAnsiTheme="minorHAnsi" w:cstheme="minorHAnsi"/>
                <w:sz w:val="22"/>
                <w:szCs w:val="22"/>
                <w:lang w:eastAsia="en-US"/>
              </w:rPr>
            </w:pPr>
          </w:p>
          <w:p w14:paraId="3F35049C"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Next steps</w:t>
            </w:r>
          </w:p>
          <w:p w14:paraId="6FFEB04F"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sz w:val="22"/>
                <w:szCs w:val="22"/>
                <w:lang w:eastAsia="en-US"/>
              </w:rPr>
              <w:t xml:space="preserve">The Department will undertake an analysis of several ‘low cost’ antidepressants with Restricted Benefit PBS listings to estimate the financial impact of changing these medicines to unrestricted benefits. </w:t>
            </w:r>
          </w:p>
        </w:tc>
        <w:tc>
          <w:tcPr>
            <w:tcW w:w="2873" w:type="dxa"/>
            <w:tcBorders>
              <w:top w:val="single" w:sz="8" w:space="0" w:color="auto"/>
              <w:left w:val="single" w:sz="8" w:space="0" w:color="auto"/>
              <w:bottom w:val="single" w:sz="8" w:space="0" w:color="auto"/>
              <w:right w:val="single" w:sz="8" w:space="0" w:color="auto"/>
            </w:tcBorders>
            <w:hideMark/>
          </w:tcPr>
          <w:p w14:paraId="18BEBD2A" w14:textId="77777777" w:rsidR="00D3413A" w:rsidRPr="00460250" w:rsidRDefault="00D3413A" w:rsidP="00D3413A">
            <w:pPr>
              <w:numPr>
                <w:ilvl w:val="0"/>
                <w:numId w:val="35"/>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Various PBS-listed antidepressants</w:t>
            </w:r>
          </w:p>
        </w:tc>
      </w:tr>
      <w:tr w:rsidR="00D3413A" w:rsidRPr="00204CA5" w14:paraId="24AFE101" w14:textId="77777777" w:rsidTr="00BD6801">
        <w:trPr>
          <w:trHeight w:val="300"/>
        </w:trPr>
        <w:tc>
          <w:tcPr>
            <w:tcW w:w="2541" w:type="dxa"/>
            <w:tcBorders>
              <w:top w:val="single" w:sz="8" w:space="0" w:color="auto"/>
              <w:left w:val="single" w:sz="8" w:space="0" w:color="auto"/>
              <w:bottom w:val="single" w:sz="8" w:space="0" w:color="auto"/>
              <w:right w:val="single" w:sz="8" w:space="0" w:color="auto"/>
            </w:tcBorders>
            <w:hideMark/>
          </w:tcPr>
          <w:p w14:paraId="06115D55" w14:textId="77777777" w:rsidR="00D3413A" w:rsidRPr="00460250"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Palliative care</w:t>
            </w:r>
          </w:p>
        </w:tc>
        <w:tc>
          <w:tcPr>
            <w:tcW w:w="8746" w:type="dxa"/>
            <w:tcBorders>
              <w:top w:val="single" w:sz="8" w:space="0" w:color="auto"/>
              <w:left w:val="single" w:sz="8" w:space="0" w:color="auto"/>
              <w:bottom w:val="single" w:sz="8" w:space="0" w:color="auto"/>
              <w:right w:val="single" w:sz="8" w:space="0" w:color="auto"/>
            </w:tcBorders>
            <w:hideMark/>
          </w:tcPr>
          <w:p w14:paraId="633645A4" w14:textId="77777777" w:rsidR="00D3413A"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Midazolam in palliative care</w:t>
            </w:r>
          </w:p>
          <w:p w14:paraId="0CE1DABC" w14:textId="77777777" w:rsidR="004C1521" w:rsidRPr="00460250" w:rsidRDefault="004C1521" w:rsidP="00D3413A">
            <w:pPr>
              <w:rPr>
                <w:rFonts w:asciiTheme="minorHAnsi" w:eastAsiaTheme="minorHAnsi" w:hAnsiTheme="minorHAnsi" w:cstheme="minorHAnsi"/>
                <w:b/>
                <w:bCs/>
                <w:sz w:val="22"/>
                <w:szCs w:val="22"/>
                <w:lang w:eastAsia="en-US"/>
              </w:rPr>
            </w:pPr>
          </w:p>
          <w:p w14:paraId="341A9486"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Background</w:t>
            </w:r>
          </w:p>
          <w:p w14:paraId="7AC09A63"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In September 2020, the PBAC considered outcomes from the Palliative Care Schedule Review and considered there was a clinical need for PBS-subsidised midazolam in the palliative care setting.</w:t>
            </w:r>
          </w:p>
          <w:p w14:paraId="7FB9B4DE" w14:textId="77777777" w:rsidR="004C1521" w:rsidRPr="00460250" w:rsidRDefault="004C1521" w:rsidP="00D3413A">
            <w:pPr>
              <w:rPr>
                <w:rFonts w:asciiTheme="minorHAnsi" w:eastAsiaTheme="minorHAnsi" w:hAnsiTheme="minorHAnsi" w:cstheme="minorHAnsi"/>
                <w:sz w:val="22"/>
                <w:szCs w:val="22"/>
                <w:lang w:eastAsia="en-US"/>
              </w:rPr>
            </w:pPr>
          </w:p>
          <w:p w14:paraId="49EFD3A2"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Status</w:t>
            </w:r>
          </w:p>
          <w:p w14:paraId="1096B782" w14:textId="77777777" w:rsidR="00D3413A" w:rsidRDefault="00D3413A" w:rsidP="00D3413A">
            <w:p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t xml:space="preserve">In September 2024, the PBAC agreed that the PMR section undertake research and stakeholder engagement activities to inform the committee’s consideration of listing midazolam on the Palliative Care Schedule at a future meeting. </w:t>
            </w:r>
          </w:p>
          <w:p w14:paraId="259EE9FC" w14:textId="77777777" w:rsidR="004C1521" w:rsidRPr="00460250" w:rsidRDefault="004C1521" w:rsidP="00D3413A">
            <w:pPr>
              <w:rPr>
                <w:rFonts w:asciiTheme="minorHAnsi" w:eastAsiaTheme="minorHAnsi" w:hAnsiTheme="minorHAnsi" w:cstheme="minorHAnsi"/>
                <w:sz w:val="22"/>
                <w:szCs w:val="22"/>
                <w:lang w:eastAsia="en-US"/>
              </w:rPr>
            </w:pPr>
          </w:p>
          <w:p w14:paraId="010ABEE9" w14:textId="77777777" w:rsidR="00D3413A" w:rsidRPr="00460250" w:rsidRDefault="00D3413A" w:rsidP="00D3413A">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
                <w:bCs/>
                <w:sz w:val="22"/>
                <w:szCs w:val="22"/>
                <w:lang w:eastAsia="en-US"/>
              </w:rPr>
              <w:t>Next steps</w:t>
            </w:r>
          </w:p>
          <w:p w14:paraId="144AAB77" w14:textId="77777777" w:rsidR="00D3413A" w:rsidRPr="00460250" w:rsidRDefault="00D3413A" w:rsidP="004C1521">
            <w:pPr>
              <w:rPr>
                <w:rFonts w:asciiTheme="minorHAnsi" w:eastAsiaTheme="minorHAnsi" w:hAnsiTheme="minorHAnsi" w:cstheme="minorHAnsi"/>
                <w:b/>
                <w:bCs/>
                <w:sz w:val="22"/>
                <w:szCs w:val="22"/>
                <w:lang w:eastAsia="en-US"/>
              </w:rPr>
            </w:pPr>
            <w:r w:rsidRPr="00460250">
              <w:rPr>
                <w:rFonts w:asciiTheme="minorHAnsi" w:eastAsiaTheme="minorHAnsi" w:hAnsiTheme="minorHAnsi" w:cstheme="minorHAnsi"/>
                <w:bCs/>
                <w:sz w:val="22"/>
                <w:szCs w:val="22"/>
                <w:lang w:eastAsia="en-US"/>
              </w:rPr>
              <w:lastRenderedPageBreak/>
              <w:t xml:space="preserve">The Department will consult with sponsors, clinical and consumer groups to inform PBAC’s future considerations and estimate the financial impact of a potential Palliative Care Schedule listing for </w:t>
            </w:r>
            <w:r w:rsidRPr="00460250">
              <w:rPr>
                <w:rFonts w:asciiTheme="minorHAnsi" w:eastAsiaTheme="minorHAnsi" w:hAnsiTheme="minorHAnsi" w:cstheme="minorHAnsi"/>
                <w:sz w:val="22"/>
                <w:szCs w:val="22"/>
                <w:lang w:eastAsia="en-US"/>
              </w:rPr>
              <w:t>midazolam</w:t>
            </w:r>
            <w:r w:rsidRPr="00460250">
              <w:rPr>
                <w:rFonts w:asciiTheme="minorHAnsi" w:eastAsiaTheme="minorHAnsi" w:hAnsiTheme="minorHAnsi" w:cstheme="minorHAnsi"/>
                <w:bCs/>
                <w:sz w:val="22"/>
                <w:szCs w:val="22"/>
                <w:lang w:eastAsia="en-US"/>
              </w:rPr>
              <w:t>.</w:t>
            </w:r>
          </w:p>
        </w:tc>
        <w:tc>
          <w:tcPr>
            <w:tcW w:w="2873" w:type="dxa"/>
            <w:tcBorders>
              <w:top w:val="single" w:sz="8" w:space="0" w:color="auto"/>
              <w:left w:val="single" w:sz="8" w:space="0" w:color="auto"/>
              <w:bottom w:val="single" w:sz="8" w:space="0" w:color="auto"/>
              <w:right w:val="single" w:sz="8" w:space="0" w:color="auto"/>
            </w:tcBorders>
            <w:hideMark/>
          </w:tcPr>
          <w:p w14:paraId="0FA0BE44" w14:textId="77777777" w:rsidR="00D3413A" w:rsidRPr="00460250" w:rsidRDefault="00D3413A" w:rsidP="00D3413A">
            <w:pPr>
              <w:numPr>
                <w:ilvl w:val="0"/>
                <w:numId w:val="35"/>
              </w:numPr>
              <w:rPr>
                <w:rFonts w:asciiTheme="minorHAnsi" w:eastAsiaTheme="minorHAnsi" w:hAnsiTheme="minorHAnsi" w:cstheme="minorHAnsi"/>
                <w:sz w:val="22"/>
                <w:szCs w:val="22"/>
                <w:lang w:eastAsia="en-US"/>
              </w:rPr>
            </w:pPr>
            <w:r w:rsidRPr="00460250">
              <w:rPr>
                <w:rFonts w:asciiTheme="minorHAnsi" w:eastAsiaTheme="minorHAnsi" w:hAnsiTheme="minorHAnsi" w:cstheme="minorHAnsi"/>
                <w:sz w:val="22"/>
                <w:szCs w:val="22"/>
                <w:lang w:eastAsia="en-US"/>
              </w:rPr>
              <w:lastRenderedPageBreak/>
              <w:t xml:space="preserve">Midazolam </w:t>
            </w:r>
          </w:p>
        </w:tc>
      </w:tr>
      <w:tr w:rsidR="00D3413A" w:rsidRPr="00204CA5" w14:paraId="7A4072A2" w14:textId="77777777" w:rsidTr="00BD6801">
        <w:trPr>
          <w:trHeight w:val="300"/>
        </w:trPr>
        <w:tc>
          <w:tcPr>
            <w:tcW w:w="2541" w:type="dxa"/>
            <w:tcBorders>
              <w:top w:val="single" w:sz="4" w:space="0" w:color="auto"/>
              <w:left w:val="single" w:sz="4" w:space="0" w:color="auto"/>
              <w:bottom w:val="single" w:sz="4" w:space="0" w:color="auto"/>
              <w:right w:val="single" w:sz="4" w:space="0" w:color="auto"/>
            </w:tcBorders>
            <w:hideMark/>
          </w:tcPr>
          <w:p w14:paraId="0A57983B" w14:textId="77777777" w:rsidR="00D3413A" w:rsidRPr="00FD6F01" w:rsidRDefault="00D3413A" w:rsidP="00D3413A">
            <w:pPr>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sz w:val="22"/>
                <w:szCs w:val="22"/>
                <w:lang w:eastAsia="en-US"/>
              </w:rPr>
              <w:t>Pulmonary arterial hypertension (PAH)</w:t>
            </w:r>
          </w:p>
        </w:tc>
        <w:tc>
          <w:tcPr>
            <w:tcW w:w="8746" w:type="dxa"/>
            <w:tcBorders>
              <w:top w:val="single" w:sz="4" w:space="0" w:color="auto"/>
              <w:left w:val="single" w:sz="4" w:space="0" w:color="auto"/>
              <w:bottom w:val="single" w:sz="4" w:space="0" w:color="auto"/>
              <w:right w:val="single" w:sz="4" w:space="0" w:color="auto"/>
            </w:tcBorders>
            <w:hideMark/>
          </w:tcPr>
          <w:p w14:paraId="5D77B562"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 xml:space="preserve">Pulmonary arterial hypertension </w:t>
            </w:r>
          </w:p>
          <w:p w14:paraId="64253678" w14:textId="77777777" w:rsidR="004C1521" w:rsidRPr="009708BA" w:rsidRDefault="004C1521" w:rsidP="00D3413A">
            <w:pPr>
              <w:rPr>
                <w:rFonts w:asciiTheme="minorHAnsi" w:eastAsiaTheme="minorHAnsi" w:hAnsiTheme="minorHAnsi" w:cstheme="minorHAnsi"/>
                <w:b/>
                <w:bCs/>
                <w:sz w:val="22"/>
                <w:szCs w:val="22"/>
                <w:lang w:eastAsia="en-US"/>
              </w:rPr>
            </w:pPr>
          </w:p>
          <w:p w14:paraId="54765DA9"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Background</w:t>
            </w:r>
          </w:p>
          <w:p w14:paraId="5BF3F183" w14:textId="1C327BBD" w:rsidR="00D3413A" w:rsidRPr="009708BA" w:rsidRDefault="00D3413A" w:rsidP="00D3413A">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At its March 2025 meeting the PBAC </w:t>
            </w:r>
            <w:r w:rsidR="00FD6F01" w:rsidRPr="009708BA">
              <w:rPr>
                <w:rFonts w:asciiTheme="minorHAnsi" w:eastAsiaTheme="minorHAnsi" w:hAnsiTheme="minorHAnsi" w:cstheme="minorHAnsi"/>
                <w:sz w:val="22"/>
                <w:szCs w:val="22"/>
                <w:lang w:eastAsia="en-US"/>
              </w:rPr>
              <w:t>did not recommend</w:t>
            </w:r>
            <w:r w:rsidRPr="009708BA">
              <w:rPr>
                <w:rFonts w:asciiTheme="minorHAnsi" w:eastAsiaTheme="minorHAnsi" w:hAnsiTheme="minorHAnsi" w:cstheme="minorHAnsi"/>
                <w:sz w:val="22"/>
                <w:szCs w:val="22"/>
                <w:lang w:eastAsia="en-US"/>
              </w:rPr>
              <w:t xml:space="preserve"> a submission for sotatercept as add</w:t>
            </w:r>
            <w:r w:rsidR="0018211E" w:rsidRPr="009708BA">
              <w:rPr>
                <w:rFonts w:asciiTheme="minorHAnsi" w:eastAsiaTheme="minorHAnsi" w:hAnsiTheme="minorHAnsi" w:cstheme="minorHAnsi"/>
                <w:sz w:val="22"/>
                <w:szCs w:val="22"/>
                <w:lang w:eastAsia="en-US"/>
              </w:rPr>
              <w:noBreakHyphen/>
            </w:r>
            <w:r w:rsidRPr="009708BA">
              <w:rPr>
                <w:rFonts w:asciiTheme="minorHAnsi" w:eastAsiaTheme="minorHAnsi" w:hAnsiTheme="minorHAnsi" w:cstheme="minorHAnsi"/>
                <w:sz w:val="22"/>
                <w:szCs w:val="22"/>
                <w:lang w:eastAsia="en-US"/>
              </w:rPr>
              <w:t>on therapy in patients with pulmonary arterial hypertension (PAH) World Health Organisation (WHO) Functional class (FC) II-III. The PBAC noted the requested listing raised disconnections between currently available PAH medicines on the PBS and international PAH guidelines, which in turn informs the potential clinical place of sotatercept on the PBS. The PBAC requested that the Department undertake a review of the restrictions for currently listed PAH medicines regarding consistency with international PAH treatment guidelines.</w:t>
            </w:r>
          </w:p>
          <w:p w14:paraId="11DD4C36" w14:textId="77777777" w:rsidR="004C1521" w:rsidRPr="00FD6F01" w:rsidRDefault="004C1521" w:rsidP="00D3413A">
            <w:pPr>
              <w:rPr>
                <w:rFonts w:asciiTheme="minorHAnsi" w:eastAsiaTheme="minorHAnsi" w:hAnsiTheme="minorHAnsi" w:cstheme="minorHAnsi"/>
                <w:color w:val="FF0000"/>
                <w:sz w:val="22"/>
                <w:szCs w:val="22"/>
                <w:lang w:eastAsia="en-US"/>
              </w:rPr>
            </w:pPr>
          </w:p>
          <w:p w14:paraId="3885159E"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Status</w:t>
            </w:r>
          </w:p>
          <w:p w14:paraId="6D5B854E" w14:textId="796830F2" w:rsidR="0063274F" w:rsidRPr="009708BA" w:rsidRDefault="00D3413A" w:rsidP="0063274F">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On </w:t>
            </w:r>
            <w:r w:rsidR="00F4382F" w:rsidRPr="009708BA">
              <w:rPr>
                <w:rFonts w:asciiTheme="minorHAnsi" w:eastAsiaTheme="minorHAnsi" w:hAnsiTheme="minorHAnsi" w:cstheme="minorHAnsi"/>
                <w:sz w:val="22"/>
                <w:szCs w:val="22"/>
                <w:lang w:eastAsia="en-US"/>
              </w:rPr>
              <w:t>12 August 2025,</w:t>
            </w:r>
            <w:r w:rsidRPr="009708BA">
              <w:rPr>
                <w:rFonts w:asciiTheme="minorHAnsi" w:eastAsiaTheme="minorHAnsi" w:hAnsiTheme="minorHAnsi" w:cstheme="minorHAnsi"/>
                <w:sz w:val="22"/>
                <w:szCs w:val="22"/>
                <w:lang w:eastAsia="en-US"/>
              </w:rPr>
              <w:t xml:space="preserve"> a stakeholder meeting was conducted to seek clinician input on therapy </w:t>
            </w:r>
            <w:r w:rsidR="0000522A" w:rsidRPr="009708BA">
              <w:rPr>
                <w:rFonts w:asciiTheme="minorHAnsi" w:eastAsiaTheme="minorHAnsi" w:hAnsiTheme="minorHAnsi" w:cstheme="minorHAnsi"/>
                <w:sz w:val="22"/>
                <w:szCs w:val="22"/>
                <w:lang w:eastAsia="en-US"/>
              </w:rPr>
              <w:t xml:space="preserve">for patients with PAH and </w:t>
            </w:r>
            <w:r w:rsidRPr="009708BA">
              <w:rPr>
                <w:rFonts w:asciiTheme="minorHAnsi" w:eastAsiaTheme="minorHAnsi" w:hAnsiTheme="minorHAnsi" w:cstheme="minorHAnsi"/>
                <w:sz w:val="22"/>
                <w:szCs w:val="22"/>
                <w:lang w:eastAsia="en-US"/>
              </w:rPr>
              <w:t xml:space="preserve">WHO FC II </w:t>
            </w:r>
            <w:r w:rsidR="0000522A" w:rsidRPr="009708BA">
              <w:rPr>
                <w:rFonts w:asciiTheme="minorHAnsi" w:eastAsiaTheme="minorHAnsi" w:hAnsiTheme="minorHAnsi" w:cstheme="minorHAnsi"/>
                <w:sz w:val="22"/>
                <w:szCs w:val="22"/>
                <w:lang w:eastAsia="en-US"/>
              </w:rPr>
              <w:t>symptoms</w:t>
            </w:r>
            <w:r w:rsidRPr="009708BA">
              <w:rPr>
                <w:rFonts w:asciiTheme="minorHAnsi" w:eastAsiaTheme="minorHAnsi" w:hAnsiTheme="minorHAnsi" w:cstheme="minorHAnsi"/>
                <w:sz w:val="22"/>
                <w:szCs w:val="22"/>
                <w:lang w:eastAsia="en-US"/>
              </w:rPr>
              <w:t>, including the role of sotatercept in the PAH treatment paradigm.</w:t>
            </w:r>
            <w:r w:rsidR="0018211E" w:rsidRPr="009708BA">
              <w:rPr>
                <w:rFonts w:asciiTheme="minorHAnsi" w:eastAsiaTheme="minorHAnsi" w:hAnsiTheme="minorHAnsi" w:cstheme="minorHAnsi"/>
                <w:sz w:val="22"/>
                <w:szCs w:val="22"/>
                <w:lang w:eastAsia="en-US"/>
              </w:rPr>
              <w:t xml:space="preserve"> </w:t>
            </w:r>
            <w:r w:rsidR="0063274F" w:rsidRPr="009708BA">
              <w:rPr>
                <w:rFonts w:asciiTheme="minorHAnsi" w:eastAsiaTheme="minorHAnsi" w:hAnsiTheme="minorHAnsi" w:cstheme="minorHAnsi"/>
                <w:sz w:val="22"/>
                <w:szCs w:val="22"/>
                <w:lang w:eastAsia="en-US"/>
              </w:rPr>
              <w:t xml:space="preserve">An </w:t>
            </w:r>
            <w:hyperlink r:id="rId19" w:history="1">
              <w:r w:rsidR="0063274F" w:rsidRPr="0018211E">
                <w:rPr>
                  <w:rStyle w:val="Hyperlink"/>
                  <w:rFonts w:asciiTheme="minorHAnsi" w:eastAsiaTheme="minorHAnsi" w:hAnsiTheme="minorHAnsi" w:cstheme="minorHAnsi"/>
                  <w:sz w:val="22"/>
                  <w:szCs w:val="22"/>
                  <w:lang w:eastAsia="en-US"/>
                </w:rPr>
                <w:t>outcome statement</w:t>
              </w:r>
            </w:hyperlink>
            <w:r w:rsidR="0063274F" w:rsidRPr="00FD6F01">
              <w:rPr>
                <w:rFonts w:asciiTheme="minorHAnsi" w:eastAsiaTheme="minorHAnsi" w:hAnsiTheme="minorHAnsi" w:cstheme="minorHAnsi"/>
                <w:color w:val="FF0000"/>
                <w:sz w:val="22"/>
                <w:szCs w:val="22"/>
                <w:lang w:eastAsia="en-US"/>
              </w:rPr>
              <w:t xml:space="preserve"> </w:t>
            </w:r>
            <w:r w:rsidR="0063274F" w:rsidRPr="009708BA">
              <w:rPr>
                <w:rFonts w:asciiTheme="minorHAnsi" w:eastAsiaTheme="minorHAnsi" w:hAnsiTheme="minorHAnsi" w:cstheme="minorHAnsi"/>
                <w:sz w:val="22"/>
                <w:szCs w:val="22"/>
                <w:lang w:eastAsia="en-US"/>
              </w:rPr>
              <w:t>was published on 23</w:t>
            </w:r>
            <w:r w:rsidR="0018211E" w:rsidRPr="009708BA">
              <w:rPr>
                <w:rFonts w:asciiTheme="minorHAnsi" w:eastAsiaTheme="minorHAnsi" w:hAnsiTheme="minorHAnsi" w:cstheme="minorHAnsi"/>
                <w:sz w:val="22"/>
                <w:szCs w:val="22"/>
                <w:lang w:eastAsia="en-US"/>
              </w:rPr>
              <w:t> </w:t>
            </w:r>
            <w:r w:rsidR="0063274F" w:rsidRPr="009708BA">
              <w:rPr>
                <w:rFonts w:asciiTheme="minorHAnsi" w:eastAsiaTheme="minorHAnsi" w:hAnsiTheme="minorHAnsi" w:cstheme="minorHAnsi"/>
                <w:sz w:val="22"/>
                <w:szCs w:val="22"/>
                <w:lang w:eastAsia="en-US"/>
              </w:rPr>
              <w:t>September 2025</w:t>
            </w:r>
            <w:r w:rsidR="0018211E" w:rsidRPr="009708BA">
              <w:rPr>
                <w:rFonts w:asciiTheme="minorHAnsi" w:eastAsiaTheme="minorHAnsi" w:hAnsiTheme="minorHAnsi" w:cstheme="minorHAnsi"/>
                <w:sz w:val="22"/>
                <w:szCs w:val="22"/>
                <w:lang w:eastAsia="en-US"/>
              </w:rPr>
              <w:t xml:space="preserve">. </w:t>
            </w:r>
          </w:p>
          <w:p w14:paraId="14A2C8E8" w14:textId="77777777" w:rsidR="0063274F" w:rsidRPr="00FD6F01" w:rsidRDefault="0063274F" w:rsidP="00D3413A">
            <w:pPr>
              <w:rPr>
                <w:rFonts w:asciiTheme="minorHAnsi" w:eastAsiaTheme="minorHAnsi" w:hAnsiTheme="minorHAnsi" w:cstheme="minorHAnsi"/>
                <w:color w:val="FF0000"/>
                <w:sz w:val="22"/>
                <w:szCs w:val="22"/>
                <w:lang w:eastAsia="en-US"/>
              </w:rPr>
            </w:pPr>
          </w:p>
          <w:p w14:paraId="2DFC2E00"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Next steps</w:t>
            </w:r>
          </w:p>
          <w:p w14:paraId="6EA88371" w14:textId="517E623F" w:rsidR="00D3413A" w:rsidRPr="00FD6F01" w:rsidRDefault="00D3413A" w:rsidP="00460250">
            <w:pPr>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sz w:val="22"/>
                <w:szCs w:val="22"/>
                <w:lang w:eastAsia="en-US"/>
              </w:rPr>
              <w:t xml:space="preserve">The outcomes of the stakeholder meeting </w:t>
            </w:r>
            <w:r w:rsidR="0063274F" w:rsidRPr="009708BA">
              <w:rPr>
                <w:rFonts w:asciiTheme="minorHAnsi" w:eastAsiaTheme="minorHAnsi" w:hAnsiTheme="minorHAnsi" w:cstheme="minorHAnsi"/>
                <w:sz w:val="22"/>
                <w:szCs w:val="22"/>
                <w:lang w:eastAsia="en-US"/>
              </w:rPr>
              <w:t>will assist in</w:t>
            </w:r>
            <w:r w:rsidR="00AD1176" w:rsidRPr="009708BA">
              <w:rPr>
                <w:rFonts w:asciiTheme="minorHAnsi" w:eastAsiaTheme="minorHAnsi" w:hAnsiTheme="minorHAnsi" w:cstheme="minorHAnsi"/>
                <w:sz w:val="22"/>
                <w:szCs w:val="22"/>
                <w:lang w:eastAsia="en-US"/>
              </w:rPr>
              <w:t xml:space="preserve"> </w:t>
            </w:r>
            <w:r w:rsidRPr="009708BA">
              <w:rPr>
                <w:rFonts w:asciiTheme="minorHAnsi" w:eastAsiaTheme="minorHAnsi" w:hAnsiTheme="minorHAnsi" w:cstheme="minorHAnsi"/>
                <w:sz w:val="22"/>
                <w:szCs w:val="22"/>
                <w:lang w:eastAsia="en-US"/>
              </w:rPr>
              <w:t>inform</w:t>
            </w:r>
            <w:r w:rsidR="00AD1176" w:rsidRPr="009708BA">
              <w:rPr>
                <w:rFonts w:asciiTheme="minorHAnsi" w:eastAsiaTheme="minorHAnsi" w:hAnsiTheme="minorHAnsi" w:cstheme="minorHAnsi"/>
                <w:sz w:val="22"/>
                <w:szCs w:val="22"/>
                <w:lang w:eastAsia="en-US"/>
              </w:rPr>
              <w:t xml:space="preserve">ing the Department’s work </w:t>
            </w:r>
            <w:r w:rsidR="0018211E" w:rsidRPr="009708BA">
              <w:rPr>
                <w:rFonts w:asciiTheme="minorHAnsi" w:eastAsiaTheme="minorHAnsi" w:hAnsiTheme="minorHAnsi" w:cstheme="minorHAnsi"/>
                <w:sz w:val="22"/>
                <w:szCs w:val="22"/>
                <w:lang w:eastAsia="en-US"/>
              </w:rPr>
              <w:t xml:space="preserve">and PBAC’s future considerations </w:t>
            </w:r>
            <w:r w:rsidR="00AD1176" w:rsidRPr="009708BA">
              <w:rPr>
                <w:rFonts w:asciiTheme="minorHAnsi" w:eastAsiaTheme="minorHAnsi" w:hAnsiTheme="minorHAnsi" w:cstheme="minorHAnsi"/>
                <w:sz w:val="22"/>
                <w:szCs w:val="22"/>
                <w:lang w:eastAsia="en-US"/>
              </w:rPr>
              <w:t xml:space="preserve">to </w:t>
            </w:r>
            <w:r w:rsidRPr="009708BA">
              <w:rPr>
                <w:rFonts w:asciiTheme="minorHAnsi" w:eastAsiaTheme="minorHAnsi" w:hAnsiTheme="minorHAnsi" w:cstheme="minorHAnsi"/>
                <w:sz w:val="22"/>
                <w:szCs w:val="22"/>
                <w:lang w:eastAsia="en-US"/>
              </w:rPr>
              <w:t xml:space="preserve">better </w:t>
            </w:r>
            <w:r w:rsidR="00AD1176" w:rsidRPr="009708BA">
              <w:rPr>
                <w:rFonts w:asciiTheme="minorHAnsi" w:eastAsiaTheme="minorHAnsi" w:hAnsiTheme="minorHAnsi" w:cstheme="minorHAnsi"/>
                <w:sz w:val="22"/>
                <w:szCs w:val="22"/>
                <w:lang w:eastAsia="en-US"/>
              </w:rPr>
              <w:t xml:space="preserve">align PBS restrictions for </w:t>
            </w:r>
            <w:r w:rsidRPr="009708BA">
              <w:rPr>
                <w:rFonts w:asciiTheme="minorHAnsi" w:eastAsiaTheme="minorHAnsi" w:hAnsiTheme="minorHAnsi" w:cstheme="minorHAnsi"/>
                <w:sz w:val="22"/>
                <w:szCs w:val="22"/>
                <w:lang w:eastAsia="en-US"/>
              </w:rPr>
              <w:t>PAH medicines with current clinical practice and/or international PAH treatment guidelines.</w:t>
            </w:r>
            <w:r w:rsidR="0018211E" w:rsidRPr="009708BA">
              <w:rPr>
                <w:rFonts w:asciiTheme="minorHAnsi" w:eastAsiaTheme="minorHAnsi" w:hAnsiTheme="minorHAnsi" w:cstheme="minorHAnsi"/>
                <w:sz w:val="22"/>
                <w:szCs w:val="22"/>
                <w:lang w:eastAsia="en-US"/>
              </w:rPr>
              <w:t xml:space="preserve"> </w:t>
            </w:r>
          </w:p>
        </w:tc>
        <w:tc>
          <w:tcPr>
            <w:tcW w:w="2873" w:type="dxa"/>
            <w:tcBorders>
              <w:top w:val="single" w:sz="4" w:space="0" w:color="auto"/>
              <w:left w:val="single" w:sz="4" w:space="0" w:color="auto"/>
              <w:bottom w:val="single" w:sz="4" w:space="0" w:color="auto"/>
              <w:right w:val="single" w:sz="4" w:space="0" w:color="auto"/>
            </w:tcBorders>
            <w:hideMark/>
          </w:tcPr>
          <w:p w14:paraId="51C78A60" w14:textId="77777777" w:rsidR="00D3413A" w:rsidRPr="009708BA" w:rsidRDefault="00D3413A" w:rsidP="00D3413A">
            <w:pPr>
              <w:numPr>
                <w:ilvl w:val="0"/>
                <w:numId w:val="35"/>
              </w:num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PBS-listed medicines indicated for pulmonary arterial hypertension</w:t>
            </w:r>
          </w:p>
          <w:p w14:paraId="6F145652" w14:textId="77777777" w:rsidR="00D3413A" w:rsidRPr="00FD6F01" w:rsidRDefault="00D3413A" w:rsidP="00D3413A">
            <w:pPr>
              <w:numPr>
                <w:ilvl w:val="0"/>
                <w:numId w:val="35"/>
              </w:numPr>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sz w:val="22"/>
                <w:szCs w:val="22"/>
                <w:lang w:eastAsia="en-US"/>
              </w:rPr>
              <w:t>Sotatercept</w:t>
            </w:r>
          </w:p>
        </w:tc>
      </w:tr>
      <w:tr w:rsidR="00D3413A" w:rsidRPr="00204CA5" w14:paraId="03BD45F4" w14:textId="77777777" w:rsidTr="00BD6801">
        <w:trPr>
          <w:trHeight w:val="300"/>
        </w:trPr>
        <w:tc>
          <w:tcPr>
            <w:tcW w:w="2541" w:type="dxa"/>
            <w:tcBorders>
              <w:top w:val="single" w:sz="4" w:space="0" w:color="auto"/>
              <w:left w:val="single" w:sz="4" w:space="0" w:color="auto"/>
              <w:bottom w:val="single" w:sz="4" w:space="0" w:color="auto"/>
              <w:right w:val="single" w:sz="4" w:space="0" w:color="auto"/>
            </w:tcBorders>
            <w:hideMark/>
          </w:tcPr>
          <w:p w14:paraId="157AB1F5" w14:textId="791DE0A8" w:rsidR="00D3413A" w:rsidRPr="00FD6F01" w:rsidRDefault="00D3413A" w:rsidP="00D3413A">
            <w:pPr>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sz w:val="22"/>
                <w:szCs w:val="22"/>
                <w:lang w:eastAsia="en-US"/>
              </w:rPr>
              <w:t>Various</w:t>
            </w:r>
          </w:p>
        </w:tc>
        <w:tc>
          <w:tcPr>
            <w:tcW w:w="8746" w:type="dxa"/>
            <w:tcBorders>
              <w:top w:val="single" w:sz="4" w:space="0" w:color="auto"/>
              <w:left w:val="single" w:sz="4" w:space="0" w:color="auto"/>
              <w:bottom w:val="single" w:sz="4" w:space="0" w:color="auto"/>
              <w:right w:val="single" w:sz="4" w:space="0" w:color="auto"/>
            </w:tcBorders>
          </w:tcPr>
          <w:p w14:paraId="1F09B648"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 xml:space="preserve">Review of PBS Prescriber Bag </w:t>
            </w:r>
          </w:p>
          <w:p w14:paraId="4EA59799" w14:textId="77777777" w:rsidR="004C1521" w:rsidRPr="009708BA" w:rsidRDefault="004C1521" w:rsidP="00D3413A">
            <w:pPr>
              <w:rPr>
                <w:rFonts w:asciiTheme="minorHAnsi" w:eastAsiaTheme="minorHAnsi" w:hAnsiTheme="minorHAnsi" w:cstheme="minorHAnsi"/>
                <w:b/>
                <w:sz w:val="22"/>
                <w:szCs w:val="22"/>
                <w:lang w:eastAsia="en-US"/>
              </w:rPr>
            </w:pPr>
          </w:p>
          <w:p w14:paraId="52A2BD6D" w14:textId="77777777" w:rsidR="00D3413A" w:rsidRPr="009708BA" w:rsidRDefault="00D3413A" w:rsidP="00D3413A">
            <w:pPr>
              <w:rPr>
                <w:rFonts w:asciiTheme="minorHAnsi" w:eastAsiaTheme="minorHAnsi" w:hAnsiTheme="minorHAnsi" w:cstheme="minorHAnsi"/>
                <w:b/>
                <w:sz w:val="22"/>
                <w:szCs w:val="22"/>
                <w:lang w:eastAsia="en-US"/>
              </w:rPr>
            </w:pPr>
            <w:r w:rsidRPr="009708BA">
              <w:rPr>
                <w:rFonts w:asciiTheme="minorHAnsi" w:eastAsiaTheme="minorHAnsi" w:hAnsiTheme="minorHAnsi" w:cstheme="minorHAnsi"/>
                <w:b/>
                <w:bCs/>
                <w:sz w:val="22"/>
                <w:szCs w:val="22"/>
                <w:lang w:eastAsia="en-US"/>
              </w:rPr>
              <w:t>Background</w:t>
            </w:r>
          </w:p>
          <w:p w14:paraId="3B4B7583" w14:textId="3F870DD0" w:rsidR="004B0FDD" w:rsidRPr="009708BA" w:rsidRDefault="004B0FDD" w:rsidP="004B0FDD">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At its August 2024 Executive meeting, the PBAC noted stakeholder views that current Prescriber Bag medicines were no longer suitable for use in the contemporary emergency medicine setting. The PBAC requested that the Department undertake a review of the PBS Prescriber Bag, which should include a utilisation analysis of Prescriber Bag medicines, and targeted consultation with key stakeholders on the medicines that would best support emergency care. The PBAC stated that the purpose of the Review is to ensure that the PBS Prescriber Bag supports emergency patient care through inclusion of pharmaceutical benefits that reflect contemporary best emergency practice and are efficacious and safe.</w:t>
            </w:r>
          </w:p>
          <w:p w14:paraId="491322C4" w14:textId="77777777" w:rsidR="004B0FDD" w:rsidRPr="009708BA" w:rsidRDefault="004B0FDD" w:rsidP="004B0FDD">
            <w:pPr>
              <w:rPr>
                <w:rFonts w:asciiTheme="minorHAnsi" w:eastAsiaTheme="minorHAnsi" w:hAnsiTheme="minorHAnsi" w:cstheme="minorHAnsi"/>
                <w:sz w:val="22"/>
                <w:szCs w:val="22"/>
                <w:lang w:eastAsia="en-US"/>
              </w:rPr>
            </w:pPr>
          </w:p>
          <w:p w14:paraId="58E7EA12" w14:textId="5B08A2EC" w:rsidR="004B0FDD" w:rsidRPr="009708BA" w:rsidRDefault="004B0FDD" w:rsidP="004B0FDD">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In December 2024, the Department commenced the Review by writing to key stakeholders, seeking input to inform the Review. In parallel with the stakeholder consultation process, the Department </w:t>
            </w:r>
            <w:r w:rsidR="009A0209" w:rsidRPr="009708BA">
              <w:rPr>
                <w:rFonts w:asciiTheme="minorHAnsi" w:eastAsiaTheme="minorHAnsi" w:hAnsiTheme="minorHAnsi" w:cstheme="minorHAnsi"/>
                <w:sz w:val="22"/>
                <w:szCs w:val="22"/>
                <w:lang w:eastAsia="en-US"/>
              </w:rPr>
              <w:t xml:space="preserve">conducted </w:t>
            </w:r>
            <w:r w:rsidRPr="009708BA">
              <w:rPr>
                <w:rFonts w:asciiTheme="minorHAnsi" w:eastAsiaTheme="minorHAnsi" w:hAnsiTheme="minorHAnsi" w:cstheme="minorHAnsi"/>
                <w:sz w:val="22"/>
                <w:szCs w:val="22"/>
                <w:lang w:eastAsia="en-US"/>
              </w:rPr>
              <w:t>a utilisation analysis of Prescriber Bag items, using PBS data over the 2018-2024 period.</w:t>
            </w:r>
          </w:p>
          <w:p w14:paraId="5AC4CAFD" w14:textId="77777777" w:rsidR="009A0209" w:rsidRPr="009708BA" w:rsidRDefault="009A0209" w:rsidP="004B0FDD">
            <w:pPr>
              <w:rPr>
                <w:rFonts w:asciiTheme="minorHAnsi" w:eastAsiaTheme="minorHAnsi" w:hAnsiTheme="minorHAnsi" w:cstheme="minorHAnsi"/>
                <w:sz w:val="22"/>
                <w:szCs w:val="22"/>
                <w:lang w:eastAsia="en-US"/>
              </w:rPr>
            </w:pPr>
          </w:p>
          <w:p w14:paraId="0BFCA949" w14:textId="0A407496" w:rsidR="004B0FDD" w:rsidRPr="009708BA" w:rsidRDefault="004B0FDD" w:rsidP="004B0FDD">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At its May 2025 meeting, the PBAC's advice was sought on the purpose and intent of the Prescriber Bag Schedule, considering stakeholders' submissions, to ensure the listings reflect contemporary clinical need and to inform the Department’s Prescriber Bag review for consideration at a future PBAC meeting. The PBAC discussed issues raised in stakeholder submissions and reiterated that the purpose of the Prescriber Bag is to provide medicines for emergency care</w:t>
            </w:r>
            <w:r w:rsidR="00A415B5" w:rsidRPr="009708BA">
              <w:rPr>
                <w:rFonts w:asciiTheme="minorHAnsi" w:eastAsiaTheme="minorHAnsi" w:hAnsiTheme="minorHAnsi" w:cstheme="minorHAnsi"/>
                <w:sz w:val="22"/>
                <w:szCs w:val="22"/>
                <w:lang w:eastAsia="en-US"/>
              </w:rPr>
              <w:t>.</w:t>
            </w:r>
          </w:p>
          <w:p w14:paraId="29DC5DA0" w14:textId="77777777" w:rsidR="004B0FDD" w:rsidRPr="009708BA" w:rsidRDefault="004B0FDD" w:rsidP="00D3413A">
            <w:pPr>
              <w:rPr>
                <w:rFonts w:asciiTheme="minorHAnsi" w:eastAsiaTheme="minorHAnsi" w:hAnsiTheme="minorHAnsi" w:cstheme="minorHAnsi"/>
                <w:sz w:val="22"/>
                <w:szCs w:val="22"/>
                <w:lang w:eastAsia="en-US"/>
              </w:rPr>
            </w:pPr>
          </w:p>
          <w:p w14:paraId="4EEB9404" w14:textId="039339DF"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Status</w:t>
            </w:r>
          </w:p>
          <w:p w14:paraId="200A3517" w14:textId="788BE878" w:rsidR="00AE1CFC" w:rsidRPr="009708BA" w:rsidRDefault="00AE1CFC" w:rsidP="00AE1CFC">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Stakeholder responses have been collated into tranches for the PBAC’s consideration over two meetings.</w:t>
            </w:r>
          </w:p>
          <w:p w14:paraId="42A37DD6" w14:textId="77777777" w:rsidR="00AE1CFC" w:rsidRPr="009708BA" w:rsidRDefault="00AE1CFC" w:rsidP="00AE1CFC">
            <w:pPr>
              <w:rPr>
                <w:rFonts w:asciiTheme="minorHAnsi" w:eastAsiaTheme="minorHAnsi" w:hAnsiTheme="minorHAnsi" w:cstheme="minorHAnsi"/>
                <w:sz w:val="22"/>
                <w:szCs w:val="22"/>
                <w:lang w:eastAsia="en-US"/>
              </w:rPr>
            </w:pPr>
          </w:p>
          <w:p w14:paraId="475AC3D7" w14:textId="5E1466B2" w:rsidR="004B0FDD" w:rsidRPr="009708BA" w:rsidRDefault="00D3413A" w:rsidP="004B0FDD">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At its September 2025 meeting, the PBAC consider</w:t>
            </w:r>
            <w:r w:rsidR="00EC1BEF" w:rsidRPr="009708BA">
              <w:rPr>
                <w:rFonts w:asciiTheme="minorHAnsi" w:eastAsiaTheme="minorHAnsi" w:hAnsiTheme="minorHAnsi" w:cstheme="minorHAnsi"/>
                <w:sz w:val="22"/>
                <w:szCs w:val="22"/>
                <w:lang w:eastAsia="en-US"/>
              </w:rPr>
              <w:t>ed</w:t>
            </w:r>
            <w:r w:rsidRPr="009708BA">
              <w:rPr>
                <w:rFonts w:asciiTheme="minorHAnsi" w:eastAsiaTheme="minorHAnsi" w:hAnsiTheme="minorHAnsi" w:cstheme="minorHAnsi"/>
                <w:sz w:val="22"/>
                <w:szCs w:val="22"/>
                <w:lang w:eastAsia="en-US"/>
              </w:rPr>
              <w:t xml:space="preserve"> DUSC advice on the utilisation analysis of Prescriber Bag items (2018-</w:t>
            </w:r>
            <w:r w:rsidR="00071670" w:rsidRPr="009708BA">
              <w:rPr>
                <w:rFonts w:asciiTheme="minorHAnsi" w:eastAsiaTheme="minorHAnsi" w:hAnsiTheme="minorHAnsi" w:cstheme="minorHAnsi"/>
                <w:sz w:val="22"/>
                <w:szCs w:val="22"/>
                <w:lang w:eastAsia="en-US"/>
              </w:rPr>
              <w:t>2024) and</w:t>
            </w:r>
            <w:r w:rsidR="00AE1CFC" w:rsidRPr="009708BA">
              <w:rPr>
                <w:rFonts w:asciiTheme="minorHAnsi" w:eastAsiaTheme="minorHAnsi" w:hAnsiTheme="minorHAnsi" w:cstheme="minorHAnsi"/>
                <w:sz w:val="22"/>
                <w:szCs w:val="22"/>
                <w:lang w:eastAsia="en-US"/>
              </w:rPr>
              <w:t xml:space="preserve"> considered stakeholder requests for removal of items, addition of new strengths of existing items, new items to replace current items increased maximum quantities and a request to add an authorised prescriber type</w:t>
            </w:r>
            <w:r w:rsidR="0063274F" w:rsidRPr="009708BA">
              <w:rPr>
                <w:rFonts w:asciiTheme="minorHAnsi" w:eastAsiaTheme="minorHAnsi" w:hAnsiTheme="minorHAnsi" w:cstheme="minorHAnsi"/>
                <w:sz w:val="22"/>
                <w:szCs w:val="22"/>
                <w:lang w:eastAsia="en-US"/>
              </w:rPr>
              <w:t>.</w:t>
            </w:r>
            <w:r w:rsidR="00A415B5" w:rsidRPr="009708BA">
              <w:rPr>
                <w:rFonts w:asciiTheme="minorHAnsi" w:eastAsiaTheme="minorHAnsi" w:hAnsiTheme="minorHAnsi" w:cstheme="minorHAnsi"/>
                <w:sz w:val="22"/>
                <w:szCs w:val="22"/>
                <w:lang w:eastAsia="en-US"/>
              </w:rPr>
              <w:t xml:space="preserve"> </w:t>
            </w:r>
            <w:r w:rsidR="0018211E" w:rsidRPr="009708BA">
              <w:rPr>
                <w:rFonts w:asciiTheme="minorHAnsi" w:eastAsiaTheme="minorHAnsi" w:hAnsiTheme="minorHAnsi" w:cstheme="minorHAnsi"/>
                <w:sz w:val="22"/>
                <w:szCs w:val="22"/>
                <w:lang w:eastAsia="en-US"/>
              </w:rPr>
              <w:t>For further information, refer to the</w:t>
            </w:r>
            <w:r w:rsidR="009A18B4" w:rsidRPr="009708BA">
              <w:rPr>
                <w:rFonts w:asciiTheme="minorHAnsi" w:eastAsiaTheme="minorHAnsi" w:hAnsiTheme="minorHAnsi" w:cstheme="minorHAnsi"/>
                <w:sz w:val="22"/>
                <w:szCs w:val="22"/>
                <w:lang w:eastAsia="en-US"/>
              </w:rPr>
              <w:t xml:space="preserve"> </w:t>
            </w:r>
            <w:hyperlink r:id="rId20" w:history="1">
              <w:r w:rsidR="009A18B4" w:rsidRPr="009708BA">
                <w:rPr>
                  <w:rStyle w:val="Hyperlink"/>
                  <w:rFonts w:asciiTheme="minorHAnsi" w:eastAsiaTheme="minorHAnsi" w:hAnsiTheme="minorHAnsi" w:cstheme="minorHAnsi"/>
                  <w:color w:val="auto"/>
                  <w:sz w:val="22"/>
                  <w:szCs w:val="22"/>
                  <w:lang w:eastAsia="en-US"/>
                </w:rPr>
                <w:t xml:space="preserve">September 2025 PBAC Outcomes </w:t>
              </w:r>
            </w:hyperlink>
            <w:r w:rsidR="0018211E" w:rsidRPr="009708BA">
              <w:rPr>
                <w:rFonts w:asciiTheme="minorHAnsi" w:eastAsiaTheme="minorHAnsi" w:hAnsiTheme="minorHAnsi" w:cstheme="minorHAnsi"/>
                <w:sz w:val="22"/>
                <w:szCs w:val="22"/>
                <w:lang w:eastAsia="en-US"/>
              </w:rPr>
              <w:t xml:space="preserve"> and </w:t>
            </w:r>
            <w:r w:rsidR="00416C47" w:rsidRPr="009708BA">
              <w:rPr>
                <w:rFonts w:asciiTheme="minorHAnsi" w:eastAsiaTheme="minorHAnsi" w:hAnsiTheme="minorHAnsi" w:cstheme="minorHAnsi"/>
                <w:sz w:val="22"/>
                <w:szCs w:val="22"/>
                <w:lang w:eastAsia="en-US"/>
              </w:rPr>
              <w:t xml:space="preserve">the </w:t>
            </w:r>
            <w:hyperlink r:id="rId21" w:history="1">
              <w:r w:rsidR="004B0FDD" w:rsidRPr="009708BA">
                <w:rPr>
                  <w:rStyle w:val="Hyperlink"/>
                  <w:rFonts w:asciiTheme="minorHAnsi" w:eastAsiaTheme="minorHAnsi" w:hAnsiTheme="minorHAnsi" w:cstheme="minorHAnsi"/>
                  <w:color w:val="auto"/>
                  <w:sz w:val="22"/>
                  <w:szCs w:val="22"/>
                  <w:lang w:eastAsia="en-US"/>
                </w:rPr>
                <w:t>Review of PBS Prescriber Bag Schedule</w:t>
              </w:r>
            </w:hyperlink>
            <w:r w:rsidR="004B0FDD" w:rsidRPr="009708BA">
              <w:rPr>
                <w:rFonts w:asciiTheme="minorHAnsi" w:eastAsiaTheme="minorHAnsi" w:hAnsiTheme="minorHAnsi" w:cstheme="minorHAnsi"/>
                <w:i/>
                <w:iCs/>
                <w:sz w:val="22"/>
                <w:szCs w:val="22"/>
                <w:lang w:eastAsia="en-US"/>
              </w:rPr>
              <w:t xml:space="preserve"> </w:t>
            </w:r>
            <w:r w:rsidR="001E262E" w:rsidRPr="009708BA">
              <w:rPr>
                <w:rFonts w:asciiTheme="minorHAnsi" w:eastAsiaTheme="minorHAnsi" w:hAnsiTheme="minorHAnsi" w:cstheme="minorHAnsi"/>
                <w:sz w:val="22"/>
                <w:szCs w:val="22"/>
                <w:lang w:eastAsia="en-US"/>
              </w:rPr>
              <w:t>web page</w:t>
            </w:r>
            <w:r w:rsidR="009A18B4" w:rsidRPr="009708BA">
              <w:rPr>
                <w:rFonts w:asciiTheme="minorHAnsi" w:eastAsiaTheme="minorHAnsi" w:hAnsiTheme="minorHAnsi" w:cstheme="minorHAnsi"/>
                <w:sz w:val="22"/>
                <w:szCs w:val="22"/>
                <w:lang w:eastAsia="en-US"/>
              </w:rPr>
              <w:t>.</w:t>
            </w:r>
          </w:p>
          <w:p w14:paraId="30A26A72" w14:textId="77777777" w:rsidR="004C1521" w:rsidRPr="009708BA" w:rsidRDefault="004C1521" w:rsidP="004B0FDD">
            <w:pPr>
              <w:rPr>
                <w:rFonts w:asciiTheme="minorHAnsi" w:eastAsiaTheme="minorHAnsi" w:hAnsiTheme="minorHAnsi" w:cstheme="minorHAnsi"/>
                <w:sz w:val="22"/>
                <w:szCs w:val="22"/>
                <w:lang w:eastAsia="en-US"/>
              </w:rPr>
            </w:pPr>
          </w:p>
          <w:p w14:paraId="3B9BBD30" w14:textId="77777777" w:rsidR="00D3413A" w:rsidRPr="009708BA" w:rsidRDefault="00D3413A" w:rsidP="00D3413A">
            <w:pPr>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 xml:space="preserve">Next steps </w:t>
            </w:r>
          </w:p>
          <w:p w14:paraId="60B5B40D" w14:textId="4FB49ED8" w:rsidR="004B0FDD" w:rsidRPr="009708BA" w:rsidRDefault="0018211E" w:rsidP="0018211E">
            <w:pPr>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At a future meeting, t</w:t>
            </w:r>
            <w:r w:rsidR="00D3413A" w:rsidRPr="009708BA">
              <w:rPr>
                <w:rFonts w:asciiTheme="minorHAnsi" w:eastAsiaTheme="minorHAnsi" w:hAnsiTheme="minorHAnsi" w:cstheme="minorHAnsi"/>
                <w:sz w:val="22"/>
                <w:szCs w:val="22"/>
                <w:lang w:eastAsia="en-US"/>
              </w:rPr>
              <w:t>he PBAC will provide advice on the suitability of requested new items for inclusion in the Prescriber Bag, as identified through stakeholder consultation</w:t>
            </w:r>
            <w:r w:rsidR="002714AE" w:rsidRPr="009708BA">
              <w:rPr>
                <w:rFonts w:asciiTheme="minorHAnsi" w:eastAsiaTheme="minorHAnsi" w:hAnsiTheme="minorHAnsi" w:cstheme="minorHAnsi"/>
                <w:sz w:val="22"/>
                <w:szCs w:val="22"/>
                <w:lang w:eastAsia="en-US"/>
              </w:rPr>
              <w:t>.</w:t>
            </w:r>
            <w:r w:rsidR="00D3413A" w:rsidRPr="009708BA">
              <w:rPr>
                <w:rFonts w:asciiTheme="minorHAnsi" w:eastAsiaTheme="minorHAnsi" w:hAnsiTheme="minorHAnsi" w:cstheme="minorHAnsi"/>
                <w:sz w:val="22"/>
                <w:szCs w:val="22"/>
                <w:lang w:eastAsia="en-US"/>
              </w:rPr>
              <w:t xml:space="preserve"> </w:t>
            </w:r>
            <w:r w:rsidR="004B0FDD" w:rsidRPr="009708BA">
              <w:rPr>
                <w:rFonts w:asciiTheme="minorHAnsi" w:eastAsiaTheme="minorHAnsi" w:hAnsiTheme="minorHAnsi" w:cstheme="minorHAnsi"/>
                <w:sz w:val="22"/>
                <w:szCs w:val="22"/>
                <w:lang w:eastAsia="en-US"/>
              </w:rPr>
              <w:t>PBAC recommendations arising from the PBS Review will be implemented as part of routine monthly changes to the PBS schedule. All authorised PBS prescribers are encouraged to check the </w:t>
            </w:r>
            <w:hyperlink r:id="rId22" w:tgtFrame="_parent" w:tooltip="Summary of Changes" w:history="1">
              <w:r w:rsidR="004B0FDD" w:rsidRPr="009708BA">
                <w:rPr>
                  <w:rStyle w:val="Hyperlink"/>
                  <w:rFonts w:asciiTheme="minorHAnsi" w:eastAsiaTheme="minorHAnsi" w:hAnsiTheme="minorHAnsi" w:cstheme="minorHAnsi"/>
                  <w:color w:val="auto"/>
                  <w:sz w:val="22"/>
                  <w:szCs w:val="22"/>
                  <w:lang w:eastAsia="en-US"/>
                </w:rPr>
                <w:t>Summary of Changes</w:t>
              </w:r>
            </w:hyperlink>
            <w:r w:rsidR="004B0FDD" w:rsidRPr="009708BA">
              <w:rPr>
                <w:rFonts w:asciiTheme="minorHAnsi" w:eastAsiaTheme="minorHAnsi" w:hAnsiTheme="minorHAnsi" w:cstheme="minorHAnsi"/>
                <w:sz w:val="22"/>
                <w:szCs w:val="22"/>
                <w:lang w:eastAsia="en-US"/>
              </w:rPr>
              <w:t> to the PBS that is published at the beginning of each new calendar month for changes to individual medicine listings</w:t>
            </w:r>
            <w:r w:rsidR="00A415B5" w:rsidRPr="009708BA">
              <w:rPr>
                <w:rFonts w:asciiTheme="minorHAnsi" w:eastAsiaTheme="minorHAnsi" w:hAnsiTheme="minorHAnsi" w:cstheme="minorHAnsi"/>
                <w:sz w:val="22"/>
                <w:szCs w:val="22"/>
                <w:lang w:eastAsia="en-US"/>
              </w:rPr>
              <w:t>.</w:t>
            </w:r>
          </w:p>
        </w:tc>
        <w:tc>
          <w:tcPr>
            <w:tcW w:w="2873" w:type="dxa"/>
            <w:tcBorders>
              <w:top w:val="single" w:sz="4" w:space="0" w:color="auto"/>
              <w:left w:val="single" w:sz="4" w:space="0" w:color="auto"/>
              <w:bottom w:val="single" w:sz="4" w:space="0" w:color="auto"/>
              <w:right w:val="single" w:sz="4" w:space="0" w:color="auto"/>
            </w:tcBorders>
            <w:hideMark/>
          </w:tcPr>
          <w:p w14:paraId="35C939DB" w14:textId="77777777" w:rsidR="00D3413A" w:rsidRPr="00FD6F01" w:rsidRDefault="00D3413A" w:rsidP="00D3413A">
            <w:pPr>
              <w:numPr>
                <w:ilvl w:val="0"/>
                <w:numId w:val="35"/>
              </w:numPr>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sz w:val="22"/>
                <w:szCs w:val="22"/>
                <w:lang w:eastAsia="en-US"/>
              </w:rPr>
              <w:lastRenderedPageBreak/>
              <w:t xml:space="preserve">Medicines listed on the PBS Prescriber Bag Schedule </w:t>
            </w:r>
          </w:p>
        </w:tc>
      </w:tr>
      <w:tr w:rsidR="00EC1BEF" w:rsidRPr="00204CA5" w14:paraId="4CCAC712" w14:textId="77777777" w:rsidTr="00BD6801">
        <w:trPr>
          <w:trHeight w:val="300"/>
        </w:trPr>
        <w:tc>
          <w:tcPr>
            <w:tcW w:w="2541" w:type="dxa"/>
            <w:tcBorders>
              <w:top w:val="single" w:sz="4" w:space="0" w:color="auto"/>
              <w:left w:val="single" w:sz="4" w:space="0" w:color="auto"/>
              <w:bottom w:val="single" w:sz="4" w:space="0" w:color="auto"/>
              <w:right w:val="single" w:sz="4" w:space="0" w:color="auto"/>
            </w:tcBorders>
          </w:tcPr>
          <w:p w14:paraId="7B76B215" w14:textId="468171D0" w:rsidR="00EC1BEF" w:rsidRPr="00FD6F01" w:rsidRDefault="00EC1BEF" w:rsidP="00C2325C">
            <w:pPr>
              <w:keepNext/>
              <w:keepLines/>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bCs/>
                <w:sz w:val="22"/>
                <w:szCs w:val="22"/>
                <w:lang w:eastAsia="en-US"/>
              </w:rPr>
              <w:lastRenderedPageBreak/>
              <w:t>Attention Deficit Hyperactivity Disorder (ADHD)</w:t>
            </w:r>
          </w:p>
        </w:tc>
        <w:tc>
          <w:tcPr>
            <w:tcW w:w="8746" w:type="dxa"/>
            <w:tcBorders>
              <w:top w:val="single" w:sz="4" w:space="0" w:color="auto"/>
              <w:left w:val="single" w:sz="4" w:space="0" w:color="auto"/>
              <w:bottom w:val="single" w:sz="4" w:space="0" w:color="auto"/>
              <w:right w:val="single" w:sz="4" w:space="0" w:color="auto"/>
            </w:tcBorders>
          </w:tcPr>
          <w:p w14:paraId="0CCA01AD" w14:textId="77777777" w:rsidR="00EC1BEF" w:rsidRPr="009708BA" w:rsidRDefault="00EC1BEF" w:rsidP="00C2325C">
            <w:pPr>
              <w:keepNext/>
              <w:keepLines/>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 xml:space="preserve">Attention Deficit Hyperactivity Disorder (ADHD) medicine review </w:t>
            </w:r>
          </w:p>
          <w:p w14:paraId="33860C25" w14:textId="77777777" w:rsidR="004C1521" w:rsidRPr="009708BA" w:rsidRDefault="004C1521" w:rsidP="00C2325C">
            <w:pPr>
              <w:keepNext/>
              <w:keepLines/>
              <w:rPr>
                <w:rFonts w:asciiTheme="minorHAnsi" w:eastAsiaTheme="minorHAnsi" w:hAnsiTheme="minorHAnsi" w:cstheme="minorHAnsi"/>
                <w:b/>
                <w:bCs/>
                <w:sz w:val="22"/>
                <w:szCs w:val="22"/>
                <w:lang w:eastAsia="en-US"/>
              </w:rPr>
            </w:pPr>
          </w:p>
          <w:p w14:paraId="6788B86C" w14:textId="4BAED263" w:rsidR="00EC1BEF" w:rsidRPr="009708BA" w:rsidRDefault="00EC1BEF" w:rsidP="00C2325C">
            <w:pPr>
              <w:keepNext/>
              <w:keepLines/>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Background</w:t>
            </w:r>
          </w:p>
          <w:p w14:paraId="13F2FFA1" w14:textId="1AA27492" w:rsidR="00EC1BEF" w:rsidRPr="009708BA" w:rsidRDefault="0018211E" w:rsidP="00C2325C">
            <w:pPr>
              <w:keepNext/>
              <w:keepLines/>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 xml:space="preserve">At its September 2025 intracycle meeting, the PBAC provided advice on a review proposed in Recommendation 4 of the report from the </w:t>
            </w:r>
            <w:hyperlink r:id="rId23" w:history="1">
              <w:r w:rsidRPr="009708BA">
                <w:rPr>
                  <w:rStyle w:val="Hyperlink"/>
                  <w:rFonts w:asciiTheme="minorHAnsi" w:eastAsiaTheme="minorHAnsi" w:hAnsiTheme="minorHAnsi" w:cstheme="minorHAnsi"/>
                  <w:color w:val="auto"/>
                  <w:sz w:val="22"/>
                  <w:szCs w:val="22"/>
                  <w:lang w:eastAsia="en-US"/>
                </w:rPr>
                <w:t>2023 Senate Community Affairs References Committee</w:t>
              </w:r>
            </w:hyperlink>
            <w:r w:rsidRPr="009708BA">
              <w:rPr>
                <w:rFonts w:asciiTheme="minorHAnsi" w:eastAsiaTheme="minorHAnsi" w:hAnsiTheme="minorHAnsi" w:cstheme="minorHAnsi"/>
                <w:sz w:val="22"/>
                <w:szCs w:val="22"/>
                <w:lang w:eastAsia="en-US"/>
              </w:rPr>
              <w:t xml:space="preserve"> (the Senate Inquiry report) on PBS subsidy arrangements for attention deficit hyperactivity disorder (ADHD) medicines.</w:t>
            </w:r>
          </w:p>
          <w:p w14:paraId="23430110" w14:textId="77777777" w:rsidR="004C1521" w:rsidRPr="009708BA" w:rsidRDefault="004C1521" w:rsidP="00C2325C">
            <w:pPr>
              <w:keepNext/>
              <w:keepLines/>
              <w:rPr>
                <w:rFonts w:asciiTheme="minorHAnsi" w:eastAsiaTheme="minorHAnsi" w:hAnsiTheme="minorHAnsi" w:cstheme="minorHAnsi"/>
                <w:sz w:val="22"/>
                <w:szCs w:val="22"/>
                <w:lang w:eastAsia="en-US"/>
              </w:rPr>
            </w:pPr>
          </w:p>
          <w:p w14:paraId="4AE250DE" w14:textId="5E33EDD9" w:rsidR="00EC1BEF" w:rsidRPr="009708BA" w:rsidRDefault="00EC1BEF" w:rsidP="00C2325C">
            <w:pPr>
              <w:keepNext/>
              <w:keepLines/>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Status</w:t>
            </w:r>
          </w:p>
          <w:p w14:paraId="6EF47B38" w14:textId="506BC9C9" w:rsidR="00416C47" w:rsidRPr="009708BA" w:rsidRDefault="0018211E" w:rsidP="00C2325C">
            <w:pPr>
              <w:keepNext/>
              <w:keepLines/>
              <w:rPr>
                <w:rFonts w:asciiTheme="minorHAnsi" w:eastAsiaTheme="minorHAnsi" w:hAnsiTheme="minorHAnsi" w:cstheme="minorHAnsi"/>
                <w:sz w:val="22"/>
                <w:szCs w:val="22"/>
                <w:lang w:eastAsia="en-US"/>
              </w:rPr>
            </w:pPr>
            <w:r w:rsidRPr="009708BA">
              <w:rPr>
                <w:rFonts w:asciiTheme="minorHAnsi" w:eastAsiaTheme="minorHAnsi" w:hAnsiTheme="minorHAnsi" w:cstheme="minorHAnsi"/>
                <w:sz w:val="22"/>
                <w:szCs w:val="22"/>
                <w:lang w:eastAsia="en-US"/>
              </w:rPr>
              <w:t>In September 2025, t</w:t>
            </w:r>
            <w:r w:rsidR="003640A0" w:rsidRPr="009708BA">
              <w:rPr>
                <w:rFonts w:asciiTheme="minorHAnsi" w:eastAsiaTheme="minorHAnsi" w:hAnsiTheme="minorHAnsi" w:cstheme="minorHAnsi"/>
                <w:sz w:val="22"/>
                <w:szCs w:val="22"/>
                <w:lang w:eastAsia="en-US"/>
              </w:rPr>
              <w:t>he PBAC noted the Government’s in-principle support for a review of PBS</w:t>
            </w:r>
            <w:r w:rsidRPr="009708BA">
              <w:rPr>
                <w:rFonts w:asciiTheme="minorHAnsi" w:eastAsiaTheme="minorHAnsi" w:hAnsiTheme="minorHAnsi" w:cstheme="minorHAnsi"/>
                <w:sz w:val="22"/>
                <w:szCs w:val="22"/>
                <w:lang w:eastAsia="en-US"/>
              </w:rPr>
              <w:noBreakHyphen/>
            </w:r>
            <w:r w:rsidR="003640A0" w:rsidRPr="009708BA">
              <w:rPr>
                <w:rFonts w:asciiTheme="minorHAnsi" w:eastAsiaTheme="minorHAnsi" w:hAnsiTheme="minorHAnsi" w:cstheme="minorHAnsi"/>
                <w:sz w:val="22"/>
                <w:szCs w:val="22"/>
                <w:lang w:eastAsia="en-US"/>
              </w:rPr>
              <w:t xml:space="preserve">listed ADHD medicines and considered the five action areas that had been raised by the Senate Inquiry report. The PBAC considered that a formal Post-market Review was not necessary to inform its future consideration of changes to PBS restrictions to improve access to subsidised ADHD medicines. The PBAC requested the Department to undertake a research project consistent with the Post-market Review framework to propose revised PBS restrictions in response to the action areas, as well as estimate changes in drug utilisation and financial implications. The PBAC requested that this work be undertaken as a priority for consideration at a future PBAC meeting. The PBAC requested that the Department consult with the Royal Australian and New Zealand College of Psychiatrists (RANZCP) and other relevant groups prior to PBAC’s consideration of any proposed changes to PBS listings. </w:t>
            </w:r>
            <w:r w:rsidR="00D228E8" w:rsidRPr="009708BA">
              <w:rPr>
                <w:rFonts w:asciiTheme="minorHAnsi" w:eastAsiaTheme="minorHAnsi" w:hAnsiTheme="minorHAnsi" w:cstheme="minorHAnsi"/>
                <w:sz w:val="22"/>
                <w:szCs w:val="22"/>
                <w:lang w:eastAsia="en-US"/>
              </w:rPr>
              <w:t>For further information, refer to the</w:t>
            </w:r>
            <w:r w:rsidR="00416C47" w:rsidRPr="009708BA">
              <w:rPr>
                <w:rFonts w:asciiTheme="minorHAnsi" w:eastAsiaTheme="minorHAnsi" w:hAnsiTheme="minorHAnsi" w:cstheme="minorHAnsi"/>
                <w:sz w:val="22"/>
                <w:szCs w:val="22"/>
                <w:lang w:eastAsia="en-US"/>
              </w:rPr>
              <w:t xml:space="preserve"> </w:t>
            </w:r>
            <w:hyperlink r:id="rId24" w:history="1">
              <w:r w:rsidR="00416C47" w:rsidRPr="009708BA">
                <w:rPr>
                  <w:rStyle w:val="Hyperlink"/>
                  <w:rFonts w:asciiTheme="minorHAnsi" w:eastAsiaTheme="minorHAnsi" w:hAnsiTheme="minorHAnsi" w:cstheme="minorHAnsi"/>
                  <w:color w:val="auto"/>
                  <w:sz w:val="22"/>
                  <w:szCs w:val="22"/>
                  <w:lang w:eastAsia="en-US"/>
                </w:rPr>
                <w:t>September 2025 PBAC Outcomes</w:t>
              </w:r>
            </w:hyperlink>
            <w:r w:rsidR="00416C47" w:rsidRPr="009708BA">
              <w:rPr>
                <w:rFonts w:asciiTheme="minorHAnsi" w:eastAsiaTheme="minorHAnsi" w:hAnsiTheme="minorHAnsi" w:cstheme="minorHAnsi"/>
                <w:sz w:val="22"/>
                <w:szCs w:val="22"/>
                <w:lang w:eastAsia="en-US"/>
              </w:rPr>
              <w:t>.</w:t>
            </w:r>
          </w:p>
          <w:p w14:paraId="0A6EA949" w14:textId="77777777" w:rsidR="00D228E8" w:rsidRPr="009708BA" w:rsidRDefault="00D228E8" w:rsidP="00C2325C">
            <w:pPr>
              <w:keepNext/>
              <w:keepLines/>
              <w:rPr>
                <w:rFonts w:asciiTheme="minorHAnsi" w:eastAsiaTheme="minorHAnsi" w:hAnsiTheme="minorHAnsi" w:cstheme="minorHAnsi"/>
                <w:sz w:val="22"/>
                <w:szCs w:val="22"/>
                <w:lang w:eastAsia="en-US"/>
              </w:rPr>
            </w:pPr>
          </w:p>
          <w:p w14:paraId="673D15BE" w14:textId="0472DD9C" w:rsidR="00EC1BEF" w:rsidRPr="009708BA" w:rsidRDefault="00EC1BEF" w:rsidP="00C2325C">
            <w:pPr>
              <w:keepNext/>
              <w:keepLines/>
              <w:rPr>
                <w:rFonts w:asciiTheme="minorHAnsi" w:eastAsiaTheme="minorHAnsi" w:hAnsiTheme="minorHAnsi" w:cstheme="minorHAnsi"/>
                <w:b/>
                <w:bCs/>
                <w:sz w:val="22"/>
                <w:szCs w:val="22"/>
                <w:lang w:eastAsia="en-US"/>
              </w:rPr>
            </w:pPr>
            <w:r w:rsidRPr="009708BA">
              <w:rPr>
                <w:rFonts w:asciiTheme="minorHAnsi" w:eastAsiaTheme="minorHAnsi" w:hAnsiTheme="minorHAnsi" w:cstheme="minorHAnsi"/>
                <w:b/>
                <w:bCs/>
                <w:sz w:val="22"/>
                <w:szCs w:val="22"/>
                <w:lang w:eastAsia="en-US"/>
              </w:rPr>
              <w:t>Next steps</w:t>
            </w:r>
          </w:p>
          <w:p w14:paraId="4F46FF18" w14:textId="77777777" w:rsidR="008F32E6" w:rsidRPr="009708BA" w:rsidRDefault="003640A0" w:rsidP="00C2325C">
            <w:pPr>
              <w:keepNext/>
              <w:keepLines/>
              <w:rPr>
                <w:rFonts w:asciiTheme="minorHAnsi" w:eastAsiaTheme="minorHAnsi" w:hAnsiTheme="minorHAnsi" w:cstheme="minorHAnsi"/>
                <w:bCs/>
                <w:sz w:val="22"/>
                <w:szCs w:val="22"/>
                <w:lang w:eastAsia="en-US"/>
              </w:rPr>
            </w:pPr>
            <w:r w:rsidRPr="009708BA">
              <w:rPr>
                <w:rFonts w:asciiTheme="minorHAnsi" w:eastAsiaTheme="minorHAnsi" w:hAnsiTheme="minorHAnsi" w:cstheme="minorHAnsi"/>
                <w:bCs/>
                <w:sz w:val="22"/>
                <w:szCs w:val="22"/>
                <w:lang w:eastAsia="en-US"/>
              </w:rPr>
              <w:t xml:space="preserve">The Department </w:t>
            </w:r>
            <w:r w:rsidR="00D228E8" w:rsidRPr="009708BA">
              <w:rPr>
                <w:rFonts w:asciiTheme="minorHAnsi" w:eastAsiaTheme="minorHAnsi" w:hAnsiTheme="minorHAnsi" w:cstheme="minorHAnsi"/>
                <w:bCs/>
                <w:sz w:val="22"/>
                <w:szCs w:val="22"/>
                <w:lang w:eastAsia="en-US"/>
              </w:rPr>
              <w:t>has</w:t>
            </w:r>
            <w:r w:rsidRPr="009708BA">
              <w:rPr>
                <w:rFonts w:asciiTheme="minorHAnsi" w:eastAsiaTheme="minorHAnsi" w:hAnsiTheme="minorHAnsi" w:cstheme="minorHAnsi"/>
                <w:bCs/>
                <w:sz w:val="22"/>
                <w:szCs w:val="22"/>
                <w:lang w:eastAsia="en-US"/>
              </w:rPr>
              <w:t xml:space="preserve"> commence</w:t>
            </w:r>
            <w:r w:rsidR="00D228E8" w:rsidRPr="009708BA">
              <w:rPr>
                <w:rFonts w:asciiTheme="minorHAnsi" w:eastAsiaTheme="minorHAnsi" w:hAnsiTheme="minorHAnsi" w:cstheme="minorHAnsi"/>
                <w:bCs/>
                <w:sz w:val="22"/>
                <w:szCs w:val="22"/>
                <w:lang w:eastAsia="en-US"/>
              </w:rPr>
              <w:t>d</w:t>
            </w:r>
            <w:r w:rsidRPr="009708BA">
              <w:rPr>
                <w:rFonts w:asciiTheme="minorHAnsi" w:eastAsiaTheme="minorHAnsi" w:hAnsiTheme="minorHAnsi" w:cstheme="minorHAnsi"/>
                <w:bCs/>
                <w:sz w:val="22"/>
                <w:szCs w:val="22"/>
                <w:lang w:eastAsia="en-US"/>
              </w:rPr>
              <w:t xml:space="preserve"> a project </w:t>
            </w:r>
            <w:r w:rsidR="00D228E8" w:rsidRPr="009708BA">
              <w:rPr>
                <w:rFonts w:asciiTheme="minorHAnsi" w:eastAsiaTheme="minorHAnsi" w:hAnsiTheme="minorHAnsi" w:cstheme="minorHAnsi"/>
                <w:bCs/>
                <w:sz w:val="22"/>
                <w:szCs w:val="22"/>
                <w:lang w:eastAsia="en-US"/>
              </w:rPr>
              <w:t xml:space="preserve">for future PBAC consideration </w:t>
            </w:r>
            <w:r w:rsidRPr="009708BA">
              <w:rPr>
                <w:rFonts w:asciiTheme="minorHAnsi" w:eastAsiaTheme="minorHAnsi" w:hAnsiTheme="minorHAnsi" w:cstheme="minorHAnsi"/>
                <w:sz w:val="22"/>
                <w:szCs w:val="22"/>
                <w:lang w:eastAsia="en-US"/>
              </w:rPr>
              <w:t xml:space="preserve">to revise </w:t>
            </w:r>
            <w:r w:rsidR="00D228E8" w:rsidRPr="009708BA">
              <w:rPr>
                <w:rFonts w:asciiTheme="minorHAnsi" w:eastAsiaTheme="minorHAnsi" w:hAnsiTheme="minorHAnsi" w:cstheme="minorHAnsi"/>
                <w:sz w:val="22"/>
                <w:szCs w:val="22"/>
                <w:lang w:eastAsia="en-US"/>
              </w:rPr>
              <w:t xml:space="preserve">the </w:t>
            </w:r>
            <w:r w:rsidRPr="009708BA">
              <w:rPr>
                <w:rFonts w:asciiTheme="minorHAnsi" w:eastAsiaTheme="minorHAnsi" w:hAnsiTheme="minorHAnsi" w:cstheme="minorHAnsi"/>
                <w:sz w:val="22"/>
                <w:szCs w:val="22"/>
                <w:lang w:eastAsia="en-US"/>
              </w:rPr>
              <w:t>PBS restrictions in response to the action areas, as well as estimate changes in drug utilisation and financial implications</w:t>
            </w:r>
            <w:r w:rsidR="00D228E8" w:rsidRPr="009708BA">
              <w:rPr>
                <w:rFonts w:asciiTheme="minorHAnsi" w:eastAsiaTheme="minorHAnsi" w:hAnsiTheme="minorHAnsi" w:cstheme="minorHAnsi"/>
                <w:sz w:val="22"/>
                <w:szCs w:val="22"/>
                <w:lang w:eastAsia="en-US"/>
              </w:rPr>
              <w:t>. The Department</w:t>
            </w:r>
            <w:r w:rsidRPr="009708BA">
              <w:rPr>
                <w:rFonts w:asciiTheme="minorHAnsi" w:eastAsiaTheme="minorHAnsi" w:hAnsiTheme="minorHAnsi" w:cstheme="minorHAnsi"/>
                <w:bCs/>
                <w:sz w:val="22"/>
                <w:szCs w:val="22"/>
                <w:lang w:eastAsia="en-US"/>
              </w:rPr>
              <w:t xml:space="preserve"> will consult with RANZCP and relevant </w:t>
            </w:r>
            <w:r w:rsidR="0063274F" w:rsidRPr="009708BA">
              <w:rPr>
                <w:rFonts w:asciiTheme="minorHAnsi" w:eastAsiaTheme="minorHAnsi" w:hAnsiTheme="minorHAnsi" w:cstheme="minorHAnsi"/>
                <w:bCs/>
                <w:sz w:val="22"/>
                <w:szCs w:val="22"/>
                <w:lang w:eastAsia="en-US"/>
              </w:rPr>
              <w:t>stakeholders prior to PBAC’s consideration of any proposed changes to PBS listings.</w:t>
            </w:r>
          </w:p>
          <w:p w14:paraId="139AC57F" w14:textId="16854B40" w:rsidR="00D228E8" w:rsidRPr="00FD6F01" w:rsidRDefault="00D228E8" w:rsidP="00C2325C">
            <w:pPr>
              <w:keepNext/>
              <w:keepLines/>
              <w:rPr>
                <w:rFonts w:asciiTheme="minorHAnsi" w:eastAsiaTheme="minorHAnsi" w:hAnsiTheme="minorHAnsi" w:cstheme="minorHAnsi"/>
                <w:color w:val="FF0000"/>
                <w:sz w:val="22"/>
                <w:szCs w:val="22"/>
                <w:lang w:eastAsia="en-US"/>
              </w:rPr>
            </w:pPr>
          </w:p>
        </w:tc>
        <w:tc>
          <w:tcPr>
            <w:tcW w:w="2873" w:type="dxa"/>
            <w:tcBorders>
              <w:top w:val="single" w:sz="4" w:space="0" w:color="auto"/>
              <w:left w:val="single" w:sz="4" w:space="0" w:color="auto"/>
              <w:bottom w:val="single" w:sz="4" w:space="0" w:color="auto"/>
              <w:right w:val="single" w:sz="4" w:space="0" w:color="auto"/>
            </w:tcBorders>
          </w:tcPr>
          <w:p w14:paraId="339741F9" w14:textId="78ECA483" w:rsidR="00EC1BEF" w:rsidRPr="00FD6F01" w:rsidRDefault="00DB5C99" w:rsidP="00C2325C">
            <w:pPr>
              <w:keepNext/>
              <w:keepLines/>
              <w:numPr>
                <w:ilvl w:val="0"/>
                <w:numId w:val="35"/>
              </w:numPr>
              <w:rPr>
                <w:rFonts w:asciiTheme="minorHAnsi" w:eastAsiaTheme="minorHAnsi" w:hAnsiTheme="minorHAnsi" w:cstheme="minorHAnsi"/>
                <w:color w:val="FF0000"/>
                <w:sz w:val="22"/>
                <w:szCs w:val="22"/>
                <w:lang w:eastAsia="en-US"/>
              </w:rPr>
            </w:pPr>
            <w:r w:rsidRPr="009708BA">
              <w:rPr>
                <w:rFonts w:asciiTheme="minorHAnsi" w:eastAsiaTheme="minorHAnsi" w:hAnsiTheme="minorHAnsi" w:cstheme="minorHAnsi"/>
                <w:sz w:val="22"/>
                <w:szCs w:val="22"/>
                <w:lang w:eastAsia="en-US"/>
              </w:rPr>
              <w:t>PBS-listed medicines indicated for</w:t>
            </w:r>
            <w:r w:rsidRPr="009708BA">
              <w:rPr>
                <w:rFonts w:asciiTheme="minorHAnsi" w:hAnsiTheme="minorHAnsi" w:cstheme="minorHAnsi"/>
                <w:sz w:val="22"/>
                <w:szCs w:val="22"/>
              </w:rPr>
              <w:t xml:space="preserve"> </w:t>
            </w:r>
            <w:r w:rsidRPr="009708BA">
              <w:rPr>
                <w:rFonts w:asciiTheme="minorHAnsi" w:eastAsiaTheme="minorHAnsi" w:hAnsiTheme="minorHAnsi" w:cstheme="minorHAnsi"/>
                <w:sz w:val="22"/>
                <w:szCs w:val="22"/>
                <w:lang w:eastAsia="en-US"/>
              </w:rPr>
              <w:t xml:space="preserve">attention deficit hyperactivity disorder </w:t>
            </w:r>
          </w:p>
        </w:tc>
      </w:tr>
    </w:tbl>
    <w:p w14:paraId="0F314862" w14:textId="77777777" w:rsidR="00D3413A" w:rsidRPr="00460250" w:rsidRDefault="00D3413A" w:rsidP="00D3413A">
      <w:pPr>
        <w:rPr>
          <w:rFonts w:asciiTheme="minorHAnsi" w:eastAsiaTheme="minorHAnsi" w:hAnsiTheme="minorHAnsi" w:cstheme="minorHAnsi"/>
          <w:sz w:val="22"/>
          <w:szCs w:val="22"/>
          <w:lang w:eastAsia="en-US"/>
        </w:rPr>
      </w:pPr>
    </w:p>
    <w:p w14:paraId="03CCB4AC" w14:textId="77777777" w:rsidR="003A68AE" w:rsidRPr="00131C8E" w:rsidRDefault="003A68AE" w:rsidP="00C04ED9">
      <w:pPr>
        <w:rPr>
          <w:rFonts w:asciiTheme="minorHAnsi" w:hAnsiTheme="minorHAnsi" w:cstheme="minorHAnsi"/>
          <w:sz w:val="10"/>
          <w:szCs w:val="10"/>
        </w:rPr>
      </w:pPr>
    </w:p>
    <w:sectPr w:rsidR="003A68AE" w:rsidRPr="00131C8E" w:rsidSect="0097113B">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F858" w14:textId="77777777" w:rsidR="00E26123" w:rsidRDefault="00E26123" w:rsidP="00C27D55">
      <w:r>
        <w:separator/>
      </w:r>
    </w:p>
  </w:endnote>
  <w:endnote w:type="continuationSeparator" w:id="0">
    <w:p w14:paraId="55F96923" w14:textId="77777777" w:rsidR="00E26123" w:rsidRDefault="00E26123" w:rsidP="00C2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FF76" w14:textId="4EB9CC4F" w:rsidR="004C70FD" w:rsidRDefault="00AD0CE8">
    <w:pPr>
      <w:pStyle w:val="Footer"/>
    </w:pPr>
    <w:r>
      <w:rPr>
        <w:noProof/>
      </w:rPr>
      <mc:AlternateContent>
        <mc:Choice Requires="wps">
          <w:drawing>
            <wp:anchor distT="0" distB="0" distL="0" distR="0" simplePos="0" relativeHeight="251668480" behindDoc="0" locked="0" layoutInCell="1" allowOverlap="1" wp14:anchorId="48DFE26B" wp14:editId="63AA7E59">
              <wp:simplePos x="635" y="635"/>
              <wp:positionH relativeFrom="page">
                <wp:align>center</wp:align>
              </wp:positionH>
              <wp:positionV relativeFrom="page">
                <wp:align>bottom</wp:align>
              </wp:positionV>
              <wp:extent cx="551815" cy="376555"/>
              <wp:effectExtent l="0" t="0" r="635" b="0"/>
              <wp:wrapNone/>
              <wp:docPr id="6350279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D4CF4C" w14:textId="6B218580"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FE26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CD4CF4C" w14:textId="6B218580"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AE60" w14:textId="79549F3F" w:rsidR="004C70FD" w:rsidRDefault="00AD0CE8">
    <w:pPr>
      <w:pStyle w:val="Footer"/>
    </w:pPr>
    <w:r>
      <w:rPr>
        <w:noProof/>
      </w:rPr>
      <mc:AlternateContent>
        <mc:Choice Requires="wps">
          <w:drawing>
            <wp:anchor distT="0" distB="0" distL="0" distR="0" simplePos="0" relativeHeight="251669504" behindDoc="0" locked="0" layoutInCell="1" allowOverlap="1" wp14:anchorId="3E6E3450" wp14:editId="22659CEE">
              <wp:simplePos x="457200" y="6934200"/>
              <wp:positionH relativeFrom="page">
                <wp:align>center</wp:align>
              </wp:positionH>
              <wp:positionV relativeFrom="page">
                <wp:align>bottom</wp:align>
              </wp:positionV>
              <wp:extent cx="551815" cy="376555"/>
              <wp:effectExtent l="0" t="0" r="635" b="0"/>
              <wp:wrapNone/>
              <wp:docPr id="677080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D26B58" w14:textId="106CFC71"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E3450"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1D26B58" w14:textId="106CFC71"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6741" w14:textId="4EEC6781" w:rsidR="004C70FD" w:rsidRDefault="00AD0CE8">
    <w:pPr>
      <w:pStyle w:val="Footer"/>
    </w:pPr>
    <w:r>
      <w:rPr>
        <w:noProof/>
      </w:rPr>
      <mc:AlternateContent>
        <mc:Choice Requires="wps">
          <w:drawing>
            <wp:anchor distT="0" distB="0" distL="0" distR="0" simplePos="0" relativeHeight="251667456" behindDoc="0" locked="0" layoutInCell="1" allowOverlap="1" wp14:anchorId="5E4B9009" wp14:editId="0045383E">
              <wp:simplePos x="635" y="635"/>
              <wp:positionH relativeFrom="page">
                <wp:align>center</wp:align>
              </wp:positionH>
              <wp:positionV relativeFrom="page">
                <wp:align>bottom</wp:align>
              </wp:positionV>
              <wp:extent cx="551815" cy="376555"/>
              <wp:effectExtent l="0" t="0" r="635" b="0"/>
              <wp:wrapNone/>
              <wp:docPr id="14439943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7AC34E" w14:textId="33A371F6"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B9009"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F7AC34E" w14:textId="33A371F6"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6A14" w14:textId="77777777" w:rsidR="00E26123" w:rsidRDefault="00E26123" w:rsidP="00C27D55">
      <w:r>
        <w:separator/>
      </w:r>
    </w:p>
  </w:footnote>
  <w:footnote w:type="continuationSeparator" w:id="0">
    <w:p w14:paraId="58B7EFA4" w14:textId="77777777" w:rsidR="00E26123" w:rsidRDefault="00E26123" w:rsidP="00C2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38DA" w14:textId="58BDB259" w:rsidR="004C70FD" w:rsidRDefault="00AD0CE8">
    <w:pPr>
      <w:pStyle w:val="Header"/>
    </w:pPr>
    <w:r>
      <w:rPr>
        <w:noProof/>
      </w:rPr>
      <mc:AlternateContent>
        <mc:Choice Requires="wps">
          <w:drawing>
            <wp:anchor distT="0" distB="0" distL="0" distR="0" simplePos="0" relativeHeight="251665408" behindDoc="0" locked="0" layoutInCell="1" allowOverlap="1" wp14:anchorId="006FE531" wp14:editId="364B6BED">
              <wp:simplePos x="635" y="635"/>
              <wp:positionH relativeFrom="page">
                <wp:align>center</wp:align>
              </wp:positionH>
              <wp:positionV relativeFrom="page">
                <wp:align>top</wp:align>
              </wp:positionV>
              <wp:extent cx="551815" cy="376555"/>
              <wp:effectExtent l="0" t="0" r="635" b="4445"/>
              <wp:wrapNone/>
              <wp:docPr id="17875927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FC235A" w14:textId="01E4F7BC"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FE53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6FC235A" w14:textId="01E4F7BC"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88B1" w14:textId="4F2DE4B1" w:rsidR="004C70FD" w:rsidRDefault="00AD0CE8">
    <w:pPr>
      <w:pStyle w:val="Header"/>
    </w:pPr>
    <w:r>
      <w:rPr>
        <w:noProof/>
      </w:rPr>
      <mc:AlternateContent>
        <mc:Choice Requires="wps">
          <w:drawing>
            <wp:anchor distT="0" distB="0" distL="0" distR="0" simplePos="0" relativeHeight="251666432" behindDoc="0" locked="0" layoutInCell="1" allowOverlap="1" wp14:anchorId="2EAB49A5" wp14:editId="4DDAE4F3">
              <wp:simplePos x="457200" y="447675"/>
              <wp:positionH relativeFrom="page">
                <wp:align>center</wp:align>
              </wp:positionH>
              <wp:positionV relativeFrom="page">
                <wp:align>top</wp:align>
              </wp:positionV>
              <wp:extent cx="551815" cy="376555"/>
              <wp:effectExtent l="0" t="0" r="635" b="4445"/>
              <wp:wrapNone/>
              <wp:docPr id="7845612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8BC7C3" w14:textId="5C7B4A7F"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B49A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B8BC7C3" w14:textId="5C7B4A7F"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7AEE" w14:textId="1B4A0B7F" w:rsidR="004C70FD" w:rsidRDefault="00AD0CE8">
    <w:pPr>
      <w:pStyle w:val="Header"/>
    </w:pPr>
    <w:r>
      <w:rPr>
        <w:noProof/>
      </w:rPr>
      <mc:AlternateContent>
        <mc:Choice Requires="wps">
          <w:drawing>
            <wp:anchor distT="0" distB="0" distL="0" distR="0" simplePos="0" relativeHeight="251664384" behindDoc="0" locked="0" layoutInCell="1" allowOverlap="1" wp14:anchorId="02A7D032" wp14:editId="717923AB">
              <wp:simplePos x="635" y="635"/>
              <wp:positionH relativeFrom="page">
                <wp:align>center</wp:align>
              </wp:positionH>
              <wp:positionV relativeFrom="page">
                <wp:align>top</wp:align>
              </wp:positionV>
              <wp:extent cx="551815" cy="376555"/>
              <wp:effectExtent l="0" t="0" r="635" b="4445"/>
              <wp:wrapNone/>
              <wp:docPr id="136187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A61BA9" w14:textId="4E7FDA11"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7D032"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BA61BA9" w14:textId="4E7FDA11" w:rsidR="00AD0CE8" w:rsidRPr="00AD0CE8" w:rsidRDefault="00AD0CE8" w:rsidP="00AD0CE8">
                    <w:pPr>
                      <w:rPr>
                        <w:rFonts w:ascii="Calibri" w:eastAsia="Calibri" w:hAnsi="Calibri" w:cs="Calibri"/>
                        <w:noProof/>
                        <w:color w:val="FF0000"/>
                        <w:szCs w:val="24"/>
                      </w:rPr>
                    </w:pPr>
                    <w:r w:rsidRPr="00AD0CE8">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26E474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4775D"/>
    <w:multiLevelType w:val="hybridMultilevel"/>
    <w:tmpl w:val="DFCE7136"/>
    <w:lvl w:ilvl="0" w:tplc="907C646C">
      <w:start w:val="1"/>
      <w:numFmt w:val="bullet"/>
      <w:lvlText w:val=""/>
      <w:lvlJc w:val="left"/>
      <w:pPr>
        <w:ind w:left="1020" w:hanging="360"/>
      </w:pPr>
      <w:rPr>
        <w:rFonts w:ascii="Symbol" w:hAnsi="Symbol"/>
      </w:rPr>
    </w:lvl>
    <w:lvl w:ilvl="1" w:tplc="EC54D3D8">
      <w:start w:val="1"/>
      <w:numFmt w:val="bullet"/>
      <w:lvlText w:val=""/>
      <w:lvlJc w:val="left"/>
      <w:pPr>
        <w:ind w:left="1020" w:hanging="360"/>
      </w:pPr>
      <w:rPr>
        <w:rFonts w:ascii="Symbol" w:hAnsi="Symbol"/>
      </w:rPr>
    </w:lvl>
    <w:lvl w:ilvl="2" w:tplc="8FE278EA">
      <w:start w:val="1"/>
      <w:numFmt w:val="bullet"/>
      <w:lvlText w:val=""/>
      <w:lvlJc w:val="left"/>
      <w:pPr>
        <w:ind w:left="1020" w:hanging="360"/>
      </w:pPr>
      <w:rPr>
        <w:rFonts w:ascii="Symbol" w:hAnsi="Symbol"/>
      </w:rPr>
    </w:lvl>
    <w:lvl w:ilvl="3" w:tplc="0E2AD610">
      <w:start w:val="1"/>
      <w:numFmt w:val="bullet"/>
      <w:lvlText w:val=""/>
      <w:lvlJc w:val="left"/>
      <w:pPr>
        <w:ind w:left="1020" w:hanging="360"/>
      </w:pPr>
      <w:rPr>
        <w:rFonts w:ascii="Symbol" w:hAnsi="Symbol"/>
      </w:rPr>
    </w:lvl>
    <w:lvl w:ilvl="4" w:tplc="E2A6A91C">
      <w:start w:val="1"/>
      <w:numFmt w:val="bullet"/>
      <w:lvlText w:val=""/>
      <w:lvlJc w:val="left"/>
      <w:pPr>
        <w:ind w:left="1020" w:hanging="360"/>
      </w:pPr>
      <w:rPr>
        <w:rFonts w:ascii="Symbol" w:hAnsi="Symbol"/>
      </w:rPr>
    </w:lvl>
    <w:lvl w:ilvl="5" w:tplc="427AB98C">
      <w:start w:val="1"/>
      <w:numFmt w:val="bullet"/>
      <w:lvlText w:val=""/>
      <w:lvlJc w:val="left"/>
      <w:pPr>
        <w:ind w:left="1020" w:hanging="360"/>
      </w:pPr>
      <w:rPr>
        <w:rFonts w:ascii="Symbol" w:hAnsi="Symbol"/>
      </w:rPr>
    </w:lvl>
    <w:lvl w:ilvl="6" w:tplc="A0BA83D6">
      <w:start w:val="1"/>
      <w:numFmt w:val="bullet"/>
      <w:lvlText w:val=""/>
      <w:lvlJc w:val="left"/>
      <w:pPr>
        <w:ind w:left="1020" w:hanging="360"/>
      </w:pPr>
      <w:rPr>
        <w:rFonts w:ascii="Symbol" w:hAnsi="Symbol"/>
      </w:rPr>
    </w:lvl>
    <w:lvl w:ilvl="7" w:tplc="121285FE">
      <w:start w:val="1"/>
      <w:numFmt w:val="bullet"/>
      <w:lvlText w:val=""/>
      <w:lvlJc w:val="left"/>
      <w:pPr>
        <w:ind w:left="1020" w:hanging="360"/>
      </w:pPr>
      <w:rPr>
        <w:rFonts w:ascii="Symbol" w:hAnsi="Symbol"/>
      </w:rPr>
    </w:lvl>
    <w:lvl w:ilvl="8" w:tplc="FD1CAA2C">
      <w:start w:val="1"/>
      <w:numFmt w:val="bullet"/>
      <w:lvlText w:val=""/>
      <w:lvlJc w:val="left"/>
      <w:pPr>
        <w:ind w:left="1020" w:hanging="360"/>
      </w:pPr>
      <w:rPr>
        <w:rFonts w:ascii="Symbol" w:hAnsi="Symbol"/>
      </w:rPr>
    </w:lvl>
  </w:abstractNum>
  <w:abstractNum w:abstractNumId="2" w15:restartNumberingAfterBreak="0">
    <w:nsid w:val="03DD5F6C"/>
    <w:multiLevelType w:val="hybridMultilevel"/>
    <w:tmpl w:val="AB648E36"/>
    <w:lvl w:ilvl="0" w:tplc="F94C5C96">
      <w:start w:val="1"/>
      <w:numFmt w:val="bullet"/>
      <w:pStyle w:val="ListBullet"/>
      <w:lvlText w:val="•"/>
      <w:lvlJc w:val="left"/>
      <w:pPr>
        <w:ind w:left="360" w:hanging="360"/>
      </w:pPr>
      <w:rPr>
        <w:rFonts w:asciiTheme="majorHAnsi" w:hAnsiTheme="majorHAnsi" w:cstheme="majorHAnsi" w:hint="default"/>
        <w:b w:val="0"/>
        <w:bCs w:val="0"/>
        <w:i w:val="0"/>
        <w:iCs w:val="0"/>
        <w: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8A708E1A">
      <w:numFmt w:val="bullet"/>
      <w:lvlText w:val="-"/>
      <w:lvlJc w:val="left"/>
      <w:pPr>
        <w:ind w:left="1440" w:hanging="360"/>
      </w:pPr>
      <w:rPr>
        <w:rFonts w:ascii="Calibri" w:eastAsiaTheme="minorHAnsi" w:hAnsi="Calibri" w:cs="Calibri" w:hint="default"/>
      </w:rPr>
    </w:lvl>
    <w:lvl w:ilvl="2" w:tplc="9D880A18">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C6216"/>
    <w:multiLevelType w:val="hybridMultilevel"/>
    <w:tmpl w:val="4C3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2C4383"/>
    <w:multiLevelType w:val="hybridMultilevel"/>
    <w:tmpl w:val="5F3C197A"/>
    <w:lvl w:ilvl="0" w:tplc="FFFFFFFF">
      <w:start w:val="1"/>
      <w:numFmt w:val="bullet"/>
      <w:lvlText w:val=""/>
      <w:lvlJc w:val="left"/>
      <w:pPr>
        <w:ind w:left="2277" w:hanging="360"/>
      </w:pPr>
      <w:rPr>
        <w:rFonts w:ascii="Symbol" w:hAnsi="Symbol" w:hint="default"/>
      </w:rPr>
    </w:lvl>
    <w:lvl w:ilvl="1" w:tplc="0C090011">
      <w:start w:val="1"/>
      <w:numFmt w:val="decimal"/>
      <w:lvlText w:val="%2)"/>
      <w:lvlJc w:val="left"/>
      <w:pPr>
        <w:ind w:left="1797" w:hanging="360"/>
      </w:p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0EE2335C"/>
    <w:multiLevelType w:val="hybridMultilevel"/>
    <w:tmpl w:val="CDD4E79C"/>
    <w:lvl w:ilvl="0" w:tplc="F3022DB2">
      <w:start w:val="1"/>
      <w:numFmt w:val="bullet"/>
      <w:pStyle w:val="Bullet"/>
      <w:lvlText w:val=""/>
      <w:lvlJc w:val="left"/>
      <w:pPr>
        <w:ind w:left="927" w:hanging="360"/>
      </w:pPr>
      <w:rPr>
        <w:rFonts w:ascii="Wingdings 3" w:hAnsi="Wingdings 3" w:hint="default"/>
        <w:color w:val="auto"/>
        <w:position w:val="2"/>
        <w:sz w:val="16"/>
        <w:szCs w:val="16"/>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6AF761F"/>
    <w:multiLevelType w:val="hybridMultilevel"/>
    <w:tmpl w:val="BD1A0600"/>
    <w:lvl w:ilvl="0" w:tplc="B288B17C">
      <w:start w:val="1"/>
      <w:numFmt w:val="bullet"/>
      <w:lvlText w:val=""/>
      <w:lvlJc w:val="left"/>
      <w:pPr>
        <w:ind w:left="1020" w:hanging="360"/>
      </w:pPr>
      <w:rPr>
        <w:rFonts w:ascii="Symbol" w:hAnsi="Symbol"/>
      </w:rPr>
    </w:lvl>
    <w:lvl w:ilvl="1" w:tplc="8786B628">
      <w:start w:val="1"/>
      <w:numFmt w:val="bullet"/>
      <w:lvlText w:val=""/>
      <w:lvlJc w:val="left"/>
      <w:pPr>
        <w:ind w:left="1020" w:hanging="360"/>
      </w:pPr>
      <w:rPr>
        <w:rFonts w:ascii="Symbol" w:hAnsi="Symbol"/>
      </w:rPr>
    </w:lvl>
    <w:lvl w:ilvl="2" w:tplc="D1A2DD3A">
      <w:start w:val="1"/>
      <w:numFmt w:val="bullet"/>
      <w:lvlText w:val=""/>
      <w:lvlJc w:val="left"/>
      <w:pPr>
        <w:ind w:left="1020" w:hanging="360"/>
      </w:pPr>
      <w:rPr>
        <w:rFonts w:ascii="Symbol" w:hAnsi="Symbol"/>
      </w:rPr>
    </w:lvl>
    <w:lvl w:ilvl="3" w:tplc="7C1A850C">
      <w:start w:val="1"/>
      <w:numFmt w:val="bullet"/>
      <w:lvlText w:val=""/>
      <w:lvlJc w:val="left"/>
      <w:pPr>
        <w:ind w:left="1020" w:hanging="360"/>
      </w:pPr>
      <w:rPr>
        <w:rFonts w:ascii="Symbol" w:hAnsi="Symbol"/>
      </w:rPr>
    </w:lvl>
    <w:lvl w:ilvl="4" w:tplc="A4E0AD84">
      <w:start w:val="1"/>
      <w:numFmt w:val="bullet"/>
      <w:lvlText w:val=""/>
      <w:lvlJc w:val="left"/>
      <w:pPr>
        <w:ind w:left="1020" w:hanging="360"/>
      </w:pPr>
      <w:rPr>
        <w:rFonts w:ascii="Symbol" w:hAnsi="Symbol"/>
      </w:rPr>
    </w:lvl>
    <w:lvl w:ilvl="5" w:tplc="140EAB42">
      <w:start w:val="1"/>
      <w:numFmt w:val="bullet"/>
      <w:lvlText w:val=""/>
      <w:lvlJc w:val="left"/>
      <w:pPr>
        <w:ind w:left="1020" w:hanging="360"/>
      </w:pPr>
      <w:rPr>
        <w:rFonts w:ascii="Symbol" w:hAnsi="Symbol"/>
      </w:rPr>
    </w:lvl>
    <w:lvl w:ilvl="6" w:tplc="7C32FE82">
      <w:start w:val="1"/>
      <w:numFmt w:val="bullet"/>
      <w:lvlText w:val=""/>
      <w:lvlJc w:val="left"/>
      <w:pPr>
        <w:ind w:left="1020" w:hanging="360"/>
      </w:pPr>
      <w:rPr>
        <w:rFonts w:ascii="Symbol" w:hAnsi="Symbol"/>
      </w:rPr>
    </w:lvl>
    <w:lvl w:ilvl="7" w:tplc="5BF89CC6">
      <w:start w:val="1"/>
      <w:numFmt w:val="bullet"/>
      <w:lvlText w:val=""/>
      <w:lvlJc w:val="left"/>
      <w:pPr>
        <w:ind w:left="1020" w:hanging="360"/>
      </w:pPr>
      <w:rPr>
        <w:rFonts w:ascii="Symbol" w:hAnsi="Symbol"/>
      </w:rPr>
    </w:lvl>
    <w:lvl w:ilvl="8" w:tplc="E962DF2C">
      <w:start w:val="1"/>
      <w:numFmt w:val="bullet"/>
      <w:lvlText w:val=""/>
      <w:lvlJc w:val="left"/>
      <w:pPr>
        <w:ind w:left="1020" w:hanging="360"/>
      </w:pPr>
      <w:rPr>
        <w:rFonts w:ascii="Symbol" w:hAnsi="Symbol"/>
      </w:rPr>
    </w:lvl>
  </w:abstractNum>
  <w:abstractNum w:abstractNumId="7" w15:restartNumberingAfterBreak="0">
    <w:nsid w:val="1809D6AF"/>
    <w:multiLevelType w:val="hybridMultilevel"/>
    <w:tmpl w:val="ACBC1CEE"/>
    <w:lvl w:ilvl="0" w:tplc="3C4A4C96">
      <w:start w:val="1"/>
      <w:numFmt w:val="bullet"/>
      <w:lvlText w:val="·"/>
      <w:lvlJc w:val="left"/>
      <w:pPr>
        <w:ind w:left="360" w:hanging="360"/>
      </w:pPr>
      <w:rPr>
        <w:rFonts w:ascii="Symbol" w:hAnsi="Symbol" w:hint="default"/>
      </w:rPr>
    </w:lvl>
    <w:lvl w:ilvl="1" w:tplc="97204ED0">
      <w:start w:val="1"/>
      <w:numFmt w:val="bullet"/>
      <w:lvlText w:val="o"/>
      <w:lvlJc w:val="left"/>
      <w:pPr>
        <w:ind w:left="993" w:hanging="360"/>
      </w:pPr>
      <w:rPr>
        <w:rFonts w:ascii="Courier New" w:hAnsi="Courier New" w:cs="Times New Roman" w:hint="default"/>
      </w:rPr>
    </w:lvl>
    <w:lvl w:ilvl="2" w:tplc="D8585E08">
      <w:start w:val="1"/>
      <w:numFmt w:val="bullet"/>
      <w:lvlText w:val=""/>
      <w:lvlJc w:val="left"/>
      <w:pPr>
        <w:ind w:left="1800" w:hanging="360"/>
      </w:pPr>
      <w:rPr>
        <w:rFonts w:ascii="Wingdings" w:hAnsi="Wingdings" w:hint="default"/>
      </w:rPr>
    </w:lvl>
    <w:lvl w:ilvl="3" w:tplc="DD521776">
      <w:start w:val="1"/>
      <w:numFmt w:val="bullet"/>
      <w:lvlText w:val=""/>
      <w:lvlJc w:val="left"/>
      <w:pPr>
        <w:ind w:left="2520" w:hanging="360"/>
      </w:pPr>
      <w:rPr>
        <w:rFonts w:ascii="Symbol" w:hAnsi="Symbol" w:hint="default"/>
      </w:rPr>
    </w:lvl>
    <w:lvl w:ilvl="4" w:tplc="50B6EE20">
      <w:start w:val="1"/>
      <w:numFmt w:val="bullet"/>
      <w:lvlText w:val="o"/>
      <w:lvlJc w:val="left"/>
      <w:pPr>
        <w:ind w:left="3240" w:hanging="360"/>
      </w:pPr>
      <w:rPr>
        <w:rFonts w:ascii="Courier New" w:hAnsi="Courier New" w:cs="Times New Roman" w:hint="default"/>
      </w:rPr>
    </w:lvl>
    <w:lvl w:ilvl="5" w:tplc="CC4AE87E">
      <w:start w:val="1"/>
      <w:numFmt w:val="bullet"/>
      <w:lvlText w:val=""/>
      <w:lvlJc w:val="left"/>
      <w:pPr>
        <w:ind w:left="3960" w:hanging="360"/>
      </w:pPr>
      <w:rPr>
        <w:rFonts w:ascii="Wingdings" w:hAnsi="Wingdings" w:hint="default"/>
      </w:rPr>
    </w:lvl>
    <w:lvl w:ilvl="6" w:tplc="EB9A08F2">
      <w:start w:val="1"/>
      <w:numFmt w:val="bullet"/>
      <w:lvlText w:val=""/>
      <w:lvlJc w:val="left"/>
      <w:pPr>
        <w:ind w:left="4680" w:hanging="360"/>
      </w:pPr>
      <w:rPr>
        <w:rFonts w:ascii="Symbol" w:hAnsi="Symbol" w:hint="default"/>
      </w:rPr>
    </w:lvl>
    <w:lvl w:ilvl="7" w:tplc="81088522">
      <w:start w:val="1"/>
      <w:numFmt w:val="bullet"/>
      <w:lvlText w:val="o"/>
      <w:lvlJc w:val="left"/>
      <w:pPr>
        <w:ind w:left="5400" w:hanging="360"/>
      </w:pPr>
      <w:rPr>
        <w:rFonts w:ascii="Courier New" w:hAnsi="Courier New" w:cs="Times New Roman" w:hint="default"/>
      </w:rPr>
    </w:lvl>
    <w:lvl w:ilvl="8" w:tplc="EB803584">
      <w:start w:val="1"/>
      <w:numFmt w:val="bullet"/>
      <w:lvlText w:val=""/>
      <w:lvlJc w:val="left"/>
      <w:pPr>
        <w:ind w:left="6120" w:hanging="360"/>
      </w:pPr>
      <w:rPr>
        <w:rFonts w:ascii="Wingdings" w:hAnsi="Wingdings" w:hint="default"/>
      </w:rPr>
    </w:lvl>
  </w:abstractNum>
  <w:abstractNum w:abstractNumId="8" w15:restartNumberingAfterBreak="0">
    <w:nsid w:val="19BB56D3"/>
    <w:multiLevelType w:val="hybridMultilevel"/>
    <w:tmpl w:val="45C068F6"/>
    <w:lvl w:ilvl="0" w:tplc="404E7B9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5E56DF3"/>
    <w:multiLevelType w:val="hybridMultilevel"/>
    <w:tmpl w:val="A0A088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7081AE3"/>
    <w:multiLevelType w:val="hybridMultilevel"/>
    <w:tmpl w:val="56627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82735B"/>
    <w:multiLevelType w:val="hybridMultilevel"/>
    <w:tmpl w:val="8610B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7A63560"/>
    <w:multiLevelType w:val="hybridMultilevel"/>
    <w:tmpl w:val="BC14D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04803"/>
    <w:multiLevelType w:val="multilevel"/>
    <w:tmpl w:val="D4740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D7775"/>
    <w:multiLevelType w:val="hybridMultilevel"/>
    <w:tmpl w:val="4F365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1C165DF"/>
    <w:multiLevelType w:val="hybridMultilevel"/>
    <w:tmpl w:val="C18CC4D2"/>
    <w:lvl w:ilvl="0" w:tplc="398ADB2C">
      <w:start w:val="1"/>
      <w:numFmt w:val="bullet"/>
      <w:lvlText w:val=""/>
      <w:lvlJc w:val="left"/>
      <w:pPr>
        <w:ind w:left="1020" w:hanging="360"/>
      </w:pPr>
      <w:rPr>
        <w:rFonts w:ascii="Symbol" w:hAnsi="Symbol"/>
      </w:rPr>
    </w:lvl>
    <w:lvl w:ilvl="1" w:tplc="E56281D0">
      <w:start w:val="1"/>
      <w:numFmt w:val="bullet"/>
      <w:lvlText w:val=""/>
      <w:lvlJc w:val="left"/>
      <w:pPr>
        <w:ind w:left="1020" w:hanging="360"/>
      </w:pPr>
      <w:rPr>
        <w:rFonts w:ascii="Symbol" w:hAnsi="Symbol"/>
      </w:rPr>
    </w:lvl>
    <w:lvl w:ilvl="2" w:tplc="A74ED3AA">
      <w:start w:val="1"/>
      <w:numFmt w:val="bullet"/>
      <w:lvlText w:val=""/>
      <w:lvlJc w:val="left"/>
      <w:pPr>
        <w:ind w:left="1020" w:hanging="360"/>
      </w:pPr>
      <w:rPr>
        <w:rFonts w:ascii="Symbol" w:hAnsi="Symbol"/>
      </w:rPr>
    </w:lvl>
    <w:lvl w:ilvl="3" w:tplc="D4CC4A36">
      <w:start w:val="1"/>
      <w:numFmt w:val="bullet"/>
      <w:lvlText w:val=""/>
      <w:lvlJc w:val="left"/>
      <w:pPr>
        <w:ind w:left="1020" w:hanging="360"/>
      </w:pPr>
      <w:rPr>
        <w:rFonts w:ascii="Symbol" w:hAnsi="Symbol"/>
      </w:rPr>
    </w:lvl>
    <w:lvl w:ilvl="4" w:tplc="7B32AB2E">
      <w:start w:val="1"/>
      <w:numFmt w:val="bullet"/>
      <w:lvlText w:val=""/>
      <w:lvlJc w:val="left"/>
      <w:pPr>
        <w:ind w:left="1020" w:hanging="360"/>
      </w:pPr>
      <w:rPr>
        <w:rFonts w:ascii="Symbol" w:hAnsi="Symbol"/>
      </w:rPr>
    </w:lvl>
    <w:lvl w:ilvl="5" w:tplc="925C7972">
      <w:start w:val="1"/>
      <w:numFmt w:val="bullet"/>
      <w:lvlText w:val=""/>
      <w:lvlJc w:val="left"/>
      <w:pPr>
        <w:ind w:left="1020" w:hanging="360"/>
      </w:pPr>
      <w:rPr>
        <w:rFonts w:ascii="Symbol" w:hAnsi="Symbol"/>
      </w:rPr>
    </w:lvl>
    <w:lvl w:ilvl="6" w:tplc="AD005718">
      <w:start w:val="1"/>
      <w:numFmt w:val="bullet"/>
      <w:lvlText w:val=""/>
      <w:lvlJc w:val="left"/>
      <w:pPr>
        <w:ind w:left="1020" w:hanging="360"/>
      </w:pPr>
      <w:rPr>
        <w:rFonts w:ascii="Symbol" w:hAnsi="Symbol"/>
      </w:rPr>
    </w:lvl>
    <w:lvl w:ilvl="7" w:tplc="CF42B92C">
      <w:start w:val="1"/>
      <w:numFmt w:val="bullet"/>
      <w:lvlText w:val=""/>
      <w:lvlJc w:val="left"/>
      <w:pPr>
        <w:ind w:left="1020" w:hanging="360"/>
      </w:pPr>
      <w:rPr>
        <w:rFonts w:ascii="Symbol" w:hAnsi="Symbol"/>
      </w:rPr>
    </w:lvl>
    <w:lvl w:ilvl="8" w:tplc="5816B022">
      <w:start w:val="1"/>
      <w:numFmt w:val="bullet"/>
      <w:lvlText w:val=""/>
      <w:lvlJc w:val="left"/>
      <w:pPr>
        <w:ind w:left="1020" w:hanging="360"/>
      </w:pPr>
      <w:rPr>
        <w:rFonts w:ascii="Symbol" w:hAnsi="Symbol"/>
      </w:rPr>
    </w:lvl>
  </w:abstractNum>
  <w:abstractNum w:abstractNumId="16" w15:restartNumberingAfterBreak="0">
    <w:nsid w:val="3AFE68F2"/>
    <w:multiLevelType w:val="hybridMultilevel"/>
    <w:tmpl w:val="8B9ED61C"/>
    <w:lvl w:ilvl="0" w:tplc="0C090001">
      <w:start w:val="1"/>
      <w:numFmt w:val="bullet"/>
      <w:lvlText w:val=""/>
      <w:lvlJc w:val="left"/>
      <w:pPr>
        <w:ind w:left="2277"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F8C7452"/>
    <w:multiLevelType w:val="hybridMultilevel"/>
    <w:tmpl w:val="4A449BE8"/>
    <w:lvl w:ilvl="0" w:tplc="AD4245D8">
      <w:start w:val="1"/>
      <w:numFmt w:val="bullet"/>
      <w:lvlText w:val="·"/>
      <w:lvlJc w:val="left"/>
      <w:pPr>
        <w:ind w:left="360" w:hanging="360"/>
      </w:pPr>
      <w:rPr>
        <w:rFonts w:ascii="Symbol" w:hAnsi="Symbol" w:hint="default"/>
      </w:rPr>
    </w:lvl>
    <w:lvl w:ilvl="1" w:tplc="E8D4CBB2">
      <w:start w:val="1"/>
      <w:numFmt w:val="bullet"/>
      <w:lvlText w:val="o"/>
      <w:lvlJc w:val="left"/>
      <w:pPr>
        <w:ind w:left="1080" w:hanging="360"/>
      </w:pPr>
      <w:rPr>
        <w:rFonts w:ascii="Courier New" w:hAnsi="Courier New" w:cs="Times New Roman" w:hint="default"/>
      </w:rPr>
    </w:lvl>
    <w:lvl w:ilvl="2" w:tplc="10C01042">
      <w:start w:val="1"/>
      <w:numFmt w:val="bullet"/>
      <w:lvlText w:val=""/>
      <w:lvlJc w:val="left"/>
      <w:pPr>
        <w:ind w:left="1800" w:hanging="360"/>
      </w:pPr>
      <w:rPr>
        <w:rFonts w:ascii="Wingdings" w:hAnsi="Wingdings" w:hint="default"/>
      </w:rPr>
    </w:lvl>
    <w:lvl w:ilvl="3" w:tplc="F08E3604">
      <w:start w:val="1"/>
      <w:numFmt w:val="bullet"/>
      <w:lvlText w:val=""/>
      <w:lvlJc w:val="left"/>
      <w:pPr>
        <w:ind w:left="2520" w:hanging="360"/>
      </w:pPr>
      <w:rPr>
        <w:rFonts w:ascii="Symbol" w:hAnsi="Symbol" w:hint="default"/>
      </w:rPr>
    </w:lvl>
    <w:lvl w:ilvl="4" w:tplc="B61E31EA">
      <w:start w:val="1"/>
      <w:numFmt w:val="bullet"/>
      <w:lvlText w:val="o"/>
      <w:lvlJc w:val="left"/>
      <w:pPr>
        <w:ind w:left="3240" w:hanging="360"/>
      </w:pPr>
      <w:rPr>
        <w:rFonts w:ascii="Courier New" w:hAnsi="Courier New" w:cs="Times New Roman" w:hint="default"/>
      </w:rPr>
    </w:lvl>
    <w:lvl w:ilvl="5" w:tplc="3558C3B0">
      <w:start w:val="1"/>
      <w:numFmt w:val="bullet"/>
      <w:lvlText w:val=""/>
      <w:lvlJc w:val="left"/>
      <w:pPr>
        <w:ind w:left="3960" w:hanging="360"/>
      </w:pPr>
      <w:rPr>
        <w:rFonts w:ascii="Wingdings" w:hAnsi="Wingdings" w:hint="default"/>
      </w:rPr>
    </w:lvl>
    <w:lvl w:ilvl="6" w:tplc="D3725B1A">
      <w:start w:val="1"/>
      <w:numFmt w:val="bullet"/>
      <w:lvlText w:val=""/>
      <w:lvlJc w:val="left"/>
      <w:pPr>
        <w:ind w:left="4680" w:hanging="360"/>
      </w:pPr>
      <w:rPr>
        <w:rFonts w:ascii="Symbol" w:hAnsi="Symbol" w:hint="default"/>
      </w:rPr>
    </w:lvl>
    <w:lvl w:ilvl="7" w:tplc="4A449F1A">
      <w:start w:val="1"/>
      <w:numFmt w:val="bullet"/>
      <w:lvlText w:val="o"/>
      <w:lvlJc w:val="left"/>
      <w:pPr>
        <w:ind w:left="5400" w:hanging="360"/>
      </w:pPr>
      <w:rPr>
        <w:rFonts w:ascii="Courier New" w:hAnsi="Courier New" w:cs="Times New Roman" w:hint="default"/>
      </w:rPr>
    </w:lvl>
    <w:lvl w:ilvl="8" w:tplc="4874FAA0">
      <w:start w:val="1"/>
      <w:numFmt w:val="bullet"/>
      <w:lvlText w:val=""/>
      <w:lvlJc w:val="left"/>
      <w:pPr>
        <w:ind w:left="6120" w:hanging="360"/>
      </w:pPr>
      <w:rPr>
        <w:rFonts w:ascii="Wingdings" w:hAnsi="Wingdings" w:hint="default"/>
      </w:rPr>
    </w:lvl>
  </w:abstractNum>
  <w:abstractNum w:abstractNumId="18" w15:restartNumberingAfterBreak="0">
    <w:nsid w:val="426EE30A"/>
    <w:multiLevelType w:val="hybridMultilevel"/>
    <w:tmpl w:val="DB5E590C"/>
    <w:lvl w:ilvl="0" w:tplc="BAD2A248">
      <w:start w:val="1"/>
      <w:numFmt w:val="bullet"/>
      <w:lvlText w:val="·"/>
      <w:lvlJc w:val="left"/>
      <w:pPr>
        <w:ind w:left="720" w:hanging="360"/>
      </w:pPr>
      <w:rPr>
        <w:rFonts w:ascii="Symbol" w:hAnsi="Symbol" w:hint="default"/>
      </w:rPr>
    </w:lvl>
    <w:lvl w:ilvl="1" w:tplc="367ED7C0">
      <w:start w:val="1"/>
      <w:numFmt w:val="bullet"/>
      <w:lvlText w:val="o"/>
      <w:lvlJc w:val="left"/>
      <w:pPr>
        <w:ind w:left="1440" w:hanging="360"/>
      </w:pPr>
      <w:rPr>
        <w:rFonts w:ascii="Courier New" w:hAnsi="Courier New" w:cs="Times New Roman" w:hint="default"/>
      </w:rPr>
    </w:lvl>
    <w:lvl w:ilvl="2" w:tplc="89ECCAA4">
      <w:start w:val="1"/>
      <w:numFmt w:val="bullet"/>
      <w:lvlText w:val=""/>
      <w:lvlJc w:val="left"/>
      <w:pPr>
        <w:ind w:left="2160" w:hanging="360"/>
      </w:pPr>
      <w:rPr>
        <w:rFonts w:ascii="Wingdings" w:hAnsi="Wingdings" w:hint="default"/>
      </w:rPr>
    </w:lvl>
    <w:lvl w:ilvl="3" w:tplc="94A02842">
      <w:start w:val="1"/>
      <w:numFmt w:val="bullet"/>
      <w:lvlText w:val=""/>
      <w:lvlJc w:val="left"/>
      <w:pPr>
        <w:ind w:left="2880" w:hanging="360"/>
      </w:pPr>
      <w:rPr>
        <w:rFonts w:ascii="Symbol" w:hAnsi="Symbol" w:hint="default"/>
      </w:rPr>
    </w:lvl>
    <w:lvl w:ilvl="4" w:tplc="DD520E0A">
      <w:start w:val="1"/>
      <w:numFmt w:val="bullet"/>
      <w:lvlText w:val="o"/>
      <w:lvlJc w:val="left"/>
      <w:pPr>
        <w:ind w:left="3600" w:hanging="360"/>
      </w:pPr>
      <w:rPr>
        <w:rFonts w:ascii="Courier New" w:hAnsi="Courier New" w:cs="Times New Roman" w:hint="default"/>
      </w:rPr>
    </w:lvl>
    <w:lvl w:ilvl="5" w:tplc="DBD4D442">
      <w:start w:val="1"/>
      <w:numFmt w:val="bullet"/>
      <w:lvlText w:val=""/>
      <w:lvlJc w:val="left"/>
      <w:pPr>
        <w:ind w:left="4320" w:hanging="360"/>
      </w:pPr>
      <w:rPr>
        <w:rFonts w:ascii="Wingdings" w:hAnsi="Wingdings" w:hint="default"/>
      </w:rPr>
    </w:lvl>
    <w:lvl w:ilvl="6" w:tplc="8910B812">
      <w:start w:val="1"/>
      <w:numFmt w:val="bullet"/>
      <w:lvlText w:val=""/>
      <w:lvlJc w:val="left"/>
      <w:pPr>
        <w:ind w:left="5040" w:hanging="360"/>
      </w:pPr>
      <w:rPr>
        <w:rFonts w:ascii="Symbol" w:hAnsi="Symbol" w:hint="default"/>
      </w:rPr>
    </w:lvl>
    <w:lvl w:ilvl="7" w:tplc="29EC858C">
      <w:start w:val="1"/>
      <w:numFmt w:val="bullet"/>
      <w:lvlText w:val="o"/>
      <w:lvlJc w:val="left"/>
      <w:pPr>
        <w:ind w:left="5760" w:hanging="360"/>
      </w:pPr>
      <w:rPr>
        <w:rFonts w:ascii="Courier New" w:hAnsi="Courier New" w:cs="Times New Roman" w:hint="default"/>
      </w:rPr>
    </w:lvl>
    <w:lvl w:ilvl="8" w:tplc="D3947AAC">
      <w:start w:val="1"/>
      <w:numFmt w:val="bullet"/>
      <w:lvlText w:val=""/>
      <w:lvlJc w:val="left"/>
      <w:pPr>
        <w:ind w:left="6480" w:hanging="360"/>
      </w:pPr>
      <w:rPr>
        <w:rFonts w:ascii="Wingdings" w:hAnsi="Wingdings" w:hint="default"/>
      </w:rPr>
    </w:lvl>
  </w:abstractNum>
  <w:abstractNum w:abstractNumId="19" w15:restartNumberingAfterBreak="0">
    <w:nsid w:val="43E279E6"/>
    <w:multiLevelType w:val="hybridMultilevel"/>
    <w:tmpl w:val="2604C136"/>
    <w:lvl w:ilvl="0" w:tplc="FFFFFFFF">
      <w:start w:val="1"/>
      <w:numFmt w:val="bullet"/>
      <w:lvlText w:val=""/>
      <w:lvlJc w:val="left"/>
      <w:pPr>
        <w:ind w:left="2277" w:hanging="360"/>
      </w:pPr>
      <w:rPr>
        <w:rFonts w:ascii="Symbol" w:hAnsi="Symbol" w:hint="default"/>
      </w:rPr>
    </w:lvl>
    <w:lvl w:ilvl="1" w:tplc="0C09000F">
      <w:start w:val="1"/>
      <w:numFmt w:val="decimal"/>
      <w:lvlText w:val="%2."/>
      <w:lvlJc w:val="left"/>
      <w:pPr>
        <w:ind w:left="1797" w:hanging="360"/>
      </w:p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0" w15:restartNumberingAfterBreak="0">
    <w:nsid w:val="48BA54DB"/>
    <w:multiLevelType w:val="hybridMultilevel"/>
    <w:tmpl w:val="4394F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F369F7"/>
    <w:multiLevelType w:val="hybridMultilevel"/>
    <w:tmpl w:val="40D8F9E0"/>
    <w:lvl w:ilvl="0" w:tplc="9B6ACF22">
      <w:start w:val="1"/>
      <w:numFmt w:val="bullet"/>
      <w:lvlText w:val="·"/>
      <w:lvlJc w:val="left"/>
      <w:pPr>
        <w:ind w:left="720" w:hanging="360"/>
      </w:pPr>
      <w:rPr>
        <w:rFonts w:ascii="Symbol" w:hAnsi="Symbol" w:hint="default"/>
      </w:rPr>
    </w:lvl>
    <w:lvl w:ilvl="1" w:tplc="D6F2AD0E">
      <w:start w:val="1"/>
      <w:numFmt w:val="bullet"/>
      <w:lvlText w:val="o"/>
      <w:lvlJc w:val="left"/>
      <w:pPr>
        <w:ind w:left="1440" w:hanging="360"/>
      </w:pPr>
      <w:rPr>
        <w:rFonts w:ascii="Courier New" w:hAnsi="Courier New" w:cs="Times New Roman" w:hint="default"/>
      </w:rPr>
    </w:lvl>
    <w:lvl w:ilvl="2" w:tplc="77D4A440">
      <w:start w:val="1"/>
      <w:numFmt w:val="bullet"/>
      <w:lvlText w:val=""/>
      <w:lvlJc w:val="left"/>
      <w:pPr>
        <w:ind w:left="2160" w:hanging="360"/>
      </w:pPr>
      <w:rPr>
        <w:rFonts w:ascii="Wingdings" w:hAnsi="Wingdings" w:hint="default"/>
      </w:rPr>
    </w:lvl>
    <w:lvl w:ilvl="3" w:tplc="DB40C6F4">
      <w:start w:val="1"/>
      <w:numFmt w:val="bullet"/>
      <w:lvlText w:val=""/>
      <w:lvlJc w:val="left"/>
      <w:pPr>
        <w:ind w:left="2880" w:hanging="360"/>
      </w:pPr>
      <w:rPr>
        <w:rFonts w:ascii="Symbol" w:hAnsi="Symbol" w:hint="default"/>
      </w:rPr>
    </w:lvl>
    <w:lvl w:ilvl="4" w:tplc="2892BFE0">
      <w:start w:val="1"/>
      <w:numFmt w:val="bullet"/>
      <w:lvlText w:val="o"/>
      <w:lvlJc w:val="left"/>
      <w:pPr>
        <w:ind w:left="3600" w:hanging="360"/>
      </w:pPr>
      <w:rPr>
        <w:rFonts w:ascii="Courier New" w:hAnsi="Courier New" w:cs="Times New Roman" w:hint="default"/>
      </w:rPr>
    </w:lvl>
    <w:lvl w:ilvl="5" w:tplc="658ABABA">
      <w:start w:val="1"/>
      <w:numFmt w:val="bullet"/>
      <w:lvlText w:val=""/>
      <w:lvlJc w:val="left"/>
      <w:pPr>
        <w:ind w:left="4320" w:hanging="360"/>
      </w:pPr>
      <w:rPr>
        <w:rFonts w:ascii="Wingdings" w:hAnsi="Wingdings" w:hint="default"/>
      </w:rPr>
    </w:lvl>
    <w:lvl w:ilvl="6" w:tplc="1A5819CA">
      <w:start w:val="1"/>
      <w:numFmt w:val="bullet"/>
      <w:lvlText w:val=""/>
      <w:lvlJc w:val="left"/>
      <w:pPr>
        <w:ind w:left="5040" w:hanging="360"/>
      </w:pPr>
      <w:rPr>
        <w:rFonts w:ascii="Symbol" w:hAnsi="Symbol" w:hint="default"/>
      </w:rPr>
    </w:lvl>
    <w:lvl w:ilvl="7" w:tplc="DB4A4DB6">
      <w:start w:val="1"/>
      <w:numFmt w:val="bullet"/>
      <w:lvlText w:val="o"/>
      <w:lvlJc w:val="left"/>
      <w:pPr>
        <w:ind w:left="5760" w:hanging="360"/>
      </w:pPr>
      <w:rPr>
        <w:rFonts w:ascii="Courier New" w:hAnsi="Courier New" w:cs="Times New Roman" w:hint="default"/>
      </w:rPr>
    </w:lvl>
    <w:lvl w:ilvl="8" w:tplc="93DA93DA">
      <w:start w:val="1"/>
      <w:numFmt w:val="bullet"/>
      <w:lvlText w:val=""/>
      <w:lvlJc w:val="left"/>
      <w:pPr>
        <w:ind w:left="6480" w:hanging="360"/>
      </w:pPr>
      <w:rPr>
        <w:rFonts w:ascii="Wingdings" w:hAnsi="Wingdings" w:hint="default"/>
      </w:rPr>
    </w:lvl>
  </w:abstractNum>
  <w:abstractNum w:abstractNumId="22" w15:restartNumberingAfterBreak="0">
    <w:nsid w:val="5CDE6CE3"/>
    <w:multiLevelType w:val="hybridMultilevel"/>
    <w:tmpl w:val="23605CEA"/>
    <w:lvl w:ilvl="0" w:tplc="032273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30E64EC"/>
    <w:multiLevelType w:val="hybridMultilevel"/>
    <w:tmpl w:val="F34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3720E"/>
    <w:multiLevelType w:val="hybridMultilevel"/>
    <w:tmpl w:val="94B68C44"/>
    <w:lvl w:ilvl="0" w:tplc="99E8CDE6">
      <w:start w:val="1"/>
      <w:numFmt w:val="bullet"/>
      <w:lvlText w:val=""/>
      <w:lvlJc w:val="left"/>
      <w:pPr>
        <w:ind w:left="1020" w:hanging="360"/>
      </w:pPr>
      <w:rPr>
        <w:rFonts w:ascii="Symbol" w:hAnsi="Symbol"/>
      </w:rPr>
    </w:lvl>
    <w:lvl w:ilvl="1" w:tplc="A9D01338">
      <w:start w:val="1"/>
      <w:numFmt w:val="bullet"/>
      <w:lvlText w:val=""/>
      <w:lvlJc w:val="left"/>
      <w:pPr>
        <w:ind w:left="1020" w:hanging="360"/>
      </w:pPr>
      <w:rPr>
        <w:rFonts w:ascii="Symbol" w:hAnsi="Symbol"/>
      </w:rPr>
    </w:lvl>
    <w:lvl w:ilvl="2" w:tplc="951CBA8C">
      <w:start w:val="1"/>
      <w:numFmt w:val="bullet"/>
      <w:lvlText w:val=""/>
      <w:lvlJc w:val="left"/>
      <w:pPr>
        <w:ind w:left="1020" w:hanging="360"/>
      </w:pPr>
      <w:rPr>
        <w:rFonts w:ascii="Symbol" w:hAnsi="Symbol"/>
      </w:rPr>
    </w:lvl>
    <w:lvl w:ilvl="3" w:tplc="26A0392C">
      <w:start w:val="1"/>
      <w:numFmt w:val="bullet"/>
      <w:lvlText w:val=""/>
      <w:lvlJc w:val="left"/>
      <w:pPr>
        <w:ind w:left="1020" w:hanging="360"/>
      </w:pPr>
      <w:rPr>
        <w:rFonts w:ascii="Symbol" w:hAnsi="Symbol"/>
      </w:rPr>
    </w:lvl>
    <w:lvl w:ilvl="4" w:tplc="B4268EFC">
      <w:start w:val="1"/>
      <w:numFmt w:val="bullet"/>
      <w:lvlText w:val=""/>
      <w:lvlJc w:val="left"/>
      <w:pPr>
        <w:ind w:left="1020" w:hanging="360"/>
      </w:pPr>
      <w:rPr>
        <w:rFonts w:ascii="Symbol" w:hAnsi="Symbol"/>
      </w:rPr>
    </w:lvl>
    <w:lvl w:ilvl="5" w:tplc="010ECC16">
      <w:start w:val="1"/>
      <w:numFmt w:val="bullet"/>
      <w:lvlText w:val=""/>
      <w:lvlJc w:val="left"/>
      <w:pPr>
        <w:ind w:left="1020" w:hanging="360"/>
      </w:pPr>
      <w:rPr>
        <w:rFonts w:ascii="Symbol" w:hAnsi="Symbol"/>
      </w:rPr>
    </w:lvl>
    <w:lvl w:ilvl="6" w:tplc="2236ECE6">
      <w:start w:val="1"/>
      <w:numFmt w:val="bullet"/>
      <w:lvlText w:val=""/>
      <w:lvlJc w:val="left"/>
      <w:pPr>
        <w:ind w:left="1020" w:hanging="360"/>
      </w:pPr>
      <w:rPr>
        <w:rFonts w:ascii="Symbol" w:hAnsi="Symbol"/>
      </w:rPr>
    </w:lvl>
    <w:lvl w:ilvl="7" w:tplc="FCE80BA0">
      <w:start w:val="1"/>
      <w:numFmt w:val="bullet"/>
      <w:lvlText w:val=""/>
      <w:lvlJc w:val="left"/>
      <w:pPr>
        <w:ind w:left="1020" w:hanging="360"/>
      </w:pPr>
      <w:rPr>
        <w:rFonts w:ascii="Symbol" w:hAnsi="Symbol"/>
      </w:rPr>
    </w:lvl>
    <w:lvl w:ilvl="8" w:tplc="46B4E90A">
      <w:start w:val="1"/>
      <w:numFmt w:val="bullet"/>
      <w:lvlText w:val=""/>
      <w:lvlJc w:val="left"/>
      <w:pPr>
        <w:ind w:left="1020" w:hanging="360"/>
      </w:pPr>
      <w:rPr>
        <w:rFonts w:ascii="Symbol" w:hAnsi="Symbol"/>
      </w:rPr>
    </w:lvl>
  </w:abstractNum>
  <w:abstractNum w:abstractNumId="25" w15:restartNumberingAfterBreak="0">
    <w:nsid w:val="720E43A7"/>
    <w:multiLevelType w:val="hybridMultilevel"/>
    <w:tmpl w:val="57DE7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0498B"/>
    <w:multiLevelType w:val="hybridMultilevel"/>
    <w:tmpl w:val="7E6A20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3A8D223"/>
    <w:multiLevelType w:val="hybridMultilevel"/>
    <w:tmpl w:val="5B00ACBA"/>
    <w:lvl w:ilvl="0" w:tplc="06C63684">
      <w:start w:val="1"/>
      <w:numFmt w:val="bullet"/>
      <w:lvlText w:val="·"/>
      <w:lvlJc w:val="left"/>
      <w:pPr>
        <w:ind w:left="720" w:hanging="360"/>
      </w:pPr>
      <w:rPr>
        <w:rFonts w:ascii="Symbol" w:hAnsi="Symbol" w:hint="default"/>
      </w:rPr>
    </w:lvl>
    <w:lvl w:ilvl="1" w:tplc="ECDA0A06">
      <w:start w:val="1"/>
      <w:numFmt w:val="bullet"/>
      <w:lvlText w:val="o"/>
      <w:lvlJc w:val="left"/>
      <w:pPr>
        <w:ind w:left="1440" w:hanging="360"/>
      </w:pPr>
      <w:rPr>
        <w:rFonts w:ascii="Courier New" w:hAnsi="Courier New" w:cs="Times New Roman" w:hint="default"/>
      </w:rPr>
    </w:lvl>
    <w:lvl w:ilvl="2" w:tplc="051ED044">
      <w:start w:val="1"/>
      <w:numFmt w:val="bullet"/>
      <w:lvlText w:val=""/>
      <w:lvlJc w:val="left"/>
      <w:pPr>
        <w:ind w:left="2160" w:hanging="360"/>
      </w:pPr>
      <w:rPr>
        <w:rFonts w:ascii="Wingdings" w:hAnsi="Wingdings" w:hint="default"/>
      </w:rPr>
    </w:lvl>
    <w:lvl w:ilvl="3" w:tplc="37729118">
      <w:start w:val="1"/>
      <w:numFmt w:val="bullet"/>
      <w:lvlText w:val=""/>
      <w:lvlJc w:val="left"/>
      <w:pPr>
        <w:ind w:left="2880" w:hanging="360"/>
      </w:pPr>
      <w:rPr>
        <w:rFonts w:ascii="Symbol" w:hAnsi="Symbol" w:hint="default"/>
      </w:rPr>
    </w:lvl>
    <w:lvl w:ilvl="4" w:tplc="E66EA8A4">
      <w:start w:val="1"/>
      <w:numFmt w:val="bullet"/>
      <w:lvlText w:val="o"/>
      <w:lvlJc w:val="left"/>
      <w:pPr>
        <w:ind w:left="3600" w:hanging="360"/>
      </w:pPr>
      <w:rPr>
        <w:rFonts w:ascii="Courier New" w:hAnsi="Courier New" w:cs="Times New Roman" w:hint="default"/>
      </w:rPr>
    </w:lvl>
    <w:lvl w:ilvl="5" w:tplc="41282C50">
      <w:start w:val="1"/>
      <w:numFmt w:val="bullet"/>
      <w:lvlText w:val=""/>
      <w:lvlJc w:val="left"/>
      <w:pPr>
        <w:ind w:left="4320" w:hanging="360"/>
      </w:pPr>
      <w:rPr>
        <w:rFonts w:ascii="Wingdings" w:hAnsi="Wingdings" w:hint="default"/>
      </w:rPr>
    </w:lvl>
    <w:lvl w:ilvl="6" w:tplc="8338A228">
      <w:start w:val="1"/>
      <w:numFmt w:val="bullet"/>
      <w:lvlText w:val=""/>
      <w:lvlJc w:val="left"/>
      <w:pPr>
        <w:ind w:left="5040" w:hanging="360"/>
      </w:pPr>
      <w:rPr>
        <w:rFonts w:ascii="Symbol" w:hAnsi="Symbol" w:hint="default"/>
      </w:rPr>
    </w:lvl>
    <w:lvl w:ilvl="7" w:tplc="88E419B8">
      <w:start w:val="1"/>
      <w:numFmt w:val="bullet"/>
      <w:lvlText w:val="o"/>
      <w:lvlJc w:val="left"/>
      <w:pPr>
        <w:ind w:left="5760" w:hanging="360"/>
      </w:pPr>
      <w:rPr>
        <w:rFonts w:ascii="Courier New" w:hAnsi="Courier New" w:cs="Times New Roman" w:hint="default"/>
      </w:rPr>
    </w:lvl>
    <w:lvl w:ilvl="8" w:tplc="266C4D68">
      <w:start w:val="1"/>
      <w:numFmt w:val="bullet"/>
      <w:lvlText w:val=""/>
      <w:lvlJc w:val="left"/>
      <w:pPr>
        <w:ind w:left="6480" w:hanging="360"/>
      </w:pPr>
      <w:rPr>
        <w:rFonts w:ascii="Wingdings" w:hAnsi="Wingdings" w:hint="default"/>
      </w:rPr>
    </w:lvl>
  </w:abstractNum>
  <w:abstractNum w:abstractNumId="28" w15:restartNumberingAfterBreak="0">
    <w:nsid w:val="75BD1CB5"/>
    <w:multiLevelType w:val="hybridMultilevel"/>
    <w:tmpl w:val="5E823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88B27522"/>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40601941">
    <w:abstractNumId w:val="5"/>
  </w:num>
  <w:num w:numId="2" w16cid:durableId="103811090">
    <w:abstractNumId w:val="2"/>
  </w:num>
  <w:num w:numId="3" w16cid:durableId="1208293986">
    <w:abstractNumId w:val="0"/>
  </w:num>
  <w:num w:numId="4" w16cid:durableId="73627084">
    <w:abstractNumId w:val="9"/>
  </w:num>
  <w:num w:numId="5" w16cid:durableId="680818591">
    <w:abstractNumId w:val="26"/>
  </w:num>
  <w:num w:numId="6" w16cid:durableId="679308186">
    <w:abstractNumId w:val="16"/>
  </w:num>
  <w:num w:numId="7" w16cid:durableId="939944806">
    <w:abstractNumId w:val="29"/>
  </w:num>
  <w:num w:numId="8" w16cid:durableId="1943107207">
    <w:abstractNumId w:val="16"/>
  </w:num>
  <w:num w:numId="9" w16cid:durableId="683167669">
    <w:abstractNumId w:val="16"/>
  </w:num>
  <w:num w:numId="10" w16cid:durableId="1368794028">
    <w:abstractNumId w:val="12"/>
  </w:num>
  <w:num w:numId="11" w16cid:durableId="1756900668">
    <w:abstractNumId w:val="24"/>
  </w:num>
  <w:num w:numId="12" w16cid:durableId="1821270411">
    <w:abstractNumId w:val="1"/>
  </w:num>
  <w:num w:numId="13" w16cid:durableId="426582168">
    <w:abstractNumId w:val="6"/>
  </w:num>
  <w:num w:numId="14" w16cid:durableId="1533029493">
    <w:abstractNumId w:val="15"/>
  </w:num>
  <w:num w:numId="15" w16cid:durableId="1072048036">
    <w:abstractNumId w:val="28"/>
  </w:num>
  <w:num w:numId="16" w16cid:durableId="1326392952">
    <w:abstractNumId w:val="19"/>
  </w:num>
  <w:num w:numId="17" w16cid:durableId="681392973">
    <w:abstractNumId w:val="4"/>
  </w:num>
  <w:num w:numId="18" w16cid:durableId="1847671151">
    <w:abstractNumId w:val="10"/>
  </w:num>
  <w:num w:numId="19" w16cid:durableId="398015853">
    <w:abstractNumId w:val="20"/>
  </w:num>
  <w:num w:numId="20" w16cid:durableId="649095191">
    <w:abstractNumId w:val="3"/>
  </w:num>
  <w:num w:numId="21" w16cid:durableId="563102482">
    <w:abstractNumId w:val="13"/>
  </w:num>
  <w:num w:numId="22" w16cid:durableId="1998067337">
    <w:abstractNumId w:val="29"/>
  </w:num>
  <w:num w:numId="23" w16cid:durableId="259335301">
    <w:abstractNumId w:val="29"/>
  </w:num>
  <w:num w:numId="24" w16cid:durableId="1134834530">
    <w:abstractNumId w:val="29"/>
  </w:num>
  <w:num w:numId="25" w16cid:durableId="243536516">
    <w:abstractNumId w:val="29"/>
  </w:num>
  <w:num w:numId="26" w16cid:durableId="364717286">
    <w:abstractNumId w:val="25"/>
  </w:num>
  <w:num w:numId="27" w16cid:durableId="23946589">
    <w:abstractNumId w:val="29"/>
  </w:num>
  <w:num w:numId="28" w16cid:durableId="404298498">
    <w:abstractNumId w:val="7"/>
  </w:num>
  <w:num w:numId="29" w16cid:durableId="838083934">
    <w:abstractNumId w:val="27"/>
  </w:num>
  <w:num w:numId="30" w16cid:durableId="926228299">
    <w:abstractNumId w:val="21"/>
  </w:num>
  <w:num w:numId="31" w16cid:durableId="213931187">
    <w:abstractNumId w:val="18"/>
  </w:num>
  <w:num w:numId="32" w16cid:durableId="483472481">
    <w:abstractNumId w:val="17"/>
  </w:num>
  <w:num w:numId="33" w16cid:durableId="2035613733">
    <w:abstractNumId w:val="11"/>
  </w:num>
  <w:num w:numId="34" w16cid:durableId="63185072">
    <w:abstractNumId w:val="14"/>
  </w:num>
  <w:num w:numId="35" w16cid:durableId="398091313">
    <w:abstractNumId w:val="22"/>
  </w:num>
  <w:num w:numId="36" w16cid:durableId="1223060719">
    <w:abstractNumId w:val="8"/>
  </w:num>
  <w:num w:numId="37" w16cid:durableId="22322366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55"/>
    <w:rsid w:val="0000189D"/>
    <w:rsid w:val="00001E7F"/>
    <w:rsid w:val="00002050"/>
    <w:rsid w:val="00003743"/>
    <w:rsid w:val="000043D8"/>
    <w:rsid w:val="0000522A"/>
    <w:rsid w:val="000059BF"/>
    <w:rsid w:val="00005B9E"/>
    <w:rsid w:val="000120F8"/>
    <w:rsid w:val="0001305E"/>
    <w:rsid w:val="000142FF"/>
    <w:rsid w:val="000170B1"/>
    <w:rsid w:val="0002031B"/>
    <w:rsid w:val="0002052A"/>
    <w:rsid w:val="00020668"/>
    <w:rsid w:val="00020833"/>
    <w:rsid w:val="000211A0"/>
    <w:rsid w:val="0002549E"/>
    <w:rsid w:val="00025AB9"/>
    <w:rsid w:val="00026AA7"/>
    <w:rsid w:val="00027926"/>
    <w:rsid w:val="00032787"/>
    <w:rsid w:val="00033250"/>
    <w:rsid w:val="00035399"/>
    <w:rsid w:val="00042409"/>
    <w:rsid w:val="000429C5"/>
    <w:rsid w:val="000446D2"/>
    <w:rsid w:val="0004521D"/>
    <w:rsid w:val="00045A6F"/>
    <w:rsid w:val="000460B4"/>
    <w:rsid w:val="0005142D"/>
    <w:rsid w:val="00051467"/>
    <w:rsid w:val="0005170C"/>
    <w:rsid w:val="00051C01"/>
    <w:rsid w:val="00053289"/>
    <w:rsid w:val="00055DFD"/>
    <w:rsid w:val="00056C41"/>
    <w:rsid w:val="00067456"/>
    <w:rsid w:val="00070607"/>
    <w:rsid w:val="00071670"/>
    <w:rsid w:val="000720C7"/>
    <w:rsid w:val="000725FC"/>
    <w:rsid w:val="000800DD"/>
    <w:rsid w:val="00081C78"/>
    <w:rsid w:val="00083BD7"/>
    <w:rsid w:val="00085722"/>
    <w:rsid w:val="000905DA"/>
    <w:rsid w:val="00094E16"/>
    <w:rsid w:val="00095A7F"/>
    <w:rsid w:val="00095F99"/>
    <w:rsid w:val="000A17C6"/>
    <w:rsid w:val="000B2D6F"/>
    <w:rsid w:val="000B32D0"/>
    <w:rsid w:val="000B54A5"/>
    <w:rsid w:val="000C4629"/>
    <w:rsid w:val="000C51F6"/>
    <w:rsid w:val="000C674D"/>
    <w:rsid w:val="000C7345"/>
    <w:rsid w:val="000C792F"/>
    <w:rsid w:val="000D13E8"/>
    <w:rsid w:val="000D20D9"/>
    <w:rsid w:val="000D2A61"/>
    <w:rsid w:val="000D4134"/>
    <w:rsid w:val="000D67CB"/>
    <w:rsid w:val="000E0F0A"/>
    <w:rsid w:val="000E42B0"/>
    <w:rsid w:val="000E4424"/>
    <w:rsid w:val="000E73A8"/>
    <w:rsid w:val="000E76F2"/>
    <w:rsid w:val="000F0FD7"/>
    <w:rsid w:val="000F153F"/>
    <w:rsid w:val="000F3672"/>
    <w:rsid w:val="000F7D5D"/>
    <w:rsid w:val="00105464"/>
    <w:rsid w:val="001064F1"/>
    <w:rsid w:val="00111DAE"/>
    <w:rsid w:val="00113DE7"/>
    <w:rsid w:val="00113FCA"/>
    <w:rsid w:val="00116659"/>
    <w:rsid w:val="0011682A"/>
    <w:rsid w:val="00116A00"/>
    <w:rsid w:val="00117030"/>
    <w:rsid w:val="00117CBB"/>
    <w:rsid w:val="001222BF"/>
    <w:rsid w:val="001229D6"/>
    <w:rsid w:val="00123AF2"/>
    <w:rsid w:val="00126A96"/>
    <w:rsid w:val="00131C8E"/>
    <w:rsid w:val="001330DA"/>
    <w:rsid w:val="00134C80"/>
    <w:rsid w:val="00137987"/>
    <w:rsid w:val="001404D9"/>
    <w:rsid w:val="00140E1F"/>
    <w:rsid w:val="00140E61"/>
    <w:rsid w:val="001458ED"/>
    <w:rsid w:val="001462D1"/>
    <w:rsid w:val="001507E7"/>
    <w:rsid w:val="0015166E"/>
    <w:rsid w:val="00160CEB"/>
    <w:rsid w:val="00162883"/>
    <w:rsid w:val="0016414E"/>
    <w:rsid w:val="00165ED0"/>
    <w:rsid w:val="00166778"/>
    <w:rsid w:val="00170DCB"/>
    <w:rsid w:val="001719FB"/>
    <w:rsid w:val="001740AB"/>
    <w:rsid w:val="0017424A"/>
    <w:rsid w:val="001753A6"/>
    <w:rsid w:val="00176413"/>
    <w:rsid w:val="0018211E"/>
    <w:rsid w:val="001821E0"/>
    <w:rsid w:val="001839DF"/>
    <w:rsid w:val="001847FA"/>
    <w:rsid w:val="00184F01"/>
    <w:rsid w:val="0018546E"/>
    <w:rsid w:val="00186994"/>
    <w:rsid w:val="00187C91"/>
    <w:rsid w:val="00193001"/>
    <w:rsid w:val="001956AA"/>
    <w:rsid w:val="00196277"/>
    <w:rsid w:val="0019799A"/>
    <w:rsid w:val="001A160E"/>
    <w:rsid w:val="001A2573"/>
    <w:rsid w:val="001A7758"/>
    <w:rsid w:val="001B06C3"/>
    <w:rsid w:val="001B3443"/>
    <w:rsid w:val="001B70AC"/>
    <w:rsid w:val="001B7DFF"/>
    <w:rsid w:val="001C26F4"/>
    <w:rsid w:val="001C6D4A"/>
    <w:rsid w:val="001D0B66"/>
    <w:rsid w:val="001D226D"/>
    <w:rsid w:val="001D2CF1"/>
    <w:rsid w:val="001D302E"/>
    <w:rsid w:val="001D6BF6"/>
    <w:rsid w:val="001E0688"/>
    <w:rsid w:val="001E16E5"/>
    <w:rsid w:val="001E262E"/>
    <w:rsid w:val="001E400A"/>
    <w:rsid w:val="001E5ED4"/>
    <w:rsid w:val="001F205A"/>
    <w:rsid w:val="001F45D8"/>
    <w:rsid w:val="001F4A2F"/>
    <w:rsid w:val="001F60C6"/>
    <w:rsid w:val="001F66C6"/>
    <w:rsid w:val="0020076C"/>
    <w:rsid w:val="0020077F"/>
    <w:rsid w:val="00201B1E"/>
    <w:rsid w:val="00204CA5"/>
    <w:rsid w:val="00213D70"/>
    <w:rsid w:val="00214367"/>
    <w:rsid w:val="002145FE"/>
    <w:rsid w:val="0021520E"/>
    <w:rsid w:val="00216B62"/>
    <w:rsid w:val="0021720E"/>
    <w:rsid w:val="00220441"/>
    <w:rsid w:val="00220A3F"/>
    <w:rsid w:val="002261ED"/>
    <w:rsid w:val="002314B5"/>
    <w:rsid w:val="00232698"/>
    <w:rsid w:val="00234304"/>
    <w:rsid w:val="00234360"/>
    <w:rsid w:val="00234D82"/>
    <w:rsid w:val="002361DA"/>
    <w:rsid w:val="00237308"/>
    <w:rsid w:val="00240537"/>
    <w:rsid w:val="00247DE3"/>
    <w:rsid w:val="00251BB8"/>
    <w:rsid w:val="002529B2"/>
    <w:rsid w:val="00253E32"/>
    <w:rsid w:val="002561C4"/>
    <w:rsid w:val="0026270C"/>
    <w:rsid w:val="00262C02"/>
    <w:rsid w:val="0026621F"/>
    <w:rsid w:val="00266810"/>
    <w:rsid w:val="00270EA2"/>
    <w:rsid w:val="0027112A"/>
    <w:rsid w:val="0027125C"/>
    <w:rsid w:val="002714AE"/>
    <w:rsid w:val="002734CA"/>
    <w:rsid w:val="00275997"/>
    <w:rsid w:val="00276244"/>
    <w:rsid w:val="00276627"/>
    <w:rsid w:val="002801FC"/>
    <w:rsid w:val="00280DC8"/>
    <w:rsid w:val="00283AB6"/>
    <w:rsid w:val="0028624E"/>
    <w:rsid w:val="00286A78"/>
    <w:rsid w:val="0029067E"/>
    <w:rsid w:val="00293D5E"/>
    <w:rsid w:val="002966F4"/>
    <w:rsid w:val="00297420"/>
    <w:rsid w:val="00297C25"/>
    <w:rsid w:val="002A07A8"/>
    <w:rsid w:val="002A09B7"/>
    <w:rsid w:val="002A33C1"/>
    <w:rsid w:val="002A5C2F"/>
    <w:rsid w:val="002A5EE8"/>
    <w:rsid w:val="002A68D9"/>
    <w:rsid w:val="002A690A"/>
    <w:rsid w:val="002A6C1C"/>
    <w:rsid w:val="002A7BEB"/>
    <w:rsid w:val="002B060F"/>
    <w:rsid w:val="002B0809"/>
    <w:rsid w:val="002B2C9B"/>
    <w:rsid w:val="002C304F"/>
    <w:rsid w:val="002C4410"/>
    <w:rsid w:val="002C46F1"/>
    <w:rsid w:val="002C4CDB"/>
    <w:rsid w:val="002D2C44"/>
    <w:rsid w:val="002D3B5A"/>
    <w:rsid w:val="002D4F16"/>
    <w:rsid w:val="002D6548"/>
    <w:rsid w:val="002E0B0F"/>
    <w:rsid w:val="002E447F"/>
    <w:rsid w:val="002E6C16"/>
    <w:rsid w:val="002E7C98"/>
    <w:rsid w:val="002F1228"/>
    <w:rsid w:val="002F30D7"/>
    <w:rsid w:val="002F3AE3"/>
    <w:rsid w:val="002F7EA5"/>
    <w:rsid w:val="0030786C"/>
    <w:rsid w:val="003158BA"/>
    <w:rsid w:val="00320433"/>
    <w:rsid w:val="0032194D"/>
    <w:rsid w:val="0032563D"/>
    <w:rsid w:val="00336372"/>
    <w:rsid w:val="0033657D"/>
    <w:rsid w:val="00337C98"/>
    <w:rsid w:val="00340768"/>
    <w:rsid w:val="00341F1D"/>
    <w:rsid w:val="003429D7"/>
    <w:rsid w:val="00342C59"/>
    <w:rsid w:val="00344241"/>
    <w:rsid w:val="003462E8"/>
    <w:rsid w:val="0034680E"/>
    <w:rsid w:val="00346B34"/>
    <w:rsid w:val="003504D7"/>
    <w:rsid w:val="00356869"/>
    <w:rsid w:val="00356D51"/>
    <w:rsid w:val="0036185A"/>
    <w:rsid w:val="003640A0"/>
    <w:rsid w:val="003674B3"/>
    <w:rsid w:val="0036755D"/>
    <w:rsid w:val="003747A2"/>
    <w:rsid w:val="00374EBA"/>
    <w:rsid w:val="0037546C"/>
    <w:rsid w:val="00375A5A"/>
    <w:rsid w:val="00375DFE"/>
    <w:rsid w:val="00376001"/>
    <w:rsid w:val="00377133"/>
    <w:rsid w:val="00377BE0"/>
    <w:rsid w:val="00377C18"/>
    <w:rsid w:val="00380F02"/>
    <w:rsid w:val="00381467"/>
    <w:rsid w:val="0038284E"/>
    <w:rsid w:val="00386305"/>
    <w:rsid w:val="0038735D"/>
    <w:rsid w:val="00397DB1"/>
    <w:rsid w:val="003A14F9"/>
    <w:rsid w:val="003A1FE9"/>
    <w:rsid w:val="003A4476"/>
    <w:rsid w:val="003A68AE"/>
    <w:rsid w:val="003B298D"/>
    <w:rsid w:val="003B4F90"/>
    <w:rsid w:val="003C0207"/>
    <w:rsid w:val="003C0DD0"/>
    <w:rsid w:val="003C106D"/>
    <w:rsid w:val="003C2982"/>
    <w:rsid w:val="003C4920"/>
    <w:rsid w:val="003C5FEC"/>
    <w:rsid w:val="003C7959"/>
    <w:rsid w:val="003D17F9"/>
    <w:rsid w:val="003D1FA7"/>
    <w:rsid w:val="003D28EA"/>
    <w:rsid w:val="003D4762"/>
    <w:rsid w:val="003D5DB0"/>
    <w:rsid w:val="003E4288"/>
    <w:rsid w:val="003E4EE2"/>
    <w:rsid w:val="003E5617"/>
    <w:rsid w:val="003E626A"/>
    <w:rsid w:val="003F0F51"/>
    <w:rsid w:val="003F79BB"/>
    <w:rsid w:val="00400A6E"/>
    <w:rsid w:val="0041186F"/>
    <w:rsid w:val="00412552"/>
    <w:rsid w:val="00412964"/>
    <w:rsid w:val="00413DD7"/>
    <w:rsid w:val="00415A39"/>
    <w:rsid w:val="004160B4"/>
    <w:rsid w:val="004168F9"/>
    <w:rsid w:val="00416C47"/>
    <w:rsid w:val="00417159"/>
    <w:rsid w:val="0043058F"/>
    <w:rsid w:val="004307F1"/>
    <w:rsid w:val="00431018"/>
    <w:rsid w:val="0043234A"/>
    <w:rsid w:val="0043466D"/>
    <w:rsid w:val="00437CBD"/>
    <w:rsid w:val="00440FB6"/>
    <w:rsid w:val="00443FF5"/>
    <w:rsid w:val="00446229"/>
    <w:rsid w:val="00452B01"/>
    <w:rsid w:val="00454F96"/>
    <w:rsid w:val="00456B74"/>
    <w:rsid w:val="00460250"/>
    <w:rsid w:val="00464521"/>
    <w:rsid w:val="00465A0F"/>
    <w:rsid w:val="00467283"/>
    <w:rsid w:val="00467ED8"/>
    <w:rsid w:val="00470CFD"/>
    <w:rsid w:val="004760C6"/>
    <w:rsid w:val="00476D33"/>
    <w:rsid w:val="0047720C"/>
    <w:rsid w:val="00484362"/>
    <w:rsid w:val="004867E2"/>
    <w:rsid w:val="004872E0"/>
    <w:rsid w:val="00494CD0"/>
    <w:rsid w:val="00496A81"/>
    <w:rsid w:val="004A014B"/>
    <w:rsid w:val="004A1427"/>
    <w:rsid w:val="004A52DB"/>
    <w:rsid w:val="004A5B60"/>
    <w:rsid w:val="004A695C"/>
    <w:rsid w:val="004B0088"/>
    <w:rsid w:val="004B0414"/>
    <w:rsid w:val="004B0479"/>
    <w:rsid w:val="004B0FDD"/>
    <w:rsid w:val="004C1521"/>
    <w:rsid w:val="004C2140"/>
    <w:rsid w:val="004C2185"/>
    <w:rsid w:val="004C2D44"/>
    <w:rsid w:val="004C6DCD"/>
    <w:rsid w:val="004C70FD"/>
    <w:rsid w:val="004C7366"/>
    <w:rsid w:val="004D1163"/>
    <w:rsid w:val="004D71B5"/>
    <w:rsid w:val="004E0D67"/>
    <w:rsid w:val="004E3288"/>
    <w:rsid w:val="004E386F"/>
    <w:rsid w:val="004E456C"/>
    <w:rsid w:val="004E59E7"/>
    <w:rsid w:val="004E5E8F"/>
    <w:rsid w:val="004E65C9"/>
    <w:rsid w:val="004E711F"/>
    <w:rsid w:val="004E71C4"/>
    <w:rsid w:val="004E77B3"/>
    <w:rsid w:val="004F0756"/>
    <w:rsid w:val="004F1C11"/>
    <w:rsid w:val="004F33F8"/>
    <w:rsid w:val="004F6579"/>
    <w:rsid w:val="005007D5"/>
    <w:rsid w:val="00501158"/>
    <w:rsid w:val="00502213"/>
    <w:rsid w:val="00502276"/>
    <w:rsid w:val="00512285"/>
    <w:rsid w:val="00513868"/>
    <w:rsid w:val="00515A0D"/>
    <w:rsid w:val="005207EF"/>
    <w:rsid w:val="005237E0"/>
    <w:rsid w:val="00533015"/>
    <w:rsid w:val="00533BF7"/>
    <w:rsid w:val="005345AA"/>
    <w:rsid w:val="00534894"/>
    <w:rsid w:val="00534E98"/>
    <w:rsid w:val="005353CF"/>
    <w:rsid w:val="00537432"/>
    <w:rsid w:val="00541F79"/>
    <w:rsid w:val="005436D4"/>
    <w:rsid w:val="0054744D"/>
    <w:rsid w:val="005526AB"/>
    <w:rsid w:val="0055585B"/>
    <w:rsid w:val="0055667D"/>
    <w:rsid w:val="00556A5D"/>
    <w:rsid w:val="0056401E"/>
    <w:rsid w:val="005640EE"/>
    <w:rsid w:val="005644CC"/>
    <w:rsid w:val="0057261F"/>
    <w:rsid w:val="00572756"/>
    <w:rsid w:val="00572B0C"/>
    <w:rsid w:val="00573A6C"/>
    <w:rsid w:val="00580DEF"/>
    <w:rsid w:val="00582040"/>
    <w:rsid w:val="00587785"/>
    <w:rsid w:val="00587D31"/>
    <w:rsid w:val="00590EFE"/>
    <w:rsid w:val="0059200A"/>
    <w:rsid w:val="00592433"/>
    <w:rsid w:val="00597BAD"/>
    <w:rsid w:val="005A108D"/>
    <w:rsid w:val="005A1F17"/>
    <w:rsid w:val="005A42EE"/>
    <w:rsid w:val="005B054E"/>
    <w:rsid w:val="005B2027"/>
    <w:rsid w:val="005B2B10"/>
    <w:rsid w:val="005B3921"/>
    <w:rsid w:val="005B5C99"/>
    <w:rsid w:val="005B7029"/>
    <w:rsid w:val="005B7A7A"/>
    <w:rsid w:val="005B7E35"/>
    <w:rsid w:val="005C133B"/>
    <w:rsid w:val="005C43BB"/>
    <w:rsid w:val="005C58E3"/>
    <w:rsid w:val="005D2EFD"/>
    <w:rsid w:val="005D7080"/>
    <w:rsid w:val="005E05B5"/>
    <w:rsid w:val="005E1C1A"/>
    <w:rsid w:val="005E1D4E"/>
    <w:rsid w:val="005E2659"/>
    <w:rsid w:val="005F0697"/>
    <w:rsid w:val="005F0D9C"/>
    <w:rsid w:val="005F3549"/>
    <w:rsid w:val="005F41F5"/>
    <w:rsid w:val="005F51D7"/>
    <w:rsid w:val="005F520E"/>
    <w:rsid w:val="005F5C6A"/>
    <w:rsid w:val="005F603C"/>
    <w:rsid w:val="005F7343"/>
    <w:rsid w:val="005F7C8F"/>
    <w:rsid w:val="00600961"/>
    <w:rsid w:val="0060119F"/>
    <w:rsid w:val="00602720"/>
    <w:rsid w:val="006048DA"/>
    <w:rsid w:val="006048E6"/>
    <w:rsid w:val="0060645B"/>
    <w:rsid w:val="00606DE0"/>
    <w:rsid w:val="006152AE"/>
    <w:rsid w:val="006168C5"/>
    <w:rsid w:val="00617CAE"/>
    <w:rsid w:val="006225A7"/>
    <w:rsid w:val="00622FD6"/>
    <w:rsid w:val="006245CD"/>
    <w:rsid w:val="0062463F"/>
    <w:rsid w:val="00625407"/>
    <w:rsid w:val="00627662"/>
    <w:rsid w:val="00627A95"/>
    <w:rsid w:val="00630E5A"/>
    <w:rsid w:val="0063274F"/>
    <w:rsid w:val="0064507D"/>
    <w:rsid w:val="006461D6"/>
    <w:rsid w:val="00652EBC"/>
    <w:rsid w:val="00653024"/>
    <w:rsid w:val="00655148"/>
    <w:rsid w:val="00655B86"/>
    <w:rsid w:val="00656BAA"/>
    <w:rsid w:val="00660309"/>
    <w:rsid w:val="00663358"/>
    <w:rsid w:val="00663569"/>
    <w:rsid w:val="00673184"/>
    <w:rsid w:val="0067455F"/>
    <w:rsid w:val="006746F2"/>
    <w:rsid w:val="00676187"/>
    <w:rsid w:val="00681CFB"/>
    <w:rsid w:val="00682D8E"/>
    <w:rsid w:val="006845E3"/>
    <w:rsid w:val="00684B71"/>
    <w:rsid w:val="00684CD1"/>
    <w:rsid w:val="00685426"/>
    <w:rsid w:val="00690AD5"/>
    <w:rsid w:val="00693073"/>
    <w:rsid w:val="006940B9"/>
    <w:rsid w:val="0069536E"/>
    <w:rsid w:val="0069680D"/>
    <w:rsid w:val="006975F1"/>
    <w:rsid w:val="00697D1D"/>
    <w:rsid w:val="006A0A1B"/>
    <w:rsid w:val="006A180E"/>
    <w:rsid w:val="006A562B"/>
    <w:rsid w:val="006A602C"/>
    <w:rsid w:val="006B6658"/>
    <w:rsid w:val="006B77A9"/>
    <w:rsid w:val="006B7A10"/>
    <w:rsid w:val="006C1D59"/>
    <w:rsid w:val="006C5739"/>
    <w:rsid w:val="006C5B7C"/>
    <w:rsid w:val="006C610B"/>
    <w:rsid w:val="006D0F47"/>
    <w:rsid w:val="006D11B1"/>
    <w:rsid w:val="006D2CCA"/>
    <w:rsid w:val="006D509A"/>
    <w:rsid w:val="006E18EB"/>
    <w:rsid w:val="006E28AA"/>
    <w:rsid w:val="006E2C50"/>
    <w:rsid w:val="006E53F7"/>
    <w:rsid w:val="006E5B16"/>
    <w:rsid w:val="006E5F06"/>
    <w:rsid w:val="006E6845"/>
    <w:rsid w:val="006E7105"/>
    <w:rsid w:val="006E792F"/>
    <w:rsid w:val="006F23B7"/>
    <w:rsid w:val="006F2517"/>
    <w:rsid w:val="00702B5B"/>
    <w:rsid w:val="00704244"/>
    <w:rsid w:val="00704248"/>
    <w:rsid w:val="00704E72"/>
    <w:rsid w:val="00707792"/>
    <w:rsid w:val="00707861"/>
    <w:rsid w:val="00707B54"/>
    <w:rsid w:val="00707EF0"/>
    <w:rsid w:val="0071379F"/>
    <w:rsid w:val="007139AD"/>
    <w:rsid w:val="0071411C"/>
    <w:rsid w:val="00714308"/>
    <w:rsid w:val="00724231"/>
    <w:rsid w:val="00725DE9"/>
    <w:rsid w:val="00726677"/>
    <w:rsid w:val="0073023B"/>
    <w:rsid w:val="0073402C"/>
    <w:rsid w:val="00740B19"/>
    <w:rsid w:val="00743132"/>
    <w:rsid w:val="00746866"/>
    <w:rsid w:val="00752A47"/>
    <w:rsid w:val="0075358F"/>
    <w:rsid w:val="00754412"/>
    <w:rsid w:val="007554A8"/>
    <w:rsid w:val="007563EC"/>
    <w:rsid w:val="00756EFB"/>
    <w:rsid w:val="00760CC9"/>
    <w:rsid w:val="00762A4F"/>
    <w:rsid w:val="007637A6"/>
    <w:rsid w:val="00766144"/>
    <w:rsid w:val="00766E60"/>
    <w:rsid w:val="00771BBC"/>
    <w:rsid w:val="007726AF"/>
    <w:rsid w:val="00773BD7"/>
    <w:rsid w:val="00774105"/>
    <w:rsid w:val="00774CE4"/>
    <w:rsid w:val="00774D91"/>
    <w:rsid w:val="00775A0A"/>
    <w:rsid w:val="00775F41"/>
    <w:rsid w:val="007772B9"/>
    <w:rsid w:val="00777CE6"/>
    <w:rsid w:val="00777E37"/>
    <w:rsid w:val="007804CA"/>
    <w:rsid w:val="0078083B"/>
    <w:rsid w:val="00781114"/>
    <w:rsid w:val="00781DD1"/>
    <w:rsid w:val="00783C81"/>
    <w:rsid w:val="00784BA5"/>
    <w:rsid w:val="007862E0"/>
    <w:rsid w:val="00790700"/>
    <w:rsid w:val="007949F6"/>
    <w:rsid w:val="0079630C"/>
    <w:rsid w:val="007970E3"/>
    <w:rsid w:val="007A0A9A"/>
    <w:rsid w:val="007A2E57"/>
    <w:rsid w:val="007A335F"/>
    <w:rsid w:val="007A5BA2"/>
    <w:rsid w:val="007A76CE"/>
    <w:rsid w:val="007A77E5"/>
    <w:rsid w:val="007B10A3"/>
    <w:rsid w:val="007B6959"/>
    <w:rsid w:val="007C0555"/>
    <w:rsid w:val="007C3A53"/>
    <w:rsid w:val="007C3DCC"/>
    <w:rsid w:val="007C5A12"/>
    <w:rsid w:val="007D1610"/>
    <w:rsid w:val="007D3EED"/>
    <w:rsid w:val="007D5A96"/>
    <w:rsid w:val="007D702D"/>
    <w:rsid w:val="007D7D93"/>
    <w:rsid w:val="007E1539"/>
    <w:rsid w:val="007E1895"/>
    <w:rsid w:val="007E71AB"/>
    <w:rsid w:val="007F24B8"/>
    <w:rsid w:val="007F45ED"/>
    <w:rsid w:val="007F4FC1"/>
    <w:rsid w:val="007F7A9F"/>
    <w:rsid w:val="00800139"/>
    <w:rsid w:val="0080184A"/>
    <w:rsid w:val="00803131"/>
    <w:rsid w:val="008065FA"/>
    <w:rsid w:val="0080764D"/>
    <w:rsid w:val="0081185B"/>
    <w:rsid w:val="008216C2"/>
    <w:rsid w:val="0082593C"/>
    <w:rsid w:val="008264EB"/>
    <w:rsid w:val="00827C1F"/>
    <w:rsid w:val="00827D02"/>
    <w:rsid w:val="00830ACD"/>
    <w:rsid w:val="00836492"/>
    <w:rsid w:val="008367D0"/>
    <w:rsid w:val="008423AF"/>
    <w:rsid w:val="008456FE"/>
    <w:rsid w:val="00846CAB"/>
    <w:rsid w:val="00847718"/>
    <w:rsid w:val="0085485D"/>
    <w:rsid w:val="0085604C"/>
    <w:rsid w:val="00865F95"/>
    <w:rsid w:val="0087048E"/>
    <w:rsid w:val="00871D48"/>
    <w:rsid w:val="00872ED2"/>
    <w:rsid w:val="008753AD"/>
    <w:rsid w:val="0087601B"/>
    <w:rsid w:val="00876C29"/>
    <w:rsid w:val="0087775A"/>
    <w:rsid w:val="008806D4"/>
    <w:rsid w:val="0088119C"/>
    <w:rsid w:val="0088179C"/>
    <w:rsid w:val="008817C8"/>
    <w:rsid w:val="0088249A"/>
    <w:rsid w:val="00882994"/>
    <w:rsid w:val="008831A6"/>
    <w:rsid w:val="008836B5"/>
    <w:rsid w:val="00890639"/>
    <w:rsid w:val="00890C80"/>
    <w:rsid w:val="0089215E"/>
    <w:rsid w:val="00892970"/>
    <w:rsid w:val="00893098"/>
    <w:rsid w:val="00893868"/>
    <w:rsid w:val="0089386A"/>
    <w:rsid w:val="00894A8E"/>
    <w:rsid w:val="00896CB5"/>
    <w:rsid w:val="00897717"/>
    <w:rsid w:val="00897F03"/>
    <w:rsid w:val="008A0D3D"/>
    <w:rsid w:val="008A1295"/>
    <w:rsid w:val="008A1623"/>
    <w:rsid w:val="008A2666"/>
    <w:rsid w:val="008A2C39"/>
    <w:rsid w:val="008B1109"/>
    <w:rsid w:val="008B1391"/>
    <w:rsid w:val="008B3292"/>
    <w:rsid w:val="008B34EF"/>
    <w:rsid w:val="008B350C"/>
    <w:rsid w:val="008B4520"/>
    <w:rsid w:val="008C0D5B"/>
    <w:rsid w:val="008C2DD2"/>
    <w:rsid w:val="008C3947"/>
    <w:rsid w:val="008C623F"/>
    <w:rsid w:val="008D1BB2"/>
    <w:rsid w:val="008D335D"/>
    <w:rsid w:val="008D3C43"/>
    <w:rsid w:val="008D440E"/>
    <w:rsid w:val="008D61FC"/>
    <w:rsid w:val="008D72F3"/>
    <w:rsid w:val="008D75B7"/>
    <w:rsid w:val="008D79AC"/>
    <w:rsid w:val="008E11D6"/>
    <w:rsid w:val="008E39FD"/>
    <w:rsid w:val="008E3BA4"/>
    <w:rsid w:val="008E4B35"/>
    <w:rsid w:val="008E577B"/>
    <w:rsid w:val="008E6E54"/>
    <w:rsid w:val="008E7D95"/>
    <w:rsid w:val="008F25ED"/>
    <w:rsid w:val="008F32E6"/>
    <w:rsid w:val="008F3556"/>
    <w:rsid w:val="008F44CF"/>
    <w:rsid w:val="008F58ED"/>
    <w:rsid w:val="00907FC4"/>
    <w:rsid w:val="00912A86"/>
    <w:rsid w:val="00912B83"/>
    <w:rsid w:val="0091422B"/>
    <w:rsid w:val="00915E62"/>
    <w:rsid w:val="009164AF"/>
    <w:rsid w:val="00920D02"/>
    <w:rsid w:val="0092145F"/>
    <w:rsid w:val="00921BE4"/>
    <w:rsid w:val="009239FF"/>
    <w:rsid w:val="00924422"/>
    <w:rsid w:val="0092521A"/>
    <w:rsid w:val="00927231"/>
    <w:rsid w:val="009279B2"/>
    <w:rsid w:val="00930E1D"/>
    <w:rsid w:val="0093132E"/>
    <w:rsid w:val="00933111"/>
    <w:rsid w:val="009336F3"/>
    <w:rsid w:val="00936656"/>
    <w:rsid w:val="0093758F"/>
    <w:rsid w:val="00941454"/>
    <w:rsid w:val="00941DB6"/>
    <w:rsid w:val="009437AA"/>
    <w:rsid w:val="00944626"/>
    <w:rsid w:val="0094503D"/>
    <w:rsid w:val="009457B5"/>
    <w:rsid w:val="0094585F"/>
    <w:rsid w:val="0094691B"/>
    <w:rsid w:val="00950273"/>
    <w:rsid w:val="0095120D"/>
    <w:rsid w:val="009528A6"/>
    <w:rsid w:val="00952BA0"/>
    <w:rsid w:val="00956DD5"/>
    <w:rsid w:val="009612E2"/>
    <w:rsid w:val="00961FAE"/>
    <w:rsid w:val="00964C26"/>
    <w:rsid w:val="00966CFC"/>
    <w:rsid w:val="009708BA"/>
    <w:rsid w:val="00970B8F"/>
    <w:rsid w:val="0097113B"/>
    <w:rsid w:val="00973CEC"/>
    <w:rsid w:val="00975E32"/>
    <w:rsid w:val="00976F46"/>
    <w:rsid w:val="00980F86"/>
    <w:rsid w:val="009820F4"/>
    <w:rsid w:val="00982D54"/>
    <w:rsid w:val="00983178"/>
    <w:rsid w:val="00983653"/>
    <w:rsid w:val="00984E67"/>
    <w:rsid w:val="00985280"/>
    <w:rsid w:val="00985A8D"/>
    <w:rsid w:val="00992F31"/>
    <w:rsid w:val="00995888"/>
    <w:rsid w:val="009A0209"/>
    <w:rsid w:val="009A0E80"/>
    <w:rsid w:val="009A18B4"/>
    <w:rsid w:val="009A2170"/>
    <w:rsid w:val="009A2EC0"/>
    <w:rsid w:val="009A3117"/>
    <w:rsid w:val="009A3C5E"/>
    <w:rsid w:val="009A4462"/>
    <w:rsid w:val="009A48E9"/>
    <w:rsid w:val="009A4A8C"/>
    <w:rsid w:val="009A5EAE"/>
    <w:rsid w:val="009B124E"/>
    <w:rsid w:val="009B29A7"/>
    <w:rsid w:val="009B4B18"/>
    <w:rsid w:val="009B5E94"/>
    <w:rsid w:val="009B6B2E"/>
    <w:rsid w:val="009B6E50"/>
    <w:rsid w:val="009C0448"/>
    <w:rsid w:val="009C246C"/>
    <w:rsid w:val="009C4478"/>
    <w:rsid w:val="009C53DA"/>
    <w:rsid w:val="009C58C6"/>
    <w:rsid w:val="009C7024"/>
    <w:rsid w:val="009D0280"/>
    <w:rsid w:val="009D068C"/>
    <w:rsid w:val="009E03F6"/>
    <w:rsid w:val="009E0E07"/>
    <w:rsid w:val="009E2703"/>
    <w:rsid w:val="009E6DD7"/>
    <w:rsid w:val="009F0C03"/>
    <w:rsid w:val="009F2FD4"/>
    <w:rsid w:val="009F448B"/>
    <w:rsid w:val="009F5AD8"/>
    <w:rsid w:val="009F7ED0"/>
    <w:rsid w:val="00A00175"/>
    <w:rsid w:val="00A00660"/>
    <w:rsid w:val="00A00A05"/>
    <w:rsid w:val="00A01AA6"/>
    <w:rsid w:val="00A02F2D"/>
    <w:rsid w:val="00A04CA9"/>
    <w:rsid w:val="00A057E5"/>
    <w:rsid w:val="00A0620A"/>
    <w:rsid w:val="00A06DF8"/>
    <w:rsid w:val="00A07FC4"/>
    <w:rsid w:val="00A11322"/>
    <w:rsid w:val="00A17DE3"/>
    <w:rsid w:val="00A20201"/>
    <w:rsid w:val="00A205B7"/>
    <w:rsid w:val="00A224CB"/>
    <w:rsid w:val="00A2277D"/>
    <w:rsid w:val="00A25A5C"/>
    <w:rsid w:val="00A26B9F"/>
    <w:rsid w:val="00A3088F"/>
    <w:rsid w:val="00A31099"/>
    <w:rsid w:val="00A333E9"/>
    <w:rsid w:val="00A35344"/>
    <w:rsid w:val="00A35D44"/>
    <w:rsid w:val="00A37818"/>
    <w:rsid w:val="00A37D06"/>
    <w:rsid w:val="00A415B5"/>
    <w:rsid w:val="00A44381"/>
    <w:rsid w:val="00A44413"/>
    <w:rsid w:val="00A4512D"/>
    <w:rsid w:val="00A4527C"/>
    <w:rsid w:val="00A45AF4"/>
    <w:rsid w:val="00A464C2"/>
    <w:rsid w:val="00A501CB"/>
    <w:rsid w:val="00A54697"/>
    <w:rsid w:val="00A54815"/>
    <w:rsid w:val="00A55ADF"/>
    <w:rsid w:val="00A60205"/>
    <w:rsid w:val="00A61238"/>
    <w:rsid w:val="00A636F2"/>
    <w:rsid w:val="00A63B34"/>
    <w:rsid w:val="00A70193"/>
    <w:rsid w:val="00A705AF"/>
    <w:rsid w:val="00A70E4F"/>
    <w:rsid w:val="00A71C1A"/>
    <w:rsid w:val="00A75664"/>
    <w:rsid w:val="00A772DC"/>
    <w:rsid w:val="00A7737A"/>
    <w:rsid w:val="00A8248B"/>
    <w:rsid w:val="00A83F3F"/>
    <w:rsid w:val="00A8782C"/>
    <w:rsid w:val="00A9332B"/>
    <w:rsid w:val="00A939D5"/>
    <w:rsid w:val="00A94256"/>
    <w:rsid w:val="00A942A3"/>
    <w:rsid w:val="00A9483C"/>
    <w:rsid w:val="00A95142"/>
    <w:rsid w:val="00AA4645"/>
    <w:rsid w:val="00AA615D"/>
    <w:rsid w:val="00AA762D"/>
    <w:rsid w:val="00AB0B63"/>
    <w:rsid w:val="00AB2878"/>
    <w:rsid w:val="00AB5741"/>
    <w:rsid w:val="00AB7034"/>
    <w:rsid w:val="00AC2AB6"/>
    <w:rsid w:val="00AD0CE8"/>
    <w:rsid w:val="00AD1176"/>
    <w:rsid w:val="00AD3742"/>
    <w:rsid w:val="00AD5250"/>
    <w:rsid w:val="00AD5E5A"/>
    <w:rsid w:val="00AD6C26"/>
    <w:rsid w:val="00AE0EC2"/>
    <w:rsid w:val="00AE1814"/>
    <w:rsid w:val="00AE1CFC"/>
    <w:rsid w:val="00AE470F"/>
    <w:rsid w:val="00AE71AA"/>
    <w:rsid w:val="00AE7787"/>
    <w:rsid w:val="00AE7803"/>
    <w:rsid w:val="00AE7A7B"/>
    <w:rsid w:val="00AF0602"/>
    <w:rsid w:val="00AF39A7"/>
    <w:rsid w:val="00AF3F09"/>
    <w:rsid w:val="00AF404D"/>
    <w:rsid w:val="00AF46DE"/>
    <w:rsid w:val="00AF472C"/>
    <w:rsid w:val="00AF6BC4"/>
    <w:rsid w:val="00AF72AD"/>
    <w:rsid w:val="00AF7679"/>
    <w:rsid w:val="00B012B7"/>
    <w:rsid w:val="00B01BE6"/>
    <w:rsid w:val="00B061CF"/>
    <w:rsid w:val="00B0661D"/>
    <w:rsid w:val="00B0671F"/>
    <w:rsid w:val="00B07EFD"/>
    <w:rsid w:val="00B1159B"/>
    <w:rsid w:val="00B13667"/>
    <w:rsid w:val="00B1426A"/>
    <w:rsid w:val="00B15685"/>
    <w:rsid w:val="00B16B2D"/>
    <w:rsid w:val="00B17303"/>
    <w:rsid w:val="00B21533"/>
    <w:rsid w:val="00B21CBC"/>
    <w:rsid w:val="00B24CB4"/>
    <w:rsid w:val="00B344E3"/>
    <w:rsid w:val="00B42851"/>
    <w:rsid w:val="00B42B50"/>
    <w:rsid w:val="00B43A8E"/>
    <w:rsid w:val="00B442EB"/>
    <w:rsid w:val="00B47523"/>
    <w:rsid w:val="00B5013B"/>
    <w:rsid w:val="00B502EA"/>
    <w:rsid w:val="00B52211"/>
    <w:rsid w:val="00B53929"/>
    <w:rsid w:val="00B54FE9"/>
    <w:rsid w:val="00B56DC9"/>
    <w:rsid w:val="00B632AA"/>
    <w:rsid w:val="00B65AE0"/>
    <w:rsid w:val="00B70909"/>
    <w:rsid w:val="00B7398F"/>
    <w:rsid w:val="00B73D66"/>
    <w:rsid w:val="00B767A9"/>
    <w:rsid w:val="00B77250"/>
    <w:rsid w:val="00B77478"/>
    <w:rsid w:val="00B8137B"/>
    <w:rsid w:val="00B83385"/>
    <w:rsid w:val="00B83E42"/>
    <w:rsid w:val="00B85478"/>
    <w:rsid w:val="00B87D18"/>
    <w:rsid w:val="00B90E96"/>
    <w:rsid w:val="00B92D39"/>
    <w:rsid w:val="00B95599"/>
    <w:rsid w:val="00B95810"/>
    <w:rsid w:val="00BA0DB1"/>
    <w:rsid w:val="00BA24F0"/>
    <w:rsid w:val="00BA5180"/>
    <w:rsid w:val="00BA723B"/>
    <w:rsid w:val="00BB008D"/>
    <w:rsid w:val="00BB0233"/>
    <w:rsid w:val="00BB5148"/>
    <w:rsid w:val="00BB68AC"/>
    <w:rsid w:val="00BC083C"/>
    <w:rsid w:val="00BC0E03"/>
    <w:rsid w:val="00BC183D"/>
    <w:rsid w:val="00BC22F1"/>
    <w:rsid w:val="00BC40A0"/>
    <w:rsid w:val="00BD01FF"/>
    <w:rsid w:val="00BD6801"/>
    <w:rsid w:val="00BD7097"/>
    <w:rsid w:val="00BE1D9A"/>
    <w:rsid w:val="00BE45EE"/>
    <w:rsid w:val="00BE54EB"/>
    <w:rsid w:val="00BF0D9C"/>
    <w:rsid w:val="00BF10F5"/>
    <w:rsid w:val="00BF14D1"/>
    <w:rsid w:val="00BF3358"/>
    <w:rsid w:val="00BF5419"/>
    <w:rsid w:val="00C01D16"/>
    <w:rsid w:val="00C02C5F"/>
    <w:rsid w:val="00C03735"/>
    <w:rsid w:val="00C04DB1"/>
    <w:rsid w:val="00C04ED9"/>
    <w:rsid w:val="00C06C61"/>
    <w:rsid w:val="00C0785C"/>
    <w:rsid w:val="00C1124F"/>
    <w:rsid w:val="00C112ED"/>
    <w:rsid w:val="00C130AF"/>
    <w:rsid w:val="00C15DD9"/>
    <w:rsid w:val="00C176FA"/>
    <w:rsid w:val="00C20618"/>
    <w:rsid w:val="00C2325C"/>
    <w:rsid w:val="00C23A3C"/>
    <w:rsid w:val="00C26FD1"/>
    <w:rsid w:val="00C27D55"/>
    <w:rsid w:val="00C31563"/>
    <w:rsid w:val="00C31EDE"/>
    <w:rsid w:val="00C329D2"/>
    <w:rsid w:val="00C32AD1"/>
    <w:rsid w:val="00C35093"/>
    <w:rsid w:val="00C3509E"/>
    <w:rsid w:val="00C420A5"/>
    <w:rsid w:val="00C53935"/>
    <w:rsid w:val="00C53AD0"/>
    <w:rsid w:val="00C551E2"/>
    <w:rsid w:val="00C563EC"/>
    <w:rsid w:val="00C57DCD"/>
    <w:rsid w:val="00C6165D"/>
    <w:rsid w:val="00C62342"/>
    <w:rsid w:val="00C657A5"/>
    <w:rsid w:val="00C6669B"/>
    <w:rsid w:val="00C67292"/>
    <w:rsid w:val="00C74C48"/>
    <w:rsid w:val="00C75722"/>
    <w:rsid w:val="00C81F2D"/>
    <w:rsid w:val="00C84F17"/>
    <w:rsid w:val="00C85D10"/>
    <w:rsid w:val="00C86867"/>
    <w:rsid w:val="00C92985"/>
    <w:rsid w:val="00C93487"/>
    <w:rsid w:val="00C952A9"/>
    <w:rsid w:val="00CA0389"/>
    <w:rsid w:val="00CA1A0C"/>
    <w:rsid w:val="00CA1C4F"/>
    <w:rsid w:val="00CA3630"/>
    <w:rsid w:val="00CA3B7E"/>
    <w:rsid w:val="00CA52F4"/>
    <w:rsid w:val="00CA5414"/>
    <w:rsid w:val="00CA556B"/>
    <w:rsid w:val="00CA6A6C"/>
    <w:rsid w:val="00CA7B44"/>
    <w:rsid w:val="00CB2281"/>
    <w:rsid w:val="00CB5B1A"/>
    <w:rsid w:val="00CC46B9"/>
    <w:rsid w:val="00CC7D96"/>
    <w:rsid w:val="00CC7EF5"/>
    <w:rsid w:val="00CD2ED7"/>
    <w:rsid w:val="00CD43C1"/>
    <w:rsid w:val="00CD4C51"/>
    <w:rsid w:val="00CE0350"/>
    <w:rsid w:val="00CE1ECE"/>
    <w:rsid w:val="00CE2427"/>
    <w:rsid w:val="00CE3D41"/>
    <w:rsid w:val="00CF0387"/>
    <w:rsid w:val="00CF0646"/>
    <w:rsid w:val="00CF1A5F"/>
    <w:rsid w:val="00D04138"/>
    <w:rsid w:val="00D04A52"/>
    <w:rsid w:val="00D0563C"/>
    <w:rsid w:val="00D12673"/>
    <w:rsid w:val="00D12D09"/>
    <w:rsid w:val="00D144B4"/>
    <w:rsid w:val="00D17911"/>
    <w:rsid w:val="00D2092B"/>
    <w:rsid w:val="00D22393"/>
    <w:rsid w:val="00D228E8"/>
    <w:rsid w:val="00D22B4F"/>
    <w:rsid w:val="00D257DC"/>
    <w:rsid w:val="00D3080F"/>
    <w:rsid w:val="00D309E4"/>
    <w:rsid w:val="00D326B0"/>
    <w:rsid w:val="00D33AFA"/>
    <w:rsid w:val="00D3413A"/>
    <w:rsid w:val="00D34C02"/>
    <w:rsid w:val="00D37D9A"/>
    <w:rsid w:val="00D41C46"/>
    <w:rsid w:val="00D43AB2"/>
    <w:rsid w:val="00D451AF"/>
    <w:rsid w:val="00D51189"/>
    <w:rsid w:val="00D55955"/>
    <w:rsid w:val="00D55AA7"/>
    <w:rsid w:val="00D57AA1"/>
    <w:rsid w:val="00D62D14"/>
    <w:rsid w:val="00D67B7F"/>
    <w:rsid w:val="00D70E98"/>
    <w:rsid w:val="00D70EEE"/>
    <w:rsid w:val="00D7221C"/>
    <w:rsid w:val="00D724A9"/>
    <w:rsid w:val="00D72BA1"/>
    <w:rsid w:val="00D72E43"/>
    <w:rsid w:val="00D730A6"/>
    <w:rsid w:val="00D769EF"/>
    <w:rsid w:val="00D84BF0"/>
    <w:rsid w:val="00D85034"/>
    <w:rsid w:val="00D867C1"/>
    <w:rsid w:val="00D876E6"/>
    <w:rsid w:val="00D91F99"/>
    <w:rsid w:val="00D9272E"/>
    <w:rsid w:val="00D95DA9"/>
    <w:rsid w:val="00D96231"/>
    <w:rsid w:val="00D973CA"/>
    <w:rsid w:val="00DA2396"/>
    <w:rsid w:val="00DA3BF5"/>
    <w:rsid w:val="00DA6831"/>
    <w:rsid w:val="00DA7D66"/>
    <w:rsid w:val="00DB2065"/>
    <w:rsid w:val="00DB3F9D"/>
    <w:rsid w:val="00DB43ED"/>
    <w:rsid w:val="00DB5C99"/>
    <w:rsid w:val="00DC160B"/>
    <w:rsid w:val="00DC28DA"/>
    <w:rsid w:val="00DC7B8A"/>
    <w:rsid w:val="00DD4B8F"/>
    <w:rsid w:val="00DD4C81"/>
    <w:rsid w:val="00DD52A0"/>
    <w:rsid w:val="00DD7ABF"/>
    <w:rsid w:val="00DE0DC2"/>
    <w:rsid w:val="00DE6E5E"/>
    <w:rsid w:val="00DF0174"/>
    <w:rsid w:val="00DF03F0"/>
    <w:rsid w:val="00DF10B1"/>
    <w:rsid w:val="00DF69FE"/>
    <w:rsid w:val="00E030F1"/>
    <w:rsid w:val="00E03837"/>
    <w:rsid w:val="00E07550"/>
    <w:rsid w:val="00E1228F"/>
    <w:rsid w:val="00E1277D"/>
    <w:rsid w:val="00E12E14"/>
    <w:rsid w:val="00E15297"/>
    <w:rsid w:val="00E20163"/>
    <w:rsid w:val="00E214E3"/>
    <w:rsid w:val="00E23399"/>
    <w:rsid w:val="00E26123"/>
    <w:rsid w:val="00E27275"/>
    <w:rsid w:val="00E323A5"/>
    <w:rsid w:val="00E32A8F"/>
    <w:rsid w:val="00E35648"/>
    <w:rsid w:val="00E40A35"/>
    <w:rsid w:val="00E418F3"/>
    <w:rsid w:val="00E45485"/>
    <w:rsid w:val="00E45CCB"/>
    <w:rsid w:val="00E513A7"/>
    <w:rsid w:val="00E520D5"/>
    <w:rsid w:val="00E54B34"/>
    <w:rsid w:val="00E60C15"/>
    <w:rsid w:val="00E617BD"/>
    <w:rsid w:val="00E71862"/>
    <w:rsid w:val="00E746AE"/>
    <w:rsid w:val="00E74E91"/>
    <w:rsid w:val="00E7544F"/>
    <w:rsid w:val="00E75EC9"/>
    <w:rsid w:val="00E77C39"/>
    <w:rsid w:val="00E82518"/>
    <w:rsid w:val="00E85988"/>
    <w:rsid w:val="00E923AD"/>
    <w:rsid w:val="00E929AD"/>
    <w:rsid w:val="00E93D01"/>
    <w:rsid w:val="00E96781"/>
    <w:rsid w:val="00E96BCB"/>
    <w:rsid w:val="00E97555"/>
    <w:rsid w:val="00E97DAD"/>
    <w:rsid w:val="00EA0E4F"/>
    <w:rsid w:val="00EA15AC"/>
    <w:rsid w:val="00EA1C89"/>
    <w:rsid w:val="00EA5BAD"/>
    <w:rsid w:val="00EB6641"/>
    <w:rsid w:val="00EC0244"/>
    <w:rsid w:val="00EC051B"/>
    <w:rsid w:val="00EC1BEF"/>
    <w:rsid w:val="00EC241A"/>
    <w:rsid w:val="00EC4AD3"/>
    <w:rsid w:val="00ED1B3E"/>
    <w:rsid w:val="00ED3F13"/>
    <w:rsid w:val="00ED4D85"/>
    <w:rsid w:val="00ED6049"/>
    <w:rsid w:val="00EE0471"/>
    <w:rsid w:val="00EE1896"/>
    <w:rsid w:val="00EF2FDE"/>
    <w:rsid w:val="00EF535D"/>
    <w:rsid w:val="00EF7D7D"/>
    <w:rsid w:val="00F04B61"/>
    <w:rsid w:val="00F0645E"/>
    <w:rsid w:val="00F06DDB"/>
    <w:rsid w:val="00F12A92"/>
    <w:rsid w:val="00F12EEB"/>
    <w:rsid w:val="00F13433"/>
    <w:rsid w:val="00F156D0"/>
    <w:rsid w:val="00F1581F"/>
    <w:rsid w:val="00F16181"/>
    <w:rsid w:val="00F162C5"/>
    <w:rsid w:val="00F242A5"/>
    <w:rsid w:val="00F27778"/>
    <w:rsid w:val="00F30A4D"/>
    <w:rsid w:val="00F30E4A"/>
    <w:rsid w:val="00F3177E"/>
    <w:rsid w:val="00F33399"/>
    <w:rsid w:val="00F339D7"/>
    <w:rsid w:val="00F33EBC"/>
    <w:rsid w:val="00F3577A"/>
    <w:rsid w:val="00F36436"/>
    <w:rsid w:val="00F36A0C"/>
    <w:rsid w:val="00F37960"/>
    <w:rsid w:val="00F40BA9"/>
    <w:rsid w:val="00F4164A"/>
    <w:rsid w:val="00F4365F"/>
    <w:rsid w:val="00F4366B"/>
    <w:rsid w:val="00F4382F"/>
    <w:rsid w:val="00F43C7E"/>
    <w:rsid w:val="00F43FE7"/>
    <w:rsid w:val="00F45340"/>
    <w:rsid w:val="00F465A0"/>
    <w:rsid w:val="00F47114"/>
    <w:rsid w:val="00F52D56"/>
    <w:rsid w:val="00F52DC4"/>
    <w:rsid w:val="00F55C64"/>
    <w:rsid w:val="00F56852"/>
    <w:rsid w:val="00F56C21"/>
    <w:rsid w:val="00F56C94"/>
    <w:rsid w:val="00F573DC"/>
    <w:rsid w:val="00F61983"/>
    <w:rsid w:val="00F6198A"/>
    <w:rsid w:val="00F66677"/>
    <w:rsid w:val="00F66AD1"/>
    <w:rsid w:val="00F7025B"/>
    <w:rsid w:val="00F709C4"/>
    <w:rsid w:val="00F737BE"/>
    <w:rsid w:val="00F7384D"/>
    <w:rsid w:val="00F75B55"/>
    <w:rsid w:val="00F77C6B"/>
    <w:rsid w:val="00F82044"/>
    <w:rsid w:val="00F8263A"/>
    <w:rsid w:val="00F852C6"/>
    <w:rsid w:val="00F87C58"/>
    <w:rsid w:val="00F90004"/>
    <w:rsid w:val="00F91EEE"/>
    <w:rsid w:val="00F9305F"/>
    <w:rsid w:val="00F940D7"/>
    <w:rsid w:val="00F95F82"/>
    <w:rsid w:val="00F97082"/>
    <w:rsid w:val="00FA2384"/>
    <w:rsid w:val="00FB21CB"/>
    <w:rsid w:val="00FB51D4"/>
    <w:rsid w:val="00FB7C9F"/>
    <w:rsid w:val="00FC2C7D"/>
    <w:rsid w:val="00FC317C"/>
    <w:rsid w:val="00FC37DE"/>
    <w:rsid w:val="00FC40E6"/>
    <w:rsid w:val="00FC45C0"/>
    <w:rsid w:val="00FC6EC7"/>
    <w:rsid w:val="00FC6F05"/>
    <w:rsid w:val="00FD18F2"/>
    <w:rsid w:val="00FD1B07"/>
    <w:rsid w:val="00FD3259"/>
    <w:rsid w:val="00FD3493"/>
    <w:rsid w:val="00FD6F01"/>
    <w:rsid w:val="00FE1FC1"/>
    <w:rsid w:val="00FE4336"/>
    <w:rsid w:val="00FF49E4"/>
    <w:rsid w:val="00FF6E7A"/>
    <w:rsid w:val="00FF7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5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D55"/>
    <w:rPr>
      <w:sz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1,Bullet Points,1 heading"/>
    <w:basedOn w:val="Normal"/>
    <w:link w:val="ListParagraphChar"/>
    <w:uiPriority w:val="34"/>
    <w:qFormat/>
    <w:rsid w:val="00A4512D"/>
    <w:pPr>
      <w:ind w:left="720"/>
      <w:contextualSpacing/>
    </w:pPr>
  </w:style>
  <w:style w:type="paragraph" w:styleId="Header">
    <w:name w:val="header"/>
    <w:basedOn w:val="Normal"/>
    <w:link w:val="HeaderChar"/>
    <w:uiPriority w:val="99"/>
    <w:rsid w:val="00C27D55"/>
    <w:pPr>
      <w:tabs>
        <w:tab w:val="center" w:pos="4513"/>
        <w:tab w:val="right" w:pos="9026"/>
      </w:tabs>
    </w:pPr>
  </w:style>
  <w:style w:type="character" w:customStyle="1" w:styleId="HeaderChar">
    <w:name w:val="Header Char"/>
    <w:basedOn w:val="DefaultParagraphFont"/>
    <w:link w:val="Header"/>
    <w:uiPriority w:val="99"/>
    <w:rsid w:val="00C27D55"/>
    <w:rPr>
      <w:sz w:val="24"/>
      <w:szCs w:val="24"/>
      <w:lang w:eastAsia="en-US"/>
    </w:rPr>
  </w:style>
  <w:style w:type="paragraph" w:styleId="Footer">
    <w:name w:val="footer"/>
    <w:basedOn w:val="Normal"/>
    <w:link w:val="FooterChar"/>
    <w:rsid w:val="00C27D55"/>
    <w:pPr>
      <w:tabs>
        <w:tab w:val="center" w:pos="4513"/>
        <w:tab w:val="right" w:pos="9026"/>
      </w:tabs>
    </w:pPr>
  </w:style>
  <w:style w:type="character" w:customStyle="1" w:styleId="FooterChar">
    <w:name w:val="Footer Char"/>
    <w:basedOn w:val="DefaultParagraphFont"/>
    <w:link w:val="Footer"/>
    <w:uiPriority w:val="99"/>
    <w:rsid w:val="00C27D55"/>
    <w:rPr>
      <w:sz w:val="24"/>
      <w:szCs w:val="24"/>
      <w:lang w:eastAsia="en-US"/>
    </w:rPr>
  </w:style>
  <w:style w:type="paragraph" w:styleId="BalloonText">
    <w:name w:val="Balloon Text"/>
    <w:basedOn w:val="Normal"/>
    <w:link w:val="BalloonTextChar"/>
    <w:rsid w:val="00C27D55"/>
    <w:rPr>
      <w:rFonts w:ascii="Tahoma" w:hAnsi="Tahoma" w:cs="Tahoma"/>
      <w:sz w:val="16"/>
      <w:szCs w:val="16"/>
    </w:rPr>
  </w:style>
  <w:style w:type="character" w:customStyle="1" w:styleId="BalloonTextChar">
    <w:name w:val="Balloon Text Char"/>
    <w:basedOn w:val="DefaultParagraphFont"/>
    <w:link w:val="BalloonText"/>
    <w:rsid w:val="00C27D55"/>
    <w:rPr>
      <w:rFonts w:ascii="Tahoma" w:hAnsi="Tahoma" w:cs="Tahoma"/>
      <w:sz w:val="16"/>
      <w:szCs w:val="16"/>
      <w:lang w:eastAsia="en-US"/>
    </w:rPr>
  </w:style>
  <w:style w:type="character" w:customStyle="1" w:styleId="Heading3Char">
    <w:name w:val="Heading 3 Char"/>
    <w:basedOn w:val="DefaultParagraphFont"/>
    <w:link w:val="Heading3"/>
    <w:rsid w:val="00C27D55"/>
    <w:rPr>
      <w:rFonts w:ascii="Arial" w:hAnsi="Arial" w:cs="Arial"/>
      <w:bCs/>
      <w:sz w:val="24"/>
      <w:szCs w:val="26"/>
      <w:lang w:eastAsia="en-US"/>
    </w:rPr>
  </w:style>
  <w:style w:type="character" w:customStyle="1" w:styleId="normalchar">
    <w:name w:val="normal_char"/>
    <w:rsid w:val="00C27D55"/>
    <w:rPr>
      <w:color w:val="auto"/>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Bullet 1 Char"/>
    <w:link w:val="ListParagraph"/>
    <w:uiPriority w:val="34"/>
    <w:qFormat/>
    <w:locked/>
    <w:rsid w:val="00653024"/>
    <w:rPr>
      <w:sz w:val="24"/>
    </w:rPr>
  </w:style>
  <w:style w:type="paragraph" w:customStyle="1" w:styleId="Table1">
    <w:name w:val="Table 1"/>
    <w:basedOn w:val="Normal"/>
    <w:qFormat/>
    <w:rsid w:val="004160B4"/>
    <w:pPr>
      <w:keepNext/>
      <w:keepLines/>
      <w:spacing w:before="60" w:after="60" w:line="276" w:lineRule="auto"/>
      <w:ind w:left="56"/>
      <w:contextualSpacing/>
      <w:outlineLvl w:val="2"/>
    </w:pPr>
    <w:rPr>
      <w:rFonts w:eastAsiaTheme="minorEastAsia" w:cstheme="minorBidi"/>
      <w:sz w:val="22"/>
      <w:szCs w:val="22"/>
      <w:lang w:eastAsia="en-US"/>
    </w:rPr>
  </w:style>
  <w:style w:type="paragraph" w:customStyle="1" w:styleId="Bullet">
    <w:name w:val="Bullet"/>
    <w:basedOn w:val="Normal"/>
    <w:link w:val="BulletChar"/>
    <w:qFormat/>
    <w:rsid w:val="004160B4"/>
    <w:pPr>
      <w:keepNext/>
      <w:keepLines/>
      <w:numPr>
        <w:numId w:val="1"/>
      </w:numPr>
      <w:spacing w:before="60" w:after="60" w:line="300" w:lineRule="auto"/>
      <w:ind w:left="567"/>
      <w:outlineLvl w:val="2"/>
    </w:pPr>
    <w:rPr>
      <w:rFonts w:eastAsiaTheme="minorEastAsia" w:cstheme="minorBidi"/>
      <w:szCs w:val="24"/>
      <w:lang w:eastAsia="en-US"/>
    </w:rPr>
  </w:style>
  <w:style w:type="paragraph" w:customStyle="1" w:styleId="Table2">
    <w:name w:val="Table 2"/>
    <w:basedOn w:val="Normal"/>
    <w:link w:val="Table2Char"/>
    <w:uiPriority w:val="1"/>
    <w:qFormat/>
    <w:rsid w:val="004160B4"/>
    <w:pPr>
      <w:keepNext/>
      <w:keepLines/>
      <w:tabs>
        <w:tab w:val="left" w:pos="284"/>
      </w:tabs>
      <w:contextualSpacing/>
      <w:jc w:val="right"/>
      <w:outlineLvl w:val="2"/>
    </w:pPr>
    <w:rPr>
      <w:rFonts w:eastAsia="Calibri"/>
      <w:sz w:val="22"/>
      <w:szCs w:val="22"/>
      <w:lang w:eastAsia="en-US"/>
    </w:rPr>
  </w:style>
  <w:style w:type="character" w:customStyle="1" w:styleId="Table2Char">
    <w:name w:val="Table 2 Char"/>
    <w:basedOn w:val="DefaultParagraphFont"/>
    <w:link w:val="Table2"/>
    <w:uiPriority w:val="1"/>
    <w:rsid w:val="004160B4"/>
    <w:rPr>
      <w:rFonts w:eastAsia="Calibri"/>
      <w:sz w:val="22"/>
      <w:szCs w:val="22"/>
      <w:lang w:eastAsia="en-US"/>
    </w:rPr>
  </w:style>
  <w:style w:type="paragraph" w:customStyle="1" w:styleId="Table3">
    <w:name w:val="Table 3"/>
    <w:basedOn w:val="Table2"/>
    <w:unhideWhenUsed/>
    <w:qFormat/>
    <w:rsid w:val="004160B4"/>
    <w:rPr>
      <w:b/>
    </w:rPr>
  </w:style>
  <w:style w:type="paragraph" w:customStyle="1" w:styleId="Table1Bold">
    <w:name w:val="Table 1 Bold"/>
    <w:basedOn w:val="Table1"/>
    <w:unhideWhenUsed/>
    <w:qFormat/>
    <w:rsid w:val="004160B4"/>
    <w:rPr>
      <w:b/>
    </w:rPr>
  </w:style>
  <w:style w:type="paragraph" w:customStyle="1" w:styleId="Table2Bold">
    <w:name w:val="Table 2 Bold"/>
    <w:basedOn w:val="Table2"/>
    <w:unhideWhenUsed/>
    <w:qFormat/>
    <w:rsid w:val="004160B4"/>
    <w:rPr>
      <w:b/>
    </w:rPr>
  </w:style>
  <w:style w:type="character" w:styleId="CommentReference">
    <w:name w:val="annotation reference"/>
    <w:basedOn w:val="DefaultParagraphFont"/>
    <w:unhideWhenUsed/>
    <w:rsid w:val="004160B4"/>
    <w:rPr>
      <w:sz w:val="16"/>
      <w:szCs w:val="16"/>
    </w:rPr>
  </w:style>
  <w:style w:type="character" w:customStyle="1" w:styleId="BulletChar">
    <w:name w:val="Bullet Char"/>
    <w:basedOn w:val="DefaultParagraphFont"/>
    <w:link w:val="Bullet"/>
    <w:rsid w:val="004160B4"/>
    <w:rPr>
      <w:rFonts w:eastAsiaTheme="minorEastAsia" w:cstheme="minorBidi"/>
      <w:sz w:val="24"/>
      <w:szCs w:val="24"/>
      <w:lang w:eastAsia="en-US"/>
    </w:rPr>
  </w:style>
  <w:style w:type="character" w:styleId="Hyperlink">
    <w:name w:val="Hyperlink"/>
    <w:rsid w:val="00F90004"/>
    <w:rPr>
      <w:color w:val="0000FF"/>
      <w:u w:val="single"/>
    </w:rPr>
  </w:style>
  <w:style w:type="paragraph" w:styleId="FootnoteText">
    <w:name w:val="footnote text"/>
    <w:basedOn w:val="Normal"/>
    <w:link w:val="FootnoteTextChar"/>
    <w:uiPriority w:val="99"/>
    <w:rsid w:val="00B90E96"/>
    <w:rPr>
      <w:sz w:val="20"/>
    </w:rPr>
  </w:style>
  <w:style w:type="character" w:customStyle="1" w:styleId="FootnoteTextChar">
    <w:name w:val="Footnote Text Char"/>
    <w:basedOn w:val="DefaultParagraphFont"/>
    <w:link w:val="FootnoteText"/>
    <w:uiPriority w:val="99"/>
    <w:rsid w:val="00B90E96"/>
  </w:style>
  <w:style w:type="character" w:styleId="FootnoteReference">
    <w:name w:val="footnote reference"/>
    <w:basedOn w:val="DefaultParagraphFont"/>
    <w:uiPriority w:val="99"/>
    <w:rsid w:val="00B90E96"/>
    <w:rPr>
      <w:vertAlign w:val="superscript"/>
    </w:rPr>
  </w:style>
  <w:style w:type="table" w:styleId="TableGrid">
    <w:name w:val="Table Grid"/>
    <w:basedOn w:val="TableNormal"/>
    <w:uiPriority w:val="59"/>
    <w:rsid w:val="001F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EA0E4F"/>
    <w:rPr>
      <w:sz w:val="20"/>
    </w:rPr>
  </w:style>
  <w:style w:type="character" w:customStyle="1" w:styleId="EndnoteTextChar">
    <w:name w:val="Endnote Text Char"/>
    <w:basedOn w:val="DefaultParagraphFont"/>
    <w:link w:val="EndnoteText"/>
    <w:rsid w:val="00EA0E4F"/>
  </w:style>
  <w:style w:type="character" w:styleId="EndnoteReference">
    <w:name w:val="endnote reference"/>
    <w:basedOn w:val="DefaultParagraphFont"/>
    <w:rsid w:val="00EA0E4F"/>
    <w:rPr>
      <w:vertAlign w:val="superscript"/>
    </w:rPr>
  </w:style>
  <w:style w:type="paragraph" w:styleId="CommentText">
    <w:name w:val="annotation text"/>
    <w:basedOn w:val="Normal"/>
    <w:link w:val="CommentTextChar"/>
    <w:rsid w:val="000C51F6"/>
    <w:rPr>
      <w:sz w:val="20"/>
    </w:rPr>
  </w:style>
  <w:style w:type="character" w:customStyle="1" w:styleId="CommentTextChar">
    <w:name w:val="Comment Text Char"/>
    <w:basedOn w:val="DefaultParagraphFont"/>
    <w:link w:val="CommentText"/>
    <w:rsid w:val="000C51F6"/>
  </w:style>
  <w:style w:type="paragraph" w:styleId="CommentSubject">
    <w:name w:val="annotation subject"/>
    <w:basedOn w:val="CommentText"/>
    <w:next w:val="CommentText"/>
    <w:link w:val="CommentSubjectChar"/>
    <w:rsid w:val="000C51F6"/>
    <w:rPr>
      <w:b/>
      <w:bCs/>
    </w:rPr>
  </w:style>
  <w:style w:type="character" w:customStyle="1" w:styleId="CommentSubjectChar">
    <w:name w:val="Comment Subject Char"/>
    <w:basedOn w:val="CommentTextChar"/>
    <w:link w:val="CommentSubject"/>
    <w:rsid w:val="000C51F6"/>
    <w:rPr>
      <w:b/>
      <w:bCs/>
    </w:rPr>
  </w:style>
  <w:style w:type="paragraph" w:styleId="ListBullet">
    <w:name w:val="List Bullet"/>
    <w:uiPriority w:val="1"/>
    <w:unhideWhenUsed/>
    <w:qFormat/>
    <w:rsid w:val="00F709C4"/>
    <w:pPr>
      <w:numPr>
        <w:numId w:val="2"/>
      </w:numPr>
      <w:spacing w:before="120" w:after="120"/>
      <w:contextualSpacing/>
    </w:pPr>
    <w:rPr>
      <w:rFonts w:asciiTheme="majorHAnsi" w:eastAsiaTheme="minorHAnsi" w:hAnsiTheme="majorHAnsi" w:cstheme="minorBidi"/>
      <w:color w:val="595959" w:themeColor="text1" w:themeTint="A6"/>
      <w:kern w:val="20"/>
      <w:sz w:val="22"/>
      <w:szCs w:val="22"/>
      <w:lang w:val="en-US" w:eastAsia="ja-JP"/>
    </w:rPr>
  </w:style>
  <w:style w:type="character" w:styleId="FollowedHyperlink">
    <w:name w:val="FollowedHyperlink"/>
    <w:basedOn w:val="DefaultParagraphFont"/>
    <w:rsid w:val="0036185A"/>
    <w:rPr>
      <w:color w:val="800080" w:themeColor="followedHyperlink"/>
      <w:u w:val="single"/>
    </w:rPr>
  </w:style>
  <w:style w:type="paragraph" w:customStyle="1" w:styleId="Default">
    <w:name w:val="Default"/>
    <w:basedOn w:val="Normal"/>
    <w:rsid w:val="0092521A"/>
    <w:pPr>
      <w:autoSpaceDE w:val="0"/>
      <w:autoSpaceDN w:val="0"/>
    </w:pPr>
    <w:rPr>
      <w:rFonts w:ascii="Arial" w:eastAsiaTheme="minorHAnsi" w:hAnsi="Arial" w:cs="Arial"/>
      <w:color w:val="000000"/>
      <w:szCs w:val="24"/>
    </w:rPr>
  </w:style>
  <w:style w:type="paragraph" w:styleId="NormalWeb">
    <w:name w:val="Normal (Web)"/>
    <w:basedOn w:val="Normal"/>
    <w:uiPriority w:val="99"/>
    <w:unhideWhenUsed/>
    <w:rsid w:val="007C0555"/>
    <w:pPr>
      <w:spacing w:before="100" w:beforeAutospacing="1" w:after="100" w:afterAutospacing="1"/>
    </w:pPr>
    <w:rPr>
      <w:szCs w:val="24"/>
    </w:rPr>
  </w:style>
  <w:style w:type="paragraph" w:styleId="Revision">
    <w:name w:val="Revision"/>
    <w:hidden/>
    <w:uiPriority w:val="99"/>
    <w:semiHidden/>
    <w:rsid w:val="00A44381"/>
    <w:rPr>
      <w:sz w:val="24"/>
    </w:rPr>
  </w:style>
  <w:style w:type="paragraph" w:styleId="BodyTextIndent3">
    <w:name w:val="Body Text Indent 3"/>
    <w:basedOn w:val="Normal"/>
    <w:link w:val="BodyTextIndent3Char"/>
    <w:rsid w:val="00617CAE"/>
    <w:pPr>
      <w:spacing w:after="120"/>
      <w:ind w:left="283"/>
    </w:pPr>
    <w:rPr>
      <w:sz w:val="16"/>
      <w:szCs w:val="16"/>
      <w:lang w:eastAsia="en-US"/>
    </w:rPr>
  </w:style>
  <w:style w:type="character" w:customStyle="1" w:styleId="BodyTextIndent3Char">
    <w:name w:val="Body Text Indent 3 Char"/>
    <w:basedOn w:val="DefaultParagraphFont"/>
    <w:link w:val="BodyTextIndent3"/>
    <w:rsid w:val="00617CAE"/>
    <w:rPr>
      <w:sz w:val="16"/>
      <w:szCs w:val="16"/>
      <w:lang w:eastAsia="en-US"/>
    </w:rPr>
  </w:style>
  <w:style w:type="paragraph" w:customStyle="1" w:styleId="PBACheading1">
    <w:name w:val="PBAC heading 1"/>
    <w:qFormat/>
    <w:rsid w:val="008D335D"/>
    <w:pPr>
      <w:ind w:left="720" w:hanging="720"/>
      <w:outlineLvl w:val="0"/>
    </w:pPr>
    <w:rPr>
      <w:rFonts w:ascii="Arial" w:hAnsi="Arial" w:cs="Arial"/>
      <w:b/>
      <w:snapToGrid w:val="0"/>
      <w:sz w:val="22"/>
      <w:szCs w:val="22"/>
      <w:lang w:eastAsia="en-US"/>
    </w:rPr>
  </w:style>
  <w:style w:type="character" w:styleId="PlaceholderText">
    <w:name w:val="Placeholder Text"/>
    <w:basedOn w:val="DefaultParagraphFont"/>
    <w:uiPriority w:val="99"/>
    <w:semiHidden/>
    <w:rsid w:val="004F6579"/>
    <w:rPr>
      <w:color w:val="808080"/>
    </w:rPr>
  </w:style>
  <w:style w:type="paragraph" w:customStyle="1" w:styleId="Paragraphtext">
    <w:name w:val="Paragraph text"/>
    <w:basedOn w:val="Normal"/>
    <w:qFormat/>
    <w:rsid w:val="00762A4F"/>
    <w:pPr>
      <w:spacing w:before="120" w:after="60"/>
    </w:pPr>
    <w:rPr>
      <w:rFonts w:ascii="Arial" w:hAnsi="Arial"/>
      <w:color w:val="000000" w:themeColor="text1"/>
      <w:sz w:val="21"/>
      <w:szCs w:val="24"/>
      <w:lang w:eastAsia="en-US"/>
    </w:rPr>
  </w:style>
  <w:style w:type="paragraph" w:styleId="ListBullet2">
    <w:name w:val="List Bullet 2"/>
    <w:basedOn w:val="Normal"/>
    <w:semiHidden/>
    <w:unhideWhenUsed/>
    <w:rsid w:val="00762A4F"/>
    <w:pPr>
      <w:numPr>
        <w:numId w:val="3"/>
      </w:numPr>
      <w:contextualSpacing/>
    </w:pPr>
  </w:style>
  <w:style w:type="character" w:styleId="UnresolvedMention">
    <w:name w:val="Unresolved Mention"/>
    <w:basedOn w:val="DefaultParagraphFont"/>
    <w:uiPriority w:val="99"/>
    <w:semiHidden/>
    <w:unhideWhenUsed/>
    <w:rsid w:val="00F940D7"/>
    <w:rPr>
      <w:color w:val="605E5C"/>
      <w:shd w:val="clear" w:color="auto" w:fill="E1DFDD"/>
    </w:rPr>
  </w:style>
  <w:style w:type="paragraph" w:customStyle="1" w:styleId="xmsonormal">
    <w:name w:val="x_msonormal"/>
    <w:basedOn w:val="Normal"/>
    <w:rsid w:val="004E3288"/>
    <w:rPr>
      <w:rFonts w:ascii="Calibri" w:eastAsiaTheme="minorHAnsi" w:hAnsi="Calibri" w:cs="Calibri"/>
      <w:sz w:val="20"/>
    </w:rPr>
  </w:style>
  <w:style w:type="paragraph" w:customStyle="1" w:styleId="2Sections">
    <w:name w:val="2. Sections"/>
    <w:qFormat/>
    <w:rsid w:val="004E3288"/>
    <w:pPr>
      <w:numPr>
        <w:numId w:val="7"/>
      </w:numPr>
      <w:spacing w:before="240" w:after="1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4E3288"/>
    <w:pPr>
      <w:numPr>
        <w:ilvl w:val="1"/>
        <w:numId w:val="7"/>
      </w:numPr>
      <w:spacing w:after="120"/>
      <w:contextualSpacing w:val="0"/>
      <w:jc w:val="both"/>
    </w:pPr>
    <w:rPr>
      <w:rFonts w:asciiTheme="minorHAnsi" w:eastAsiaTheme="minorHAnsi" w:hAnsiTheme="minorHAnsi" w:cstheme="minorBidi"/>
      <w:szCs w:val="22"/>
      <w:lang w:eastAsia="en-US"/>
    </w:rPr>
  </w:style>
  <w:style w:type="paragraph" w:customStyle="1" w:styleId="3Bodytext">
    <w:name w:val="3. Body text"/>
    <w:basedOn w:val="ListParagraph"/>
    <w:link w:val="3BodytextChar"/>
    <w:qFormat/>
    <w:rsid w:val="00E323A5"/>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E323A5"/>
    <w:rPr>
      <w:rFonts w:asciiTheme="minorHAnsi" w:eastAsiaTheme="minorHAnsi" w:hAnsiTheme="minorHAnsi" w:cstheme="minorBidi"/>
      <w:sz w:val="24"/>
      <w:szCs w:val="22"/>
      <w:lang w:eastAsia="en-US"/>
    </w:rPr>
  </w:style>
  <w:style w:type="paragraph" w:customStyle="1" w:styleId="2-SectionHeading">
    <w:name w:val="2-Section Heading"/>
    <w:next w:val="3-BodyText"/>
    <w:qFormat/>
    <w:rsid w:val="002A6C1C"/>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2A6C1C"/>
    <w:pPr>
      <w:spacing w:before="120"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2A6C1C"/>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53">
      <w:bodyDiv w:val="1"/>
      <w:marLeft w:val="0"/>
      <w:marRight w:val="0"/>
      <w:marTop w:val="0"/>
      <w:marBottom w:val="0"/>
      <w:divBdr>
        <w:top w:val="none" w:sz="0" w:space="0" w:color="auto"/>
        <w:left w:val="none" w:sz="0" w:space="0" w:color="auto"/>
        <w:bottom w:val="none" w:sz="0" w:space="0" w:color="auto"/>
        <w:right w:val="none" w:sz="0" w:space="0" w:color="auto"/>
      </w:divBdr>
    </w:div>
    <w:div w:id="32197015">
      <w:bodyDiv w:val="1"/>
      <w:marLeft w:val="0"/>
      <w:marRight w:val="0"/>
      <w:marTop w:val="0"/>
      <w:marBottom w:val="0"/>
      <w:divBdr>
        <w:top w:val="none" w:sz="0" w:space="0" w:color="auto"/>
        <w:left w:val="none" w:sz="0" w:space="0" w:color="auto"/>
        <w:bottom w:val="none" w:sz="0" w:space="0" w:color="auto"/>
        <w:right w:val="none" w:sz="0" w:space="0" w:color="auto"/>
      </w:divBdr>
    </w:div>
    <w:div w:id="149446891">
      <w:bodyDiv w:val="1"/>
      <w:marLeft w:val="0"/>
      <w:marRight w:val="0"/>
      <w:marTop w:val="0"/>
      <w:marBottom w:val="0"/>
      <w:divBdr>
        <w:top w:val="none" w:sz="0" w:space="0" w:color="auto"/>
        <w:left w:val="none" w:sz="0" w:space="0" w:color="auto"/>
        <w:bottom w:val="none" w:sz="0" w:space="0" w:color="auto"/>
        <w:right w:val="none" w:sz="0" w:space="0" w:color="auto"/>
      </w:divBdr>
    </w:div>
    <w:div w:id="151221416">
      <w:bodyDiv w:val="1"/>
      <w:marLeft w:val="0"/>
      <w:marRight w:val="0"/>
      <w:marTop w:val="0"/>
      <w:marBottom w:val="0"/>
      <w:divBdr>
        <w:top w:val="none" w:sz="0" w:space="0" w:color="auto"/>
        <w:left w:val="none" w:sz="0" w:space="0" w:color="auto"/>
        <w:bottom w:val="none" w:sz="0" w:space="0" w:color="auto"/>
        <w:right w:val="none" w:sz="0" w:space="0" w:color="auto"/>
      </w:divBdr>
    </w:div>
    <w:div w:id="179322785">
      <w:bodyDiv w:val="1"/>
      <w:marLeft w:val="0"/>
      <w:marRight w:val="0"/>
      <w:marTop w:val="0"/>
      <w:marBottom w:val="0"/>
      <w:divBdr>
        <w:top w:val="none" w:sz="0" w:space="0" w:color="auto"/>
        <w:left w:val="none" w:sz="0" w:space="0" w:color="auto"/>
        <w:bottom w:val="none" w:sz="0" w:space="0" w:color="auto"/>
        <w:right w:val="none" w:sz="0" w:space="0" w:color="auto"/>
      </w:divBdr>
    </w:div>
    <w:div w:id="202522308">
      <w:bodyDiv w:val="1"/>
      <w:marLeft w:val="0"/>
      <w:marRight w:val="0"/>
      <w:marTop w:val="0"/>
      <w:marBottom w:val="0"/>
      <w:divBdr>
        <w:top w:val="none" w:sz="0" w:space="0" w:color="auto"/>
        <w:left w:val="none" w:sz="0" w:space="0" w:color="auto"/>
        <w:bottom w:val="none" w:sz="0" w:space="0" w:color="auto"/>
        <w:right w:val="none" w:sz="0" w:space="0" w:color="auto"/>
      </w:divBdr>
    </w:div>
    <w:div w:id="240141902">
      <w:bodyDiv w:val="1"/>
      <w:marLeft w:val="0"/>
      <w:marRight w:val="0"/>
      <w:marTop w:val="0"/>
      <w:marBottom w:val="0"/>
      <w:divBdr>
        <w:top w:val="none" w:sz="0" w:space="0" w:color="auto"/>
        <w:left w:val="none" w:sz="0" w:space="0" w:color="auto"/>
        <w:bottom w:val="none" w:sz="0" w:space="0" w:color="auto"/>
        <w:right w:val="none" w:sz="0" w:space="0" w:color="auto"/>
      </w:divBdr>
    </w:div>
    <w:div w:id="259143591">
      <w:bodyDiv w:val="1"/>
      <w:marLeft w:val="0"/>
      <w:marRight w:val="0"/>
      <w:marTop w:val="0"/>
      <w:marBottom w:val="0"/>
      <w:divBdr>
        <w:top w:val="none" w:sz="0" w:space="0" w:color="auto"/>
        <w:left w:val="none" w:sz="0" w:space="0" w:color="auto"/>
        <w:bottom w:val="none" w:sz="0" w:space="0" w:color="auto"/>
        <w:right w:val="none" w:sz="0" w:space="0" w:color="auto"/>
      </w:divBdr>
      <w:divsChild>
        <w:div w:id="261111659">
          <w:marLeft w:val="0"/>
          <w:marRight w:val="0"/>
          <w:marTop w:val="0"/>
          <w:marBottom w:val="0"/>
          <w:divBdr>
            <w:top w:val="none" w:sz="0" w:space="0" w:color="auto"/>
            <w:left w:val="none" w:sz="0" w:space="0" w:color="auto"/>
            <w:bottom w:val="none" w:sz="0" w:space="0" w:color="auto"/>
            <w:right w:val="none" w:sz="0" w:space="0" w:color="auto"/>
          </w:divBdr>
          <w:divsChild>
            <w:div w:id="370153891">
              <w:marLeft w:val="0"/>
              <w:marRight w:val="0"/>
              <w:marTop w:val="0"/>
              <w:marBottom w:val="0"/>
              <w:divBdr>
                <w:top w:val="none" w:sz="0" w:space="0" w:color="auto"/>
                <w:left w:val="none" w:sz="0" w:space="0" w:color="auto"/>
                <w:bottom w:val="none" w:sz="0" w:space="0" w:color="auto"/>
                <w:right w:val="none" w:sz="0" w:space="0" w:color="auto"/>
              </w:divBdr>
              <w:divsChild>
                <w:div w:id="45033021">
                  <w:marLeft w:val="0"/>
                  <w:marRight w:val="0"/>
                  <w:marTop w:val="0"/>
                  <w:marBottom w:val="0"/>
                  <w:divBdr>
                    <w:top w:val="none" w:sz="0" w:space="0" w:color="auto"/>
                    <w:left w:val="none" w:sz="0" w:space="0" w:color="auto"/>
                    <w:bottom w:val="none" w:sz="0" w:space="0" w:color="auto"/>
                    <w:right w:val="none" w:sz="0" w:space="0" w:color="auto"/>
                  </w:divBdr>
                  <w:divsChild>
                    <w:div w:id="234708124">
                      <w:marLeft w:val="0"/>
                      <w:marRight w:val="0"/>
                      <w:marTop w:val="0"/>
                      <w:marBottom w:val="0"/>
                      <w:divBdr>
                        <w:top w:val="none" w:sz="0" w:space="0" w:color="auto"/>
                        <w:left w:val="none" w:sz="0" w:space="0" w:color="auto"/>
                        <w:bottom w:val="none" w:sz="0" w:space="0" w:color="auto"/>
                        <w:right w:val="none" w:sz="0" w:space="0" w:color="auto"/>
                      </w:divBdr>
                      <w:divsChild>
                        <w:div w:id="1049498929">
                          <w:marLeft w:val="0"/>
                          <w:marRight w:val="0"/>
                          <w:marTop w:val="0"/>
                          <w:marBottom w:val="0"/>
                          <w:divBdr>
                            <w:top w:val="none" w:sz="0" w:space="0" w:color="auto"/>
                            <w:left w:val="none" w:sz="0" w:space="0" w:color="auto"/>
                            <w:bottom w:val="none" w:sz="0" w:space="0" w:color="auto"/>
                            <w:right w:val="none" w:sz="0" w:space="0" w:color="auto"/>
                          </w:divBdr>
                          <w:divsChild>
                            <w:div w:id="2070228973">
                              <w:marLeft w:val="0"/>
                              <w:marRight w:val="0"/>
                              <w:marTop w:val="0"/>
                              <w:marBottom w:val="0"/>
                              <w:divBdr>
                                <w:top w:val="none" w:sz="0" w:space="0" w:color="auto"/>
                                <w:left w:val="none" w:sz="0" w:space="0" w:color="auto"/>
                                <w:bottom w:val="none" w:sz="0" w:space="0" w:color="auto"/>
                                <w:right w:val="none" w:sz="0" w:space="0" w:color="auto"/>
                              </w:divBdr>
                              <w:divsChild>
                                <w:div w:id="1846899183">
                                  <w:marLeft w:val="0"/>
                                  <w:marRight w:val="0"/>
                                  <w:marTop w:val="0"/>
                                  <w:marBottom w:val="0"/>
                                  <w:divBdr>
                                    <w:top w:val="none" w:sz="0" w:space="0" w:color="auto"/>
                                    <w:left w:val="none" w:sz="0" w:space="0" w:color="auto"/>
                                    <w:bottom w:val="none" w:sz="0" w:space="0" w:color="auto"/>
                                    <w:right w:val="none" w:sz="0" w:space="0" w:color="auto"/>
                                  </w:divBdr>
                                  <w:divsChild>
                                    <w:div w:id="765733053">
                                      <w:marLeft w:val="0"/>
                                      <w:marRight w:val="0"/>
                                      <w:marTop w:val="0"/>
                                      <w:marBottom w:val="0"/>
                                      <w:divBdr>
                                        <w:top w:val="none" w:sz="0" w:space="0" w:color="auto"/>
                                        <w:left w:val="none" w:sz="0" w:space="0" w:color="auto"/>
                                        <w:bottom w:val="none" w:sz="0" w:space="0" w:color="auto"/>
                                        <w:right w:val="none" w:sz="0" w:space="0" w:color="auto"/>
                                      </w:divBdr>
                                      <w:divsChild>
                                        <w:div w:id="1556503349">
                                          <w:marLeft w:val="0"/>
                                          <w:marRight w:val="0"/>
                                          <w:marTop w:val="0"/>
                                          <w:marBottom w:val="0"/>
                                          <w:divBdr>
                                            <w:top w:val="none" w:sz="0" w:space="0" w:color="auto"/>
                                            <w:left w:val="none" w:sz="0" w:space="0" w:color="auto"/>
                                            <w:bottom w:val="none" w:sz="0" w:space="0" w:color="auto"/>
                                            <w:right w:val="none" w:sz="0" w:space="0" w:color="auto"/>
                                          </w:divBdr>
                                          <w:divsChild>
                                            <w:div w:id="2045591302">
                                              <w:marLeft w:val="0"/>
                                              <w:marRight w:val="0"/>
                                              <w:marTop w:val="0"/>
                                              <w:marBottom w:val="0"/>
                                              <w:divBdr>
                                                <w:top w:val="none" w:sz="0" w:space="0" w:color="auto"/>
                                                <w:left w:val="none" w:sz="0" w:space="0" w:color="auto"/>
                                                <w:bottom w:val="none" w:sz="0" w:space="0" w:color="auto"/>
                                                <w:right w:val="none" w:sz="0" w:space="0" w:color="auto"/>
                                              </w:divBdr>
                                              <w:divsChild>
                                                <w:div w:id="1490557153">
                                                  <w:marLeft w:val="0"/>
                                                  <w:marRight w:val="0"/>
                                                  <w:marTop w:val="0"/>
                                                  <w:marBottom w:val="0"/>
                                                  <w:divBdr>
                                                    <w:top w:val="none" w:sz="0" w:space="0" w:color="auto"/>
                                                    <w:left w:val="none" w:sz="0" w:space="0" w:color="auto"/>
                                                    <w:bottom w:val="none" w:sz="0" w:space="0" w:color="auto"/>
                                                    <w:right w:val="none" w:sz="0" w:space="0" w:color="auto"/>
                                                  </w:divBdr>
                                                  <w:divsChild>
                                                    <w:div w:id="1706516496">
                                                      <w:marLeft w:val="0"/>
                                                      <w:marRight w:val="0"/>
                                                      <w:marTop w:val="0"/>
                                                      <w:marBottom w:val="0"/>
                                                      <w:divBdr>
                                                        <w:top w:val="none" w:sz="0" w:space="0" w:color="auto"/>
                                                        <w:left w:val="none" w:sz="0" w:space="0" w:color="auto"/>
                                                        <w:bottom w:val="none" w:sz="0" w:space="0" w:color="auto"/>
                                                        <w:right w:val="none" w:sz="0" w:space="0" w:color="auto"/>
                                                      </w:divBdr>
                                                      <w:divsChild>
                                                        <w:div w:id="1836651657">
                                                          <w:marLeft w:val="0"/>
                                                          <w:marRight w:val="0"/>
                                                          <w:marTop w:val="0"/>
                                                          <w:marBottom w:val="0"/>
                                                          <w:divBdr>
                                                            <w:top w:val="none" w:sz="0" w:space="0" w:color="auto"/>
                                                            <w:left w:val="none" w:sz="0" w:space="0" w:color="auto"/>
                                                            <w:bottom w:val="none" w:sz="0" w:space="0" w:color="auto"/>
                                                            <w:right w:val="none" w:sz="0" w:space="0" w:color="auto"/>
                                                          </w:divBdr>
                                                          <w:divsChild>
                                                            <w:div w:id="757288308">
                                                              <w:marLeft w:val="0"/>
                                                              <w:marRight w:val="0"/>
                                                              <w:marTop w:val="0"/>
                                                              <w:marBottom w:val="0"/>
                                                              <w:divBdr>
                                                                <w:top w:val="none" w:sz="0" w:space="0" w:color="auto"/>
                                                                <w:left w:val="none" w:sz="0" w:space="0" w:color="auto"/>
                                                                <w:bottom w:val="none" w:sz="0" w:space="0" w:color="auto"/>
                                                                <w:right w:val="none" w:sz="0" w:space="0" w:color="auto"/>
                                                              </w:divBdr>
                                                              <w:divsChild>
                                                                <w:div w:id="1905604860">
                                                                  <w:marLeft w:val="0"/>
                                                                  <w:marRight w:val="0"/>
                                                                  <w:marTop w:val="0"/>
                                                                  <w:marBottom w:val="0"/>
                                                                  <w:divBdr>
                                                                    <w:top w:val="none" w:sz="0" w:space="0" w:color="auto"/>
                                                                    <w:left w:val="none" w:sz="0" w:space="0" w:color="auto"/>
                                                                    <w:bottom w:val="none" w:sz="0" w:space="0" w:color="auto"/>
                                                                    <w:right w:val="none" w:sz="0" w:space="0" w:color="auto"/>
                                                                  </w:divBdr>
                                                                  <w:divsChild>
                                                                    <w:div w:id="7293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3247652">
      <w:bodyDiv w:val="1"/>
      <w:marLeft w:val="0"/>
      <w:marRight w:val="0"/>
      <w:marTop w:val="0"/>
      <w:marBottom w:val="0"/>
      <w:divBdr>
        <w:top w:val="none" w:sz="0" w:space="0" w:color="auto"/>
        <w:left w:val="none" w:sz="0" w:space="0" w:color="auto"/>
        <w:bottom w:val="none" w:sz="0" w:space="0" w:color="auto"/>
        <w:right w:val="none" w:sz="0" w:space="0" w:color="auto"/>
      </w:divBdr>
    </w:div>
    <w:div w:id="296490070">
      <w:bodyDiv w:val="1"/>
      <w:marLeft w:val="0"/>
      <w:marRight w:val="0"/>
      <w:marTop w:val="0"/>
      <w:marBottom w:val="0"/>
      <w:divBdr>
        <w:top w:val="none" w:sz="0" w:space="0" w:color="auto"/>
        <w:left w:val="none" w:sz="0" w:space="0" w:color="auto"/>
        <w:bottom w:val="none" w:sz="0" w:space="0" w:color="auto"/>
        <w:right w:val="none" w:sz="0" w:space="0" w:color="auto"/>
      </w:divBdr>
    </w:div>
    <w:div w:id="334577122">
      <w:bodyDiv w:val="1"/>
      <w:marLeft w:val="0"/>
      <w:marRight w:val="0"/>
      <w:marTop w:val="0"/>
      <w:marBottom w:val="0"/>
      <w:divBdr>
        <w:top w:val="none" w:sz="0" w:space="0" w:color="auto"/>
        <w:left w:val="none" w:sz="0" w:space="0" w:color="auto"/>
        <w:bottom w:val="none" w:sz="0" w:space="0" w:color="auto"/>
        <w:right w:val="none" w:sz="0" w:space="0" w:color="auto"/>
      </w:divBdr>
    </w:div>
    <w:div w:id="338657028">
      <w:bodyDiv w:val="1"/>
      <w:marLeft w:val="0"/>
      <w:marRight w:val="0"/>
      <w:marTop w:val="0"/>
      <w:marBottom w:val="0"/>
      <w:divBdr>
        <w:top w:val="none" w:sz="0" w:space="0" w:color="auto"/>
        <w:left w:val="none" w:sz="0" w:space="0" w:color="auto"/>
        <w:bottom w:val="none" w:sz="0" w:space="0" w:color="auto"/>
        <w:right w:val="none" w:sz="0" w:space="0" w:color="auto"/>
      </w:divBdr>
      <w:divsChild>
        <w:div w:id="497961493">
          <w:marLeft w:val="446"/>
          <w:marRight w:val="0"/>
          <w:marTop w:val="0"/>
          <w:marBottom w:val="0"/>
          <w:divBdr>
            <w:top w:val="none" w:sz="0" w:space="0" w:color="auto"/>
            <w:left w:val="none" w:sz="0" w:space="0" w:color="auto"/>
            <w:bottom w:val="none" w:sz="0" w:space="0" w:color="auto"/>
            <w:right w:val="none" w:sz="0" w:space="0" w:color="auto"/>
          </w:divBdr>
        </w:div>
      </w:divsChild>
    </w:div>
    <w:div w:id="405228294">
      <w:bodyDiv w:val="1"/>
      <w:marLeft w:val="0"/>
      <w:marRight w:val="0"/>
      <w:marTop w:val="0"/>
      <w:marBottom w:val="0"/>
      <w:divBdr>
        <w:top w:val="none" w:sz="0" w:space="0" w:color="auto"/>
        <w:left w:val="none" w:sz="0" w:space="0" w:color="auto"/>
        <w:bottom w:val="none" w:sz="0" w:space="0" w:color="auto"/>
        <w:right w:val="none" w:sz="0" w:space="0" w:color="auto"/>
      </w:divBdr>
    </w:div>
    <w:div w:id="469979797">
      <w:bodyDiv w:val="1"/>
      <w:marLeft w:val="0"/>
      <w:marRight w:val="0"/>
      <w:marTop w:val="0"/>
      <w:marBottom w:val="0"/>
      <w:divBdr>
        <w:top w:val="none" w:sz="0" w:space="0" w:color="auto"/>
        <w:left w:val="none" w:sz="0" w:space="0" w:color="auto"/>
        <w:bottom w:val="none" w:sz="0" w:space="0" w:color="auto"/>
        <w:right w:val="none" w:sz="0" w:space="0" w:color="auto"/>
      </w:divBdr>
    </w:div>
    <w:div w:id="590284474">
      <w:bodyDiv w:val="1"/>
      <w:marLeft w:val="0"/>
      <w:marRight w:val="0"/>
      <w:marTop w:val="0"/>
      <w:marBottom w:val="0"/>
      <w:divBdr>
        <w:top w:val="none" w:sz="0" w:space="0" w:color="auto"/>
        <w:left w:val="none" w:sz="0" w:space="0" w:color="auto"/>
        <w:bottom w:val="none" w:sz="0" w:space="0" w:color="auto"/>
        <w:right w:val="none" w:sz="0" w:space="0" w:color="auto"/>
      </w:divBdr>
    </w:div>
    <w:div w:id="598953995">
      <w:bodyDiv w:val="1"/>
      <w:marLeft w:val="0"/>
      <w:marRight w:val="0"/>
      <w:marTop w:val="0"/>
      <w:marBottom w:val="0"/>
      <w:divBdr>
        <w:top w:val="none" w:sz="0" w:space="0" w:color="auto"/>
        <w:left w:val="none" w:sz="0" w:space="0" w:color="auto"/>
        <w:bottom w:val="none" w:sz="0" w:space="0" w:color="auto"/>
        <w:right w:val="none" w:sz="0" w:space="0" w:color="auto"/>
      </w:divBdr>
    </w:div>
    <w:div w:id="613562520">
      <w:bodyDiv w:val="1"/>
      <w:marLeft w:val="0"/>
      <w:marRight w:val="0"/>
      <w:marTop w:val="0"/>
      <w:marBottom w:val="0"/>
      <w:divBdr>
        <w:top w:val="none" w:sz="0" w:space="0" w:color="auto"/>
        <w:left w:val="none" w:sz="0" w:space="0" w:color="auto"/>
        <w:bottom w:val="none" w:sz="0" w:space="0" w:color="auto"/>
        <w:right w:val="none" w:sz="0" w:space="0" w:color="auto"/>
      </w:divBdr>
    </w:div>
    <w:div w:id="644429031">
      <w:bodyDiv w:val="1"/>
      <w:marLeft w:val="0"/>
      <w:marRight w:val="0"/>
      <w:marTop w:val="0"/>
      <w:marBottom w:val="0"/>
      <w:divBdr>
        <w:top w:val="none" w:sz="0" w:space="0" w:color="auto"/>
        <w:left w:val="none" w:sz="0" w:space="0" w:color="auto"/>
        <w:bottom w:val="none" w:sz="0" w:space="0" w:color="auto"/>
        <w:right w:val="none" w:sz="0" w:space="0" w:color="auto"/>
      </w:divBdr>
    </w:div>
    <w:div w:id="701243256">
      <w:bodyDiv w:val="1"/>
      <w:marLeft w:val="0"/>
      <w:marRight w:val="0"/>
      <w:marTop w:val="0"/>
      <w:marBottom w:val="0"/>
      <w:divBdr>
        <w:top w:val="none" w:sz="0" w:space="0" w:color="auto"/>
        <w:left w:val="none" w:sz="0" w:space="0" w:color="auto"/>
        <w:bottom w:val="none" w:sz="0" w:space="0" w:color="auto"/>
        <w:right w:val="none" w:sz="0" w:space="0" w:color="auto"/>
      </w:divBdr>
    </w:div>
    <w:div w:id="745568313">
      <w:bodyDiv w:val="1"/>
      <w:marLeft w:val="0"/>
      <w:marRight w:val="0"/>
      <w:marTop w:val="0"/>
      <w:marBottom w:val="0"/>
      <w:divBdr>
        <w:top w:val="none" w:sz="0" w:space="0" w:color="auto"/>
        <w:left w:val="none" w:sz="0" w:space="0" w:color="auto"/>
        <w:bottom w:val="none" w:sz="0" w:space="0" w:color="auto"/>
        <w:right w:val="none" w:sz="0" w:space="0" w:color="auto"/>
      </w:divBdr>
    </w:div>
    <w:div w:id="814493478">
      <w:bodyDiv w:val="1"/>
      <w:marLeft w:val="0"/>
      <w:marRight w:val="0"/>
      <w:marTop w:val="0"/>
      <w:marBottom w:val="0"/>
      <w:divBdr>
        <w:top w:val="none" w:sz="0" w:space="0" w:color="auto"/>
        <w:left w:val="none" w:sz="0" w:space="0" w:color="auto"/>
        <w:bottom w:val="none" w:sz="0" w:space="0" w:color="auto"/>
        <w:right w:val="none" w:sz="0" w:space="0" w:color="auto"/>
      </w:divBdr>
      <w:divsChild>
        <w:div w:id="1342047444">
          <w:marLeft w:val="446"/>
          <w:marRight w:val="0"/>
          <w:marTop w:val="0"/>
          <w:marBottom w:val="0"/>
          <w:divBdr>
            <w:top w:val="none" w:sz="0" w:space="0" w:color="auto"/>
            <w:left w:val="none" w:sz="0" w:space="0" w:color="auto"/>
            <w:bottom w:val="none" w:sz="0" w:space="0" w:color="auto"/>
            <w:right w:val="none" w:sz="0" w:space="0" w:color="auto"/>
          </w:divBdr>
        </w:div>
      </w:divsChild>
    </w:div>
    <w:div w:id="815801368">
      <w:bodyDiv w:val="1"/>
      <w:marLeft w:val="0"/>
      <w:marRight w:val="0"/>
      <w:marTop w:val="0"/>
      <w:marBottom w:val="0"/>
      <w:divBdr>
        <w:top w:val="none" w:sz="0" w:space="0" w:color="auto"/>
        <w:left w:val="none" w:sz="0" w:space="0" w:color="auto"/>
        <w:bottom w:val="none" w:sz="0" w:space="0" w:color="auto"/>
        <w:right w:val="none" w:sz="0" w:space="0" w:color="auto"/>
      </w:divBdr>
    </w:div>
    <w:div w:id="849567317">
      <w:bodyDiv w:val="1"/>
      <w:marLeft w:val="0"/>
      <w:marRight w:val="0"/>
      <w:marTop w:val="0"/>
      <w:marBottom w:val="0"/>
      <w:divBdr>
        <w:top w:val="none" w:sz="0" w:space="0" w:color="auto"/>
        <w:left w:val="none" w:sz="0" w:space="0" w:color="auto"/>
        <w:bottom w:val="none" w:sz="0" w:space="0" w:color="auto"/>
        <w:right w:val="none" w:sz="0" w:space="0" w:color="auto"/>
      </w:divBdr>
    </w:div>
    <w:div w:id="852306389">
      <w:bodyDiv w:val="1"/>
      <w:marLeft w:val="0"/>
      <w:marRight w:val="0"/>
      <w:marTop w:val="0"/>
      <w:marBottom w:val="0"/>
      <w:divBdr>
        <w:top w:val="none" w:sz="0" w:space="0" w:color="auto"/>
        <w:left w:val="none" w:sz="0" w:space="0" w:color="auto"/>
        <w:bottom w:val="none" w:sz="0" w:space="0" w:color="auto"/>
        <w:right w:val="none" w:sz="0" w:space="0" w:color="auto"/>
      </w:divBdr>
    </w:div>
    <w:div w:id="854000559">
      <w:bodyDiv w:val="1"/>
      <w:marLeft w:val="0"/>
      <w:marRight w:val="0"/>
      <w:marTop w:val="0"/>
      <w:marBottom w:val="0"/>
      <w:divBdr>
        <w:top w:val="none" w:sz="0" w:space="0" w:color="auto"/>
        <w:left w:val="none" w:sz="0" w:space="0" w:color="auto"/>
        <w:bottom w:val="none" w:sz="0" w:space="0" w:color="auto"/>
        <w:right w:val="none" w:sz="0" w:space="0" w:color="auto"/>
      </w:divBdr>
    </w:div>
    <w:div w:id="991760090">
      <w:bodyDiv w:val="1"/>
      <w:marLeft w:val="0"/>
      <w:marRight w:val="0"/>
      <w:marTop w:val="0"/>
      <w:marBottom w:val="0"/>
      <w:divBdr>
        <w:top w:val="none" w:sz="0" w:space="0" w:color="auto"/>
        <w:left w:val="none" w:sz="0" w:space="0" w:color="auto"/>
        <w:bottom w:val="none" w:sz="0" w:space="0" w:color="auto"/>
        <w:right w:val="none" w:sz="0" w:space="0" w:color="auto"/>
      </w:divBdr>
    </w:div>
    <w:div w:id="1245650729">
      <w:bodyDiv w:val="1"/>
      <w:marLeft w:val="0"/>
      <w:marRight w:val="0"/>
      <w:marTop w:val="0"/>
      <w:marBottom w:val="0"/>
      <w:divBdr>
        <w:top w:val="none" w:sz="0" w:space="0" w:color="auto"/>
        <w:left w:val="none" w:sz="0" w:space="0" w:color="auto"/>
        <w:bottom w:val="none" w:sz="0" w:space="0" w:color="auto"/>
        <w:right w:val="none" w:sz="0" w:space="0" w:color="auto"/>
      </w:divBdr>
    </w:div>
    <w:div w:id="1261377474">
      <w:bodyDiv w:val="1"/>
      <w:marLeft w:val="0"/>
      <w:marRight w:val="0"/>
      <w:marTop w:val="0"/>
      <w:marBottom w:val="0"/>
      <w:divBdr>
        <w:top w:val="none" w:sz="0" w:space="0" w:color="auto"/>
        <w:left w:val="none" w:sz="0" w:space="0" w:color="auto"/>
        <w:bottom w:val="none" w:sz="0" w:space="0" w:color="auto"/>
        <w:right w:val="none" w:sz="0" w:space="0" w:color="auto"/>
      </w:divBdr>
    </w:div>
    <w:div w:id="1296108683">
      <w:bodyDiv w:val="1"/>
      <w:marLeft w:val="0"/>
      <w:marRight w:val="0"/>
      <w:marTop w:val="0"/>
      <w:marBottom w:val="0"/>
      <w:divBdr>
        <w:top w:val="none" w:sz="0" w:space="0" w:color="auto"/>
        <w:left w:val="none" w:sz="0" w:space="0" w:color="auto"/>
        <w:bottom w:val="none" w:sz="0" w:space="0" w:color="auto"/>
        <w:right w:val="none" w:sz="0" w:space="0" w:color="auto"/>
      </w:divBdr>
    </w:div>
    <w:div w:id="1344279939">
      <w:bodyDiv w:val="1"/>
      <w:marLeft w:val="0"/>
      <w:marRight w:val="0"/>
      <w:marTop w:val="0"/>
      <w:marBottom w:val="0"/>
      <w:divBdr>
        <w:top w:val="none" w:sz="0" w:space="0" w:color="auto"/>
        <w:left w:val="none" w:sz="0" w:space="0" w:color="auto"/>
        <w:bottom w:val="none" w:sz="0" w:space="0" w:color="auto"/>
        <w:right w:val="none" w:sz="0" w:space="0" w:color="auto"/>
      </w:divBdr>
      <w:divsChild>
        <w:div w:id="607665055">
          <w:marLeft w:val="0"/>
          <w:marRight w:val="0"/>
          <w:marTop w:val="0"/>
          <w:marBottom w:val="0"/>
          <w:divBdr>
            <w:top w:val="none" w:sz="0" w:space="0" w:color="auto"/>
            <w:left w:val="none" w:sz="0" w:space="0" w:color="auto"/>
            <w:bottom w:val="none" w:sz="0" w:space="0" w:color="auto"/>
            <w:right w:val="none" w:sz="0" w:space="0" w:color="auto"/>
          </w:divBdr>
          <w:divsChild>
            <w:div w:id="2123450848">
              <w:marLeft w:val="0"/>
              <w:marRight w:val="0"/>
              <w:marTop w:val="0"/>
              <w:marBottom w:val="0"/>
              <w:divBdr>
                <w:top w:val="none" w:sz="0" w:space="0" w:color="auto"/>
                <w:left w:val="none" w:sz="0" w:space="0" w:color="auto"/>
                <w:bottom w:val="none" w:sz="0" w:space="0" w:color="auto"/>
                <w:right w:val="none" w:sz="0" w:space="0" w:color="auto"/>
              </w:divBdr>
              <w:divsChild>
                <w:div w:id="1377242593">
                  <w:marLeft w:val="0"/>
                  <w:marRight w:val="0"/>
                  <w:marTop w:val="0"/>
                  <w:marBottom w:val="0"/>
                  <w:divBdr>
                    <w:top w:val="none" w:sz="0" w:space="0" w:color="auto"/>
                    <w:left w:val="none" w:sz="0" w:space="0" w:color="auto"/>
                    <w:bottom w:val="none" w:sz="0" w:space="0" w:color="auto"/>
                    <w:right w:val="none" w:sz="0" w:space="0" w:color="auto"/>
                  </w:divBdr>
                  <w:divsChild>
                    <w:div w:id="1141995847">
                      <w:marLeft w:val="0"/>
                      <w:marRight w:val="0"/>
                      <w:marTop w:val="0"/>
                      <w:marBottom w:val="0"/>
                      <w:divBdr>
                        <w:top w:val="none" w:sz="0" w:space="0" w:color="auto"/>
                        <w:left w:val="none" w:sz="0" w:space="0" w:color="auto"/>
                        <w:bottom w:val="none" w:sz="0" w:space="0" w:color="auto"/>
                        <w:right w:val="none" w:sz="0" w:space="0" w:color="auto"/>
                      </w:divBdr>
                      <w:divsChild>
                        <w:div w:id="909996922">
                          <w:marLeft w:val="0"/>
                          <w:marRight w:val="0"/>
                          <w:marTop w:val="0"/>
                          <w:marBottom w:val="0"/>
                          <w:divBdr>
                            <w:top w:val="none" w:sz="0" w:space="0" w:color="auto"/>
                            <w:left w:val="none" w:sz="0" w:space="0" w:color="auto"/>
                            <w:bottom w:val="none" w:sz="0" w:space="0" w:color="auto"/>
                            <w:right w:val="none" w:sz="0" w:space="0" w:color="auto"/>
                          </w:divBdr>
                          <w:divsChild>
                            <w:div w:id="121922648">
                              <w:marLeft w:val="0"/>
                              <w:marRight w:val="0"/>
                              <w:marTop w:val="0"/>
                              <w:marBottom w:val="0"/>
                              <w:divBdr>
                                <w:top w:val="none" w:sz="0" w:space="0" w:color="auto"/>
                                <w:left w:val="none" w:sz="0" w:space="0" w:color="auto"/>
                                <w:bottom w:val="none" w:sz="0" w:space="0" w:color="auto"/>
                                <w:right w:val="none" w:sz="0" w:space="0" w:color="auto"/>
                              </w:divBdr>
                              <w:divsChild>
                                <w:div w:id="137114361">
                                  <w:marLeft w:val="0"/>
                                  <w:marRight w:val="0"/>
                                  <w:marTop w:val="0"/>
                                  <w:marBottom w:val="0"/>
                                  <w:divBdr>
                                    <w:top w:val="none" w:sz="0" w:space="0" w:color="auto"/>
                                    <w:left w:val="none" w:sz="0" w:space="0" w:color="auto"/>
                                    <w:bottom w:val="none" w:sz="0" w:space="0" w:color="auto"/>
                                    <w:right w:val="none" w:sz="0" w:space="0" w:color="auto"/>
                                  </w:divBdr>
                                  <w:divsChild>
                                    <w:div w:id="523330447">
                                      <w:marLeft w:val="0"/>
                                      <w:marRight w:val="0"/>
                                      <w:marTop w:val="0"/>
                                      <w:marBottom w:val="0"/>
                                      <w:divBdr>
                                        <w:top w:val="none" w:sz="0" w:space="0" w:color="auto"/>
                                        <w:left w:val="none" w:sz="0" w:space="0" w:color="auto"/>
                                        <w:bottom w:val="none" w:sz="0" w:space="0" w:color="auto"/>
                                        <w:right w:val="none" w:sz="0" w:space="0" w:color="auto"/>
                                      </w:divBdr>
                                      <w:divsChild>
                                        <w:div w:id="166987547">
                                          <w:marLeft w:val="0"/>
                                          <w:marRight w:val="0"/>
                                          <w:marTop w:val="0"/>
                                          <w:marBottom w:val="0"/>
                                          <w:divBdr>
                                            <w:top w:val="none" w:sz="0" w:space="0" w:color="auto"/>
                                            <w:left w:val="none" w:sz="0" w:space="0" w:color="auto"/>
                                            <w:bottom w:val="none" w:sz="0" w:space="0" w:color="auto"/>
                                            <w:right w:val="none" w:sz="0" w:space="0" w:color="auto"/>
                                          </w:divBdr>
                                          <w:divsChild>
                                            <w:div w:id="1083258043">
                                              <w:marLeft w:val="0"/>
                                              <w:marRight w:val="0"/>
                                              <w:marTop w:val="0"/>
                                              <w:marBottom w:val="0"/>
                                              <w:divBdr>
                                                <w:top w:val="none" w:sz="0" w:space="0" w:color="auto"/>
                                                <w:left w:val="none" w:sz="0" w:space="0" w:color="auto"/>
                                                <w:bottom w:val="none" w:sz="0" w:space="0" w:color="auto"/>
                                                <w:right w:val="none" w:sz="0" w:space="0" w:color="auto"/>
                                              </w:divBdr>
                                              <w:divsChild>
                                                <w:div w:id="653066558">
                                                  <w:marLeft w:val="0"/>
                                                  <w:marRight w:val="0"/>
                                                  <w:marTop w:val="0"/>
                                                  <w:marBottom w:val="0"/>
                                                  <w:divBdr>
                                                    <w:top w:val="none" w:sz="0" w:space="0" w:color="auto"/>
                                                    <w:left w:val="none" w:sz="0" w:space="0" w:color="auto"/>
                                                    <w:bottom w:val="none" w:sz="0" w:space="0" w:color="auto"/>
                                                    <w:right w:val="none" w:sz="0" w:space="0" w:color="auto"/>
                                                  </w:divBdr>
                                                  <w:divsChild>
                                                    <w:div w:id="1828130888">
                                                      <w:marLeft w:val="0"/>
                                                      <w:marRight w:val="0"/>
                                                      <w:marTop w:val="0"/>
                                                      <w:marBottom w:val="0"/>
                                                      <w:divBdr>
                                                        <w:top w:val="none" w:sz="0" w:space="0" w:color="auto"/>
                                                        <w:left w:val="none" w:sz="0" w:space="0" w:color="auto"/>
                                                        <w:bottom w:val="none" w:sz="0" w:space="0" w:color="auto"/>
                                                        <w:right w:val="none" w:sz="0" w:space="0" w:color="auto"/>
                                                      </w:divBdr>
                                                      <w:divsChild>
                                                        <w:div w:id="1682009162">
                                                          <w:marLeft w:val="0"/>
                                                          <w:marRight w:val="0"/>
                                                          <w:marTop w:val="0"/>
                                                          <w:marBottom w:val="0"/>
                                                          <w:divBdr>
                                                            <w:top w:val="none" w:sz="0" w:space="0" w:color="auto"/>
                                                            <w:left w:val="none" w:sz="0" w:space="0" w:color="auto"/>
                                                            <w:bottom w:val="none" w:sz="0" w:space="0" w:color="auto"/>
                                                            <w:right w:val="none" w:sz="0" w:space="0" w:color="auto"/>
                                                          </w:divBdr>
                                                          <w:divsChild>
                                                            <w:div w:id="1372460486">
                                                              <w:marLeft w:val="0"/>
                                                              <w:marRight w:val="0"/>
                                                              <w:marTop w:val="0"/>
                                                              <w:marBottom w:val="0"/>
                                                              <w:divBdr>
                                                                <w:top w:val="none" w:sz="0" w:space="0" w:color="auto"/>
                                                                <w:left w:val="none" w:sz="0" w:space="0" w:color="auto"/>
                                                                <w:bottom w:val="none" w:sz="0" w:space="0" w:color="auto"/>
                                                                <w:right w:val="none" w:sz="0" w:space="0" w:color="auto"/>
                                                              </w:divBdr>
                                                              <w:divsChild>
                                                                <w:div w:id="653921656">
                                                                  <w:marLeft w:val="0"/>
                                                                  <w:marRight w:val="0"/>
                                                                  <w:marTop w:val="0"/>
                                                                  <w:marBottom w:val="0"/>
                                                                  <w:divBdr>
                                                                    <w:top w:val="none" w:sz="0" w:space="0" w:color="auto"/>
                                                                    <w:left w:val="none" w:sz="0" w:space="0" w:color="auto"/>
                                                                    <w:bottom w:val="none" w:sz="0" w:space="0" w:color="auto"/>
                                                                    <w:right w:val="none" w:sz="0" w:space="0" w:color="auto"/>
                                                                  </w:divBdr>
                                                                  <w:divsChild>
                                                                    <w:div w:id="1606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385475">
      <w:bodyDiv w:val="1"/>
      <w:marLeft w:val="0"/>
      <w:marRight w:val="0"/>
      <w:marTop w:val="0"/>
      <w:marBottom w:val="0"/>
      <w:divBdr>
        <w:top w:val="none" w:sz="0" w:space="0" w:color="auto"/>
        <w:left w:val="none" w:sz="0" w:space="0" w:color="auto"/>
        <w:bottom w:val="none" w:sz="0" w:space="0" w:color="auto"/>
        <w:right w:val="none" w:sz="0" w:space="0" w:color="auto"/>
      </w:divBdr>
    </w:div>
    <w:div w:id="1394505625">
      <w:bodyDiv w:val="1"/>
      <w:marLeft w:val="0"/>
      <w:marRight w:val="0"/>
      <w:marTop w:val="0"/>
      <w:marBottom w:val="0"/>
      <w:divBdr>
        <w:top w:val="none" w:sz="0" w:space="0" w:color="auto"/>
        <w:left w:val="none" w:sz="0" w:space="0" w:color="auto"/>
        <w:bottom w:val="none" w:sz="0" w:space="0" w:color="auto"/>
        <w:right w:val="none" w:sz="0" w:space="0" w:color="auto"/>
      </w:divBdr>
    </w:div>
    <w:div w:id="1442646498">
      <w:bodyDiv w:val="1"/>
      <w:marLeft w:val="0"/>
      <w:marRight w:val="0"/>
      <w:marTop w:val="0"/>
      <w:marBottom w:val="0"/>
      <w:divBdr>
        <w:top w:val="none" w:sz="0" w:space="0" w:color="auto"/>
        <w:left w:val="none" w:sz="0" w:space="0" w:color="auto"/>
        <w:bottom w:val="none" w:sz="0" w:space="0" w:color="auto"/>
        <w:right w:val="none" w:sz="0" w:space="0" w:color="auto"/>
      </w:divBdr>
    </w:div>
    <w:div w:id="1447699248">
      <w:bodyDiv w:val="1"/>
      <w:marLeft w:val="0"/>
      <w:marRight w:val="0"/>
      <w:marTop w:val="0"/>
      <w:marBottom w:val="0"/>
      <w:divBdr>
        <w:top w:val="none" w:sz="0" w:space="0" w:color="auto"/>
        <w:left w:val="none" w:sz="0" w:space="0" w:color="auto"/>
        <w:bottom w:val="none" w:sz="0" w:space="0" w:color="auto"/>
        <w:right w:val="none" w:sz="0" w:space="0" w:color="auto"/>
      </w:divBdr>
    </w:div>
    <w:div w:id="1464619048">
      <w:bodyDiv w:val="1"/>
      <w:marLeft w:val="0"/>
      <w:marRight w:val="0"/>
      <w:marTop w:val="0"/>
      <w:marBottom w:val="0"/>
      <w:divBdr>
        <w:top w:val="none" w:sz="0" w:space="0" w:color="auto"/>
        <w:left w:val="none" w:sz="0" w:space="0" w:color="auto"/>
        <w:bottom w:val="none" w:sz="0" w:space="0" w:color="auto"/>
        <w:right w:val="none" w:sz="0" w:space="0" w:color="auto"/>
      </w:divBdr>
    </w:div>
    <w:div w:id="1516722491">
      <w:bodyDiv w:val="1"/>
      <w:marLeft w:val="0"/>
      <w:marRight w:val="0"/>
      <w:marTop w:val="0"/>
      <w:marBottom w:val="0"/>
      <w:divBdr>
        <w:top w:val="none" w:sz="0" w:space="0" w:color="auto"/>
        <w:left w:val="none" w:sz="0" w:space="0" w:color="auto"/>
        <w:bottom w:val="none" w:sz="0" w:space="0" w:color="auto"/>
        <w:right w:val="none" w:sz="0" w:space="0" w:color="auto"/>
      </w:divBdr>
    </w:div>
    <w:div w:id="1592813880">
      <w:bodyDiv w:val="1"/>
      <w:marLeft w:val="0"/>
      <w:marRight w:val="0"/>
      <w:marTop w:val="0"/>
      <w:marBottom w:val="0"/>
      <w:divBdr>
        <w:top w:val="none" w:sz="0" w:space="0" w:color="auto"/>
        <w:left w:val="none" w:sz="0" w:space="0" w:color="auto"/>
        <w:bottom w:val="none" w:sz="0" w:space="0" w:color="auto"/>
        <w:right w:val="none" w:sz="0" w:space="0" w:color="auto"/>
      </w:divBdr>
    </w:div>
    <w:div w:id="1643459199">
      <w:bodyDiv w:val="1"/>
      <w:marLeft w:val="0"/>
      <w:marRight w:val="0"/>
      <w:marTop w:val="0"/>
      <w:marBottom w:val="0"/>
      <w:divBdr>
        <w:top w:val="none" w:sz="0" w:space="0" w:color="auto"/>
        <w:left w:val="none" w:sz="0" w:space="0" w:color="auto"/>
        <w:bottom w:val="none" w:sz="0" w:space="0" w:color="auto"/>
        <w:right w:val="none" w:sz="0" w:space="0" w:color="auto"/>
      </w:divBdr>
    </w:div>
    <w:div w:id="1658146775">
      <w:bodyDiv w:val="1"/>
      <w:marLeft w:val="0"/>
      <w:marRight w:val="0"/>
      <w:marTop w:val="0"/>
      <w:marBottom w:val="0"/>
      <w:divBdr>
        <w:top w:val="none" w:sz="0" w:space="0" w:color="auto"/>
        <w:left w:val="none" w:sz="0" w:space="0" w:color="auto"/>
        <w:bottom w:val="none" w:sz="0" w:space="0" w:color="auto"/>
        <w:right w:val="none" w:sz="0" w:space="0" w:color="auto"/>
      </w:divBdr>
    </w:div>
    <w:div w:id="1754355100">
      <w:bodyDiv w:val="1"/>
      <w:marLeft w:val="0"/>
      <w:marRight w:val="0"/>
      <w:marTop w:val="0"/>
      <w:marBottom w:val="0"/>
      <w:divBdr>
        <w:top w:val="none" w:sz="0" w:space="0" w:color="auto"/>
        <w:left w:val="none" w:sz="0" w:space="0" w:color="auto"/>
        <w:bottom w:val="none" w:sz="0" w:space="0" w:color="auto"/>
        <w:right w:val="none" w:sz="0" w:space="0" w:color="auto"/>
      </w:divBdr>
    </w:div>
    <w:div w:id="1778476782">
      <w:bodyDiv w:val="1"/>
      <w:marLeft w:val="0"/>
      <w:marRight w:val="0"/>
      <w:marTop w:val="0"/>
      <w:marBottom w:val="0"/>
      <w:divBdr>
        <w:top w:val="none" w:sz="0" w:space="0" w:color="auto"/>
        <w:left w:val="none" w:sz="0" w:space="0" w:color="auto"/>
        <w:bottom w:val="none" w:sz="0" w:space="0" w:color="auto"/>
        <w:right w:val="none" w:sz="0" w:space="0" w:color="auto"/>
      </w:divBdr>
    </w:div>
    <w:div w:id="1802116106">
      <w:bodyDiv w:val="1"/>
      <w:marLeft w:val="0"/>
      <w:marRight w:val="0"/>
      <w:marTop w:val="0"/>
      <w:marBottom w:val="0"/>
      <w:divBdr>
        <w:top w:val="none" w:sz="0" w:space="0" w:color="auto"/>
        <w:left w:val="none" w:sz="0" w:space="0" w:color="auto"/>
        <w:bottom w:val="none" w:sz="0" w:space="0" w:color="auto"/>
        <w:right w:val="none" w:sz="0" w:space="0" w:color="auto"/>
      </w:divBdr>
    </w:div>
    <w:div w:id="1897084328">
      <w:bodyDiv w:val="1"/>
      <w:marLeft w:val="0"/>
      <w:marRight w:val="0"/>
      <w:marTop w:val="0"/>
      <w:marBottom w:val="0"/>
      <w:divBdr>
        <w:top w:val="none" w:sz="0" w:space="0" w:color="auto"/>
        <w:left w:val="none" w:sz="0" w:space="0" w:color="auto"/>
        <w:bottom w:val="none" w:sz="0" w:space="0" w:color="auto"/>
        <w:right w:val="none" w:sz="0" w:space="0" w:color="auto"/>
      </w:divBdr>
    </w:div>
    <w:div w:id="1928150584">
      <w:bodyDiv w:val="1"/>
      <w:marLeft w:val="0"/>
      <w:marRight w:val="0"/>
      <w:marTop w:val="0"/>
      <w:marBottom w:val="0"/>
      <w:divBdr>
        <w:top w:val="none" w:sz="0" w:space="0" w:color="auto"/>
        <w:left w:val="none" w:sz="0" w:space="0" w:color="auto"/>
        <w:bottom w:val="none" w:sz="0" w:space="0" w:color="auto"/>
        <w:right w:val="none" w:sz="0" w:space="0" w:color="auto"/>
      </w:divBdr>
    </w:div>
    <w:div w:id="1945529562">
      <w:bodyDiv w:val="1"/>
      <w:marLeft w:val="0"/>
      <w:marRight w:val="0"/>
      <w:marTop w:val="0"/>
      <w:marBottom w:val="0"/>
      <w:divBdr>
        <w:top w:val="none" w:sz="0" w:space="0" w:color="auto"/>
        <w:left w:val="none" w:sz="0" w:space="0" w:color="auto"/>
        <w:bottom w:val="none" w:sz="0" w:space="0" w:color="auto"/>
        <w:right w:val="none" w:sz="0" w:space="0" w:color="auto"/>
      </w:divBdr>
    </w:div>
    <w:div w:id="2059474806">
      <w:bodyDiv w:val="1"/>
      <w:marLeft w:val="0"/>
      <w:marRight w:val="0"/>
      <w:marTop w:val="0"/>
      <w:marBottom w:val="0"/>
      <w:divBdr>
        <w:top w:val="none" w:sz="0" w:space="0" w:color="auto"/>
        <w:left w:val="none" w:sz="0" w:space="0" w:color="auto"/>
        <w:bottom w:val="none" w:sz="0" w:space="0" w:color="auto"/>
        <w:right w:val="none" w:sz="0" w:space="0" w:color="auto"/>
      </w:divBdr>
    </w:div>
    <w:div w:id="2086877835">
      <w:bodyDiv w:val="1"/>
      <w:marLeft w:val="0"/>
      <w:marRight w:val="0"/>
      <w:marTop w:val="0"/>
      <w:marBottom w:val="0"/>
      <w:divBdr>
        <w:top w:val="none" w:sz="0" w:space="0" w:color="auto"/>
        <w:left w:val="none" w:sz="0" w:space="0" w:color="auto"/>
        <w:bottom w:val="none" w:sz="0" w:space="0" w:color="auto"/>
        <w:right w:val="none" w:sz="0" w:space="0" w:color="auto"/>
      </w:divBdr>
      <w:divsChild>
        <w:div w:id="1977099903">
          <w:marLeft w:val="0"/>
          <w:marRight w:val="0"/>
          <w:marTop w:val="0"/>
          <w:marBottom w:val="0"/>
          <w:divBdr>
            <w:top w:val="none" w:sz="0" w:space="0" w:color="auto"/>
            <w:left w:val="none" w:sz="0" w:space="0" w:color="auto"/>
            <w:bottom w:val="none" w:sz="0" w:space="0" w:color="auto"/>
            <w:right w:val="none" w:sz="0" w:space="0" w:color="auto"/>
          </w:divBdr>
          <w:divsChild>
            <w:div w:id="1360813739">
              <w:marLeft w:val="0"/>
              <w:marRight w:val="0"/>
              <w:marTop w:val="0"/>
              <w:marBottom w:val="0"/>
              <w:divBdr>
                <w:top w:val="none" w:sz="0" w:space="0" w:color="auto"/>
                <w:left w:val="none" w:sz="0" w:space="0" w:color="auto"/>
                <w:bottom w:val="none" w:sz="0" w:space="0" w:color="auto"/>
                <w:right w:val="none" w:sz="0" w:space="0" w:color="auto"/>
              </w:divBdr>
              <w:divsChild>
                <w:div w:id="7661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49504">
      <w:bodyDiv w:val="1"/>
      <w:marLeft w:val="0"/>
      <w:marRight w:val="0"/>
      <w:marTop w:val="0"/>
      <w:marBottom w:val="0"/>
      <w:divBdr>
        <w:top w:val="none" w:sz="0" w:space="0" w:color="auto"/>
        <w:left w:val="none" w:sz="0" w:space="0" w:color="auto"/>
        <w:bottom w:val="none" w:sz="0" w:space="0" w:color="auto"/>
        <w:right w:val="none" w:sz="0" w:space="0" w:color="auto"/>
      </w:divBdr>
    </w:div>
    <w:div w:id="2140223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Spostmarket@health.gov.au" TargetMode="External"/><Relationship Id="rId13" Type="http://schemas.openxmlformats.org/officeDocument/2006/relationships/hyperlink" Target="https://www.pbs.gov.au/info/browse/review-of-clinical-guidelines-and-cost-estimates-for-the-use-of-aeds" TargetMode="External"/><Relationship Id="rId18" Type="http://schemas.openxmlformats.org/officeDocument/2006/relationships/hyperlink" Target="https://www.pbs.gov.au/info/reviews/ezetimibe-202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pbs.gov.au/info/reviews/review-of-pbs-prescriber-bag-schedule" TargetMode="External"/><Relationship Id="rId7" Type="http://schemas.openxmlformats.org/officeDocument/2006/relationships/hyperlink" Target="https://www.pbs.gov.au/reviews/subsidised-medicines-reviews-files/2024-post-market-review-framework.PDF" TargetMode="External"/><Relationship Id="rId12" Type="http://schemas.openxmlformats.org/officeDocument/2006/relationships/hyperlink" Target="https://www.pbs.gov.au/info/industry/listing/elements/pbac-meetings/pbac-outcomes/recommendations-made-by-the-pbac-may-2025-intracycle-meeting" TargetMode="External"/><Relationship Id="rId17" Type="http://schemas.openxmlformats.org/officeDocument/2006/relationships/hyperlink" Target="https://www.pbs.gov.au/info/industry/listing/elements/pbac-meetings/pbac-outcomes/recommendations-made-by-the-pbac-december-2024-intracycl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bs.gov.au/industry/listing/elements/pbac-meetings/pbac-outcomes/2024-07/pbac-web-outcomes-07-2024-v3.pdf" TargetMode="External"/><Relationship Id="rId20" Type="http://schemas.openxmlformats.org/officeDocument/2006/relationships/hyperlink" Target="https://www.pbs.gov.au/info/industry/listing/elements/pbac-meetings/pbac-outcome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fo/browse/review-of-clinical-guidelines-and-cost-estimates-for-the-use-of-aeds" TargetMode="External"/><Relationship Id="rId24" Type="http://schemas.openxmlformats.org/officeDocument/2006/relationships/hyperlink" Target="https://www.pbs.gov.au/info/industry/listing/elements/pbac-meetings/pbac-outcom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bs.gov.au/browse/changes" TargetMode="External"/><Relationship Id="rId23" Type="http://schemas.openxmlformats.org/officeDocument/2006/relationships/hyperlink" Target="https://www.aph.gov.au/Parliamentary_Business/Committees/Senate/Community_Affairs/ADHD" TargetMode="External"/><Relationship Id="rId28" Type="http://schemas.openxmlformats.org/officeDocument/2006/relationships/footer" Target="footer2.xml"/><Relationship Id="rId10" Type="http://schemas.openxmlformats.org/officeDocument/2006/relationships/hyperlink" Target="https://www.pbs.gov.au/info/reviews/review-of-cancer-related-surrogate-outcomes-used-for-pharmaceutical" TargetMode="External"/><Relationship Id="rId19" Type="http://schemas.openxmlformats.org/officeDocument/2006/relationships/hyperlink" Target="https://www.pbs.gov.au/info/industry/listing/elements/pbac-meetings/stakeholder-meeting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bs.gov.au/info/reviews/pbs-restriction-changes-to-type-2-diabetes-mellitus-t2dm-medicines" TargetMode="External"/><Relationship Id="rId14" Type="http://schemas.openxmlformats.org/officeDocument/2006/relationships/hyperlink" Target="https://www.pbs.gov.au/info/reviews/review-pbs-items-prescribing-nurse-practitioners-endorsed-midwives" TargetMode="External"/><Relationship Id="rId22" Type="http://schemas.openxmlformats.org/officeDocument/2006/relationships/hyperlink" Target="https://www.pbs.gov.au/browse/chang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4385</Words>
  <Characters>24471</Characters>
  <Application>Microsoft Office Word</Application>
  <DocSecurity>0</DocSecurity>
  <Lines>719</Lines>
  <Paragraphs>524</Paragraphs>
  <ScaleCrop>false</ScaleCrop>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2025-11-06T00:16:00Z</dcterms:created>
  <dcterms:modified xsi:type="dcterms:W3CDTF">2025-11-06T00:16:00Z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81e0ce8,6a8c8051,2ec3746c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56119abe,25d9c205,40924c3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2025-11-06T00:17:04Z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6b3220dd-b431-46d1-ade3-3c71052cf77e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