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371E" w14:textId="26D59814" w:rsidR="00D443AE" w:rsidRDefault="00D443AE" w:rsidP="00D443AE">
      <w:pPr>
        <w:shd w:val="clear" w:color="auto" w:fill="FFFFFF"/>
        <w:spacing w:after="120"/>
        <w:ind w:left="-567"/>
        <w:jc w:val="both"/>
        <w:outlineLvl w:val="2"/>
        <w:rPr>
          <w:rFonts w:asciiTheme="majorHAnsi" w:hAnsiTheme="majorHAnsi" w:cs="Open Sans"/>
          <w:b/>
          <w:bCs/>
          <w:sz w:val="27"/>
          <w:szCs w:val="27"/>
        </w:rPr>
      </w:pPr>
      <w:r>
        <w:rPr>
          <w:rFonts w:asciiTheme="majorHAnsi" w:hAnsiTheme="majorHAnsi" w:cs="Open Sans"/>
          <w:b/>
          <w:bCs/>
          <w:sz w:val="27"/>
          <w:szCs w:val="27"/>
        </w:rPr>
        <w:t xml:space="preserve">Recommendations made by the PBAC: </w:t>
      </w:r>
      <w:r w:rsidR="004A196A" w:rsidRPr="00987F15">
        <w:rPr>
          <w:rFonts w:asciiTheme="majorHAnsi" w:hAnsiTheme="majorHAnsi" w:cs="Open Sans"/>
          <w:b/>
          <w:bCs/>
          <w:sz w:val="27"/>
          <w:szCs w:val="27"/>
        </w:rPr>
        <w:t>September 2025 intracycle meeting</w:t>
      </w:r>
      <w:r w:rsidRPr="00D443AE">
        <w:rPr>
          <w:rFonts w:asciiTheme="majorHAnsi" w:hAnsiTheme="majorHAnsi" w:cs="Open Sans"/>
          <w:b/>
          <w:bCs/>
          <w:sz w:val="27"/>
          <w:szCs w:val="27"/>
        </w:rPr>
        <w:t xml:space="preserve"> </w:t>
      </w:r>
    </w:p>
    <w:p w14:paraId="3158B1D4" w14:textId="42B22DE6" w:rsidR="004A196A" w:rsidRPr="00987F15" w:rsidRDefault="00D443AE" w:rsidP="00D443AE">
      <w:pPr>
        <w:shd w:val="clear" w:color="auto" w:fill="FFFFFF"/>
        <w:spacing w:after="120"/>
        <w:ind w:left="-567"/>
        <w:jc w:val="both"/>
        <w:outlineLvl w:val="2"/>
        <w:rPr>
          <w:rFonts w:asciiTheme="majorHAnsi" w:hAnsiTheme="majorHAnsi" w:cs="Open Sans"/>
          <w:b/>
          <w:bCs/>
          <w:sz w:val="27"/>
          <w:szCs w:val="27"/>
        </w:rPr>
      </w:pPr>
      <w:r w:rsidRPr="00D443AE">
        <w:rPr>
          <w:rFonts w:asciiTheme="majorHAnsi" w:hAnsiTheme="majorHAnsi" w:cs="Open Sans"/>
          <w:b/>
          <w:bCs/>
          <w:sz w:val="27"/>
          <w:szCs w:val="27"/>
        </w:rPr>
        <w:t>Review of PBS Prescriber Bag Schedule</w:t>
      </w:r>
    </w:p>
    <w:p w14:paraId="32AAE63C" w14:textId="41EED036" w:rsidR="004A196A" w:rsidRPr="00BB07E0" w:rsidRDefault="004A196A" w:rsidP="00987F15">
      <w:pPr>
        <w:shd w:val="clear" w:color="auto" w:fill="FFFFFF"/>
        <w:spacing w:after="240" w:line="300" w:lineRule="atLeast"/>
        <w:ind w:left="-567"/>
        <w:jc w:val="both"/>
        <w:rPr>
          <w:rFonts w:asciiTheme="minorHAnsi" w:hAnsiTheme="minorHAnsi" w:cs="Open Sans"/>
          <w:sz w:val="24"/>
        </w:rPr>
      </w:pPr>
      <w:r w:rsidRPr="00BB07E0">
        <w:rPr>
          <w:rFonts w:asciiTheme="minorHAnsi" w:hAnsiTheme="minorHAnsi" w:cs="Open Sans"/>
          <w:sz w:val="24"/>
        </w:rPr>
        <w:t xml:space="preserve">At the </w:t>
      </w:r>
      <w:hyperlink r:id="rId7" w:tgtFrame="_parent" w:tooltip="May 2025 intracycle meeting" w:history="1">
        <w:r w:rsidRPr="00BB07E0">
          <w:rPr>
            <w:rFonts w:asciiTheme="minorHAnsi" w:hAnsiTheme="minorHAnsi" w:cs="Open Sans"/>
            <w:sz w:val="24"/>
          </w:rPr>
          <w:t>September 2025 intracycle meeting</w:t>
        </w:r>
      </w:hyperlink>
      <w:r w:rsidRPr="00BB07E0">
        <w:rPr>
          <w:rFonts w:asciiTheme="minorHAnsi" w:hAnsiTheme="minorHAnsi" w:cs="Open Sans"/>
          <w:sz w:val="24"/>
        </w:rPr>
        <w:t xml:space="preserve">, the PBAC </w:t>
      </w:r>
      <w:r w:rsidR="00B17273" w:rsidRPr="00BB07E0">
        <w:rPr>
          <w:rFonts w:asciiTheme="minorHAnsi" w:hAnsiTheme="minorHAnsi" w:cs="Open Sans"/>
          <w:sz w:val="24"/>
        </w:rPr>
        <w:t xml:space="preserve">considered </w:t>
      </w:r>
      <w:r w:rsidRPr="00BB07E0">
        <w:rPr>
          <w:rFonts w:asciiTheme="minorHAnsi" w:hAnsiTheme="minorHAnsi" w:cs="Open Sans"/>
          <w:sz w:val="24"/>
        </w:rPr>
        <w:t xml:space="preserve"> stakeholder input for the following: </w:t>
      </w:r>
    </w:p>
    <w:p w14:paraId="614F6BEE" w14:textId="77777777" w:rsidR="004A196A" w:rsidRPr="00BB07E0" w:rsidRDefault="004A196A" w:rsidP="00987F15">
      <w:pPr>
        <w:numPr>
          <w:ilvl w:val="0"/>
          <w:numId w:val="3"/>
        </w:numPr>
        <w:shd w:val="clear" w:color="auto" w:fill="FFFFFF"/>
        <w:snapToGrid w:val="0"/>
        <w:spacing w:before="120" w:after="240" w:line="300" w:lineRule="atLeast"/>
        <w:ind w:left="0" w:hanging="426"/>
        <w:jc w:val="both"/>
        <w:rPr>
          <w:rFonts w:asciiTheme="minorHAnsi" w:hAnsiTheme="minorHAnsi" w:cs="Open Sans"/>
          <w:sz w:val="24"/>
        </w:rPr>
      </w:pPr>
      <w:r w:rsidRPr="00BB07E0">
        <w:rPr>
          <w:rFonts w:asciiTheme="minorHAnsi" w:hAnsiTheme="minorHAnsi" w:cs="Open Sans"/>
          <w:sz w:val="24"/>
        </w:rPr>
        <w:t>current Prescriber Bag listings that could be removed without replacement</w:t>
      </w:r>
    </w:p>
    <w:p w14:paraId="3EEC6506" w14:textId="77777777" w:rsidR="004A196A" w:rsidRPr="00BB07E0" w:rsidRDefault="004A196A" w:rsidP="00987F15">
      <w:pPr>
        <w:numPr>
          <w:ilvl w:val="0"/>
          <w:numId w:val="3"/>
        </w:numPr>
        <w:shd w:val="clear" w:color="auto" w:fill="FFFFFF"/>
        <w:snapToGrid w:val="0"/>
        <w:spacing w:before="120" w:after="240" w:line="300" w:lineRule="atLeast"/>
        <w:ind w:left="0" w:hanging="426"/>
        <w:jc w:val="both"/>
        <w:rPr>
          <w:rFonts w:asciiTheme="minorHAnsi" w:hAnsiTheme="minorHAnsi" w:cs="Open Sans"/>
          <w:sz w:val="24"/>
        </w:rPr>
      </w:pPr>
      <w:r w:rsidRPr="00BB07E0">
        <w:rPr>
          <w:rFonts w:asciiTheme="minorHAnsi" w:hAnsiTheme="minorHAnsi" w:cs="Open Sans"/>
          <w:sz w:val="24"/>
        </w:rPr>
        <w:t xml:space="preserve">addition of alternate strengths of current Prescriber Bag listings </w:t>
      </w:r>
    </w:p>
    <w:p w14:paraId="0DEC6FAC" w14:textId="77777777" w:rsidR="004A196A" w:rsidRPr="00BB07E0" w:rsidRDefault="004A196A" w:rsidP="00987F15">
      <w:pPr>
        <w:numPr>
          <w:ilvl w:val="0"/>
          <w:numId w:val="3"/>
        </w:numPr>
        <w:shd w:val="clear" w:color="auto" w:fill="FFFFFF"/>
        <w:snapToGrid w:val="0"/>
        <w:spacing w:before="120" w:after="240" w:line="300" w:lineRule="atLeast"/>
        <w:ind w:left="0" w:hanging="426"/>
        <w:jc w:val="both"/>
        <w:rPr>
          <w:rFonts w:asciiTheme="minorHAnsi" w:hAnsiTheme="minorHAnsi" w:cs="Open Sans"/>
          <w:sz w:val="24"/>
        </w:rPr>
      </w:pPr>
      <w:r w:rsidRPr="00BB07E0">
        <w:rPr>
          <w:rFonts w:asciiTheme="minorHAnsi" w:hAnsiTheme="minorHAnsi" w:cs="Open Sans"/>
          <w:sz w:val="24"/>
        </w:rPr>
        <w:t xml:space="preserve">increased maximum quantities of current Prescriber Bag listings </w:t>
      </w:r>
    </w:p>
    <w:p w14:paraId="4284E0D1" w14:textId="77777777" w:rsidR="004A196A" w:rsidRPr="00BB07E0" w:rsidRDefault="004A196A" w:rsidP="00987F15">
      <w:pPr>
        <w:numPr>
          <w:ilvl w:val="0"/>
          <w:numId w:val="3"/>
        </w:numPr>
        <w:shd w:val="clear" w:color="auto" w:fill="FFFFFF"/>
        <w:snapToGrid w:val="0"/>
        <w:spacing w:before="120" w:after="240" w:line="300" w:lineRule="atLeast"/>
        <w:ind w:left="0" w:hanging="426"/>
        <w:jc w:val="both"/>
        <w:rPr>
          <w:rFonts w:asciiTheme="minorHAnsi" w:hAnsiTheme="minorHAnsi" w:cs="Open Sans"/>
          <w:sz w:val="24"/>
        </w:rPr>
      </w:pPr>
      <w:r w:rsidRPr="00BB07E0">
        <w:rPr>
          <w:rFonts w:asciiTheme="minorHAnsi" w:hAnsiTheme="minorHAnsi" w:cs="Open Sans"/>
          <w:sz w:val="24"/>
        </w:rPr>
        <w:t xml:space="preserve">new medicine additions that could either replace an existing Prescriber Bag item or be listed in addition to the existing option(s). </w:t>
      </w:r>
    </w:p>
    <w:p w14:paraId="7EB188C4" w14:textId="2B9473F3" w:rsidR="004A196A" w:rsidRPr="00BB07E0" w:rsidRDefault="004A196A" w:rsidP="00987F15">
      <w:pPr>
        <w:shd w:val="clear" w:color="auto" w:fill="FFFFFF"/>
        <w:spacing w:after="240" w:line="300" w:lineRule="atLeast"/>
        <w:ind w:left="-567"/>
        <w:jc w:val="both"/>
        <w:rPr>
          <w:rFonts w:asciiTheme="minorHAnsi" w:hAnsiTheme="minorHAnsi" w:cs="Open Sans"/>
          <w:sz w:val="24"/>
        </w:rPr>
      </w:pPr>
      <w:r w:rsidRPr="00BB07E0">
        <w:rPr>
          <w:rFonts w:asciiTheme="minorHAnsi" w:hAnsiTheme="minorHAnsi" w:cs="Open Sans"/>
          <w:sz w:val="24"/>
        </w:rPr>
        <w:t xml:space="preserve">The PBAC reviewed all existing Prescriber Bag listings independently of whether stakeholders provided input on a particular medicine.  The PBAC also considered a submission from the Australian College of Midwives which sought to add endorsed midwives as eligible prescribers of benzathine benzylpenicillin injection and adrenaline ampoules. </w:t>
      </w:r>
    </w:p>
    <w:p w14:paraId="5780CE6D" w14:textId="0BAE3FE5" w:rsidR="004A196A" w:rsidRPr="00BB07E0" w:rsidRDefault="004A196A" w:rsidP="00987F15">
      <w:pPr>
        <w:shd w:val="clear" w:color="auto" w:fill="FFFFFF"/>
        <w:spacing w:after="240" w:line="300" w:lineRule="atLeast"/>
        <w:ind w:left="-567"/>
        <w:jc w:val="both"/>
        <w:rPr>
          <w:rFonts w:asciiTheme="minorHAnsi" w:hAnsiTheme="minorHAnsi" w:cs="Open Sans"/>
          <w:sz w:val="24"/>
        </w:rPr>
      </w:pPr>
      <w:r w:rsidRPr="00BB07E0">
        <w:rPr>
          <w:rFonts w:asciiTheme="minorHAnsi" w:hAnsiTheme="minorHAnsi" w:cs="Open Sans"/>
          <w:sz w:val="24"/>
        </w:rPr>
        <w:t>The suitability of each medicine for Prescriber Bag listing was considered in the context of the following summarised algorithm:</w:t>
      </w:r>
    </w:p>
    <w:tbl>
      <w:tblPr>
        <w:tblStyle w:val="TableGrid"/>
        <w:tblW w:w="15309" w:type="dxa"/>
        <w:tblInd w:w="-572" w:type="dxa"/>
        <w:tblLook w:val="04A0" w:firstRow="1" w:lastRow="0" w:firstColumn="1" w:lastColumn="0" w:noHBand="0" w:noVBand="1"/>
      </w:tblPr>
      <w:tblGrid>
        <w:gridCol w:w="425"/>
        <w:gridCol w:w="14884"/>
      </w:tblGrid>
      <w:tr w:rsidR="004A196A" w:rsidRPr="004A196A" w14:paraId="489F90DE" w14:textId="77777777" w:rsidTr="004A196A">
        <w:trPr>
          <w:trHeight w:val="398"/>
        </w:trPr>
        <w:tc>
          <w:tcPr>
            <w:tcW w:w="425" w:type="dxa"/>
            <w:tcBorders>
              <w:top w:val="single" w:sz="4" w:space="0" w:color="auto"/>
              <w:left w:val="single" w:sz="4" w:space="0" w:color="auto"/>
              <w:bottom w:val="single" w:sz="4" w:space="0" w:color="auto"/>
              <w:right w:val="single" w:sz="4" w:space="0" w:color="auto"/>
            </w:tcBorders>
            <w:hideMark/>
          </w:tcPr>
          <w:p w14:paraId="037C1AA5" w14:textId="77777777" w:rsidR="004A196A" w:rsidRPr="00BB07E0" w:rsidRDefault="004A196A">
            <w:pPr>
              <w:rPr>
                <w:rFonts w:asciiTheme="minorHAnsi" w:hAnsiTheme="minorHAnsi" w:cs="Open Sans"/>
                <w:b/>
                <w:bCs/>
              </w:rPr>
            </w:pPr>
            <w:r w:rsidRPr="00BB07E0">
              <w:rPr>
                <w:rFonts w:asciiTheme="minorHAnsi" w:hAnsiTheme="minorHAnsi" w:cs="Open Sans"/>
                <w:b/>
                <w:bCs/>
              </w:rPr>
              <w:t>1</w:t>
            </w:r>
          </w:p>
        </w:tc>
        <w:tc>
          <w:tcPr>
            <w:tcW w:w="14884" w:type="dxa"/>
            <w:tcBorders>
              <w:top w:val="single" w:sz="4" w:space="0" w:color="auto"/>
              <w:left w:val="single" w:sz="4" w:space="0" w:color="auto"/>
              <w:bottom w:val="single" w:sz="4" w:space="0" w:color="auto"/>
              <w:right w:val="single" w:sz="4" w:space="0" w:color="auto"/>
            </w:tcBorders>
            <w:hideMark/>
          </w:tcPr>
          <w:p w14:paraId="4B16E6C3" w14:textId="77777777" w:rsidR="004A196A" w:rsidRPr="00BB07E0" w:rsidRDefault="004A196A">
            <w:pPr>
              <w:rPr>
                <w:rFonts w:asciiTheme="minorHAnsi" w:hAnsiTheme="minorHAnsi" w:cs="Open Sans"/>
                <w:b/>
                <w:bCs/>
              </w:rPr>
            </w:pPr>
            <w:r w:rsidRPr="00BB07E0">
              <w:rPr>
                <w:rFonts w:asciiTheme="minorHAnsi" w:hAnsiTheme="minorHAnsi" w:cs="Open Sans"/>
                <w:b/>
                <w:bCs/>
              </w:rPr>
              <w:t xml:space="preserve">TGA Registration status: </w:t>
            </w:r>
            <w:r w:rsidRPr="00BB07E0">
              <w:rPr>
                <w:rFonts w:asciiTheme="minorHAnsi" w:hAnsiTheme="minorHAnsi" w:cs="Open Sans"/>
              </w:rPr>
              <w:t xml:space="preserve">the medicine is TGA registered for the proposed use. </w:t>
            </w:r>
          </w:p>
        </w:tc>
      </w:tr>
      <w:tr w:rsidR="004A196A" w:rsidRPr="004A196A" w14:paraId="56573437" w14:textId="77777777" w:rsidTr="004A196A">
        <w:trPr>
          <w:trHeight w:val="458"/>
        </w:trPr>
        <w:tc>
          <w:tcPr>
            <w:tcW w:w="425" w:type="dxa"/>
            <w:tcBorders>
              <w:top w:val="single" w:sz="4" w:space="0" w:color="auto"/>
              <w:left w:val="single" w:sz="4" w:space="0" w:color="auto"/>
              <w:bottom w:val="single" w:sz="4" w:space="0" w:color="auto"/>
              <w:right w:val="single" w:sz="4" w:space="0" w:color="auto"/>
            </w:tcBorders>
            <w:hideMark/>
          </w:tcPr>
          <w:p w14:paraId="2C85802C" w14:textId="77777777" w:rsidR="004A196A" w:rsidRPr="00BB07E0" w:rsidRDefault="004A196A">
            <w:pPr>
              <w:rPr>
                <w:rFonts w:asciiTheme="minorHAnsi" w:hAnsiTheme="minorHAnsi" w:cs="Open Sans"/>
                <w:b/>
                <w:bCs/>
              </w:rPr>
            </w:pPr>
            <w:r w:rsidRPr="00BB07E0">
              <w:rPr>
                <w:rFonts w:asciiTheme="minorHAnsi" w:hAnsiTheme="minorHAnsi" w:cs="Open Sans"/>
                <w:b/>
                <w:bCs/>
              </w:rPr>
              <w:t>2</w:t>
            </w:r>
          </w:p>
        </w:tc>
        <w:tc>
          <w:tcPr>
            <w:tcW w:w="14884" w:type="dxa"/>
            <w:tcBorders>
              <w:top w:val="single" w:sz="4" w:space="0" w:color="auto"/>
              <w:left w:val="single" w:sz="4" w:space="0" w:color="auto"/>
              <w:bottom w:val="single" w:sz="4" w:space="0" w:color="auto"/>
              <w:right w:val="single" w:sz="4" w:space="0" w:color="auto"/>
            </w:tcBorders>
            <w:hideMark/>
          </w:tcPr>
          <w:p w14:paraId="1892E490" w14:textId="77777777" w:rsidR="004A196A" w:rsidRPr="00BB07E0" w:rsidRDefault="004A196A">
            <w:pPr>
              <w:rPr>
                <w:rFonts w:asciiTheme="minorHAnsi" w:hAnsiTheme="minorHAnsi" w:cs="Open Sans"/>
                <w:b/>
                <w:bCs/>
              </w:rPr>
            </w:pPr>
            <w:r w:rsidRPr="00BB07E0">
              <w:rPr>
                <w:rFonts w:asciiTheme="minorHAnsi" w:hAnsiTheme="minorHAnsi" w:cs="Open Sans"/>
                <w:b/>
                <w:bCs/>
              </w:rPr>
              <w:t xml:space="preserve">Primary care context: </w:t>
            </w:r>
            <w:r w:rsidRPr="00BB07E0">
              <w:rPr>
                <w:rFonts w:asciiTheme="minorHAnsi" w:hAnsiTheme="minorHAnsi" w:cs="Open Sans"/>
              </w:rPr>
              <w:t xml:space="preserve">the medical condition that the medicine treats is likely to result in a patient seeking treatment in a primary health care setting. </w:t>
            </w:r>
          </w:p>
        </w:tc>
      </w:tr>
      <w:tr w:rsidR="004A196A" w:rsidRPr="004A196A" w14:paraId="2642B8A6" w14:textId="77777777" w:rsidTr="004A196A">
        <w:trPr>
          <w:trHeight w:val="421"/>
        </w:trPr>
        <w:tc>
          <w:tcPr>
            <w:tcW w:w="425" w:type="dxa"/>
            <w:tcBorders>
              <w:top w:val="single" w:sz="4" w:space="0" w:color="auto"/>
              <w:left w:val="single" w:sz="4" w:space="0" w:color="auto"/>
              <w:bottom w:val="single" w:sz="4" w:space="0" w:color="auto"/>
              <w:right w:val="single" w:sz="4" w:space="0" w:color="auto"/>
            </w:tcBorders>
            <w:hideMark/>
          </w:tcPr>
          <w:p w14:paraId="6A7AFBE4" w14:textId="77777777" w:rsidR="004A196A" w:rsidRPr="00BB07E0" w:rsidRDefault="004A196A">
            <w:pPr>
              <w:rPr>
                <w:rFonts w:asciiTheme="minorHAnsi" w:hAnsiTheme="minorHAnsi" w:cs="Open Sans"/>
                <w:b/>
                <w:bCs/>
              </w:rPr>
            </w:pPr>
            <w:r w:rsidRPr="00BB07E0">
              <w:rPr>
                <w:rFonts w:asciiTheme="minorHAnsi" w:hAnsiTheme="minorHAnsi" w:cs="Open Sans"/>
                <w:b/>
                <w:bCs/>
              </w:rPr>
              <w:t>3</w:t>
            </w:r>
          </w:p>
        </w:tc>
        <w:tc>
          <w:tcPr>
            <w:tcW w:w="14884" w:type="dxa"/>
            <w:tcBorders>
              <w:top w:val="single" w:sz="4" w:space="0" w:color="auto"/>
              <w:left w:val="single" w:sz="4" w:space="0" w:color="auto"/>
              <w:bottom w:val="single" w:sz="4" w:space="0" w:color="auto"/>
              <w:right w:val="single" w:sz="4" w:space="0" w:color="auto"/>
            </w:tcBorders>
            <w:hideMark/>
          </w:tcPr>
          <w:p w14:paraId="0B1E58D6" w14:textId="77777777" w:rsidR="004A196A" w:rsidRPr="00BB07E0" w:rsidRDefault="004A196A">
            <w:pPr>
              <w:rPr>
                <w:rFonts w:asciiTheme="minorHAnsi" w:hAnsiTheme="minorHAnsi" w:cs="Open Sans"/>
              </w:rPr>
            </w:pPr>
            <w:r w:rsidRPr="00BB07E0">
              <w:rPr>
                <w:rFonts w:asciiTheme="minorHAnsi" w:hAnsiTheme="minorHAnsi" w:cs="Open Sans"/>
                <w:b/>
                <w:bCs/>
              </w:rPr>
              <w:t xml:space="preserve">Treatment immediacy: </w:t>
            </w:r>
            <w:r w:rsidRPr="00BB07E0">
              <w:rPr>
                <w:rFonts w:asciiTheme="minorHAnsi" w:hAnsiTheme="minorHAnsi" w:cs="Open Sans"/>
              </w:rPr>
              <w:t>the medical condition is acute, and the medicine is intended for immediate, ‘on the spot’ administration (or with assistance) to the patient as a one-off dose.</w:t>
            </w:r>
          </w:p>
        </w:tc>
      </w:tr>
      <w:tr w:rsidR="004A196A" w:rsidRPr="004A196A" w14:paraId="05479154" w14:textId="77777777" w:rsidTr="004A196A">
        <w:trPr>
          <w:trHeight w:val="554"/>
        </w:trPr>
        <w:tc>
          <w:tcPr>
            <w:tcW w:w="425" w:type="dxa"/>
            <w:tcBorders>
              <w:top w:val="single" w:sz="4" w:space="0" w:color="auto"/>
              <w:left w:val="single" w:sz="4" w:space="0" w:color="auto"/>
              <w:bottom w:val="single" w:sz="4" w:space="0" w:color="auto"/>
              <w:right w:val="single" w:sz="4" w:space="0" w:color="auto"/>
            </w:tcBorders>
            <w:hideMark/>
          </w:tcPr>
          <w:p w14:paraId="68B286E7" w14:textId="77777777" w:rsidR="004A196A" w:rsidRPr="00BB07E0" w:rsidRDefault="004A196A">
            <w:pPr>
              <w:rPr>
                <w:rFonts w:asciiTheme="minorHAnsi" w:hAnsiTheme="minorHAnsi" w:cs="Open Sans"/>
                <w:b/>
                <w:bCs/>
              </w:rPr>
            </w:pPr>
            <w:r w:rsidRPr="00BB07E0">
              <w:rPr>
                <w:rFonts w:asciiTheme="minorHAnsi" w:hAnsiTheme="minorHAnsi" w:cs="Open Sans"/>
                <w:b/>
                <w:bCs/>
              </w:rPr>
              <w:t>4</w:t>
            </w:r>
          </w:p>
        </w:tc>
        <w:tc>
          <w:tcPr>
            <w:tcW w:w="14884" w:type="dxa"/>
            <w:tcBorders>
              <w:top w:val="single" w:sz="4" w:space="0" w:color="auto"/>
              <w:left w:val="single" w:sz="4" w:space="0" w:color="auto"/>
              <w:bottom w:val="single" w:sz="4" w:space="0" w:color="auto"/>
              <w:right w:val="single" w:sz="4" w:space="0" w:color="auto"/>
            </w:tcBorders>
            <w:hideMark/>
          </w:tcPr>
          <w:p w14:paraId="23EE3A84" w14:textId="77777777" w:rsidR="004A196A" w:rsidRPr="00BB07E0" w:rsidRDefault="004A196A">
            <w:pPr>
              <w:rPr>
                <w:rFonts w:asciiTheme="minorHAnsi" w:hAnsiTheme="minorHAnsi" w:cs="Open Sans"/>
                <w:b/>
                <w:bCs/>
              </w:rPr>
            </w:pPr>
            <w:r w:rsidRPr="00BB07E0">
              <w:rPr>
                <w:rFonts w:asciiTheme="minorHAnsi" w:hAnsiTheme="minorHAnsi" w:cs="Open Sans"/>
                <w:b/>
                <w:bCs/>
              </w:rPr>
              <w:t xml:space="preserve">Quality use of medicines (QUM) considerations: </w:t>
            </w:r>
            <w:r w:rsidRPr="00BB07E0">
              <w:rPr>
                <w:rFonts w:asciiTheme="minorHAnsi" w:hAnsiTheme="minorHAnsi" w:cs="Open Sans"/>
              </w:rPr>
              <w:t>the comparative effectiveness, safety and cost of the medicine relative to alternative options has been considered; potential wastage; the medicine’s scheduling, storage requirements, typical shelf life of the medicine and labelling requirements.</w:t>
            </w:r>
          </w:p>
        </w:tc>
      </w:tr>
    </w:tbl>
    <w:p w14:paraId="259EFFE9" w14:textId="77777777" w:rsidR="004A196A" w:rsidRDefault="004A196A" w:rsidP="00D443AE">
      <w:pPr>
        <w:shd w:val="clear" w:color="auto" w:fill="FFFFFF"/>
        <w:spacing w:after="240" w:line="300" w:lineRule="atLeast"/>
        <w:rPr>
          <w:rFonts w:asciiTheme="majorHAnsi" w:hAnsiTheme="majorHAnsi" w:cs="Open Sans"/>
          <w:sz w:val="24"/>
        </w:rPr>
      </w:pPr>
    </w:p>
    <w:p w14:paraId="0081E1B1" w14:textId="1449F2F7" w:rsidR="004A196A" w:rsidRPr="00BB07E0" w:rsidRDefault="004A196A" w:rsidP="004A196A">
      <w:pPr>
        <w:shd w:val="clear" w:color="auto" w:fill="FFFFFF"/>
        <w:spacing w:after="240" w:line="300" w:lineRule="atLeast"/>
        <w:ind w:left="-567"/>
        <w:rPr>
          <w:rFonts w:asciiTheme="minorHAnsi" w:hAnsiTheme="minorHAnsi" w:cs="Open Sans"/>
          <w:sz w:val="24"/>
        </w:rPr>
      </w:pPr>
      <w:r w:rsidRPr="00BB07E0">
        <w:rPr>
          <w:rFonts w:asciiTheme="minorHAnsi" w:hAnsiTheme="minorHAnsi" w:cs="Open Sans"/>
          <w:sz w:val="24"/>
        </w:rPr>
        <w:t>The PBAC’s September 2025 meeting recommendations are summarised in Table 1 below</w:t>
      </w:r>
      <w:r w:rsidR="006912A2" w:rsidRPr="00BB07E0">
        <w:rPr>
          <w:rFonts w:asciiTheme="minorHAnsi" w:hAnsiTheme="minorHAnsi" w:cs="Open Sans"/>
          <w:sz w:val="24"/>
        </w:rPr>
        <w:t xml:space="preserve">. </w:t>
      </w:r>
    </w:p>
    <w:p w14:paraId="5FCC508E" w14:textId="27EF8525" w:rsidR="004A196A" w:rsidRPr="00987F15" w:rsidRDefault="004A196A" w:rsidP="004A196A">
      <w:pPr>
        <w:shd w:val="clear" w:color="auto" w:fill="FFFFFF"/>
        <w:spacing w:after="0" w:line="240" w:lineRule="auto"/>
        <w:ind w:left="-567"/>
        <w:rPr>
          <w:rFonts w:asciiTheme="majorHAnsi" w:hAnsiTheme="majorHAnsi" w:cs="Open Sans"/>
          <w:b/>
          <w:bCs/>
          <w:szCs w:val="20"/>
        </w:rPr>
      </w:pPr>
      <w:r w:rsidRPr="00987F15">
        <w:rPr>
          <w:rFonts w:asciiTheme="majorHAnsi" w:hAnsiTheme="majorHAnsi" w:cs="Open Sans"/>
          <w:b/>
          <w:bCs/>
          <w:szCs w:val="20"/>
        </w:rPr>
        <w:lastRenderedPageBreak/>
        <w:t>Table 1: September 2025 PBAC recommendations on Prescriber Bag items</w:t>
      </w:r>
      <w:r w:rsidR="001517F3">
        <w:rPr>
          <w:rFonts w:asciiTheme="majorHAnsi" w:hAnsiTheme="majorHAnsi" w:cs="Open Sans"/>
          <w:b/>
          <w:bCs/>
          <w:szCs w:val="20"/>
        </w:rPr>
        <w:t xml:space="preserve"> Tranche 1</w:t>
      </w:r>
    </w:p>
    <w:tbl>
      <w:tblPr>
        <w:tblStyle w:val="TableGrid"/>
        <w:tblW w:w="5488" w:type="pct"/>
        <w:tblInd w:w="-572" w:type="dxa"/>
        <w:tblLook w:val="04A0" w:firstRow="1" w:lastRow="0" w:firstColumn="1" w:lastColumn="0" w:noHBand="0" w:noVBand="1"/>
      </w:tblPr>
      <w:tblGrid>
        <w:gridCol w:w="5955"/>
        <w:gridCol w:w="9354"/>
      </w:tblGrid>
      <w:tr w:rsidR="004A196A" w:rsidRPr="00BB07E0" w14:paraId="5B2719CC" w14:textId="77777777" w:rsidTr="00BB778D">
        <w:trPr>
          <w:trHeight w:val="558"/>
          <w:tblHeader/>
        </w:trPr>
        <w:tc>
          <w:tcPr>
            <w:tcW w:w="1945" w:type="pct"/>
          </w:tcPr>
          <w:p w14:paraId="2D00DE25" w14:textId="77777777" w:rsidR="004A196A" w:rsidRPr="00BB07E0" w:rsidRDefault="004A196A" w:rsidP="00DD4EAF">
            <w:pPr>
              <w:pStyle w:val="Heading1"/>
              <w:spacing w:before="120" w:after="120"/>
              <w:jc w:val="center"/>
              <w:rPr>
                <w:rFonts w:asciiTheme="minorHAnsi" w:eastAsia="Calibri" w:hAnsiTheme="minorHAnsi"/>
                <w:b/>
                <w:bCs/>
                <w:sz w:val="20"/>
                <w:szCs w:val="20"/>
              </w:rPr>
            </w:pPr>
            <w:r w:rsidRPr="00BB07E0">
              <w:rPr>
                <w:rFonts w:asciiTheme="minorHAnsi" w:eastAsia="Times New Roman" w:hAnsiTheme="minorHAnsi"/>
                <w:b/>
                <w:bCs/>
                <w:sz w:val="20"/>
                <w:szCs w:val="20"/>
              </w:rPr>
              <w:t>Medicine</w:t>
            </w:r>
          </w:p>
        </w:tc>
        <w:tc>
          <w:tcPr>
            <w:tcW w:w="3055" w:type="pct"/>
          </w:tcPr>
          <w:p w14:paraId="1556F1A8" w14:textId="77777777" w:rsidR="004A196A" w:rsidRPr="00BB07E0" w:rsidRDefault="004A196A" w:rsidP="00DD4EAF">
            <w:pPr>
              <w:pStyle w:val="Heading1"/>
              <w:spacing w:before="120" w:after="120"/>
              <w:jc w:val="center"/>
              <w:rPr>
                <w:rFonts w:asciiTheme="minorHAnsi" w:eastAsia="Calibri" w:hAnsiTheme="minorHAnsi"/>
                <w:b/>
                <w:bCs/>
                <w:sz w:val="20"/>
                <w:szCs w:val="20"/>
              </w:rPr>
            </w:pPr>
            <w:r w:rsidRPr="00BB07E0">
              <w:rPr>
                <w:rFonts w:asciiTheme="minorHAnsi" w:eastAsia="Calibri" w:hAnsiTheme="minorHAnsi"/>
                <w:b/>
                <w:bCs/>
                <w:sz w:val="20"/>
                <w:szCs w:val="20"/>
              </w:rPr>
              <w:t>Review of PBS Prescriber Bag</w:t>
            </w:r>
          </w:p>
          <w:p w14:paraId="4381870F" w14:textId="77777777" w:rsidR="004A196A" w:rsidRPr="00BB07E0" w:rsidRDefault="004A196A" w:rsidP="00DD4EAF">
            <w:pPr>
              <w:pStyle w:val="Heading1"/>
              <w:spacing w:before="120" w:after="120"/>
              <w:jc w:val="center"/>
              <w:rPr>
                <w:rFonts w:asciiTheme="minorHAnsi" w:eastAsia="Calibri" w:hAnsiTheme="minorHAnsi"/>
                <w:b/>
                <w:bCs/>
                <w:sz w:val="20"/>
                <w:szCs w:val="20"/>
              </w:rPr>
            </w:pPr>
            <w:r w:rsidRPr="00BB07E0">
              <w:rPr>
                <w:rFonts w:asciiTheme="minorHAnsi" w:eastAsia="Calibri" w:hAnsiTheme="minorHAnsi"/>
                <w:b/>
                <w:bCs/>
                <w:sz w:val="20"/>
                <w:szCs w:val="20"/>
              </w:rPr>
              <w:t>PBAC September 2025 recommendation</w:t>
            </w:r>
          </w:p>
        </w:tc>
      </w:tr>
      <w:tr w:rsidR="004A196A" w:rsidRPr="00BB07E0" w14:paraId="040EC449" w14:textId="77777777" w:rsidTr="00DD4EAF">
        <w:tc>
          <w:tcPr>
            <w:tcW w:w="5000" w:type="pct"/>
            <w:gridSpan w:val="2"/>
            <w:shd w:val="clear" w:color="auto" w:fill="DAE9F7" w:themeFill="text2" w:themeFillTint="1A"/>
          </w:tcPr>
          <w:p w14:paraId="06158EAA" w14:textId="306DA483" w:rsidR="004A196A" w:rsidRPr="00BB07E0" w:rsidRDefault="004A196A" w:rsidP="00DD4EAF">
            <w:pPr>
              <w:spacing w:before="120" w:after="120"/>
              <w:rPr>
                <w:rFonts w:asciiTheme="minorHAnsi" w:eastAsia="Calibri" w:hAnsiTheme="minorHAnsi"/>
                <w:b/>
                <w:bCs/>
              </w:rPr>
            </w:pPr>
            <w:r w:rsidRPr="00BB07E0">
              <w:rPr>
                <w:rFonts w:asciiTheme="minorHAnsi" w:eastAsia="Calibri" w:hAnsiTheme="minorHAnsi"/>
                <w:b/>
                <w:bCs/>
              </w:rPr>
              <w:t>(1) Stakeholder input on current Prescriber Bag listings that could be removed without replacement</w:t>
            </w:r>
          </w:p>
        </w:tc>
      </w:tr>
      <w:tr w:rsidR="004A196A" w:rsidRPr="00BB07E0" w14:paraId="633A9DD9" w14:textId="77777777" w:rsidTr="00BB778D">
        <w:tc>
          <w:tcPr>
            <w:tcW w:w="1945" w:type="pct"/>
          </w:tcPr>
          <w:p w14:paraId="458CE4A8" w14:textId="77777777" w:rsidR="004A196A" w:rsidRPr="00BB07E0" w:rsidRDefault="004A196A" w:rsidP="00DD4EAF">
            <w:pPr>
              <w:spacing w:before="120" w:after="120"/>
              <w:jc w:val="both"/>
              <w:rPr>
                <w:rFonts w:asciiTheme="minorHAnsi" w:eastAsia="Calibri" w:hAnsiTheme="minorHAnsi"/>
              </w:rPr>
            </w:pPr>
            <w:r w:rsidRPr="00BB07E0">
              <w:rPr>
                <w:rFonts w:asciiTheme="minorHAnsi" w:hAnsiTheme="minorHAnsi"/>
              </w:rPr>
              <w:t>benzathine benzylpenicillin</w:t>
            </w:r>
          </w:p>
        </w:tc>
        <w:tc>
          <w:tcPr>
            <w:tcW w:w="3055" w:type="pct"/>
            <w:vMerge w:val="restart"/>
          </w:tcPr>
          <w:p w14:paraId="492CED74"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The PBAC noted stakeholder requests and supporting rationales to remove these items. </w:t>
            </w:r>
          </w:p>
          <w:p w14:paraId="5B9E4E9C" w14:textId="257F0278" w:rsidR="004A196A" w:rsidRPr="00BB07E0" w:rsidRDefault="004A196A" w:rsidP="00DD4EAF">
            <w:pPr>
              <w:spacing w:before="120" w:after="120"/>
              <w:jc w:val="both"/>
              <w:rPr>
                <w:rFonts w:asciiTheme="minorHAnsi" w:hAnsiTheme="minorHAnsi"/>
              </w:rPr>
            </w:pPr>
            <w:r w:rsidRPr="00BB07E0">
              <w:rPr>
                <w:rFonts w:asciiTheme="minorHAnsi" w:hAnsiTheme="minorHAnsi"/>
              </w:rPr>
              <w:t>The PBAC considered that benzathine penicillin, salbutamol ampoules and all strengths of morphine ampoules meet the algorithm criteria and therefore recommended that these medicinal products continue to be Prescriber Bag pharmaceutical benefits.</w:t>
            </w:r>
          </w:p>
        </w:tc>
      </w:tr>
      <w:tr w:rsidR="004A196A" w:rsidRPr="00BB07E0" w14:paraId="12412A41" w14:textId="77777777" w:rsidTr="00BB778D">
        <w:tc>
          <w:tcPr>
            <w:tcW w:w="1945" w:type="pct"/>
          </w:tcPr>
          <w:p w14:paraId="5AC66C3E" w14:textId="77777777" w:rsidR="004A196A" w:rsidRPr="00BB07E0" w:rsidRDefault="004A196A" w:rsidP="00DD4EAF">
            <w:pPr>
              <w:spacing w:before="120" w:after="120"/>
              <w:jc w:val="both"/>
              <w:rPr>
                <w:rFonts w:asciiTheme="minorHAnsi" w:eastAsia="Calibri" w:hAnsiTheme="minorHAnsi"/>
              </w:rPr>
            </w:pPr>
            <w:r w:rsidRPr="00BB07E0">
              <w:rPr>
                <w:rFonts w:asciiTheme="minorHAnsi" w:hAnsiTheme="minorHAnsi"/>
              </w:rPr>
              <w:t>salbutamol ampoules (for inhalation via nebulisation)</w:t>
            </w:r>
          </w:p>
        </w:tc>
        <w:tc>
          <w:tcPr>
            <w:tcW w:w="3055" w:type="pct"/>
            <w:vMerge/>
          </w:tcPr>
          <w:p w14:paraId="09335B45" w14:textId="77777777" w:rsidR="004A196A" w:rsidRPr="00BB07E0" w:rsidRDefault="004A196A" w:rsidP="00DD4EAF">
            <w:pPr>
              <w:spacing w:before="120" w:after="120"/>
              <w:jc w:val="both"/>
              <w:rPr>
                <w:rFonts w:asciiTheme="minorHAnsi" w:eastAsia="Calibri" w:hAnsiTheme="minorHAnsi"/>
              </w:rPr>
            </w:pPr>
          </w:p>
        </w:tc>
      </w:tr>
      <w:tr w:rsidR="004A196A" w:rsidRPr="00BB07E0" w14:paraId="7E723087" w14:textId="77777777" w:rsidTr="00BB778D">
        <w:tc>
          <w:tcPr>
            <w:tcW w:w="1945" w:type="pct"/>
          </w:tcPr>
          <w:p w14:paraId="68FEBE53" w14:textId="77777777" w:rsidR="004A196A" w:rsidRPr="00BB07E0" w:rsidRDefault="004A196A" w:rsidP="00DD4EAF">
            <w:pPr>
              <w:spacing w:before="120" w:after="120"/>
              <w:jc w:val="both"/>
              <w:rPr>
                <w:rFonts w:asciiTheme="minorHAnsi" w:eastAsia="Calibri" w:hAnsiTheme="minorHAnsi"/>
              </w:rPr>
            </w:pPr>
            <w:r w:rsidRPr="00BB07E0">
              <w:rPr>
                <w:rFonts w:asciiTheme="minorHAnsi" w:hAnsiTheme="minorHAnsi"/>
              </w:rPr>
              <w:t>morphine 15 mg/mL, 20 mg/mL, and 30 mg/mL ampoules (retaining the 10 mg/mL strength)</w:t>
            </w:r>
          </w:p>
        </w:tc>
        <w:tc>
          <w:tcPr>
            <w:tcW w:w="3055" w:type="pct"/>
            <w:vMerge/>
          </w:tcPr>
          <w:p w14:paraId="0FD877A2" w14:textId="77777777" w:rsidR="004A196A" w:rsidRPr="00BB07E0" w:rsidRDefault="004A196A" w:rsidP="00DD4EAF">
            <w:pPr>
              <w:spacing w:before="120" w:after="120"/>
              <w:jc w:val="both"/>
              <w:rPr>
                <w:rFonts w:asciiTheme="minorHAnsi" w:eastAsia="Calibri" w:hAnsiTheme="minorHAnsi"/>
              </w:rPr>
            </w:pPr>
          </w:p>
        </w:tc>
      </w:tr>
      <w:tr w:rsidR="004A196A" w:rsidRPr="00BB07E0" w14:paraId="4AF0F6F9" w14:textId="77777777" w:rsidTr="001E4946">
        <w:tc>
          <w:tcPr>
            <w:tcW w:w="5000" w:type="pct"/>
            <w:gridSpan w:val="2"/>
            <w:shd w:val="clear" w:color="auto" w:fill="DAE9F7" w:themeFill="text2" w:themeFillTint="1A"/>
          </w:tcPr>
          <w:p w14:paraId="7DBCB176" w14:textId="1DDB0855" w:rsidR="004A196A" w:rsidRPr="00BB07E0" w:rsidRDefault="004A196A" w:rsidP="00DD4EAF">
            <w:pPr>
              <w:spacing w:before="120" w:after="120"/>
              <w:rPr>
                <w:rFonts w:asciiTheme="minorHAnsi" w:eastAsia="Calibri" w:hAnsiTheme="minorHAnsi"/>
                <w:b/>
                <w:bCs/>
              </w:rPr>
            </w:pPr>
            <w:r w:rsidRPr="00BB07E0">
              <w:rPr>
                <w:rFonts w:asciiTheme="minorHAnsi" w:eastAsia="Calibri" w:hAnsiTheme="minorHAnsi"/>
                <w:b/>
                <w:bCs/>
              </w:rPr>
              <w:t>(2) Stakeholder input on additional strengths of current Prescriber Bag listings</w:t>
            </w:r>
          </w:p>
        </w:tc>
      </w:tr>
      <w:tr w:rsidR="004A196A" w:rsidRPr="00BB07E0" w14:paraId="69459B66" w14:textId="77777777" w:rsidTr="00BB778D">
        <w:tc>
          <w:tcPr>
            <w:tcW w:w="1945" w:type="pct"/>
          </w:tcPr>
          <w:p w14:paraId="193F9915" w14:textId="77777777" w:rsidR="004A196A" w:rsidRPr="00BB07E0" w:rsidRDefault="004A196A" w:rsidP="00DD4EAF">
            <w:pPr>
              <w:spacing w:before="120" w:after="120"/>
              <w:jc w:val="both"/>
              <w:rPr>
                <w:rFonts w:asciiTheme="minorHAnsi" w:eastAsia="Calibri" w:hAnsiTheme="minorHAnsi"/>
              </w:rPr>
            </w:pPr>
            <w:r w:rsidRPr="00BB07E0">
              <w:rPr>
                <w:rFonts w:asciiTheme="minorHAnsi" w:hAnsiTheme="minorHAnsi"/>
              </w:rPr>
              <w:t xml:space="preserve">phytomenadione 10 mg/mL, 0.2 mL </w:t>
            </w:r>
          </w:p>
        </w:tc>
        <w:tc>
          <w:tcPr>
            <w:tcW w:w="3055" w:type="pct"/>
            <w:vMerge w:val="restart"/>
          </w:tcPr>
          <w:p w14:paraId="37E08050"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stakeholder requests and supporting rationales to list alternate strengths of currently listed phytomenadione, adrenaline and furosemide PB items.</w:t>
            </w:r>
          </w:p>
          <w:p w14:paraId="3AA7540E"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The PBAC did not recommend the inclusion in the Prescriber Bag at this time due to the absence of: (i) any pricing proposal from at least one sponsor of the medicine, (ii) estimates of expected utilisation and estimates of financial implications, and (iii) a current General Schedule PBS listing reflective of the medicine having been considered cost-effective for the intended use. </w:t>
            </w:r>
          </w:p>
          <w:p w14:paraId="40507281" w14:textId="1F7430A3" w:rsidR="004A196A" w:rsidRPr="00BB07E0" w:rsidRDefault="004A196A" w:rsidP="00DD4EAF">
            <w:pPr>
              <w:spacing w:before="120" w:after="120"/>
              <w:jc w:val="both"/>
              <w:rPr>
                <w:rFonts w:asciiTheme="minorHAnsi" w:eastAsia="Calibri" w:hAnsiTheme="minorHAnsi"/>
              </w:rPr>
            </w:pPr>
            <w:r w:rsidRPr="00BB07E0">
              <w:rPr>
                <w:rFonts w:asciiTheme="minorHAnsi" w:hAnsiTheme="minorHAnsi"/>
              </w:rPr>
              <w:t>The PBAC noted that the lack of a PBS General Schedule listing of these items was a significant practical barrier to consideration for inclusion in the Prescriber Bag</w:t>
            </w:r>
            <w:r w:rsidR="00BB778D" w:rsidRPr="00BB07E0">
              <w:rPr>
                <w:rFonts w:asciiTheme="minorHAnsi" w:hAnsiTheme="minorHAnsi"/>
              </w:rPr>
              <w:t>.</w:t>
            </w:r>
          </w:p>
        </w:tc>
      </w:tr>
      <w:tr w:rsidR="004A196A" w:rsidRPr="00BB07E0" w14:paraId="06ED1E6B" w14:textId="77777777" w:rsidTr="00BB778D">
        <w:tc>
          <w:tcPr>
            <w:tcW w:w="1945" w:type="pct"/>
          </w:tcPr>
          <w:p w14:paraId="2E677E68" w14:textId="77777777" w:rsidR="004A196A" w:rsidRPr="00BB07E0" w:rsidRDefault="004A196A" w:rsidP="00DD4EAF">
            <w:pPr>
              <w:spacing w:before="120" w:after="120"/>
              <w:rPr>
                <w:rFonts w:asciiTheme="minorHAnsi" w:eastAsia="Calibri" w:hAnsiTheme="minorHAnsi"/>
              </w:rPr>
            </w:pPr>
            <w:r w:rsidRPr="00BB07E0">
              <w:rPr>
                <w:rFonts w:asciiTheme="minorHAnsi" w:hAnsiTheme="minorHAnsi"/>
              </w:rPr>
              <w:t>adrenaline (epinephrine) 1:10,000 (1 mg/10 mL) injection</w:t>
            </w:r>
          </w:p>
        </w:tc>
        <w:tc>
          <w:tcPr>
            <w:tcW w:w="3055" w:type="pct"/>
            <w:vMerge/>
          </w:tcPr>
          <w:p w14:paraId="53693A44" w14:textId="77777777" w:rsidR="004A196A" w:rsidRPr="00BB07E0" w:rsidRDefault="004A196A" w:rsidP="00DD4EAF">
            <w:pPr>
              <w:spacing w:before="120" w:after="120"/>
              <w:rPr>
                <w:rFonts w:asciiTheme="minorHAnsi" w:eastAsia="Calibri" w:hAnsiTheme="minorHAnsi"/>
              </w:rPr>
            </w:pPr>
          </w:p>
        </w:tc>
      </w:tr>
      <w:tr w:rsidR="004A196A" w:rsidRPr="00BB07E0" w14:paraId="32F99168" w14:textId="77777777" w:rsidTr="00BB778D">
        <w:tc>
          <w:tcPr>
            <w:tcW w:w="1945" w:type="pct"/>
          </w:tcPr>
          <w:p w14:paraId="51B4AEEF" w14:textId="77777777" w:rsidR="004A196A" w:rsidRPr="00BB07E0" w:rsidRDefault="004A196A" w:rsidP="00DD4EAF">
            <w:pPr>
              <w:spacing w:before="120" w:after="120"/>
              <w:rPr>
                <w:rFonts w:asciiTheme="minorHAnsi" w:hAnsiTheme="minorHAnsi"/>
              </w:rPr>
            </w:pPr>
            <w:r w:rsidRPr="00BB07E0">
              <w:rPr>
                <w:rFonts w:asciiTheme="minorHAnsi" w:hAnsiTheme="minorHAnsi"/>
              </w:rPr>
              <w:t>furosemide 50 mg/5 mL injection</w:t>
            </w:r>
          </w:p>
          <w:p w14:paraId="1BA7EC48" w14:textId="77777777" w:rsidR="004A196A" w:rsidRPr="00BB07E0" w:rsidRDefault="004A196A" w:rsidP="00DD4EAF">
            <w:pPr>
              <w:spacing w:before="120" w:after="120"/>
              <w:rPr>
                <w:rFonts w:asciiTheme="minorHAnsi" w:eastAsia="Calibri" w:hAnsiTheme="minorHAnsi"/>
              </w:rPr>
            </w:pPr>
            <w:r w:rsidRPr="00BB07E0">
              <w:rPr>
                <w:rFonts w:asciiTheme="minorHAnsi" w:hAnsiTheme="minorHAnsi"/>
              </w:rPr>
              <w:t xml:space="preserve">furosemide 40 mg/4 mL injection </w:t>
            </w:r>
          </w:p>
        </w:tc>
        <w:tc>
          <w:tcPr>
            <w:tcW w:w="3055" w:type="pct"/>
            <w:vMerge/>
          </w:tcPr>
          <w:p w14:paraId="14203763" w14:textId="77777777" w:rsidR="004A196A" w:rsidRPr="00BB07E0" w:rsidRDefault="004A196A" w:rsidP="00DD4EAF">
            <w:pPr>
              <w:spacing w:before="120" w:after="120"/>
              <w:rPr>
                <w:rFonts w:asciiTheme="minorHAnsi" w:eastAsia="Calibri" w:hAnsiTheme="minorHAnsi"/>
              </w:rPr>
            </w:pPr>
          </w:p>
        </w:tc>
      </w:tr>
      <w:tr w:rsidR="004A196A" w:rsidRPr="00BB07E0" w14:paraId="1D6985AF" w14:textId="77777777" w:rsidTr="001E4946">
        <w:tc>
          <w:tcPr>
            <w:tcW w:w="5000" w:type="pct"/>
            <w:gridSpan w:val="2"/>
            <w:shd w:val="clear" w:color="auto" w:fill="DAE9F7" w:themeFill="text2" w:themeFillTint="1A"/>
          </w:tcPr>
          <w:p w14:paraId="2B4BFE5A" w14:textId="684BF912" w:rsidR="004A196A" w:rsidRPr="00BB07E0" w:rsidRDefault="004A196A" w:rsidP="00DD4EAF">
            <w:pPr>
              <w:spacing w:before="120" w:after="120"/>
              <w:rPr>
                <w:rFonts w:asciiTheme="minorHAnsi" w:eastAsia="Calibri" w:hAnsiTheme="minorHAnsi"/>
                <w:b/>
                <w:bCs/>
              </w:rPr>
            </w:pPr>
            <w:r w:rsidRPr="00BB07E0">
              <w:rPr>
                <w:rFonts w:asciiTheme="minorHAnsi" w:eastAsia="Calibri" w:hAnsiTheme="minorHAnsi"/>
                <w:b/>
                <w:bCs/>
              </w:rPr>
              <w:t>(3) Stakeholder input on increased maximum quantities of current Prescriber Bag listings</w:t>
            </w:r>
          </w:p>
        </w:tc>
      </w:tr>
      <w:tr w:rsidR="004A196A" w:rsidRPr="00BB07E0" w14:paraId="1361A552" w14:textId="77777777" w:rsidTr="00BB778D">
        <w:tc>
          <w:tcPr>
            <w:tcW w:w="1945" w:type="pct"/>
          </w:tcPr>
          <w:p w14:paraId="7BA470C9" w14:textId="1C619DFE" w:rsidR="004A196A" w:rsidRPr="00BB07E0" w:rsidRDefault="004A196A" w:rsidP="00BB778D">
            <w:pPr>
              <w:spacing w:before="120" w:after="120"/>
              <w:rPr>
                <w:rFonts w:asciiTheme="minorHAnsi" w:hAnsiTheme="minorHAnsi"/>
              </w:rPr>
            </w:pPr>
            <w:r w:rsidRPr="00BB07E0">
              <w:rPr>
                <w:rFonts w:asciiTheme="minorHAnsi" w:hAnsiTheme="minorHAnsi"/>
              </w:rPr>
              <w:t>adrenaline (epinephrine) ampoules</w:t>
            </w:r>
            <w:r w:rsidR="00BB778D" w:rsidRPr="00BB07E0">
              <w:rPr>
                <w:rFonts w:asciiTheme="minorHAnsi" w:hAnsiTheme="minorHAnsi"/>
              </w:rPr>
              <w:t xml:space="preserve"> - i</w:t>
            </w:r>
            <w:r w:rsidRPr="00BB07E0">
              <w:rPr>
                <w:rFonts w:asciiTheme="minorHAnsi" w:eastAsia="Calibri" w:hAnsiTheme="minorHAnsi"/>
              </w:rPr>
              <w:t>ncrease to 2 packs (10</w:t>
            </w:r>
            <w:r w:rsidR="00BB778D" w:rsidRPr="00BB07E0">
              <w:rPr>
                <w:rFonts w:asciiTheme="minorHAnsi" w:eastAsia="Calibri" w:hAnsiTheme="minorHAnsi"/>
              </w:rPr>
              <w:t> </w:t>
            </w:r>
            <w:r w:rsidRPr="00BB07E0">
              <w:rPr>
                <w:rFonts w:asciiTheme="minorHAnsi" w:eastAsia="Calibri" w:hAnsiTheme="minorHAnsi"/>
              </w:rPr>
              <w:t>units)</w:t>
            </w:r>
          </w:p>
        </w:tc>
        <w:tc>
          <w:tcPr>
            <w:tcW w:w="3055" w:type="pct"/>
            <w:vMerge w:val="restart"/>
          </w:tcPr>
          <w:p w14:paraId="6E87C46E"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stakeholder requests and supporting rationales to list increased maximum quantities of these Prescriber Bag items.</w:t>
            </w:r>
          </w:p>
          <w:p w14:paraId="6987A213" w14:textId="26830643" w:rsidR="004A196A" w:rsidRPr="00BB07E0" w:rsidRDefault="004A196A" w:rsidP="00DD4EAF">
            <w:pPr>
              <w:spacing w:before="120" w:after="120"/>
              <w:jc w:val="both"/>
              <w:rPr>
                <w:rFonts w:asciiTheme="minorHAnsi" w:hAnsiTheme="minorHAnsi"/>
              </w:rPr>
            </w:pPr>
            <w:r w:rsidRPr="00BB07E0">
              <w:rPr>
                <w:rFonts w:asciiTheme="minorHAnsi" w:hAnsiTheme="minorHAnsi"/>
              </w:rPr>
              <w:lastRenderedPageBreak/>
              <w:t xml:space="preserve">The PBAC considered that the basis and justification of requests to increase maximum available quantities of current Prescriber Bag items were unclear. Noting the risk of wastage occurring through ordered, but unused expired medicines, the PBAC did not recommend any changes to current maximum quantities for any of the requested items. The PBAC further noted that some medical practices pooled the Prescriber Bag supplies ordered by individual practitioners which would effectively increase the maximum quantity beyond what is specified in the Prescriber Bag. </w:t>
            </w:r>
          </w:p>
        </w:tc>
      </w:tr>
      <w:tr w:rsidR="004A196A" w:rsidRPr="00BB07E0" w14:paraId="776C98D8" w14:textId="77777777" w:rsidTr="00BB778D">
        <w:tc>
          <w:tcPr>
            <w:tcW w:w="1945" w:type="pct"/>
          </w:tcPr>
          <w:p w14:paraId="144E0032" w14:textId="3B1FCD82" w:rsidR="004A196A" w:rsidRPr="00BB07E0" w:rsidRDefault="004A196A" w:rsidP="00BB778D">
            <w:pPr>
              <w:spacing w:before="120" w:after="120"/>
              <w:rPr>
                <w:rFonts w:asciiTheme="minorHAnsi" w:hAnsiTheme="minorHAnsi"/>
              </w:rPr>
            </w:pPr>
            <w:r w:rsidRPr="00BB07E0">
              <w:rPr>
                <w:rFonts w:asciiTheme="minorHAnsi" w:hAnsiTheme="minorHAnsi"/>
              </w:rPr>
              <w:t>furosemide ampoules</w:t>
            </w:r>
            <w:r w:rsidR="00BB778D" w:rsidRPr="00BB07E0">
              <w:rPr>
                <w:rFonts w:asciiTheme="minorHAnsi" w:hAnsiTheme="minorHAnsi"/>
              </w:rPr>
              <w:t xml:space="preserve"> - i</w:t>
            </w:r>
            <w:r w:rsidRPr="00BB07E0">
              <w:rPr>
                <w:rFonts w:asciiTheme="minorHAnsi" w:eastAsia="Calibri" w:hAnsiTheme="minorHAnsi"/>
              </w:rPr>
              <w:t>ncrease to more than existing quantity</w:t>
            </w:r>
          </w:p>
        </w:tc>
        <w:tc>
          <w:tcPr>
            <w:tcW w:w="3055" w:type="pct"/>
            <w:vMerge/>
          </w:tcPr>
          <w:p w14:paraId="0F6A2DD2" w14:textId="77777777" w:rsidR="004A196A" w:rsidRPr="00BB07E0" w:rsidRDefault="004A196A" w:rsidP="00DD4EAF">
            <w:pPr>
              <w:spacing w:before="120" w:after="120"/>
              <w:rPr>
                <w:rFonts w:asciiTheme="minorHAnsi" w:eastAsia="Calibri" w:hAnsiTheme="minorHAnsi"/>
              </w:rPr>
            </w:pPr>
          </w:p>
        </w:tc>
      </w:tr>
      <w:tr w:rsidR="004A196A" w:rsidRPr="00BB07E0" w14:paraId="70C5D962" w14:textId="77777777" w:rsidTr="00BB778D">
        <w:tc>
          <w:tcPr>
            <w:tcW w:w="1945" w:type="pct"/>
          </w:tcPr>
          <w:p w14:paraId="0C00599E" w14:textId="5D7B4FDA" w:rsidR="004A196A" w:rsidRPr="00BB07E0" w:rsidRDefault="004A196A" w:rsidP="00BB778D">
            <w:pPr>
              <w:spacing w:before="120" w:after="120"/>
              <w:rPr>
                <w:rFonts w:asciiTheme="minorHAnsi" w:hAnsiTheme="minorHAnsi"/>
              </w:rPr>
            </w:pPr>
            <w:r w:rsidRPr="00BB07E0">
              <w:rPr>
                <w:rFonts w:asciiTheme="minorHAnsi" w:hAnsiTheme="minorHAnsi"/>
              </w:rPr>
              <w:lastRenderedPageBreak/>
              <w:t>lidocaine ampoules</w:t>
            </w:r>
            <w:r w:rsidR="00BB778D" w:rsidRPr="00BB07E0">
              <w:rPr>
                <w:rFonts w:asciiTheme="minorHAnsi" w:hAnsiTheme="minorHAnsi"/>
              </w:rPr>
              <w:t xml:space="preserve"> - i</w:t>
            </w:r>
            <w:r w:rsidRPr="00BB07E0">
              <w:rPr>
                <w:rFonts w:asciiTheme="minorHAnsi" w:eastAsia="Calibri" w:hAnsiTheme="minorHAnsi"/>
              </w:rPr>
              <w:t>ncrease to 2 packs (10 units) or up to 10 packs (50 units)</w:t>
            </w:r>
          </w:p>
        </w:tc>
        <w:tc>
          <w:tcPr>
            <w:tcW w:w="3055" w:type="pct"/>
            <w:vMerge/>
          </w:tcPr>
          <w:p w14:paraId="047AA984" w14:textId="77777777" w:rsidR="004A196A" w:rsidRPr="00BB07E0" w:rsidRDefault="004A196A" w:rsidP="00DD4EAF">
            <w:pPr>
              <w:spacing w:before="120" w:after="120"/>
              <w:rPr>
                <w:rFonts w:asciiTheme="minorHAnsi" w:eastAsia="Calibri" w:hAnsiTheme="minorHAnsi"/>
              </w:rPr>
            </w:pPr>
          </w:p>
        </w:tc>
      </w:tr>
      <w:tr w:rsidR="004A196A" w:rsidRPr="00BB07E0" w14:paraId="74E095AF" w14:textId="77777777" w:rsidTr="00BB778D">
        <w:tc>
          <w:tcPr>
            <w:tcW w:w="1945" w:type="pct"/>
          </w:tcPr>
          <w:p w14:paraId="121A1786" w14:textId="5EB3345C" w:rsidR="004A196A" w:rsidRPr="00BB07E0" w:rsidRDefault="004A196A" w:rsidP="00BB778D">
            <w:pPr>
              <w:spacing w:before="120" w:after="120"/>
              <w:rPr>
                <w:rFonts w:asciiTheme="minorHAnsi" w:hAnsiTheme="minorHAnsi"/>
              </w:rPr>
            </w:pPr>
            <w:r w:rsidRPr="00BB07E0">
              <w:rPr>
                <w:rFonts w:asciiTheme="minorHAnsi" w:hAnsiTheme="minorHAnsi"/>
              </w:rPr>
              <w:t xml:space="preserve">methoxyflurane </w:t>
            </w:r>
            <w:r w:rsidR="00BB778D" w:rsidRPr="00BB07E0">
              <w:rPr>
                <w:rFonts w:asciiTheme="minorHAnsi" w:hAnsiTheme="minorHAnsi"/>
              </w:rPr>
              <w:t>- i</w:t>
            </w:r>
            <w:r w:rsidRPr="00BB07E0">
              <w:rPr>
                <w:rFonts w:asciiTheme="minorHAnsi" w:hAnsiTheme="minorHAnsi"/>
              </w:rPr>
              <w:t>ncrease to 2 units</w:t>
            </w:r>
          </w:p>
        </w:tc>
        <w:tc>
          <w:tcPr>
            <w:tcW w:w="3055" w:type="pct"/>
            <w:vMerge/>
          </w:tcPr>
          <w:p w14:paraId="0E051AC4" w14:textId="77777777" w:rsidR="004A196A" w:rsidRPr="00BB07E0" w:rsidRDefault="004A196A" w:rsidP="00DD4EAF">
            <w:pPr>
              <w:spacing w:before="120" w:after="120"/>
              <w:rPr>
                <w:rFonts w:asciiTheme="minorHAnsi" w:eastAsia="Calibri" w:hAnsiTheme="minorHAnsi"/>
              </w:rPr>
            </w:pPr>
          </w:p>
        </w:tc>
      </w:tr>
      <w:tr w:rsidR="004A196A" w:rsidRPr="00BB07E0" w14:paraId="6CA80567" w14:textId="77777777" w:rsidTr="00BB778D">
        <w:tc>
          <w:tcPr>
            <w:tcW w:w="1945" w:type="pct"/>
          </w:tcPr>
          <w:p w14:paraId="085314C0" w14:textId="6AB76358" w:rsidR="004A196A" w:rsidRPr="00BB07E0" w:rsidRDefault="004A196A" w:rsidP="00DD4EAF">
            <w:pPr>
              <w:spacing w:before="120" w:after="120"/>
              <w:rPr>
                <w:rFonts w:asciiTheme="minorHAnsi" w:hAnsiTheme="minorHAnsi"/>
              </w:rPr>
            </w:pPr>
            <w:r w:rsidRPr="00BB07E0">
              <w:rPr>
                <w:rFonts w:asciiTheme="minorHAnsi" w:hAnsiTheme="minorHAnsi"/>
              </w:rPr>
              <w:t>salbutamol metered dose inhaler</w:t>
            </w:r>
            <w:r w:rsidR="00BB778D" w:rsidRPr="00BB07E0">
              <w:rPr>
                <w:rFonts w:asciiTheme="minorHAnsi" w:hAnsiTheme="minorHAnsi"/>
              </w:rPr>
              <w:t xml:space="preserve"> - i</w:t>
            </w:r>
            <w:r w:rsidRPr="00BB07E0">
              <w:rPr>
                <w:rFonts w:asciiTheme="minorHAnsi" w:hAnsiTheme="minorHAnsi"/>
              </w:rPr>
              <w:t>ncrease to 2 units or more</w:t>
            </w:r>
          </w:p>
        </w:tc>
        <w:tc>
          <w:tcPr>
            <w:tcW w:w="3055" w:type="pct"/>
            <w:vMerge/>
          </w:tcPr>
          <w:p w14:paraId="764FC0E5" w14:textId="77777777" w:rsidR="004A196A" w:rsidRPr="00BB07E0" w:rsidRDefault="004A196A" w:rsidP="00DD4EAF">
            <w:pPr>
              <w:spacing w:before="120" w:after="120"/>
              <w:rPr>
                <w:rFonts w:asciiTheme="minorHAnsi" w:eastAsia="Calibri" w:hAnsiTheme="minorHAnsi"/>
              </w:rPr>
            </w:pPr>
          </w:p>
        </w:tc>
      </w:tr>
      <w:tr w:rsidR="004A196A" w:rsidRPr="00BB07E0" w14:paraId="41FD779D" w14:textId="77777777" w:rsidTr="001E4946">
        <w:tc>
          <w:tcPr>
            <w:tcW w:w="5000" w:type="pct"/>
            <w:gridSpan w:val="2"/>
            <w:shd w:val="clear" w:color="auto" w:fill="DAE9F7" w:themeFill="text2" w:themeFillTint="1A"/>
          </w:tcPr>
          <w:p w14:paraId="04E43622" w14:textId="5DE4FAF5" w:rsidR="004A196A" w:rsidRPr="00BB07E0" w:rsidRDefault="004A196A" w:rsidP="00DD4EAF">
            <w:pPr>
              <w:spacing w:before="120" w:after="120"/>
              <w:rPr>
                <w:rFonts w:asciiTheme="minorHAnsi" w:hAnsiTheme="minorHAnsi"/>
                <w:b/>
                <w:bCs/>
              </w:rPr>
            </w:pPr>
            <w:r w:rsidRPr="00BB07E0">
              <w:rPr>
                <w:rFonts w:asciiTheme="minorHAnsi" w:hAnsiTheme="minorHAnsi"/>
                <w:b/>
                <w:bCs/>
              </w:rPr>
              <w:t>(4) Stakeholder requests for new medicine additions that could either replace an existing Prescriber Bag item, or be in addition to the existing option(s)</w:t>
            </w:r>
          </w:p>
        </w:tc>
      </w:tr>
      <w:tr w:rsidR="004A196A" w:rsidRPr="00BB07E0" w14:paraId="392E5D8E" w14:textId="77777777" w:rsidTr="00BB778D">
        <w:tc>
          <w:tcPr>
            <w:tcW w:w="1945" w:type="pct"/>
          </w:tcPr>
          <w:p w14:paraId="33E2A3E4" w14:textId="77777777" w:rsidR="004A196A" w:rsidRPr="00BB07E0" w:rsidRDefault="004A196A" w:rsidP="00DD4EAF">
            <w:pPr>
              <w:spacing w:before="120" w:after="120"/>
              <w:rPr>
                <w:rFonts w:asciiTheme="minorHAnsi" w:hAnsiTheme="minorHAnsi"/>
              </w:rPr>
            </w:pPr>
            <w:r w:rsidRPr="00BB07E0">
              <w:rPr>
                <w:rFonts w:asciiTheme="minorHAnsi" w:hAnsiTheme="minorHAnsi"/>
              </w:rPr>
              <w:t>New: ondansetron injection and tablets</w:t>
            </w:r>
          </w:p>
          <w:p w14:paraId="18B64436" w14:textId="77777777" w:rsidR="004A196A" w:rsidRPr="00BB07E0" w:rsidRDefault="004A196A" w:rsidP="00DD4EAF">
            <w:pPr>
              <w:spacing w:before="120" w:after="120"/>
              <w:jc w:val="both"/>
              <w:rPr>
                <w:rFonts w:asciiTheme="minorHAnsi" w:hAnsiTheme="minorHAnsi"/>
              </w:rPr>
            </w:pPr>
          </w:p>
          <w:p w14:paraId="2363920D" w14:textId="77777777" w:rsidR="004A196A" w:rsidRPr="00BB07E0" w:rsidRDefault="004A196A" w:rsidP="00DD4EAF">
            <w:pPr>
              <w:spacing w:before="120" w:after="120"/>
              <w:jc w:val="both"/>
              <w:rPr>
                <w:rFonts w:asciiTheme="minorHAnsi" w:eastAsia="Calibri" w:hAnsiTheme="minorHAnsi"/>
              </w:rPr>
            </w:pPr>
            <w:r w:rsidRPr="00BB07E0">
              <w:rPr>
                <w:rFonts w:asciiTheme="minorHAnsi" w:hAnsiTheme="minorHAnsi"/>
              </w:rPr>
              <w:t>Current options: metoclopramide and prochlorperazine injections</w:t>
            </w:r>
          </w:p>
        </w:tc>
        <w:tc>
          <w:tcPr>
            <w:tcW w:w="3055" w:type="pct"/>
          </w:tcPr>
          <w:p w14:paraId="3DE6CCAC"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Not recommended. </w:t>
            </w:r>
          </w:p>
          <w:p w14:paraId="5A46B50E" w14:textId="3FD5ECEB"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stakeholder requests and supporting rationale</w:t>
            </w:r>
            <w:r w:rsidR="009343E1">
              <w:rPr>
                <w:rFonts w:asciiTheme="minorHAnsi" w:hAnsiTheme="minorHAnsi"/>
              </w:rPr>
              <w:t>s</w:t>
            </w:r>
            <w:r w:rsidRPr="00BB07E0">
              <w:rPr>
                <w:rFonts w:asciiTheme="minorHAnsi" w:hAnsiTheme="minorHAnsi"/>
              </w:rPr>
              <w:t xml:space="preserve"> to list ondansetron in the Prescriber Bag.</w:t>
            </w:r>
          </w:p>
          <w:p w14:paraId="659CBA5E" w14:textId="6834E250"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Ondansetron does not have a TGA-approved indication for the proposed uses which included nausea and vomiting that are not related to cytotoxic therapy or radiotherapy. </w:t>
            </w:r>
          </w:p>
          <w:p w14:paraId="48A691A6" w14:textId="277B07A7" w:rsidR="004A196A" w:rsidRPr="00BB07E0" w:rsidRDefault="004A196A" w:rsidP="00DD4EAF">
            <w:pPr>
              <w:pStyle w:val="3-BodyText"/>
              <w:numPr>
                <w:ilvl w:val="0"/>
                <w:numId w:val="0"/>
              </w:numPr>
              <w:rPr>
                <w:rFonts w:cs="Times New Roman"/>
                <w:sz w:val="20"/>
                <w:szCs w:val="20"/>
              </w:rPr>
            </w:pPr>
            <w:r w:rsidRPr="00BB07E0">
              <w:rPr>
                <w:rFonts w:cs="Times New Roman"/>
                <w:sz w:val="20"/>
                <w:szCs w:val="20"/>
              </w:rPr>
              <w:t>The PBAC requested that the Department undertake a separate research project on the potential establishment of an unrestricted benefit General Schedule listing for ondansetron tablets. The PBAC requested estimates of utilisation and costs to the PBS be brought to a future meeting for its consideration.</w:t>
            </w:r>
          </w:p>
        </w:tc>
      </w:tr>
      <w:tr w:rsidR="004A196A" w:rsidRPr="00BB07E0" w14:paraId="40756CE4" w14:textId="77777777" w:rsidTr="00BB778D">
        <w:tc>
          <w:tcPr>
            <w:tcW w:w="1945" w:type="pct"/>
          </w:tcPr>
          <w:p w14:paraId="42C7D8AB" w14:textId="77777777" w:rsidR="004A196A" w:rsidRPr="00BB07E0" w:rsidRDefault="004A196A" w:rsidP="00DD4EAF">
            <w:pPr>
              <w:spacing w:before="120" w:after="120"/>
              <w:rPr>
                <w:rFonts w:asciiTheme="minorHAnsi" w:hAnsiTheme="minorHAnsi"/>
              </w:rPr>
            </w:pPr>
            <w:r w:rsidRPr="00BB07E0">
              <w:rPr>
                <w:rFonts w:asciiTheme="minorHAnsi" w:hAnsiTheme="minorHAnsi"/>
              </w:rPr>
              <w:t>New: ceftriaxone injection</w:t>
            </w:r>
          </w:p>
          <w:p w14:paraId="07CFE7EC" w14:textId="77777777" w:rsidR="004A196A" w:rsidRPr="00BB07E0" w:rsidRDefault="004A196A" w:rsidP="00DD4EAF">
            <w:pPr>
              <w:spacing w:before="120" w:after="120"/>
              <w:jc w:val="both"/>
              <w:rPr>
                <w:rFonts w:asciiTheme="minorHAnsi" w:hAnsiTheme="minorHAnsi"/>
              </w:rPr>
            </w:pPr>
          </w:p>
          <w:p w14:paraId="4E010D5E"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Current option: benzylpenicillin injection</w:t>
            </w:r>
          </w:p>
        </w:tc>
        <w:tc>
          <w:tcPr>
            <w:tcW w:w="3055" w:type="pct"/>
          </w:tcPr>
          <w:p w14:paraId="196AB7AD" w14:textId="77777777" w:rsidR="004A196A" w:rsidRPr="00BB07E0" w:rsidRDefault="004A196A" w:rsidP="00DD4EAF">
            <w:pPr>
              <w:spacing w:before="120" w:after="120"/>
              <w:jc w:val="both"/>
              <w:rPr>
                <w:rFonts w:asciiTheme="minorHAnsi" w:eastAsia="Calibri" w:hAnsiTheme="minorHAnsi"/>
              </w:rPr>
            </w:pPr>
            <w:r w:rsidRPr="00BB07E0">
              <w:rPr>
                <w:rFonts w:asciiTheme="minorHAnsi" w:eastAsia="Calibri" w:hAnsiTheme="minorHAnsi"/>
              </w:rPr>
              <w:t>Recommended.</w:t>
            </w:r>
          </w:p>
          <w:p w14:paraId="2E152A3C" w14:textId="0CEED95A"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stakeholder requests and supporting rationale</w:t>
            </w:r>
            <w:r w:rsidR="009343E1">
              <w:rPr>
                <w:rFonts w:asciiTheme="minorHAnsi" w:hAnsiTheme="minorHAnsi"/>
              </w:rPr>
              <w:t>s</w:t>
            </w:r>
            <w:r w:rsidRPr="00BB07E0">
              <w:rPr>
                <w:rFonts w:asciiTheme="minorHAnsi" w:hAnsiTheme="minorHAnsi"/>
              </w:rPr>
              <w:t xml:space="preserve"> to list ceftriaxone in the Prescriber Bag.</w:t>
            </w:r>
          </w:p>
          <w:p w14:paraId="7D021716" w14:textId="5439B6E1" w:rsidR="004A196A" w:rsidRPr="00BB07E0" w:rsidRDefault="004A196A" w:rsidP="00DD4EAF">
            <w:pPr>
              <w:rPr>
                <w:rFonts w:asciiTheme="minorHAnsi" w:hAnsiTheme="minorHAnsi" w:cs="Calibri"/>
              </w:rPr>
            </w:pPr>
            <w:r w:rsidRPr="00BB07E0">
              <w:rPr>
                <w:rFonts w:asciiTheme="minorHAnsi" w:hAnsiTheme="minorHAnsi" w:cs="Calibri"/>
              </w:rPr>
              <w:t xml:space="preserve">The PBAC considered all </w:t>
            </w:r>
            <w:r w:rsidR="00D443AE" w:rsidRPr="00BB07E0">
              <w:rPr>
                <w:rFonts w:asciiTheme="minorHAnsi" w:hAnsiTheme="minorHAnsi" w:cs="Calibri"/>
              </w:rPr>
              <w:t xml:space="preserve">algorithm </w:t>
            </w:r>
            <w:r w:rsidRPr="00BB07E0">
              <w:rPr>
                <w:rFonts w:asciiTheme="minorHAnsi" w:hAnsiTheme="minorHAnsi" w:cs="Calibri"/>
              </w:rPr>
              <w:t>criteria were met and noted ceftriaxone is routinely used as part of empiric antimicrobial therapy in emergency care settings for suspected sepsis, where prompt administration helps mitigate the risk of organ failure and death.</w:t>
            </w:r>
          </w:p>
          <w:p w14:paraId="543C9848" w14:textId="77777777" w:rsidR="004A196A" w:rsidRPr="00BB07E0" w:rsidRDefault="004A196A" w:rsidP="00DD4EAF">
            <w:pPr>
              <w:spacing w:before="120" w:after="120"/>
              <w:jc w:val="both"/>
              <w:rPr>
                <w:rFonts w:asciiTheme="minorHAnsi" w:eastAsia="Calibri" w:hAnsiTheme="minorHAnsi"/>
              </w:rPr>
            </w:pPr>
            <w:r w:rsidRPr="00BB07E0">
              <w:rPr>
                <w:rFonts w:asciiTheme="minorHAnsi" w:hAnsiTheme="minorHAnsi" w:cs="Calibri"/>
              </w:rPr>
              <w:t>A pack size of five units was recommended to minimise wastage.</w:t>
            </w:r>
          </w:p>
          <w:p w14:paraId="33AAF493" w14:textId="1F909DD2" w:rsidR="004A196A" w:rsidRPr="00BB07E0" w:rsidRDefault="004A196A" w:rsidP="00DD4EAF">
            <w:pPr>
              <w:spacing w:before="120" w:after="120"/>
              <w:jc w:val="both"/>
              <w:rPr>
                <w:rFonts w:asciiTheme="minorHAnsi" w:eastAsia="Calibri" w:hAnsiTheme="minorHAnsi"/>
              </w:rPr>
            </w:pPr>
            <w:r w:rsidRPr="00BB07E0">
              <w:rPr>
                <w:rFonts w:asciiTheme="minorHAnsi" w:eastAsia="Calibri" w:hAnsiTheme="minorHAnsi"/>
              </w:rPr>
              <w:t>The PBAC recommended benzylpenicillin be retained on the Prescriber Bag.</w:t>
            </w:r>
          </w:p>
        </w:tc>
      </w:tr>
      <w:tr w:rsidR="004A196A" w:rsidRPr="00BB07E0" w14:paraId="537338D8" w14:textId="77777777" w:rsidTr="00BB778D">
        <w:tc>
          <w:tcPr>
            <w:tcW w:w="1945" w:type="pct"/>
          </w:tcPr>
          <w:p w14:paraId="73DF3739" w14:textId="77777777" w:rsidR="004A196A" w:rsidRPr="00BB07E0" w:rsidRDefault="004A196A" w:rsidP="00DD4EAF">
            <w:pPr>
              <w:spacing w:before="120" w:after="120"/>
              <w:rPr>
                <w:rFonts w:asciiTheme="minorHAnsi" w:hAnsiTheme="minorHAnsi"/>
              </w:rPr>
            </w:pPr>
            <w:r w:rsidRPr="00BB07E0">
              <w:rPr>
                <w:rFonts w:asciiTheme="minorHAnsi" w:hAnsiTheme="minorHAnsi"/>
              </w:rPr>
              <w:lastRenderedPageBreak/>
              <w:t>New: diphtheria + tetanus + pertussis vaccine</w:t>
            </w:r>
          </w:p>
          <w:p w14:paraId="55568216" w14:textId="77777777" w:rsidR="004A196A" w:rsidRPr="00BB07E0" w:rsidRDefault="004A196A" w:rsidP="00DD4EAF">
            <w:pPr>
              <w:spacing w:before="120" w:after="120"/>
              <w:rPr>
                <w:rFonts w:asciiTheme="minorHAnsi" w:hAnsiTheme="minorHAnsi"/>
              </w:rPr>
            </w:pPr>
          </w:p>
          <w:p w14:paraId="72C973E9"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Current option: diphtheria + tetanus vaccine</w:t>
            </w:r>
          </w:p>
        </w:tc>
        <w:tc>
          <w:tcPr>
            <w:tcW w:w="3055" w:type="pct"/>
          </w:tcPr>
          <w:p w14:paraId="308EB5D3" w14:textId="77777777" w:rsidR="003E1F16" w:rsidRPr="00BB07E0" w:rsidRDefault="004A196A" w:rsidP="00DD4EAF">
            <w:pPr>
              <w:spacing w:before="120" w:after="120"/>
              <w:jc w:val="both"/>
              <w:rPr>
                <w:rFonts w:asciiTheme="minorHAnsi" w:hAnsiTheme="minorHAnsi"/>
              </w:rPr>
            </w:pPr>
            <w:r w:rsidRPr="00BB07E0">
              <w:rPr>
                <w:rFonts w:asciiTheme="minorHAnsi" w:hAnsiTheme="minorHAnsi"/>
              </w:rPr>
              <w:t xml:space="preserve">Not recommended. </w:t>
            </w:r>
          </w:p>
          <w:p w14:paraId="35709D64" w14:textId="42150D57"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stakeholder requests and supporting rationale</w:t>
            </w:r>
            <w:r w:rsidR="009343E1">
              <w:rPr>
                <w:rFonts w:asciiTheme="minorHAnsi" w:hAnsiTheme="minorHAnsi"/>
              </w:rPr>
              <w:t>s</w:t>
            </w:r>
            <w:r w:rsidRPr="00BB07E0">
              <w:rPr>
                <w:rFonts w:asciiTheme="minorHAnsi" w:hAnsiTheme="minorHAnsi"/>
              </w:rPr>
              <w:t xml:space="preserve"> to list diphtheria + tetanus + pertussis vaccine in the Prescriber Bag.</w:t>
            </w:r>
          </w:p>
          <w:p w14:paraId="3C52E6F6" w14:textId="6B00B43D" w:rsidR="004A196A" w:rsidRPr="00BB07E0" w:rsidRDefault="004A196A" w:rsidP="00DD4EAF">
            <w:pPr>
              <w:spacing w:before="120" w:after="120"/>
              <w:jc w:val="both"/>
              <w:rPr>
                <w:rFonts w:asciiTheme="minorHAnsi" w:eastAsia="Calibri" w:hAnsiTheme="minorHAnsi"/>
              </w:rPr>
            </w:pPr>
            <w:r w:rsidRPr="00BB07E0">
              <w:rPr>
                <w:rFonts w:asciiTheme="minorHAnsi" w:hAnsiTheme="minorHAnsi"/>
              </w:rPr>
              <w:t>The lack of a PBS General Schedule listing of this vaccine was a significant practical barrier to consideration of inclusion in the Prescriber Bag.</w:t>
            </w:r>
          </w:p>
        </w:tc>
      </w:tr>
      <w:tr w:rsidR="004A196A" w:rsidRPr="00BB07E0" w14:paraId="79138684" w14:textId="77777777" w:rsidTr="00BB778D">
        <w:tc>
          <w:tcPr>
            <w:tcW w:w="1945" w:type="pct"/>
          </w:tcPr>
          <w:p w14:paraId="06588945" w14:textId="77777777" w:rsidR="004A196A" w:rsidRPr="00BB07E0" w:rsidRDefault="004A196A" w:rsidP="00DD4EAF">
            <w:pPr>
              <w:spacing w:before="120" w:after="120"/>
              <w:rPr>
                <w:rFonts w:asciiTheme="minorHAnsi" w:hAnsiTheme="minorHAnsi"/>
              </w:rPr>
            </w:pPr>
            <w:r w:rsidRPr="00BB07E0">
              <w:rPr>
                <w:rFonts w:asciiTheme="minorHAnsi" w:hAnsiTheme="minorHAnsi"/>
              </w:rPr>
              <w:t>New: fentanyl injection</w:t>
            </w:r>
          </w:p>
          <w:p w14:paraId="0D96C488" w14:textId="77777777" w:rsidR="004A196A" w:rsidRPr="00BB07E0" w:rsidRDefault="004A196A" w:rsidP="00DD4EAF">
            <w:pPr>
              <w:spacing w:before="120" w:after="120"/>
              <w:jc w:val="both"/>
              <w:rPr>
                <w:rFonts w:asciiTheme="minorHAnsi" w:hAnsiTheme="minorHAnsi"/>
              </w:rPr>
            </w:pPr>
          </w:p>
          <w:p w14:paraId="6BFE4C2D"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Current options: tramadol and morphine injections</w:t>
            </w:r>
          </w:p>
        </w:tc>
        <w:tc>
          <w:tcPr>
            <w:tcW w:w="3055" w:type="pct"/>
          </w:tcPr>
          <w:p w14:paraId="15BD5216"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Not recommended. </w:t>
            </w:r>
          </w:p>
          <w:p w14:paraId="1B02D3A9" w14:textId="3CAD8C8F"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stakeholder requests and supporting rationale</w:t>
            </w:r>
            <w:r w:rsidR="009343E1">
              <w:rPr>
                <w:rFonts w:asciiTheme="minorHAnsi" w:hAnsiTheme="minorHAnsi"/>
              </w:rPr>
              <w:t>s</w:t>
            </w:r>
            <w:r w:rsidRPr="00BB07E0">
              <w:rPr>
                <w:rFonts w:asciiTheme="minorHAnsi" w:hAnsiTheme="minorHAnsi"/>
              </w:rPr>
              <w:t xml:space="preserve"> to list fentanyl injections in the Prescriber Bag.</w:t>
            </w:r>
          </w:p>
          <w:p w14:paraId="567EC0AD" w14:textId="6DE24584" w:rsidR="004A196A" w:rsidRPr="00BB07E0" w:rsidRDefault="004A196A" w:rsidP="00DD4EAF">
            <w:pPr>
              <w:spacing w:before="120" w:after="120"/>
              <w:jc w:val="both"/>
              <w:rPr>
                <w:rFonts w:asciiTheme="minorHAnsi" w:hAnsiTheme="minorHAnsi"/>
                <w:i/>
                <w:iCs/>
              </w:rPr>
            </w:pPr>
            <w:r w:rsidRPr="00BB07E0">
              <w:rPr>
                <w:rFonts w:asciiTheme="minorHAnsi" w:hAnsiTheme="minorHAnsi"/>
              </w:rPr>
              <w:t xml:space="preserve">This medicine does not have a TGA-approved indication for the proposed use for emergency pain management. </w:t>
            </w:r>
            <w:r w:rsidR="003E1F16" w:rsidRPr="00BB07E0">
              <w:rPr>
                <w:rFonts w:asciiTheme="minorHAnsi" w:hAnsiTheme="minorHAnsi"/>
              </w:rPr>
              <w:t xml:space="preserve">The </w:t>
            </w:r>
            <w:r w:rsidRPr="00BB07E0">
              <w:rPr>
                <w:rFonts w:asciiTheme="minorHAnsi" w:hAnsiTheme="minorHAnsi"/>
              </w:rPr>
              <w:t>TGA</w:t>
            </w:r>
            <w:r w:rsidR="003E1F16" w:rsidRPr="00BB07E0">
              <w:rPr>
                <w:rFonts w:asciiTheme="minorHAnsi" w:hAnsiTheme="minorHAnsi"/>
              </w:rPr>
              <w:noBreakHyphen/>
            </w:r>
            <w:r w:rsidRPr="00BB07E0">
              <w:rPr>
                <w:rFonts w:asciiTheme="minorHAnsi" w:hAnsiTheme="minorHAnsi"/>
              </w:rPr>
              <w:t>approved use is for analgesia during pre-medication, induction and maintenance of anaesthesia, as a supplement to general and regional anaesthesia, and in the immediate post-operative period.</w:t>
            </w:r>
          </w:p>
          <w:p w14:paraId="57B29539" w14:textId="674A52F8"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The </w:t>
            </w:r>
            <w:r w:rsidR="003E1F16" w:rsidRPr="00BB07E0">
              <w:rPr>
                <w:rFonts w:asciiTheme="minorHAnsi" w:hAnsiTheme="minorHAnsi"/>
              </w:rPr>
              <w:t xml:space="preserve">lack of a </w:t>
            </w:r>
            <w:r w:rsidRPr="00BB07E0">
              <w:rPr>
                <w:rFonts w:asciiTheme="minorHAnsi" w:hAnsiTheme="minorHAnsi"/>
              </w:rPr>
              <w:t>PBS General Schedule listing of fentanyl injection was a significant practical barrier to consideration of inclusion in the Prescriber Bag.</w:t>
            </w:r>
          </w:p>
        </w:tc>
      </w:tr>
      <w:tr w:rsidR="004A196A" w:rsidRPr="00BB07E0" w14:paraId="1F93382B" w14:textId="77777777" w:rsidTr="00BB778D">
        <w:tc>
          <w:tcPr>
            <w:tcW w:w="1945" w:type="pct"/>
          </w:tcPr>
          <w:p w14:paraId="7D1C7BD9" w14:textId="77777777" w:rsidR="004A196A" w:rsidRPr="00BB07E0" w:rsidRDefault="004A196A" w:rsidP="00DD4EAF">
            <w:pPr>
              <w:spacing w:before="120" w:after="120"/>
              <w:rPr>
                <w:rFonts w:asciiTheme="minorHAnsi" w:hAnsiTheme="minorHAnsi"/>
              </w:rPr>
            </w:pPr>
            <w:r w:rsidRPr="00BB07E0">
              <w:rPr>
                <w:rFonts w:asciiTheme="minorHAnsi" w:hAnsiTheme="minorHAnsi"/>
              </w:rPr>
              <w:t>New: droperidol injection</w:t>
            </w:r>
          </w:p>
          <w:p w14:paraId="48C82473" w14:textId="77777777" w:rsidR="004A196A" w:rsidRPr="00BB07E0" w:rsidRDefault="004A196A" w:rsidP="00DD4EAF">
            <w:pPr>
              <w:spacing w:before="120" w:after="120"/>
              <w:jc w:val="both"/>
              <w:rPr>
                <w:rFonts w:asciiTheme="minorHAnsi" w:hAnsiTheme="minorHAnsi"/>
              </w:rPr>
            </w:pPr>
          </w:p>
          <w:p w14:paraId="412B29EB"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Current options: chlorpromazine and haloperidol injections</w:t>
            </w:r>
          </w:p>
        </w:tc>
        <w:tc>
          <w:tcPr>
            <w:tcW w:w="3055" w:type="pct"/>
          </w:tcPr>
          <w:p w14:paraId="2FF3E38E"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Not recommended. </w:t>
            </w:r>
          </w:p>
          <w:p w14:paraId="3A6D877E" w14:textId="68F62E80"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stakeholder requests and supporting rationale</w:t>
            </w:r>
            <w:r w:rsidR="009343E1">
              <w:rPr>
                <w:rFonts w:asciiTheme="minorHAnsi" w:hAnsiTheme="minorHAnsi"/>
              </w:rPr>
              <w:t>s</w:t>
            </w:r>
            <w:r w:rsidRPr="00BB07E0">
              <w:rPr>
                <w:rFonts w:asciiTheme="minorHAnsi" w:hAnsiTheme="minorHAnsi"/>
              </w:rPr>
              <w:t xml:space="preserve"> to list droperidol injection in the Prescriber Bag.</w:t>
            </w:r>
          </w:p>
          <w:p w14:paraId="16F3BC80" w14:textId="7691F8C6"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The </w:t>
            </w:r>
            <w:r w:rsidR="003E1F16" w:rsidRPr="00BB07E0">
              <w:rPr>
                <w:rFonts w:asciiTheme="minorHAnsi" w:hAnsiTheme="minorHAnsi"/>
              </w:rPr>
              <w:t xml:space="preserve">lack of a </w:t>
            </w:r>
            <w:r w:rsidRPr="00BB07E0">
              <w:rPr>
                <w:rFonts w:asciiTheme="minorHAnsi" w:hAnsiTheme="minorHAnsi"/>
              </w:rPr>
              <w:t>PBS General Schedule listing of droperidol injection was a significant practical barrier to consideration of inclusion in the Prescriber Bag.</w:t>
            </w:r>
          </w:p>
        </w:tc>
      </w:tr>
      <w:tr w:rsidR="004A196A" w:rsidRPr="00BB07E0" w14:paraId="740FF60F" w14:textId="77777777" w:rsidTr="00BB778D">
        <w:tc>
          <w:tcPr>
            <w:tcW w:w="1945" w:type="pct"/>
          </w:tcPr>
          <w:p w14:paraId="6DDE8FE7" w14:textId="342B1279" w:rsidR="004A196A" w:rsidRPr="00BB07E0" w:rsidRDefault="004A196A" w:rsidP="00DD4EAF">
            <w:pPr>
              <w:spacing w:before="120" w:after="120"/>
              <w:rPr>
                <w:rFonts w:asciiTheme="minorHAnsi" w:hAnsiTheme="minorHAnsi"/>
              </w:rPr>
            </w:pPr>
            <w:r w:rsidRPr="00BB07E0">
              <w:rPr>
                <w:rFonts w:asciiTheme="minorHAnsi" w:hAnsiTheme="minorHAnsi"/>
              </w:rPr>
              <w:t>New: olanzapine injection, wafers, orally disintegrating tablets</w:t>
            </w:r>
          </w:p>
          <w:p w14:paraId="0E43794C" w14:textId="77777777" w:rsidR="004A196A" w:rsidRPr="00BB07E0" w:rsidRDefault="004A196A" w:rsidP="00DD4EAF">
            <w:pPr>
              <w:spacing w:before="120" w:after="120"/>
              <w:rPr>
                <w:rFonts w:asciiTheme="minorHAnsi" w:hAnsiTheme="minorHAnsi"/>
              </w:rPr>
            </w:pPr>
          </w:p>
          <w:p w14:paraId="4D910D22"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lastRenderedPageBreak/>
              <w:t>Current options: chlorpromazine and haloperidol injections</w:t>
            </w:r>
          </w:p>
        </w:tc>
        <w:tc>
          <w:tcPr>
            <w:tcW w:w="3055" w:type="pct"/>
          </w:tcPr>
          <w:p w14:paraId="50B1B7DA"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lastRenderedPageBreak/>
              <w:t xml:space="preserve">Not recommended. </w:t>
            </w:r>
          </w:p>
          <w:p w14:paraId="4CE7129E" w14:textId="4762DB90"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stakeholder requests and supporting rationale</w:t>
            </w:r>
            <w:r w:rsidR="009343E1">
              <w:rPr>
                <w:rFonts w:asciiTheme="minorHAnsi" w:hAnsiTheme="minorHAnsi"/>
              </w:rPr>
              <w:t>s</w:t>
            </w:r>
            <w:r w:rsidRPr="00BB07E0">
              <w:rPr>
                <w:rFonts w:asciiTheme="minorHAnsi" w:hAnsiTheme="minorHAnsi"/>
              </w:rPr>
              <w:t xml:space="preserve"> to list olanzapine in the Prescriber Bag.</w:t>
            </w:r>
          </w:p>
          <w:p w14:paraId="57C20ADE" w14:textId="592775C7" w:rsidR="004A196A" w:rsidRPr="00BB07E0" w:rsidRDefault="004A196A" w:rsidP="00DD4EAF">
            <w:pPr>
              <w:spacing w:before="120" w:after="120"/>
              <w:jc w:val="both"/>
              <w:rPr>
                <w:rFonts w:asciiTheme="minorHAnsi" w:hAnsiTheme="minorHAnsi"/>
              </w:rPr>
            </w:pPr>
            <w:r w:rsidRPr="00BB07E0">
              <w:rPr>
                <w:rFonts w:asciiTheme="minorHAnsi" w:hAnsiTheme="minorHAnsi"/>
              </w:rPr>
              <w:lastRenderedPageBreak/>
              <w:t xml:space="preserve">For olanzapine injections that are not modified release formulations, </w:t>
            </w:r>
            <w:r w:rsidR="003E1F16" w:rsidRPr="00BB07E0">
              <w:rPr>
                <w:rFonts w:asciiTheme="minorHAnsi" w:hAnsiTheme="minorHAnsi"/>
              </w:rPr>
              <w:t xml:space="preserve">the lack of </w:t>
            </w:r>
            <w:r w:rsidRPr="00BB07E0">
              <w:rPr>
                <w:rFonts w:asciiTheme="minorHAnsi" w:hAnsiTheme="minorHAnsi"/>
              </w:rPr>
              <w:t>PBS General Schedule listing is a significant practical barrier to consideration of inclusion in the Prescriber Bag.</w:t>
            </w:r>
          </w:p>
          <w:p w14:paraId="4A27CDD3"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Olanzapine oral formulations are currently not packed in a quantity and manner intended for single use supply.</w:t>
            </w:r>
          </w:p>
        </w:tc>
      </w:tr>
      <w:tr w:rsidR="004A196A" w:rsidRPr="00BB07E0" w14:paraId="62E75608" w14:textId="77777777" w:rsidTr="00BB778D">
        <w:tc>
          <w:tcPr>
            <w:tcW w:w="1945" w:type="pct"/>
          </w:tcPr>
          <w:p w14:paraId="235F988F" w14:textId="77777777" w:rsidR="004A196A" w:rsidRPr="00BB07E0" w:rsidRDefault="004A196A" w:rsidP="00DD4EAF">
            <w:pPr>
              <w:spacing w:before="120" w:after="120"/>
              <w:rPr>
                <w:rFonts w:asciiTheme="minorHAnsi" w:hAnsiTheme="minorHAnsi"/>
              </w:rPr>
            </w:pPr>
            <w:r w:rsidRPr="00BB07E0">
              <w:rPr>
                <w:rFonts w:asciiTheme="minorHAnsi" w:hAnsiTheme="minorHAnsi"/>
              </w:rPr>
              <w:lastRenderedPageBreak/>
              <w:t>New: loratadine tablets</w:t>
            </w:r>
          </w:p>
          <w:p w14:paraId="256C6A36" w14:textId="77777777" w:rsidR="004A196A" w:rsidRPr="00BB07E0" w:rsidRDefault="004A196A" w:rsidP="00DD4EAF">
            <w:pPr>
              <w:spacing w:before="120" w:after="120"/>
              <w:rPr>
                <w:rFonts w:asciiTheme="minorHAnsi" w:hAnsiTheme="minorHAnsi"/>
              </w:rPr>
            </w:pPr>
          </w:p>
          <w:p w14:paraId="4B335F4D"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Current option: promethazine injection</w:t>
            </w:r>
          </w:p>
        </w:tc>
        <w:tc>
          <w:tcPr>
            <w:tcW w:w="3055" w:type="pct"/>
          </w:tcPr>
          <w:p w14:paraId="0CDBE3F8"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Not recommended. </w:t>
            </w:r>
          </w:p>
          <w:p w14:paraId="6AC55025" w14:textId="368DEED7"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stakeholder requests and supporting rationale</w:t>
            </w:r>
            <w:r w:rsidR="009343E1">
              <w:rPr>
                <w:rFonts w:asciiTheme="minorHAnsi" w:hAnsiTheme="minorHAnsi"/>
              </w:rPr>
              <w:t>s</w:t>
            </w:r>
            <w:r w:rsidRPr="00BB07E0">
              <w:rPr>
                <w:rFonts w:asciiTheme="minorHAnsi" w:hAnsiTheme="minorHAnsi"/>
              </w:rPr>
              <w:t xml:space="preserve"> to list loratadine tablets in the Prescriber Bag.</w:t>
            </w:r>
          </w:p>
          <w:p w14:paraId="2EA09E58" w14:textId="6ABE03EF"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The </w:t>
            </w:r>
            <w:r w:rsidR="003E1F16" w:rsidRPr="00BB07E0">
              <w:rPr>
                <w:rFonts w:asciiTheme="minorHAnsi" w:hAnsiTheme="minorHAnsi"/>
              </w:rPr>
              <w:t xml:space="preserve">lack of a </w:t>
            </w:r>
            <w:r w:rsidRPr="00BB07E0">
              <w:rPr>
                <w:rFonts w:asciiTheme="minorHAnsi" w:hAnsiTheme="minorHAnsi"/>
              </w:rPr>
              <w:t>PBS General Schedule listing is a significant practical barrier to consideration of inclusion in the Prescriber Bag.</w:t>
            </w:r>
          </w:p>
        </w:tc>
      </w:tr>
      <w:tr w:rsidR="004A196A" w:rsidRPr="00BB07E0" w14:paraId="22E9DF04" w14:textId="77777777" w:rsidTr="00320F13">
        <w:tc>
          <w:tcPr>
            <w:tcW w:w="5000" w:type="pct"/>
            <w:gridSpan w:val="2"/>
            <w:shd w:val="clear" w:color="auto" w:fill="DAE9F7" w:themeFill="text2" w:themeFillTint="1A"/>
          </w:tcPr>
          <w:p w14:paraId="5FDC565C" w14:textId="77777777" w:rsidR="004A196A" w:rsidRPr="00BB07E0" w:rsidRDefault="004A196A" w:rsidP="00DD4EAF">
            <w:pPr>
              <w:spacing w:before="120" w:after="120"/>
              <w:rPr>
                <w:rFonts w:asciiTheme="minorHAnsi" w:hAnsiTheme="minorHAnsi"/>
                <w:b/>
                <w:bCs/>
              </w:rPr>
            </w:pPr>
            <w:r w:rsidRPr="00BB07E0">
              <w:rPr>
                <w:rFonts w:asciiTheme="minorHAnsi" w:hAnsiTheme="minorHAnsi"/>
                <w:b/>
                <w:bCs/>
              </w:rPr>
              <w:t>Review of all existing Prescriber Bag listings against the algorithm criteria to identify those medicines unsuited for Prescriber Bag listing</w:t>
            </w:r>
          </w:p>
        </w:tc>
      </w:tr>
      <w:tr w:rsidR="004A196A" w:rsidRPr="00BB07E0" w14:paraId="4F0309EF" w14:textId="77777777" w:rsidTr="00BB778D">
        <w:tc>
          <w:tcPr>
            <w:tcW w:w="1945" w:type="pct"/>
          </w:tcPr>
          <w:p w14:paraId="011D5CE5" w14:textId="77777777" w:rsidR="004A196A" w:rsidRPr="00BB07E0" w:rsidRDefault="004A196A" w:rsidP="00DD4EAF">
            <w:pPr>
              <w:spacing w:before="120" w:after="120"/>
              <w:rPr>
                <w:rFonts w:asciiTheme="minorHAnsi" w:hAnsiTheme="minorHAnsi"/>
              </w:rPr>
            </w:pPr>
            <w:r w:rsidRPr="00BB07E0">
              <w:rPr>
                <w:rFonts w:asciiTheme="minorHAnsi" w:hAnsiTheme="minorHAnsi"/>
              </w:rPr>
              <w:t>COVID-19 oral antivirals</w:t>
            </w:r>
          </w:p>
          <w:p w14:paraId="5E8178C2" w14:textId="77777777" w:rsidR="004A196A" w:rsidRPr="00BB07E0" w:rsidRDefault="004A196A" w:rsidP="00DD4EAF">
            <w:pPr>
              <w:spacing w:before="120" w:after="120"/>
              <w:rPr>
                <w:rFonts w:asciiTheme="minorHAnsi" w:hAnsiTheme="minorHAnsi"/>
              </w:rPr>
            </w:pPr>
            <w:r w:rsidRPr="00BB07E0">
              <w:rPr>
                <w:rFonts w:asciiTheme="minorHAnsi" w:hAnsiTheme="minorHAnsi"/>
              </w:rPr>
              <w:t>molnupiravir 200 mg capsule, 40</w:t>
            </w:r>
          </w:p>
          <w:p w14:paraId="280293D4"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nirmatrelvir 150 mg tablet [4] (&amp;) ritonavir 100 mg tablet [2], 5 x 6</w:t>
            </w:r>
          </w:p>
        </w:tc>
        <w:tc>
          <w:tcPr>
            <w:tcW w:w="3055" w:type="pct"/>
          </w:tcPr>
          <w:p w14:paraId="05EDF9CC" w14:textId="2537A211" w:rsidR="004A196A" w:rsidRPr="00BB07E0" w:rsidRDefault="003E1F16" w:rsidP="00DD4EAF">
            <w:pPr>
              <w:spacing w:before="120" w:after="120"/>
              <w:jc w:val="both"/>
              <w:rPr>
                <w:rFonts w:asciiTheme="minorHAnsi" w:hAnsiTheme="minorHAnsi"/>
              </w:rPr>
            </w:pPr>
            <w:r w:rsidRPr="00BB07E0">
              <w:rPr>
                <w:rFonts w:asciiTheme="minorHAnsi" w:hAnsiTheme="minorHAnsi"/>
              </w:rPr>
              <w:t xml:space="preserve">Removal from the </w:t>
            </w:r>
            <w:r w:rsidR="004A196A" w:rsidRPr="00BB07E0">
              <w:rPr>
                <w:rFonts w:asciiTheme="minorHAnsi" w:hAnsiTheme="minorHAnsi"/>
              </w:rPr>
              <w:t xml:space="preserve">Prescriber Bag recommended. </w:t>
            </w:r>
            <w:r w:rsidRPr="00BB07E0">
              <w:rPr>
                <w:rFonts w:asciiTheme="minorHAnsi" w:hAnsiTheme="minorHAnsi"/>
              </w:rPr>
              <w:t xml:space="preserve"> The General Schedule listing would be retained.</w:t>
            </w:r>
          </w:p>
          <w:p w14:paraId="1594A90E"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disparate stakeholder views on retention or removal of Prescriber Bag COVID-19 oral antivirals.</w:t>
            </w:r>
          </w:p>
          <w:p w14:paraId="03263C6E" w14:textId="4216D5A0" w:rsidR="004A196A" w:rsidRPr="00BB07E0" w:rsidRDefault="004A196A" w:rsidP="00DD4EAF">
            <w:pPr>
              <w:spacing w:before="120" w:after="120"/>
              <w:jc w:val="both"/>
              <w:rPr>
                <w:rFonts w:asciiTheme="minorHAnsi" w:hAnsiTheme="minorHAnsi"/>
              </w:rPr>
            </w:pPr>
            <w:r w:rsidRPr="00BB07E0">
              <w:rPr>
                <w:rFonts w:asciiTheme="minorHAnsi" w:hAnsiTheme="minorHAnsi" w:cs="Calibri"/>
              </w:rPr>
              <w:t>The PBAC considered that algorithm criteria were not met. The PBAC acknowledged the public health initiatives at the time of listing COVID-19 antiviral medicines in the Prescriber Bag and that inclusion supported timely administration, particularly in the settings of residential aged care and home visits</w:t>
            </w:r>
            <w:r w:rsidR="003E1F16" w:rsidRPr="00BB07E0">
              <w:rPr>
                <w:rFonts w:asciiTheme="minorHAnsi" w:hAnsiTheme="minorHAnsi" w:cs="Calibri"/>
              </w:rPr>
              <w:t>.</w:t>
            </w:r>
            <w:r w:rsidRPr="00BB07E0">
              <w:rPr>
                <w:rFonts w:asciiTheme="minorHAnsi" w:hAnsiTheme="minorHAnsi" w:cs="Calibri"/>
              </w:rPr>
              <w:t xml:space="preserve"> However, </w:t>
            </w:r>
            <w:r w:rsidRPr="00BB07E0">
              <w:rPr>
                <w:rFonts w:asciiTheme="minorHAnsi" w:hAnsiTheme="minorHAnsi"/>
              </w:rPr>
              <w:t>the clinical landscape and the public health response had evolved. COVID-19 is no longer a Communicable Disease Incident of National Significance.</w:t>
            </w:r>
          </w:p>
          <w:p w14:paraId="348E37E5" w14:textId="77C5196A"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Unlike prescribing and supply of General Schedule medicines, the extent of actual medication use by patients versus Prescriber Bag supplies is not known and there is a high potential for wastage. The PBAC </w:t>
            </w:r>
            <w:r w:rsidR="003E1F16" w:rsidRPr="00BB07E0">
              <w:rPr>
                <w:rFonts w:asciiTheme="minorHAnsi" w:hAnsiTheme="minorHAnsi"/>
              </w:rPr>
              <w:t>noted</w:t>
            </w:r>
            <w:r w:rsidRPr="00BB07E0">
              <w:rPr>
                <w:rFonts w:asciiTheme="minorHAnsi" w:hAnsiTheme="minorHAnsi"/>
              </w:rPr>
              <w:t xml:space="preserve"> DUSC advice that </w:t>
            </w:r>
            <w:r w:rsidR="003E1F16" w:rsidRPr="00BB07E0">
              <w:rPr>
                <w:rFonts w:asciiTheme="minorHAnsi" w:hAnsiTheme="minorHAnsi"/>
              </w:rPr>
              <w:t xml:space="preserve">this targeted </w:t>
            </w:r>
            <w:r w:rsidRPr="00BB07E0">
              <w:rPr>
                <w:rFonts w:asciiTheme="minorHAnsi" w:hAnsiTheme="minorHAnsi"/>
              </w:rPr>
              <w:t>pandemic response may warrant reassessment given the high cost of these medicines, the need for best practice supply and for robust compliance measures to protect public health funding.</w:t>
            </w:r>
          </w:p>
        </w:tc>
      </w:tr>
      <w:tr w:rsidR="004A196A" w:rsidRPr="00BB07E0" w14:paraId="48CAC51B" w14:textId="77777777" w:rsidTr="00BB778D">
        <w:tc>
          <w:tcPr>
            <w:tcW w:w="1945" w:type="pct"/>
          </w:tcPr>
          <w:p w14:paraId="42A0E313" w14:textId="77777777" w:rsidR="004A196A" w:rsidRPr="00BB07E0" w:rsidRDefault="004A196A" w:rsidP="00DD4EAF">
            <w:pPr>
              <w:spacing w:before="120" w:after="120"/>
              <w:rPr>
                <w:rFonts w:asciiTheme="minorHAnsi" w:hAnsiTheme="minorHAnsi"/>
              </w:rPr>
            </w:pPr>
            <w:r w:rsidRPr="00BB07E0">
              <w:rPr>
                <w:rFonts w:asciiTheme="minorHAnsi" w:hAnsiTheme="minorHAnsi"/>
              </w:rPr>
              <w:lastRenderedPageBreak/>
              <w:t>furosemide 20 mg tablets, 50</w:t>
            </w:r>
          </w:p>
          <w:p w14:paraId="31343428" w14:textId="77777777" w:rsidR="004A196A" w:rsidRPr="00BB07E0" w:rsidRDefault="004A196A" w:rsidP="00DD4EAF">
            <w:pPr>
              <w:spacing w:before="120" w:after="120"/>
              <w:jc w:val="both"/>
              <w:rPr>
                <w:rFonts w:asciiTheme="minorHAnsi" w:hAnsiTheme="minorHAnsi"/>
              </w:rPr>
            </w:pPr>
          </w:p>
        </w:tc>
        <w:tc>
          <w:tcPr>
            <w:tcW w:w="3055" w:type="pct"/>
          </w:tcPr>
          <w:p w14:paraId="3AC1BDB8"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Deferred. </w:t>
            </w:r>
          </w:p>
          <w:p w14:paraId="359817DB"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The PBAC noted support from stakeholders to retain oral furosemide in the Prescriber Bag.</w:t>
            </w:r>
          </w:p>
          <w:p w14:paraId="26D8087F" w14:textId="345941CF"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The PBAC requested the Department investigate with sponsors the availability of a smaller pack size (currently 50 tablets) which may decrease </w:t>
            </w:r>
            <w:r w:rsidR="003E1F16" w:rsidRPr="00BB07E0">
              <w:rPr>
                <w:rFonts w:asciiTheme="minorHAnsi" w:hAnsiTheme="minorHAnsi"/>
              </w:rPr>
              <w:t xml:space="preserve">potential </w:t>
            </w:r>
            <w:r w:rsidRPr="00BB07E0">
              <w:rPr>
                <w:rFonts w:asciiTheme="minorHAnsi" w:hAnsiTheme="minorHAnsi"/>
              </w:rPr>
              <w:t>wastage and address quality use of medicines concerns.</w:t>
            </w:r>
          </w:p>
        </w:tc>
      </w:tr>
      <w:tr w:rsidR="004A196A" w:rsidRPr="00BB07E0" w14:paraId="47CFD145" w14:textId="77777777" w:rsidTr="00320F13">
        <w:trPr>
          <w:trHeight w:val="308"/>
        </w:trPr>
        <w:tc>
          <w:tcPr>
            <w:tcW w:w="5000" w:type="pct"/>
            <w:gridSpan w:val="2"/>
            <w:shd w:val="clear" w:color="auto" w:fill="DAE9F7" w:themeFill="text2" w:themeFillTint="1A"/>
          </w:tcPr>
          <w:p w14:paraId="25F875E6" w14:textId="19126274" w:rsidR="004A196A" w:rsidRPr="00BB07E0" w:rsidRDefault="00930748" w:rsidP="00DD4EAF">
            <w:pPr>
              <w:spacing w:before="120" w:after="120"/>
              <w:rPr>
                <w:rFonts w:asciiTheme="minorHAnsi" w:hAnsiTheme="minorHAnsi"/>
                <w:b/>
                <w:bCs/>
              </w:rPr>
            </w:pPr>
            <w:r w:rsidRPr="00BB07E0">
              <w:rPr>
                <w:rFonts w:asciiTheme="minorHAnsi" w:hAnsiTheme="minorHAnsi"/>
                <w:b/>
                <w:bCs/>
              </w:rPr>
              <w:t xml:space="preserve">Prescriber bag listings for endorsed midwives </w:t>
            </w:r>
          </w:p>
        </w:tc>
      </w:tr>
      <w:tr w:rsidR="004A196A" w:rsidRPr="00BB07E0" w14:paraId="7259179E" w14:textId="77777777" w:rsidTr="00BB778D">
        <w:tc>
          <w:tcPr>
            <w:tcW w:w="1945" w:type="pct"/>
          </w:tcPr>
          <w:p w14:paraId="0A9C204F"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benzathine benzylpenicillin </w:t>
            </w:r>
            <w:r w:rsidRPr="00BB07E0">
              <w:rPr>
                <w:rFonts w:asciiTheme="minorHAnsi" w:hAnsiTheme="minorHAnsi" w:cs="Arial"/>
              </w:rPr>
              <w:t>1.2 million units injection</w:t>
            </w:r>
          </w:p>
        </w:tc>
        <w:tc>
          <w:tcPr>
            <w:tcW w:w="3055" w:type="pct"/>
          </w:tcPr>
          <w:p w14:paraId="22901AD1" w14:textId="5E8A9F62" w:rsidR="004A196A" w:rsidRPr="00BB07E0" w:rsidRDefault="00320F13" w:rsidP="00DD4EAF">
            <w:pPr>
              <w:spacing w:before="120" w:after="120"/>
              <w:jc w:val="both"/>
              <w:rPr>
                <w:rFonts w:asciiTheme="minorHAnsi" w:hAnsiTheme="minorHAnsi"/>
              </w:rPr>
            </w:pPr>
            <w:r w:rsidRPr="00BB07E0">
              <w:rPr>
                <w:rFonts w:asciiTheme="minorHAnsi" w:hAnsiTheme="minorHAnsi"/>
              </w:rPr>
              <w:t xml:space="preserve">The </w:t>
            </w:r>
            <w:r w:rsidR="003E1F16" w:rsidRPr="00BB07E0">
              <w:rPr>
                <w:rFonts w:asciiTheme="minorHAnsi" w:hAnsiTheme="minorHAnsi"/>
              </w:rPr>
              <w:t>PBAC recommended that endorsed midwives be added as authorised prescribers for</w:t>
            </w:r>
            <w:r w:rsidR="004A196A" w:rsidRPr="00BB07E0">
              <w:rPr>
                <w:rFonts w:asciiTheme="minorHAnsi" w:hAnsiTheme="minorHAnsi"/>
              </w:rPr>
              <w:t xml:space="preserve"> </w:t>
            </w:r>
            <w:r w:rsidR="003E1F16" w:rsidRPr="00BB07E0">
              <w:rPr>
                <w:rFonts w:asciiTheme="minorHAnsi" w:hAnsiTheme="minorHAnsi"/>
              </w:rPr>
              <w:t xml:space="preserve">both </w:t>
            </w:r>
            <w:r w:rsidR="004A196A" w:rsidRPr="00BB07E0">
              <w:rPr>
                <w:rFonts w:asciiTheme="minorHAnsi" w:hAnsiTheme="minorHAnsi"/>
              </w:rPr>
              <w:t>Prescriber Bag (</w:t>
            </w:r>
            <w:r w:rsidR="00BB07E0" w:rsidRPr="00BB07E0">
              <w:rPr>
                <w:rFonts w:asciiTheme="minorHAnsi" w:hAnsiTheme="minorHAnsi"/>
              </w:rPr>
              <w:t>b</w:t>
            </w:r>
            <w:r w:rsidR="004A196A" w:rsidRPr="00BB07E0">
              <w:rPr>
                <w:rFonts w:asciiTheme="minorHAnsi" w:hAnsiTheme="minorHAnsi"/>
              </w:rPr>
              <w:t xml:space="preserve">enzathine benzylpenicillin </w:t>
            </w:r>
            <w:r w:rsidR="004A196A" w:rsidRPr="00BB07E0">
              <w:rPr>
                <w:rFonts w:asciiTheme="minorHAnsi" w:hAnsiTheme="minorHAnsi" w:cs="Arial"/>
              </w:rPr>
              <w:t>1.2 million units</w:t>
            </w:r>
            <w:r w:rsidR="004A196A" w:rsidRPr="00BB07E0">
              <w:rPr>
                <w:rFonts w:asciiTheme="minorHAnsi" w:hAnsiTheme="minorHAnsi"/>
              </w:rPr>
              <w:t xml:space="preserve">) and General Schedule (benzathine benzylpenicillin </w:t>
            </w:r>
            <w:r w:rsidR="004A196A" w:rsidRPr="00BB07E0">
              <w:rPr>
                <w:rFonts w:asciiTheme="minorHAnsi" w:hAnsiTheme="minorHAnsi" w:cs="Arial"/>
              </w:rPr>
              <w:t>1.2 million units and 600 000 units)</w:t>
            </w:r>
            <w:r w:rsidR="004A196A" w:rsidRPr="00BB07E0">
              <w:rPr>
                <w:rFonts w:asciiTheme="minorHAnsi" w:hAnsiTheme="minorHAnsi"/>
              </w:rPr>
              <w:t xml:space="preserve"> listing</w:t>
            </w:r>
            <w:r w:rsidR="003E1F16" w:rsidRPr="00BB07E0">
              <w:rPr>
                <w:rFonts w:asciiTheme="minorHAnsi" w:hAnsiTheme="minorHAnsi"/>
              </w:rPr>
              <w:t>s</w:t>
            </w:r>
            <w:r w:rsidR="004A196A" w:rsidRPr="00BB07E0">
              <w:rPr>
                <w:rFonts w:asciiTheme="minorHAnsi" w:hAnsiTheme="minorHAnsi"/>
              </w:rPr>
              <w:t xml:space="preserve">. </w:t>
            </w:r>
          </w:p>
          <w:p w14:paraId="0D618C89" w14:textId="437AFB8E" w:rsidR="004A196A" w:rsidRPr="00BB07E0" w:rsidRDefault="004A196A" w:rsidP="00DD4EAF">
            <w:pPr>
              <w:spacing w:before="120" w:after="120"/>
              <w:jc w:val="both"/>
              <w:rPr>
                <w:rFonts w:asciiTheme="minorHAnsi" w:hAnsiTheme="minorHAnsi"/>
              </w:rPr>
            </w:pPr>
            <w:r w:rsidRPr="00BB07E0">
              <w:rPr>
                <w:rFonts w:asciiTheme="minorHAnsi" w:hAnsiTheme="minorHAnsi"/>
              </w:rPr>
              <w:t>This will facilitate earlier intervention, improve maternal and neonatal outcomes by reducing congenital syphilis cases</w:t>
            </w:r>
            <w:r w:rsidR="003E1F16" w:rsidRPr="00BB07E0">
              <w:rPr>
                <w:rFonts w:asciiTheme="minorHAnsi" w:hAnsiTheme="minorHAnsi"/>
              </w:rPr>
              <w:t>,</w:t>
            </w:r>
            <w:r w:rsidRPr="00BB07E0">
              <w:rPr>
                <w:rFonts w:asciiTheme="minorHAnsi" w:hAnsiTheme="minorHAnsi"/>
              </w:rPr>
              <w:t xml:space="preserve"> and support the </w:t>
            </w:r>
            <w:hyperlink r:id="rId8" w:history="1">
              <w:r w:rsidRPr="00BB07E0">
                <w:rPr>
                  <w:rStyle w:val="Hyperlink"/>
                  <w:rFonts w:asciiTheme="minorHAnsi" w:hAnsiTheme="minorHAnsi"/>
                </w:rPr>
                <w:t>National syphilis response</w:t>
              </w:r>
            </w:hyperlink>
            <w:r w:rsidRPr="00BB07E0">
              <w:rPr>
                <w:rFonts w:asciiTheme="minorHAnsi" w:hAnsiTheme="minorHAnsi"/>
              </w:rPr>
              <w:t>.</w:t>
            </w:r>
          </w:p>
        </w:tc>
      </w:tr>
      <w:tr w:rsidR="004A196A" w:rsidRPr="00BB07E0" w14:paraId="523540DE" w14:textId="77777777" w:rsidTr="00BB778D">
        <w:trPr>
          <w:trHeight w:val="1020"/>
        </w:trPr>
        <w:tc>
          <w:tcPr>
            <w:tcW w:w="1945" w:type="pct"/>
          </w:tcPr>
          <w:p w14:paraId="5EEBFCE9" w14:textId="77777777" w:rsidR="004A196A" w:rsidRPr="00BB07E0" w:rsidRDefault="004A196A" w:rsidP="00DD4EAF">
            <w:pPr>
              <w:spacing w:before="120" w:after="120"/>
              <w:jc w:val="both"/>
              <w:rPr>
                <w:rFonts w:asciiTheme="minorHAnsi" w:hAnsiTheme="minorHAnsi"/>
              </w:rPr>
            </w:pPr>
            <w:r w:rsidRPr="00BB07E0">
              <w:rPr>
                <w:rFonts w:asciiTheme="minorHAnsi" w:hAnsiTheme="minorHAnsi"/>
              </w:rPr>
              <w:t xml:space="preserve">adrenaline </w:t>
            </w:r>
            <w:r w:rsidRPr="00BB07E0">
              <w:rPr>
                <w:rFonts w:asciiTheme="minorHAnsi" w:hAnsiTheme="minorHAnsi" w:cs="Arial"/>
              </w:rPr>
              <w:t>1 in 1000 (1 mg/mL)</w:t>
            </w:r>
            <w:r w:rsidRPr="00BB07E0">
              <w:rPr>
                <w:rFonts w:asciiTheme="minorHAnsi" w:hAnsiTheme="minorHAnsi"/>
              </w:rPr>
              <w:t xml:space="preserve"> ampoules</w:t>
            </w:r>
          </w:p>
        </w:tc>
        <w:tc>
          <w:tcPr>
            <w:tcW w:w="3055" w:type="pct"/>
          </w:tcPr>
          <w:p w14:paraId="1E5261DF" w14:textId="251F64DB" w:rsidR="004A196A" w:rsidRPr="00BB07E0" w:rsidRDefault="00320F13" w:rsidP="00DD4EAF">
            <w:pPr>
              <w:spacing w:before="120" w:after="120"/>
              <w:jc w:val="both"/>
              <w:rPr>
                <w:rFonts w:asciiTheme="minorHAnsi" w:hAnsiTheme="minorHAnsi"/>
              </w:rPr>
            </w:pPr>
            <w:r w:rsidRPr="00BB07E0">
              <w:rPr>
                <w:rFonts w:asciiTheme="minorHAnsi" w:hAnsiTheme="minorHAnsi"/>
              </w:rPr>
              <w:t xml:space="preserve">The </w:t>
            </w:r>
            <w:r w:rsidR="003E1F16" w:rsidRPr="00BB07E0">
              <w:rPr>
                <w:rFonts w:asciiTheme="minorHAnsi" w:hAnsiTheme="minorHAnsi"/>
              </w:rPr>
              <w:t>PBAC r</w:t>
            </w:r>
            <w:r w:rsidR="004A196A" w:rsidRPr="00BB07E0">
              <w:rPr>
                <w:rFonts w:asciiTheme="minorHAnsi" w:hAnsiTheme="minorHAnsi"/>
              </w:rPr>
              <w:t xml:space="preserve">ecommended </w:t>
            </w:r>
            <w:r w:rsidR="003E1F16" w:rsidRPr="00BB07E0">
              <w:rPr>
                <w:rFonts w:asciiTheme="minorHAnsi" w:hAnsiTheme="minorHAnsi"/>
              </w:rPr>
              <w:t>that endorsed m</w:t>
            </w:r>
            <w:r w:rsidRPr="00BB07E0">
              <w:rPr>
                <w:rFonts w:asciiTheme="minorHAnsi" w:hAnsiTheme="minorHAnsi"/>
              </w:rPr>
              <w:t>i</w:t>
            </w:r>
            <w:r w:rsidR="003E1F16" w:rsidRPr="00BB07E0">
              <w:rPr>
                <w:rFonts w:asciiTheme="minorHAnsi" w:hAnsiTheme="minorHAnsi"/>
              </w:rPr>
              <w:t xml:space="preserve">dwives be added as authorised prescribers for this </w:t>
            </w:r>
            <w:r w:rsidR="004A196A" w:rsidRPr="00BB07E0">
              <w:rPr>
                <w:rFonts w:asciiTheme="minorHAnsi" w:hAnsiTheme="minorHAnsi"/>
              </w:rPr>
              <w:t xml:space="preserve">Prescriber Bag listing. </w:t>
            </w:r>
          </w:p>
          <w:p w14:paraId="598158B7" w14:textId="77777777" w:rsidR="004A196A" w:rsidRPr="00BB07E0" w:rsidRDefault="004A196A" w:rsidP="00DD4EAF">
            <w:pPr>
              <w:rPr>
                <w:rFonts w:asciiTheme="minorHAnsi" w:hAnsiTheme="minorHAnsi"/>
              </w:rPr>
            </w:pPr>
            <w:r w:rsidRPr="00BB07E0">
              <w:rPr>
                <w:rFonts w:asciiTheme="minorHAnsi" w:hAnsiTheme="minorHAnsi"/>
              </w:rPr>
              <w:t>This supports endorsed midwives practice as immunisation providers and as first responders in emergency care.</w:t>
            </w:r>
          </w:p>
        </w:tc>
      </w:tr>
    </w:tbl>
    <w:p w14:paraId="508A69B8" w14:textId="77777777" w:rsidR="004A196A" w:rsidRPr="00F746C0" w:rsidRDefault="004A196A" w:rsidP="00A637E4"/>
    <w:sectPr w:rsidR="004A196A" w:rsidRPr="00F746C0" w:rsidSect="00556011">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D141" w14:textId="77777777" w:rsidR="0082487E" w:rsidRDefault="0082487E" w:rsidP="00C21096">
      <w:pPr>
        <w:spacing w:after="0" w:line="240" w:lineRule="auto"/>
      </w:pPr>
      <w:r>
        <w:separator/>
      </w:r>
    </w:p>
  </w:endnote>
  <w:endnote w:type="continuationSeparator" w:id="0">
    <w:p w14:paraId="5A494F4C" w14:textId="77777777" w:rsidR="0082487E" w:rsidRDefault="0082487E" w:rsidP="00C2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D586" w14:textId="32F197D9" w:rsidR="00C21096" w:rsidRDefault="00C85E5F">
    <w:pPr>
      <w:pStyle w:val="Footer"/>
    </w:pPr>
    <w:r>
      <w:rPr>
        <w:noProof/>
      </w:rPr>
      <mc:AlternateContent>
        <mc:Choice Requires="wps">
          <w:drawing>
            <wp:anchor distT="0" distB="0" distL="0" distR="0" simplePos="0" relativeHeight="251667456" behindDoc="0" locked="0" layoutInCell="1" allowOverlap="1" wp14:anchorId="795B27E9" wp14:editId="39DEFDE9">
              <wp:simplePos x="635" y="635"/>
              <wp:positionH relativeFrom="page">
                <wp:align>center</wp:align>
              </wp:positionH>
              <wp:positionV relativeFrom="page">
                <wp:align>bottom</wp:align>
              </wp:positionV>
              <wp:extent cx="550545" cy="401955"/>
              <wp:effectExtent l="0" t="0" r="1905" b="0"/>
              <wp:wrapNone/>
              <wp:docPr id="12935601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0545" cy="401955"/>
                      </a:xfrm>
                      <a:prstGeom prst="rect">
                        <a:avLst/>
                      </a:prstGeom>
                      <a:noFill/>
                      <a:ln>
                        <a:noFill/>
                      </a:ln>
                    </wps:spPr>
                    <wps:txbx>
                      <w:txbxContent>
                        <w:p w14:paraId="442CC8E9" w14:textId="05245BC7"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B27E9" id="_x0000_t202" coordsize="21600,21600" o:spt="202" path="m,l,21600r21600,l21600,xe">
              <v:stroke joinstyle="miter"/>
              <v:path gradientshapeok="t" o:connecttype="rect"/>
            </v:shapetype>
            <v:shape id="Text Box 5" o:spid="_x0000_s1028" type="#_x0000_t202" alt="OFFICIAL" style="position:absolute;margin-left:0;margin-top:0;width:43.35pt;height:31.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" filled="f" stroked="f">
              <v:fill o:detectmouseclick="t"/>
              <v:textbox style="mso-fit-shape-to-text:t" inset="0,0,0,15pt">
                <w:txbxContent>
                  <w:p w14:paraId="442CC8E9" w14:textId="05245BC7"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CBE" w14:textId="67AB717E" w:rsidR="004460C7" w:rsidRDefault="00C85E5F">
    <w:pPr>
      <w:pStyle w:val="Footer"/>
      <w:jc w:val="center"/>
    </w:pPr>
    <w:r>
      <w:rPr>
        <w:noProof/>
      </w:rPr>
      <mc:AlternateContent>
        <mc:Choice Requires="wps">
          <w:drawing>
            <wp:anchor distT="0" distB="0" distL="0" distR="0" simplePos="0" relativeHeight="251668480" behindDoc="0" locked="0" layoutInCell="1" allowOverlap="1" wp14:anchorId="372DCF35" wp14:editId="1766B711">
              <wp:simplePos x="635" y="635"/>
              <wp:positionH relativeFrom="page">
                <wp:align>center</wp:align>
              </wp:positionH>
              <wp:positionV relativeFrom="page">
                <wp:align>bottom</wp:align>
              </wp:positionV>
              <wp:extent cx="550545" cy="401955"/>
              <wp:effectExtent l="0" t="0" r="1905" b="0"/>
              <wp:wrapNone/>
              <wp:docPr id="4043883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0545" cy="401955"/>
                      </a:xfrm>
                      <a:prstGeom prst="rect">
                        <a:avLst/>
                      </a:prstGeom>
                      <a:noFill/>
                      <a:ln>
                        <a:noFill/>
                      </a:ln>
                    </wps:spPr>
                    <wps:txbx>
                      <w:txbxContent>
                        <w:p w14:paraId="066F6097" w14:textId="79D92A36"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DCF35" id="_x0000_t202" coordsize="21600,21600" o:spt="202" path="m,l,21600r21600,l21600,xe">
              <v:stroke joinstyle="miter"/>
              <v:path gradientshapeok="t" o:connecttype="rect"/>
            </v:shapetype>
            <v:shape id="Text Box 6" o:spid="_x0000_s1029" type="#_x0000_t202" alt="OFFICIAL" style="position:absolute;left:0;text-align:left;margin-left:0;margin-top:0;width:43.35pt;height:31.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" filled="f" stroked="f">
              <v:fill o:detectmouseclick="t"/>
              <v:textbox style="mso-fit-shape-to-text:t" inset="0,0,0,15pt">
                <w:txbxContent>
                  <w:p w14:paraId="066F6097" w14:textId="79D92A36"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v:textbox>
              <w10:wrap anchorx="page" anchory="page"/>
            </v:shape>
          </w:pict>
        </mc:Fallback>
      </mc:AlternateContent>
    </w:r>
    <w:sdt>
      <w:sdtPr>
        <w:id w:val="-299311833"/>
        <w:docPartObj>
          <w:docPartGallery w:val="Page Numbers (Bottom of Page)"/>
          <w:docPartUnique/>
        </w:docPartObj>
      </w:sdtPr>
      <w:sdtEndPr/>
      <w:sdtContent>
        <w:r w:rsidR="004460C7">
          <w:fldChar w:fldCharType="begin"/>
        </w:r>
        <w:r w:rsidR="004460C7">
          <w:instrText>PAGE   \* MERGEFORMAT</w:instrText>
        </w:r>
        <w:r w:rsidR="004460C7">
          <w:fldChar w:fldCharType="separate"/>
        </w:r>
        <w:r w:rsidR="004460C7">
          <w:rPr>
            <w:lang w:val="en-GB"/>
          </w:rPr>
          <w:t>2</w:t>
        </w:r>
        <w:r w:rsidR="004460C7">
          <w:fldChar w:fldCharType="end"/>
        </w:r>
      </w:sdtContent>
    </w:sdt>
  </w:p>
  <w:p w14:paraId="624D3A07" w14:textId="5A1F06C6" w:rsidR="00C21096" w:rsidRDefault="00C21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AB2F" w14:textId="537C95C4" w:rsidR="00C21096" w:rsidRDefault="00C85E5F">
    <w:pPr>
      <w:pStyle w:val="Footer"/>
    </w:pPr>
    <w:r>
      <w:rPr>
        <w:noProof/>
      </w:rPr>
      <mc:AlternateContent>
        <mc:Choice Requires="wps">
          <w:drawing>
            <wp:anchor distT="0" distB="0" distL="0" distR="0" simplePos="0" relativeHeight="251666432" behindDoc="0" locked="0" layoutInCell="1" allowOverlap="1" wp14:anchorId="6D8A54A5" wp14:editId="253E6BD2">
              <wp:simplePos x="635" y="635"/>
              <wp:positionH relativeFrom="page">
                <wp:align>center</wp:align>
              </wp:positionH>
              <wp:positionV relativeFrom="page">
                <wp:align>bottom</wp:align>
              </wp:positionV>
              <wp:extent cx="550545" cy="401955"/>
              <wp:effectExtent l="0" t="0" r="1905" b="0"/>
              <wp:wrapNone/>
              <wp:docPr id="16871334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0545" cy="401955"/>
                      </a:xfrm>
                      <a:prstGeom prst="rect">
                        <a:avLst/>
                      </a:prstGeom>
                      <a:noFill/>
                      <a:ln>
                        <a:noFill/>
                      </a:ln>
                    </wps:spPr>
                    <wps:txbx>
                      <w:txbxContent>
                        <w:p w14:paraId="5D569688" w14:textId="5DD9C708"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A54A5" id="_x0000_t202" coordsize="21600,21600" o:spt="202" path="m,l,21600r21600,l21600,xe">
              <v:stroke joinstyle="miter"/>
              <v:path gradientshapeok="t" o:connecttype="rect"/>
            </v:shapetype>
            <v:shape id="Text Box 4" o:spid="_x0000_s1031" type="#_x0000_t202" alt="OFFICIAL" style="position:absolute;margin-left:0;margin-top:0;width:43.35pt;height:31.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" filled="f" stroked="f">
              <v:fill o:detectmouseclick="t"/>
              <v:textbox style="mso-fit-shape-to-text:t" inset="0,0,0,15pt">
                <w:txbxContent>
                  <w:p w14:paraId="5D569688" w14:textId="5DD9C708"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F2D0" w14:textId="77777777" w:rsidR="0082487E" w:rsidRDefault="0082487E" w:rsidP="00C21096">
      <w:pPr>
        <w:spacing w:after="0" w:line="240" w:lineRule="auto"/>
      </w:pPr>
      <w:bookmarkStart w:id="0" w:name="_Hlk211542856"/>
      <w:bookmarkEnd w:id="0"/>
      <w:r>
        <w:separator/>
      </w:r>
    </w:p>
  </w:footnote>
  <w:footnote w:type="continuationSeparator" w:id="0">
    <w:p w14:paraId="6049DF44" w14:textId="77777777" w:rsidR="0082487E" w:rsidRDefault="0082487E" w:rsidP="00C2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E116" w14:textId="6A7FDE1A" w:rsidR="00C21096" w:rsidRDefault="00C85E5F">
    <w:pPr>
      <w:pStyle w:val="Header"/>
    </w:pPr>
    <w:r>
      <w:rPr>
        <w:noProof/>
      </w:rPr>
      <mc:AlternateContent>
        <mc:Choice Requires="wps">
          <w:drawing>
            <wp:anchor distT="0" distB="0" distL="0" distR="0" simplePos="0" relativeHeight="251664384" behindDoc="0" locked="0" layoutInCell="1" allowOverlap="1" wp14:anchorId="46786F06" wp14:editId="5A8BF71F">
              <wp:simplePos x="635" y="635"/>
              <wp:positionH relativeFrom="page">
                <wp:align>center</wp:align>
              </wp:positionH>
              <wp:positionV relativeFrom="page">
                <wp:align>top</wp:align>
              </wp:positionV>
              <wp:extent cx="550545" cy="401955"/>
              <wp:effectExtent l="0" t="0" r="1905" b="17145"/>
              <wp:wrapNone/>
              <wp:docPr id="5412950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0545" cy="401955"/>
                      </a:xfrm>
                      <a:prstGeom prst="rect">
                        <a:avLst/>
                      </a:prstGeom>
                      <a:noFill/>
                      <a:ln>
                        <a:noFill/>
                      </a:ln>
                    </wps:spPr>
                    <wps:txbx>
                      <w:txbxContent>
                        <w:p w14:paraId="0B5BBDFB" w14:textId="5993F862"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86F06" id="_x0000_t202" coordsize="21600,21600" o:spt="202" path="m,l,21600r21600,l21600,xe">
              <v:stroke joinstyle="miter"/>
              <v:path gradientshapeok="t" o:connecttype="rect"/>
            </v:shapetype>
            <v:shape id="Text Box 2" o:spid="_x0000_s1026" type="#_x0000_t202" alt="OFFICIAL" style="position:absolute;margin-left:0;margin-top:0;width:43.35pt;height:31.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" filled="f" stroked="f">
              <v:fill o:detectmouseclick="t"/>
              <v:textbox style="mso-fit-shape-to-text:t" inset="0,15pt,0,0">
                <w:txbxContent>
                  <w:p w14:paraId="0B5BBDFB" w14:textId="5993F862"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6295" w14:textId="43571D25" w:rsidR="00D443AE" w:rsidRDefault="00C85E5F">
    <w:pPr>
      <w:pStyle w:val="Header"/>
    </w:pPr>
    <w:r>
      <w:rPr>
        <w:noProof/>
      </w:rPr>
      <mc:AlternateContent>
        <mc:Choice Requires="wps">
          <w:drawing>
            <wp:anchor distT="0" distB="0" distL="0" distR="0" simplePos="0" relativeHeight="251665408" behindDoc="0" locked="0" layoutInCell="1" allowOverlap="1" wp14:anchorId="0006001E" wp14:editId="103CC5B9">
              <wp:simplePos x="635" y="635"/>
              <wp:positionH relativeFrom="page">
                <wp:align>center</wp:align>
              </wp:positionH>
              <wp:positionV relativeFrom="page">
                <wp:align>top</wp:align>
              </wp:positionV>
              <wp:extent cx="550545" cy="401955"/>
              <wp:effectExtent l="0" t="0" r="1905" b="17145"/>
              <wp:wrapNone/>
              <wp:docPr id="1590663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0545" cy="401955"/>
                      </a:xfrm>
                      <a:prstGeom prst="rect">
                        <a:avLst/>
                      </a:prstGeom>
                      <a:noFill/>
                      <a:ln>
                        <a:noFill/>
                      </a:ln>
                    </wps:spPr>
                    <wps:txbx>
                      <w:txbxContent>
                        <w:p w14:paraId="70963D62" w14:textId="4EBDC0EB"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06001E" id="_x0000_t202" coordsize="21600,21600" o:spt="202" path="m,l,21600r21600,l21600,xe">
              <v:stroke joinstyle="miter"/>
              <v:path gradientshapeok="t" o:connecttype="rect"/>
            </v:shapetype>
            <v:shape id="Text Box 3" o:spid="_x0000_s1027" type="#_x0000_t202" alt="OFFICIAL" style="position:absolute;margin-left:0;margin-top:0;width:43.35pt;height:31.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" filled="f" stroked="f">
              <v:fill o:detectmouseclick="t"/>
              <v:textbox style="mso-fit-shape-to-text:t" inset="0,15pt,0,0">
                <w:txbxContent>
                  <w:p w14:paraId="70963D62" w14:textId="4EBDC0EB"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v:textbox>
              <w10:wrap anchorx="page" anchory="page"/>
            </v:shape>
          </w:pict>
        </mc:Fallback>
      </mc:AlternateContent>
    </w:r>
    <w:r w:rsidR="00D443AE">
      <w:rPr>
        <w:noProof/>
      </w:rPr>
      <w:drawing>
        <wp:inline distT="0" distB="0" distL="0" distR="0" wp14:anchorId="457D44CA" wp14:editId="42C094C1">
          <wp:extent cx="4298868" cy="854710"/>
          <wp:effectExtent l="0" t="0" r="6985" b="2540"/>
          <wp:docPr id="1868467352" name="Picture 1" descr="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67352" name="Picture 1" descr="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9788" cy="882728"/>
                  </a:xfrm>
                  <a:prstGeom prst="rect">
                    <a:avLst/>
                  </a:prstGeom>
                  <a:noFill/>
                </pic:spPr>
              </pic:pic>
            </a:graphicData>
          </a:graphic>
        </wp:inline>
      </w:drawing>
    </w:r>
  </w:p>
  <w:p w14:paraId="284E1435" w14:textId="72044477" w:rsidR="00C21096" w:rsidRDefault="00C21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6445" w14:textId="37B80520" w:rsidR="00C21096" w:rsidRDefault="00C85E5F">
    <w:pPr>
      <w:pStyle w:val="Header"/>
    </w:pPr>
    <w:r>
      <w:rPr>
        <w:noProof/>
      </w:rPr>
      <mc:AlternateContent>
        <mc:Choice Requires="wps">
          <w:drawing>
            <wp:anchor distT="0" distB="0" distL="0" distR="0" simplePos="0" relativeHeight="251663360" behindDoc="0" locked="0" layoutInCell="1" allowOverlap="1" wp14:anchorId="29A96F93" wp14:editId="3093590B">
              <wp:simplePos x="635" y="635"/>
              <wp:positionH relativeFrom="page">
                <wp:align>center</wp:align>
              </wp:positionH>
              <wp:positionV relativeFrom="page">
                <wp:align>top</wp:align>
              </wp:positionV>
              <wp:extent cx="550545" cy="401955"/>
              <wp:effectExtent l="0" t="0" r="1905" b="17145"/>
              <wp:wrapNone/>
              <wp:docPr id="4192667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0545" cy="401955"/>
                      </a:xfrm>
                      <a:prstGeom prst="rect">
                        <a:avLst/>
                      </a:prstGeom>
                      <a:noFill/>
                      <a:ln>
                        <a:noFill/>
                      </a:ln>
                    </wps:spPr>
                    <wps:txbx>
                      <w:txbxContent>
                        <w:p w14:paraId="3CD35D5E" w14:textId="13B1B146"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96F93" id="_x0000_t202" coordsize="21600,21600" o:spt="202" path="m,l,21600r21600,l21600,xe">
              <v:stroke joinstyle="miter"/>
              <v:path gradientshapeok="t" o:connecttype="rect"/>
            </v:shapetype>
            <v:shape id="Text Box 1" o:spid="_x0000_s1030" type="#_x0000_t202" alt="OFFICIAL" style="position:absolute;margin-left:0;margin-top:0;width:43.35pt;height:31.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" filled="f" stroked="f">
              <v:fill o:detectmouseclick="t"/>
              <v:textbox style="mso-fit-shape-to-text:t" inset="0,15pt,0,0">
                <w:txbxContent>
                  <w:p w14:paraId="3CD35D5E" w14:textId="13B1B146" w:rsidR="00C85E5F" w:rsidRPr="00C85E5F" w:rsidRDefault="00C85E5F" w:rsidP="00C85E5F">
                    <w:pPr>
                      <w:spacing w:after="0"/>
                      <w:rPr>
                        <w:rFonts w:ascii="Calibri" w:eastAsia="Calibri" w:hAnsi="Calibri" w:cs="Calibri"/>
                        <w:noProof/>
                        <w:color w:val="FF0000"/>
                        <w:sz w:val="24"/>
                      </w:rPr>
                    </w:pPr>
                    <w:r w:rsidRPr="00C85E5F">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72B05"/>
    <w:multiLevelType w:val="hybridMultilevel"/>
    <w:tmpl w:val="97AAFC52"/>
    <w:lvl w:ilvl="0" w:tplc="57AE27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FA7171"/>
    <w:multiLevelType w:val="hybridMultilevel"/>
    <w:tmpl w:val="8BC81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84D033C"/>
    <w:multiLevelType w:val="multilevel"/>
    <w:tmpl w:val="79AE8B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862"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2"/>
  </w:num>
  <w:num w:numId="2" w16cid:durableId="1582762185">
    <w:abstractNumId w:val="1"/>
  </w:num>
  <w:num w:numId="3" w16cid:durableId="230426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11"/>
    <w:rsid w:val="000167DE"/>
    <w:rsid w:val="00025F3E"/>
    <w:rsid w:val="00047537"/>
    <w:rsid w:val="000739E2"/>
    <w:rsid w:val="00077C81"/>
    <w:rsid w:val="00086D95"/>
    <w:rsid w:val="00096CFE"/>
    <w:rsid w:val="000A2560"/>
    <w:rsid w:val="000C0985"/>
    <w:rsid w:val="000E443C"/>
    <w:rsid w:val="000F2C21"/>
    <w:rsid w:val="00112655"/>
    <w:rsid w:val="00113573"/>
    <w:rsid w:val="00120CD9"/>
    <w:rsid w:val="00121E02"/>
    <w:rsid w:val="0013016F"/>
    <w:rsid w:val="001517F3"/>
    <w:rsid w:val="001549E1"/>
    <w:rsid w:val="00163549"/>
    <w:rsid w:val="00166E6A"/>
    <w:rsid w:val="00194B53"/>
    <w:rsid w:val="001967F5"/>
    <w:rsid w:val="001C0E6B"/>
    <w:rsid w:val="001C3A36"/>
    <w:rsid w:val="001C4676"/>
    <w:rsid w:val="001D2D95"/>
    <w:rsid w:val="001E2454"/>
    <w:rsid w:val="001E3D7D"/>
    <w:rsid w:val="001E3F2F"/>
    <w:rsid w:val="001E4946"/>
    <w:rsid w:val="001F1AE2"/>
    <w:rsid w:val="001F2B3B"/>
    <w:rsid w:val="001F376B"/>
    <w:rsid w:val="00201DB3"/>
    <w:rsid w:val="00204717"/>
    <w:rsid w:val="00210210"/>
    <w:rsid w:val="00217C9C"/>
    <w:rsid w:val="00233B8D"/>
    <w:rsid w:val="00233C17"/>
    <w:rsid w:val="0023421E"/>
    <w:rsid w:val="00235120"/>
    <w:rsid w:val="00235F70"/>
    <w:rsid w:val="0025214B"/>
    <w:rsid w:val="002556AB"/>
    <w:rsid w:val="00266471"/>
    <w:rsid w:val="00280050"/>
    <w:rsid w:val="00283D4B"/>
    <w:rsid w:val="00290B37"/>
    <w:rsid w:val="002931A5"/>
    <w:rsid w:val="002E470A"/>
    <w:rsid w:val="002F1246"/>
    <w:rsid w:val="002F71B9"/>
    <w:rsid w:val="003053AD"/>
    <w:rsid w:val="00312797"/>
    <w:rsid w:val="00320F13"/>
    <w:rsid w:val="003229C1"/>
    <w:rsid w:val="0034155B"/>
    <w:rsid w:val="00344272"/>
    <w:rsid w:val="00363B22"/>
    <w:rsid w:val="00375225"/>
    <w:rsid w:val="00380C45"/>
    <w:rsid w:val="00380E4A"/>
    <w:rsid w:val="00385A50"/>
    <w:rsid w:val="003B5A83"/>
    <w:rsid w:val="003D2E52"/>
    <w:rsid w:val="003E1F16"/>
    <w:rsid w:val="004022AB"/>
    <w:rsid w:val="00414F6D"/>
    <w:rsid w:val="004216AB"/>
    <w:rsid w:val="00426B9F"/>
    <w:rsid w:val="00443D07"/>
    <w:rsid w:val="00445AE6"/>
    <w:rsid w:val="004460C7"/>
    <w:rsid w:val="00471F49"/>
    <w:rsid w:val="0048484D"/>
    <w:rsid w:val="004A196A"/>
    <w:rsid w:val="004C18F8"/>
    <w:rsid w:val="004C63F8"/>
    <w:rsid w:val="004F1478"/>
    <w:rsid w:val="00533137"/>
    <w:rsid w:val="0054047F"/>
    <w:rsid w:val="00552F4E"/>
    <w:rsid w:val="00556011"/>
    <w:rsid w:val="0055719C"/>
    <w:rsid w:val="0056603A"/>
    <w:rsid w:val="00567C52"/>
    <w:rsid w:val="005A3A01"/>
    <w:rsid w:val="005B1FE0"/>
    <w:rsid w:val="005B2003"/>
    <w:rsid w:val="005C283F"/>
    <w:rsid w:val="005E2E57"/>
    <w:rsid w:val="005F5ACE"/>
    <w:rsid w:val="006021DC"/>
    <w:rsid w:val="0061030E"/>
    <w:rsid w:val="00621D70"/>
    <w:rsid w:val="006240E9"/>
    <w:rsid w:val="0063757D"/>
    <w:rsid w:val="006472B8"/>
    <w:rsid w:val="006503FD"/>
    <w:rsid w:val="006912A2"/>
    <w:rsid w:val="0069610A"/>
    <w:rsid w:val="0069685A"/>
    <w:rsid w:val="006A097D"/>
    <w:rsid w:val="006A508D"/>
    <w:rsid w:val="006A7465"/>
    <w:rsid w:val="006A759C"/>
    <w:rsid w:val="006C2838"/>
    <w:rsid w:val="006C3115"/>
    <w:rsid w:val="006C3D21"/>
    <w:rsid w:val="006D60AA"/>
    <w:rsid w:val="006D6220"/>
    <w:rsid w:val="006D6917"/>
    <w:rsid w:val="006E1758"/>
    <w:rsid w:val="0070327F"/>
    <w:rsid w:val="007110BF"/>
    <w:rsid w:val="007212F4"/>
    <w:rsid w:val="007239FD"/>
    <w:rsid w:val="00724A03"/>
    <w:rsid w:val="00731E26"/>
    <w:rsid w:val="007404ED"/>
    <w:rsid w:val="007526D1"/>
    <w:rsid w:val="00763643"/>
    <w:rsid w:val="007648DA"/>
    <w:rsid w:val="0078052A"/>
    <w:rsid w:val="007949F3"/>
    <w:rsid w:val="007A512C"/>
    <w:rsid w:val="007B3581"/>
    <w:rsid w:val="007B37C7"/>
    <w:rsid w:val="007D7627"/>
    <w:rsid w:val="007E5C94"/>
    <w:rsid w:val="007E62BF"/>
    <w:rsid w:val="00822AF3"/>
    <w:rsid w:val="0082487E"/>
    <w:rsid w:val="0084228E"/>
    <w:rsid w:val="00844115"/>
    <w:rsid w:val="00850404"/>
    <w:rsid w:val="008529C1"/>
    <w:rsid w:val="0086144A"/>
    <w:rsid w:val="008857BE"/>
    <w:rsid w:val="008935C7"/>
    <w:rsid w:val="008B11C6"/>
    <w:rsid w:val="008E60CF"/>
    <w:rsid w:val="00930748"/>
    <w:rsid w:val="009343E1"/>
    <w:rsid w:val="009522C2"/>
    <w:rsid w:val="00957625"/>
    <w:rsid w:val="00973C6F"/>
    <w:rsid w:val="009871C5"/>
    <w:rsid w:val="00987F15"/>
    <w:rsid w:val="009D6FD8"/>
    <w:rsid w:val="009F7C81"/>
    <w:rsid w:val="00A35138"/>
    <w:rsid w:val="00A3624C"/>
    <w:rsid w:val="00A3690A"/>
    <w:rsid w:val="00A55A40"/>
    <w:rsid w:val="00A637E4"/>
    <w:rsid w:val="00A7424E"/>
    <w:rsid w:val="00AA6866"/>
    <w:rsid w:val="00AB3458"/>
    <w:rsid w:val="00AC681D"/>
    <w:rsid w:val="00AF02DA"/>
    <w:rsid w:val="00B17273"/>
    <w:rsid w:val="00B34BE9"/>
    <w:rsid w:val="00B43A96"/>
    <w:rsid w:val="00B4747B"/>
    <w:rsid w:val="00BA0CC2"/>
    <w:rsid w:val="00BA1224"/>
    <w:rsid w:val="00BA37CA"/>
    <w:rsid w:val="00BA5019"/>
    <w:rsid w:val="00BB07E0"/>
    <w:rsid w:val="00BB778D"/>
    <w:rsid w:val="00C02060"/>
    <w:rsid w:val="00C066F5"/>
    <w:rsid w:val="00C21096"/>
    <w:rsid w:val="00C27CD6"/>
    <w:rsid w:val="00C56923"/>
    <w:rsid w:val="00C5753F"/>
    <w:rsid w:val="00C83F07"/>
    <w:rsid w:val="00C85E5F"/>
    <w:rsid w:val="00C96B09"/>
    <w:rsid w:val="00CB1D0B"/>
    <w:rsid w:val="00CD34A9"/>
    <w:rsid w:val="00CD4D38"/>
    <w:rsid w:val="00D04A52"/>
    <w:rsid w:val="00D238F8"/>
    <w:rsid w:val="00D34031"/>
    <w:rsid w:val="00D4357F"/>
    <w:rsid w:val="00D443AE"/>
    <w:rsid w:val="00D47D87"/>
    <w:rsid w:val="00D76603"/>
    <w:rsid w:val="00D94B8F"/>
    <w:rsid w:val="00DB0773"/>
    <w:rsid w:val="00DC30D4"/>
    <w:rsid w:val="00DE372D"/>
    <w:rsid w:val="00E00C4B"/>
    <w:rsid w:val="00E072B2"/>
    <w:rsid w:val="00E77079"/>
    <w:rsid w:val="00E771EE"/>
    <w:rsid w:val="00E977CE"/>
    <w:rsid w:val="00EA7E4A"/>
    <w:rsid w:val="00EC5427"/>
    <w:rsid w:val="00EE5415"/>
    <w:rsid w:val="00EF0FEC"/>
    <w:rsid w:val="00F12D67"/>
    <w:rsid w:val="00F12DCC"/>
    <w:rsid w:val="00F14D6C"/>
    <w:rsid w:val="00F20373"/>
    <w:rsid w:val="00F70722"/>
    <w:rsid w:val="00F746C0"/>
    <w:rsid w:val="00FC4F02"/>
    <w:rsid w:val="00FD0515"/>
    <w:rsid w:val="00FF1731"/>
    <w:rsid w:val="00FF2D25"/>
    <w:rsid w:val="00FF5F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95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0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0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60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60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60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60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60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0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0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60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60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60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60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60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6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0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0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6011"/>
    <w:pPr>
      <w:spacing w:before="160"/>
      <w:jc w:val="center"/>
    </w:pPr>
    <w:rPr>
      <w:i/>
      <w:iCs/>
      <w:color w:val="404040" w:themeColor="text1" w:themeTint="BF"/>
    </w:rPr>
  </w:style>
  <w:style w:type="character" w:customStyle="1" w:styleId="QuoteChar">
    <w:name w:val="Quote Char"/>
    <w:basedOn w:val="DefaultParagraphFont"/>
    <w:link w:val="Quote"/>
    <w:uiPriority w:val="29"/>
    <w:rsid w:val="00556011"/>
    <w:rPr>
      <w:i/>
      <w:iCs/>
      <w:color w:val="404040" w:themeColor="text1" w:themeTint="BF"/>
    </w:rPr>
  </w:style>
  <w:style w:type="paragraph" w:styleId="ListParagraph">
    <w:name w:val="List Paragraph"/>
    <w:aliases w:val="Body Text Bullet Points,BulletPoints,Numbered para,List Paragraph1,Bullet point,List Paragraph11,Recommendation,Section heading,Footnote,Bullet1,Bullet 1,Bullet List,Section 5,List Paragraph CCT minutes,Table Legend,ES Paragraph,Figure_na"/>
    <w:basedOn w:val="Normal"/>
    <w:link w:val="ListParagraphChar"/>
    <w:uiPriority w:val="34"/>
    <w:qFormat/>
    <w:rsid w:val="00556011"/>
    <w:pPr>
      <w:ind w:left="720"/>
      <w:contextualSpacing/>
    </w:pPr>
  </w:style>
  <w:style w:type="character" w:styleId="IntenseEmphasis">
    <w:name w:val="Intense Emphasis"/>
    <w:basedOn w:val="DefaultParagraphFont"/>
    <w:uiPriority w:val="21"/>
    <w:qFormat/>
    <w:rsid w:val="00556011"/>
    <w:rPr>
      <w:i/>
      <w:iCs/>
      <w:color w:val="0F4761" w:themeColor="accent1" w:themeShade="BF"/>
    </w:rPr>
  </w:style>
  <w:style w:type="paragraph" w:styleId="IntenseQuote">
    <w:name w:val="Intense Quote"/>
    <w:basedOn w:val="Normal"/>
    <w:next w:val="Normal"/>
    <w:link w:val="IntenseQuoteChar"/>
    <w:uiPriority w:val="30"/>
    <w:qFormat/>
    <w:rsid w:val="00556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011"/>
    <w:rPr>
      <w:i/>
      <w:iCs/>
      <w:color w:val="0F4761" w:themeColor="accent1" w:themeShade="BF"/>
    </w:rPr>
  </w:style>
  <w:style w:type="character" w:styleId="IntenseReference">
    <w:name w:val="Intense Reference"/>
    <w:basedOn w:val="DefaultParagraphFont"/>
    <w:uiPriority w:val="32"/>
    <w:qFormat/>
    <w:rsid w:val="00556011"/>
    <w:rPr>
      <w:b/>
      <w:bCs/>
      <w:smallCaps/>
      <w:color w:val="0F4761" w:themeColor="accent1" w:themeShade="BF"/>
      <w:spacing w:val="5"/>
    </w:rPr>
  </w:style>
  <w:style w:type="table" w:styleId="TableGrid">
    <w:name w:val="Table Grid"/>
    <w:basedOn w:val="TableNormal"/>
    <w:uiPriority w:val="39"/>
    <w:rsid w:val="00556011"/>
    <w:pPr>
      <w:spacing w:after="0" w:line="240" w:lineRule="auto"/>
    </w:pPr>
    <w:rPr>
      <w:rFonts w:ascii="Times New Roman" w:eastAsia="Times New Roman" w:hAnsi="Times New Roman"/>
      <w:kern w:val="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096"/>
  </w:style>
  <w:style w:type="paragraph" w:styleId="Footer">
    <w:name w:val="footer"/>
    <w:basedOn w:val="Normal"/>
    <w:link w:val="FooterChar"/>
    <w:uiPriority w:val="99"/>
    <w:unhideWhenUsed/>
    <w:rsid w:val="00C2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096"/>
  </w:style>
  <w:style w:type="paragraph" w:customStyle="1" w:styleId="2-SectionHeading">
    <w:name w:val="2-Section Heading"/>
    <w:next w:val="3-BodyText"/>
    <w:qFormat/>
    <w:rsid w:val="00443D07"/>
    <w:pPr>
      <w:keepNext/>
      <w:numPr>
        <w:numId w:val="1"/>
      </w:numPr>
      <w:spacing w:before="240" w:after="120" w:line="240" w:lineRule="auto"/>
      <w:outlineLvl w:val="0"/>
    </w:pPr>
    <w:rPr>
      <w:rFonts w:asciiTheme="minorHAnsi" w:eastAsia="Times New Roman" w:hAnsiTheme="minorHAnsi" w:cs="Arial"/>
      <w:b/>
      <w:snapToGrid w:val="0"/>
      <w:kern w:val="0"/>
      <w:sz w:val="32"/>
      <w:szCs w:val="32"/>
      <w:lang w:eastAsia="en-AU"/>
      <w14:ligatures w14:val="none"/>
    </w:rPr>
  </w:style>
  <w:style w:type="paragraph" w:customStyle="1" w:styleId="3-BodyText">
    <w:name w:val="3-Body Text"/>
    <w:link w:val="3-BodyTextChar"/>
    <w:qFormat/>
    <w:rsid w:val="00443D07"/>
    <w:pPr>
      <w:numPr>
        <w:ilvl w:val="1"/>
        <w:numId w:val="1"/>
      </w:numPr>
      <w:spacing w:before="120" w:after="120" w:line="240" w:lineRule="auto"/>
      <w:ind w:left="720"/>
      <w:jc w:val="both"/>
    </w:pPr>
    <w:rPr>
      <w:rFonts w:asciiTheme="minorHAnsi" w:hAnsiTheme="minorHAnsi" w:cstheme="minorBidi"/>
      <w:kern w:val="0"/>
      <w:sz w:val="24"/>
      <w:szCs w:val="22"/>
      <w:lang w:eastAsia="en-AU"/>
      <w14:ligatures w14:val="none"/>
    </w:rPr>
  </w:style>
  <w:style w:type="character" w:customStyle="1" w:styleId="3-BodyTextChar">
    <w:name w:val="3-Body Text Char"/>
    <w:basedOn w:val="DefaultParagraphFont"/>
    <w:link w:val="3-BodyText"/>
    <w:rsid w:val="00443D07"/>
    <w:rPr>
      <w:rFonts w:asciiTheme="minorHAnsi" w:hAnsiTheme="minorHAnsi" w:cstheme="minorBidi"/>
      <w:kern w:val="0"/>
      <w:sz w:val="24"/>
      <w:szCs w:val="22"/>
      <w:lang w:eastAsia="en-AU"/>
      <w14:ligatures w14:val="none"/>
    </w:rPr>
  </w:style>
  <w:style w:type="character" w:styleId="CommentReference">
    <w:name w:val="annotation reference"/>
    <w:basedOn w:val="DefaultParagraphFont"/>
    <w:uiPriority w:val="99"/>
    <w:semiHidden/>
    <w:unhideWhenUsed/>
    <w:rsid w:val="00233B8D"/>
    <w:rPr>
      <w:sz w:val="16"/>
      <w:szCs w:val="16"/>
    </w:rPr>
  </w:style>
  <w:style w:type="paragraph" w:styleId="CommentText">
    <w:name w:val="annotation text"/>
    <w:basedOn w:val="Normal"/>
    <w:link w:val="CommentTextChar"/>
    <w:uiPriority w:val="99"/>
    <w:unhideWhenUsed/>
    <w:rsid w:val="00233B8D"/>
    <w:pPr>
      <w:spacing w:line="240" w:lineRule="auto"/>
    </w:pPr>
    <w:rPr>
      <w:szCs w:val="20"/>
    </w:rPr>
  </w:style>
  <w:style w:type="character" w:customStyle="1" w:styleId="CommentTextChar">
    <w:name w:val="Comment Text Char"/>
    <w:basedOn w:val="DefaultParagraphFont"/>
    <w:link w:val="CommentText"/>
    <w:uiPriority w:val="99"/>
    <w:rsid w:val="00233B8D"/>
    <w:rPr>
      <w:szCs w:val="20"/>
    </w:rPr>
  </w:style>
  <w:style w:type="paragraph" w:styleId="CommentSubject">
    <w:name w:val="annotation subject"/>
    <w:basedOn w:val="CommentText"/>
    <w:next w:val="CommentText"/>
    <w:link w:val="CommentSubjectChar"/>
    <w:uiPriority w:val="99"/>
    <w:semiHidden/>
    <w:unhideWhenUsed/>
    <w:rsid w:val="00233B8D"/>
    <w:rPr>
      <w:b/>
      <w:bCs/>
    </w:rPr>
  </w:style>
  <w:style w:type="character" w:customStyle="1" w:styleId="CommentSubjectChar">
    <w:name w:val="Comment Subject Char"/>
    <w:basedOn w:val="CommentTextChar"/>
    <w:link w:val="CommentSubject"/>
    <w:uiPriority w:val="99"/>
    <w:semiHidden/>
    <w:rsid w:val="00233B8D"/>
    <w:rPr>
      <w:b/>
      <w:bCs/>
      <w:szCs w:val="20"/>
    </w:rPr>
  </w:style>
  <w:style w:type="paragraph" w:styleId="Revision">
    <w:name w:val="Revision"/>
    <w:hidden/>
    <w:uiPriority w:val="99"/>
    <w:semiHidden/>
    <w:rsid w:val="00235F70"/>
    <w:pPr>
      <w:spacing w:after="0" w:line="240" w:lineRule="auto"/>
    </w:p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1 Char,Bullet 1 Char,Bullet List Char"/>
    <w:basedOn w:val="DefaultParagraphFont"/>
    <w:link w:val="ListParagraph"/>
    <w:uiPriority w:val="34"/>
    <w:qFormat/>
    <w:rsid w:val="004F1478"/>
  </w:style>
  <w:style w:type="character" w:styleId="Hyperlink">
    <w:name w:val="Hyperlink"/>
    <w:basedOn w:val="DefaultParagraphFont"/>
    <w:uiPriority w:val="99"/>
    <w:unhideWhenUsed/>
    <w:rsid w:val="00C56923"/>
    <w:rPr>
      <w:color w:val="467886" w:themeColor="hyperlink"/>
      <w:u w:val="single"/>
    </w:rPr>
  </w:style>
  <w:style w:type="character" w:styleId="UnresolvedMention">
    <w:name w:val="Unresolved Mention"/>
    <w:basedOn w:val="DefaultParagraphFont"/>
    <w:uiPriority w:val="99"/>
    <w:semiHidden/>
    <w:unhideWhenUsed/>
    <w:rsid w:val="00C56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6741">
      <w:bodyDiv w:val="1"/>
      <w:marLeft w:val="0"/>
      <w:marRight w:val="0"/>
      <w:marTop w:val="0"/>
      <w:marBottom w:val="0"/>
      <w:divBdr>
        <w:top w:val="none" w:sz="0" w:space="0" w:color="auto"/>
        <w:left w:val="none" w:sz="0" w:space="0" w:color="auto"/>
        <w:bottom w:val="none" w:sz="0" w:space="0" w:color="auto"/>
        <w:right w:val="none" w:sz="0" w:space="0" w:color="auto"/>
      </w:divBdr>
    </w:div>
    <w:div w:id="326514761">
      <w:bodyDiv w:val="1"/>
      <w:marLeft w:val="0"/>
      <w:marRight w:val="0"/>
      <w:marTop w:val="0"/>
      <w:marBottom w:val="0"/>
      <w:divBdr>
        <w:top w:val="none" w:sz="0" w:space="0" w:color="auto"/>
        <w:left w:val="none" w:sz="0" w:space="0" w:color="auto"/>
        <w:bottom w:val="none" w:sz="0" w:space="0" w:color="auto"/>
        <w:right w:val="none" w:sz="0" w:space="0" w:color="auto"/>
      </w:divBdr>
    </w:div>
    <w:div w:id="418210619">
      <w:bodyDiv w:val="1"/>
      <w:marLeft w:val="0"/>
      <w:marRight w:val="0"/>
      <w:marTop w:val="0"/>
      <w:marBottom w:val="0"/>
      <w:divBdr>
        <w:top w:val="none" w:sz="0" w:space="0" w:color="auto"/>
        <w:left w:val="none" w:sz="0" w:space="0" w:color="auto"/>
        <w:bottom w:val="none" w:sz="0" w:space="0" w:color="auto"/>
        <w:right w:val="none" w:sz="0" w:space="0" w:color="auto"/>
      </w:divBdr>
    </w:div>
    <w:div w:id="1009258294">
      <w:bodyDiv w:val="1"/>
      <w:marLeft w:val="0"/>
      <w:marRight w:val="0"/>
      <w:marTop w:val="0"/>
      <w:marBottom w:val="0"/>
      <w:divBdr>
        <w:top w:val="none" w:sz="0" w:space="0" w:color="auto"/>
        <w:left w:val="none" w:sz="0" w:space="0" w:color="auto"/>
        <w:bottom w:val="none" w:sz="0" w:space="0" w:color="auto"/>
        <w:right w:val="none" w:sz="0" w:space="0" w:color="auto"/>
      </w:divBdr>
    </w:div>
    <w:div w:id="118359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national-response-to-syphili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bs.gov.au/industry/listing/elements/pbac-meetings/pbac-outcomes/2025-05/pbac-web-outcomes-05-2025.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9265</Characters>
  <Application>Microsoft Office Word</Application>
  <DocSecurity>0</DocSecurity>
  <Lines>174</Lines>
  <Paragraphs>104</Paragraphs>
  <ScaleCrop>false</ScaleCrop>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2025-10-17T05:02:00Z</dcterms:created>
  <dcterms:modified xsi:type="dcterms:W3CDTF">2025-10-17T05:05:00Z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18fd8099,204381a2,97b2908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648f9d05,4d1a294c,181a7a06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2025-10-17T05:03:03Z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c6ff8263-a9d8-4683-af4a-d1f5a39978d7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