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1886" w14:textId="0418C0CC" w:rsidR="002E3851" w:rsidRDefault="000D1DC6" w:rsidP="006F3EFD">
      <w:pPr>
        <w:pStyle w:val="Heading1"/>
        <w:spacing w:before="0"/>
        <w:jc w:val="both"/>
      </w:pPr>
      <w:r w:rsidRPr="00BC6201">
        <w:t xml:space="preserve">Recommendations made by the PBAC – </w:t>
      </w:r>
      <w:r w:rsidR="004D48E2">
        <w:t>March 2025</w:t>
      </w:r>
      <w:r w:rsidR="00A843B6">
        <w:t xml:space="preserve"> </w:t>
      </w:r>
      <w:r w:rsidR="00D91D28">
        <w:t xml:space="preserve">meeting </w:t>
      </w:r>
      <w:r w:rsidR="00F25D17">
        <w:t xml:space="preserve"> </w:t>
      </w:r>
    </w:p>
    <w:p w14:paraId="11E23529" w14:textId="6A85AC49" w:rsidR="00B6156E" w:rsidRPr="00A62FCB" w:rsidRDefault="00B6156E" w:rsidP="00B6156E">
      <w:pPr>
        <w:pStyle w:val="Heading2"/>
        <w:rPr>
          <w:rFonts w:ascii="Open Sans" w:hAnsi="Open Sans" w:cs="Open Sans"/>
          <w:b w:val="0"/>
          <w:bCs w:val="0"/>
          <w:color w:val="auto"/>
          <w:sz w:val="20"/>
          <w:szCs w:val="20"/>
          <w:lang w:eastAsia="en-US"/>
        </w:rPr>
      </w:pPr>
      <w:r w:rsidRPr="00A62FCB">
        <w:rPr>
          <w:rFonts w:ascii="Open Sans" w:hAnsi="Open Sans" w:cs="Open Sans"/>
          <w:b w:val="0"/>
          <w:bCs w:val="0"/>
          <w:color w:val="auto"/>
          <w:sz w:val="20"/>
          <w:szCs w:val="20"/>
          <w:lang w:eastAsia="en-US"/>
        </w:rPr>
        <w:t xml:space="preserve">Last updated: </w:t>
      </w:r>
      <w:r w:rsidR="004D48E2">
        <w:rPr>
          <w:rFonts w:ascii="Open Sans" w:hAnsi="Open Sans" w:cs="Open Sans"/>
          <w:b w:val="0"/>
          <w:bCs w:val="0"/>
          <w:color w:val="auto"/>
          <w:sz w:val="20"/>
          <w:szCs w:val="20"/>
          <w:lang w:eastAsia="en-US"/>
        </w:rPr>
        <w:t>9 May</w:t>
      </w:r>
      <w:r w:rsidRPr="00A62FCB">
        <w:rPr>
          <w:rFonts w:ascii="Open Sans" w:hAnsi="Open Sans" w:cs="Open Sans"/>
          <w:b w:val="0"/>
          <w:bCs w:val="0"/>
          <w:color w:val="auto"/>
          <w:sz w:val="20"/>
          <w:szCs w:val="20"/>
          <w:lang w:eastAsia="en-US"/>
        </w:rPr>
        <w:t xml:space="preserve"> 202</w:t>
      </w:r>
      <w:r w:rsidR="00B021CC">
        <w:rPr>
          <w:rFonts w:ascii="Open Sans" w:hAnsi="Open Sans" w:cs="Open Sans"/>
          <w:b w:val="0"/>
          <w:bCs w:val="0"/>
          <w:color w:val="auto"/>
          <w:sz w:val="20"/>
          <w:szCs w:val="20"/>
          <w:lang w:eastAsia="en-US"/>
        </w:rPr>
        <w:t>5</w:t>
      </w:r>
    </w:p>
    <w:p w14:paraId="796225F6" w14:textId="6A030EA7" w:rsidR="002E3851" w:rsidRDefault="00280D51" w:rsidP="003145D3">
      <w:pPr>
        <w:pStyle w:val="Heading2"/>
        <w:rPr>
          <w:rFonts w:eastAsiaTheme="majorEastAsia"/>
        </w:rPr>
      </w:pPr>
      <w:r>
        <w:rPr>
          <w:rFonts w:eastAsiaTheme="majorEastAsia"/>
        </w:rPr>
        <w:t>Nurse practitioner</w:t>
      </w:r>
      <w:r w:rsidR="00D91D28">
        <w:rPr>
          <w:rFonts w:eastAsiaTheme="majorEastAsia"/>
        </w:rPr>
        <w:t xml:space="preserve"> </w:t>
      </w:r>
      <w:r w:rsidR="000D1DC6">
        <w:rPr>
          <w:rFonts w:eastAsiaTheme="majorEastAsia"/>
        </w:rPr>
        <w:t xml:space="preserve">PBS listings </w:t>
      </w:r>
    </w:p>
    <w:p w14:paraId="6B3B6975" w14:textId="05A75C40" w:rsidR="00591D3E" w:rsidRDefault="00591D3E" w:rsidP="00036184">
      <w:pPr>
        <w:shd w:val="clear" w:color="auto" w:fill="FFFFFF"/>
        <w:spacing w:after="90" w:line="300" w:lineRule="atLeast"/>
        <w:rPr>
          <w:rFonts w:ascii="Open Sans" w:eastAsia="Times New Roman" w:hAnsi="Open Sans" w:cs="Open Sans"/>
          <w:sz w:val="20"/>
          <w:szCs w:val="20"/>
        </w:rPr>
      </w:pPr>
      <w:r w:rsidRPr="00591D3E">
        <w:rPr>
          <w:rFonts w:ascii="Open Sans" w:eastAsia="Times New Roman" w:hAnsi="Open Sans" w:cs="Open Sans"/>
          <w:sz w:val="20"/>
          <w:szCs w:val="20"/>
        </w:rPr>
        <w:t xml:space="preserve">At its March 2025 meeting, the </w:t>
      </w:r>
      <w:r w:rsidRPr="00C21C04">
        <w:rPr>
          <w:rFonts w:ascii="Open Sans" w:eastAsia="Times New Roman" w:hAnsi="Open Sans" w:cs="Open Sans"/>
          <w:sz w:val="20"/>
          <w:szCs w:val="20"/>
        </w:rPr>
        <w:t xml:space="preserve">Pharmaceutical Benefits Advisory Committee (PBAC) </w:t>
      </w:r>
      <w:r w:rsidRPr="00591D3E">
        <w:rPr>
          <w:rFonts w:ascii="Open Sans" w:eastAsia="Times New Roman" w:hAnsi="Open Sans" w:cs="Open Sans"/>
          <w:sz w:val="20"/>
          <w:szCs w:val="20"/>
        </w:rPr>
        <w:t>considered and provided advice on approximately 70 PBS medicines identified by stakeholders which do not have nurse practitioners as authorised prescribers.</w:t>
      </w:r>
      <w:r w:rsidR="009B729B" w:rsidRPr="009B729B">
        <w:rPr>
          <w:rFonts w:ascii="Open Sans" w:eastAsia="Times New Roman" w:hAnsi="Open Sans" w:cs="Open Sans"/>
          <w:sz w:val="20"/>
          <w:szCs w:val="20"/>
        </w:rPr>
        <w:t xml:space="preserve"> </w:t>
      </w:r>
      <w:r w:rsidR="009B729B" w:rsidRPr="00C21C04">
        <w:rPr>
          <w:rFonts w:ascii="Open Sans" w:eastAsia="Times New Roman" w:hAnsi="Open Sans" w:cs="Open Sans"/>
          <w:sz w:val="20"/>
          <w:szCs w:val="20"/>
        </w:rPr>
        <w:t xml:space="preserve">The PBAC made its recommendations with reference to its </w:t>
      </w:r>
      <w:r w:rsidR="009B729B">
        <w:rPr>
          <w:rFonts w:ascii="Open Sans" w:eastAsia="Times New Roman" w:hAnsi="Open Sans" w:cs="Open Sans"/>
          <w:sz w:val="20"/>
          <w:szCs w:val="20"/>
        </w:rPr>
        <w:t xml:space="preserve">four </w:t>
      </w:r>
      <w:r w:rsidR="009B729B" w:rsidRPr="00C21C04">
        <w:rPr>
          <w:rFonts w:ascii="Open Sans" w:eastAsia="Times New Roman" w:hAnsi="Open Sans" w:cs="Open Sans"/>
          <w:sz w:val="20"/>
          <w:szCs w:val="20"/>
        </w:rPr>
        <w:t xml:space="preserve">general principles for determining PBS prescriber eligibility. </w:t>
      </w:r>
    </w:p>
    <w:p w14:paraId="7DE3544C" w14:textId="08281DD8" w:rsidR="00591D3E" w:rsidRDefault="00493401" w:rsidP="00036184">
      <w:pPr>
        <w:shd w:val="clear" w:color="auto" w:fill="FFFFFF"/>
        <w:spacing w:after="90" w:line="300" w:lineRule="atLeast"/>
        <w:rPr>
          <w:rFonts w:ascii="Open Sans" w:eastAsia="Times New Roman" w:hAnsi="Open Sans" w:cs="Open Sans"/>
          <w:sz w:val="20"/>
          <w:szCs w:val="20"/>
        </w:rPr>
      </w:pPr>
      <w:r>
        <w:rPr>
          <w:rFonts w:ascii="Open Sans" w:eastAsia="Times New Roman" w:hAnsi="Open Sans" w:cs="Open Sans"/>
          <w:sz w:val="20"/>
          <w:szCs w:val="20"/>
        </w:rPr>
        <w:t>In most instances</w:t>
      </w:r>
      <w:r w:rsidR="00423C0C" w:rsidRPr="00423C0C">
        <w:rPr>
          <w:rFonts w:ascii="Open Sans" w:eastAsia="Times New Roman" w:hAnsi="Open Sans" w:cs="Open Sans"/>
          <w:sz w:val="20"/>
          <w:szCs w:val="20"/>
        </w:rPr>
        <w:t xml:space="preserve">, the PBAC recommended that nurse practitioners be permitted to prescribe these medicines in accordance with existing PBS restrictions. In some instances, the PBAC recommended nurse practitioners be permitted to prescribe certain medicines </w:t>
      </w:r>
      <w:r w:rsidR="003718ED">
        <w:rPr>
          <w:rFonts w:ascii="Open Sans" w:eastAsia="Times New Roman" w:hAnsi="Open Sans" w:cs="Open Sans"/>
          <w:sz w:val="20"/>
          <w:szCs w:val="20"/>
        </w:rPr>
        <w:t xml:space="preserve">provided </w:t>
      </w:r>
      <w:r w:rsidR="00423C0C" w:rsidRPr="00423C0C">
        <w:rPr>
          <w:rFonts w:ascii="Open Sans" w:eastAsia="Times New Roman" w:hAnsi="Open Sans" w:cs="Open Sans"/>
          <w:sz w:val="20"/>
          <w:szCs w:val="20"/>
        </w:rPr>
        <w:t xml:space="preserve">shared care </w:t>
      </w:r>
      <w:r w:rsidR="003718ED">
        <w:rPr>
          <w:rFonts w:ascii="Open Sans" w:eastAsia="Times New Roman" w:hAnsi="Open Sans" w:cs="Open Sans"/>
          <w:sz w:val="20"/>
          <w:szCs w:val="20"/>
        </w:rPr>
        <w:t xml:space="preserve">with a medical practitioner occurs </w:t>
      </w:r>
      <w:r w:rsidR="00423C0C" w:rsidRPr="00423C0C">
        <w:rPr>
          <w:rFonts w:ascii="Open Sans" w:eastAsia="Times New Roman" w:hAnsi="Open Sans" w:cs="Open Sans"/>
          <w:sz w:val="20"/>
          <w:szCs w:val="20"/>
        </w:rPr>
        <w:t xml:space="preserve">and/or as continuing therapy only. </w:t>
      </w:r>
      <w:r w:rsidR="00F127D8">
        <w:rPr>
          <w:rFonts w:ascii="Open Sans" w:eastAsia="Times New Roman" w:hAnsi="Open Sans" w:cs="Open Sans"/>
          <w:sz w:val="20"/>
          <w:szCs w:val="20"/>
          <w:lang w:eastAsia="en-AU"/>
        </w:rPr>
        <w:t>The PBAC considered that</w:t>
      </w:r>
      <w:r w:rsidR="00F127D8" w:rsidRPr="003E6CA8">
        <w:rPr>
          <w:rFonts w:ascii="Open Sans" w:eastAsia="Times New Roman" w:hAnsi="Open Sans" w:cs="Open Sans"/>
          <w:sz w:val="20"/>
          <w:szCs w:val="20"/>
          <w:lang w:eastAsia="en-AU"/>
        </w:rPr>
        <w:t xml:space="preserve"> </w:t>
      </w:r>
      <w:r w:rsidR="00F127D8">
        <w:rPr>
          <w:rFonts w:ascii="Open Sans" w:eastAsia="Times New Roman" w:hAnsi="Open Sans" w:cs="Open Sans"/>
          <w:sz w:val="20"/>
          <w:szCs w:val="20"/>
          <w:lang w:eastAsia="en-AU"/>
        </w:rPr>
        <w:t>P</w:t>
      </w:r>
      <w:r w:rsidR="00F127D8" w:rsidRPr="003E6CA8">
        <w:rPr>
          <w:rFonts w:ascii="Open Sans" w:eastAsia="Times New Roman" w:hAnsi="Open Sans" w:cs="Open Sans"/>
          <w:sz w:val="20"/>
          <w:szCs w:val="20"/>
          <w:lang w:eastAsia="en-AU"/>
        </w:rPr>
        <w:t>rinciple 4 (</w:t>
      </w:r>
      <w:r w:rsidR="00F127D8">
        <w:rPr>
          <w:rFonts w:ascii="Open Sans" w:eastAsia="Times New Roman" w:hAnsi="Open Sans" w:cs="Open Sans"/>
          <w:sz w:val="20"/>
          <w:szCs w:val="20"/>
          <w:lang w:eastAsia="en-AU"/>
        </w:rPr>
        <w:t>‘</w:t>
      </w:r>
      <w:r w:rsidR="00F127D8" w:rsidRPr="003E6CA8">
        <w:rPr>
          <w:rFonts w:ascii="Open Sans" w:eastAsia="Times New Roman" w:hAnsi="Open Sans" w:cs="Open Sans"/>
          <w:sz w:val="20"/>
          <w:szCs w:val="20"/>
          <w:lang w:eastAsia="en-AU"/>
        </w:rPr>
        <w:t>Health condition specific considerations</w:t>
      </w:r>
      <w:r w:rsidR="00F127D8">
        <w:rPr>
          <w:rFonts w:ascii="Open Sans" w:eastAsia="Times New Roman" w:hAnsi="Open Sans" w:cs="Open Sans"/>
          <w:sz w:val="20"/>
          <w:szCs w:val="20"/>
          <w:lang w:eastAsia="en-AU"/>
        </w:rPr>
        <w:t>’)</w:t>
      </w:r>
      <w:r w:rsidR="00F127D8" w:rsidRPr="003E6CA8">
        <w:rPr>
          <w:rFonts w:ascii="Open Sans" w:eastAsia="Times New Roman" w:hAnsi="Open Sans" w:cs="Open Sans"/>
          <w:sz w:val="20"/>
          <w:szCs w:val="20"/>
          <w:lang w:eastAsia="en-AU"/>
        </w:rPr>
        <w:t xml:space="preserve"> </w:t>
      </w:r>
      <w:r w:rsidR="00F127D8">
        <w:rPr>
          <w:rFonts w:ascii="Open Sans" w:eastAsia="Times New Roman" w:hAnsi="Open Sans" w:cs="Open Sans"/>
          <w:sz w:val="20"/>
          <w:szCs w:val="20"/>
          <w:lang w:eastAsia="en-AU"/>
        </w:rPr>
        <w:t xml:space="preserve">applied in this context, as </w:t>
      </w:r>
      <w:r w:rsidR="00F127D8" w:rsidRPr="003E6CA8">
        <w:rPr>
          <w:rFonts w:ascii="Open Sans" w:eastAsia="Times New Roman" w:hAnsi="Open Sans" w:cs="Open Sans"/>
          <w:sz w:val="20"/>
          <w:szCs w:val="20"/>
          <w:lang w:eastAsia="en-AU"/>
        </w:rPr>
        <w:t>the</w:t>
      </w:r>
      <w:r w:rsidR="00F127D8">
        <w:rPr>
          <w:rFonts w:ascii="Open Sans" w:eastAsia="Times New Roman" w:hAnsi="Open Sans" w:cs="Open Sans"/>
          <w:sz w:val="20"/>
          <w:szCs w:val="20"/>
          <w:lang w:eastAsia="en-AU"/>
        </w:rPr>
        <w:t>se medicines are used to treat complex</w:t>
      </w:r>
      <w:r w:rsidR="00F127D8" w:rsidRPr="003E6CA8">
        <w:rPr>
          <w:rFonts w:ascii="Open Sans" w:eastAsia="Times New Roman" w:hAnsi="Open Sans" w:cs="Open Sans"/>
          <w:sz w:val="20"/>
          <w:szCs w:val="20"/>
          <w:lang w:eastAsia="en-AU"/>
        </w:rPr>
        <w:t xml:space="preserve"> </w:t>
      </w:r>
      <w:r w:rsidR="00F127D8">
        <w:rPr>
          <w:rFonts w:ascii="Open Sans" w:eastAsia="Times New Roman" w:hAnsi="Open Sans" w:cs="Open Sans"/>
          <w:sz w:val="20"/>
          <w:szCs w:val="20"/>
          <w:lang w:eastAsia="en-AU"/>
        </w:rPr>
        <w:t xml:space="preserve">health </w:t>
      </w:r>
      <w:r w:rsidR="00F127D8" w:rsidRPr="003E6CA8">
        <w:rPr>
          <w:rFonts w:ascii="Open Sans" w:eastAsia="Times New Roman" w:hAnsi="Open Sans" w:cs="Open Sans"/>
          <w:sz w:val="20"/>
          <w:szCs w:val="20"/>
          <w:lang w:eastAsia="en-AU"/>
        </w:rPr>
        <w:t xml:space="preserve">conditions and management </w:t>
      </w:r>
      <w:r w:rsidR="00F127D8">
        <w:rPr>
          <w:rFonts w:ascii="Open Sans" w:eastAsia="Times New Roman" w:hAnsi="Open Sans" w:cs="Open Sans"/>
          <w:sz w:val="20"/>
          <w:szCs w:val="20"/>
          <w:lang w:eastAsia="en-AU"/>
        </w:rPr>
        <w:t>generally</w:t>
      </w:r>
      <w:r w:rsidR="00F127D8" w:rsidRPr="003E6CA8">
        <w:rPr>
          <w:rFonts w:ascii="Open Sans" w:eastAsia="Times New Roman" w:hAnsi="Open Sans" w:cs="Open Sans"/>
          <w:sz w:val="20"/>
          <w:szCs w:val="20"/>
          <w:lang w:eastAsia="en-AU"/>
        </w:rPr>
        <w:t xml:space="preserve"> require</w:t>
      </w:r>
      <w:r w:rsidR="00F127D8">
        <w:rPr>
          <w:rFonts w:ascii="Open Sans" w:eastAsia="Times New Roman" w:hAnsi="Open Sans" w:cs="Open Sans"/>
          <w:sz w:val="20"/>
          <w:szCs w:val="20"/>
          <w:lang w:eastAsia="en-AU"/>
        </w:rPr>
        <w:t>s</w:t>
      </w:r>
      <w:r w:rsidR="00F127D8" w:rsidRPr="003E6CA8">
        <w:rPr>
          <w:rFonts w:ascii="Open Sans" w:eastAsia="Times New Roman" w:hAnsi="Open Sans" w:cs="Open Sans"/>
          <w:sz w:val="20"/>
          <w:szCs w:val="20"/>
          <w:lang w:eastAsia="en-AU"/>
        </w:rPr>
        <w:t xml:space="preserve"> oversight</w:t>
      </w:r>
      <w:r w:rsidR="00F127D8">
        <w:rPr>
          <w:rFonts w:ascii="Open Sans" w:eastAsia="Times New Roman" w:hAnsi="Open Sans" w:cs="Open Sans"/>
          <w:sz w:val="20"/>
          <w:szCs w:val="20"/>
          <w:lang w:eastAsia="en-AU"/>
        </w:rPr>
        <w:t xml:space="preserve"> by a </w:t>
      </w:r>
      <w:r w:rsidR="00F127D8" w:rsidRPr="003E6CA8">
        <w:rPr>
          <w:rFonts w:ascii="Open Sans" w:eastAsia="Times New Roman" w:hAnsi="Open Sans" w:cs="Open Sans"/>
          <w:sz w:val="20"/>
          <w:szCs w:val="20"/>
          <w:lang w:eastAsia="en-AU"/>
        </w:rPr>
        <w:t xml:space="preserve">medical specialist. </w:t>
      </w:r>
      <w:r w:rsidR="00423C0C" w:rsidRPr="00423C0C">
        <w:rPr>
          <w:rFonts w:ascii="Open Sans" w:eastAsia="Times New Roman" w:hAnsi="Open Sans" w:cs="Open Sans"/>
          <w:sz w:val="20"/>
          <w:szCs w:val="20"/>
        </w:rPr>
        <w:t>For a smaller number of medicines, mostly those where the PBS restriction already limits treatment to specialist medical practitioners, the PBAC recommended no changes to PBS prescriber type eligibility.</w:t>
      </w:r>
    </w:p>
    <w:p w14:paraId="01190B04" w14:textId="6F4A84F6" w:rsidR="00876810" w:rsidRDefault="00876810" w:rsidP="00036184">
      <w:pPr>
        <w:shd w:val="clear" w:color="auto" w:fill="FFFFFF"/>
        <w:spacing w:after="90" w:line="300" w:lineRule="atLeast"/>
        <w:rPr>
          <w:rFonts w:ascii="Open Sans" w:eastAsia="Times New Roman" w:hAnsi="Open Sans" w:cs="Open Sans"/>
          <w:sz w:val="20"/>
          <w:szCs w:val="20"/>
          <w:lang w:eastAsia="en-AU"/>
        </w:rPr>
      </w:pPr>
      <w:r w:rsidRPr="00A31002">
        <w:rPr>
          <w:rFonts w:ascii="Open Sans" w:eastAsia="Times New Roman" w:hAnsi="Open Sans" w:cs="Open Sans"/>
          <w:sz w:val="20"/>
          <w:szCs w:val="20"/>
        </w:rPr>
        <w:t xml:space="preserve">The PBAC noted </w:t>
      </w:r>
      <w:r w:rsidR="00423C0C">
        <w:rPr>
          <w:rFonts w:ascii="Open Sans" w:eastAsia="Times New Roman" w:hAnsi="Open Sans" w:cs="Open Sans"/>
          <w:sz w:val="20"/>
          <w:szCs w:val="20"/>
        </w:rPr>
        <w:t>these changes would</w:t>
      </w:r>
      <w:r w:rsidRPr="00A31002">
        <w:rPr>
          <w:rFonts w:ascii="Open Sans" w:eastAsia="Times New Roman" w:hAnsi="Open Sans" w:cs="Open Sans"/>
          <w:sz w:val="20"/>
          <w:szCs w:val="20"/>
        </w:rPr>
        <w:t xml:space="preserve"> enable nurse practitioners to prescribe PBS subsidised medicines within their scope of practice and existing prescribing rights</w:t>
      </w:r>
      <w:r>
        <w:rPr>
          <w:rFonts w:ascii="Open Sans" w:eastAsia="Times New Roman" w:hAnsi="Open Sans" w:cs="Open Sans"/>
          <w:sz w:val="20"/>
          <w:szCs w:val="20"/>
        </w:rPr>
        <w:t>, which are</w:t>
      </w:r>
      <w:r w:rsidRPr="00A31002">
        <w:rPr>
          <w:rFonts w:ascii="Open Sans" w:eastAsia="Times New Roman" w:hAnsi="Open Sans" w:cs="Open Sans"/>
          <w:sz w:val="20"/>
          <w:szCs w:val="20"/>
        </w:rPr>
        <w:t xml:space="preserve"> determined by states and territories.</w:t>
      </w:r>
      <w:r w:rsidRPr="009D4238">
        <w:t xml:space="preserve"> </w:t>
      </w:r>
      <w:r>
        <w:rPr>
          <w:rFonts w:ascii="Open Sans" w:eastAsia="Times New Roman" w:hAnsi="Open Sans" w:cs="Open Sans"/>
          <w:sz w:val="20"/>
          <w:szCs w:val="20"/>
        </w:rPr>
        <w:t>S</w:t>
      </w:r>
      <w:r w:rsidRPr="009D4238">
        <w:rPr>
          <w:rFonts w:ascii="Open Sans" w:eastAsia="Times New Roman" w:hAnsi="Open Sans" w:cs="Open Sans"/>
          <w:sz w:val="20"/>
          <w:szCs w:val="20"/>
        </w:rPr>
        <w:t>cope of practice varies between individual nurse practitioners and the decision by an individual nurse practitioner to initiate or continue treatment with a particular medicine is influenced by that individual’s scope of practice and governed by professional standards as set by the Nursing and Midwifery Board of Australia and any state or territory law</w:t>
      </w:r>
      <w:r w:rsidR="00FF548C">
        <w:rPr>
          <w:rFonts w:ascii="Open Sans" w:eastAsia="Times New Roman" w:hAnsi="Open Sans" w:cs="Open Sans"/>
          <w:sz w:val="20"/>
          <w:szCs w:val="20"/>
        </w:rPr>
        <w:t>.</w:t>
      </w:r>
    </w:p>
    <w:p w14:paraId="5548ADAF" w14:textId="63DD4D35" w:rsidR="00876810" w:rsidRPr="00C21C04" w:rsidRDefault="00876810" w:rsidP="00DA3017">
      <w:pPr>
        <w:shd w:val="clear" w:color="auto" w:fill="FFFFFF"/>
        <w:spacing w:after="90" w:line="300" w:lineRule="atLeast"/>
        <w:rPr>
          <w:rFonts w:ascii="Open Sans" w:eastAsia="Times New Roman" w:hAnsi="Open Sans" w:cs="Open Sans"/>
          <w:sz w:val="20"/>
          <w:szCs w:val="20"/>
        </w:rPr>
      </w:pPr>
      <w:r w:rsidRPr="00C21C04">
        <w:rPr>
          <w:rFonts w:ascii="Open Sans" w:eastAsia="Times New Roman" w:hAnsi="Open Sans" w:cs="Open Sans"/>
          <w:sz w:val="20"/>
          <w:szCs w:val="20"/>
        </w:rPr>
        <w:t>The PBAC’s recommendations and rationale are summarised in tables below.</w:t>
      </w:r>
    </w:p>
    <w:p w14:paraId="37F4D504" w14:textId="77777777" w:rsidR="000D1DC6" w:rsidRPr="00914D3A" w:rsidRDefault="000D1DC6" w:rsidP="000D1DC6">
      <w:pPr>
        <w:pStyle w:val="Heading2"/>
        <w:rPr>
          <w:rFonts w:eastAsiaTheme="majorEastAsia"/>
        </w:rPr>
      </w:pPr>
      <w:r w:rsidRPr="00914D3A">
        <w:rPr>
          <w:rFonts w:eastAsiaTheme="majorEastAsia"/>
        </w:rPr>
        <w:t xml:space="preserve">Implementation </w:t>
      </w:r>
    </w:p>
    <w:p w14:paraId="2C7B6BE1" w14:textId="0961E4D5" w:rsidR="00DA21DC" w:rsidRPr="00DA21DC" w:rsidRDefault="000D1DC6" w:rsidP="00DA21DC">
      <w:pPr>
        <w:spacing w:after="90" w:line="286" w:lineRule="atLeast"/>
        <w:ind w:right="147"/>
        <w:rPr>
          <w:rFonts w:ascii="Open Sans" w:eastAsia="Times New Roman" w:hAnsi="Open Sans" w:cs="Open Sans"/>
          <w:sz w:val="20"/>
          <w:szCs w:val="20"/>
        </w:rPr>
      </w:pPr>
      <w:r w:rsidRPr="00B6156E">
        <w:rPr>
          <w:rFonts w:ascii="Open Sans" w:eastAsia="Times New Roman" w:hAnsi="Open Sans" w:cs="Open Sans"/>
          <w:sz w:val="20"/>
          <w:szCs w:val="20"/>
        </w:rPr>
        <w:t xml:space="preserve">The PBAC’s recommendations are expected to be implemented in 2025 as part of routine monthly changes to the PBS schedule. </w:t>
      </w:r>
    </w:p>
    <w:p w14:paraId="0BC7AE7C" w14:textId="7B6D5130" w:rsidR="00DA21DC" w:rsidRPr="00B6156E" w:rsidRDefault="00DA21DC" w:rsidP="00DA21DC">
      <w:pPr>
        <w:spacing w:after="90" w:line="286" w:lineRule="atLeast"/>
        <w:ind w:right="147"/>
        <w:rPr>
          <w:rFonts w:ascii="Open Sans" w:eastAsia="Times New Roman" w:hAnsi="Open Sans" w:cs="Open Sans"/>
          <w:sz w:val="20"/>
          <w:szCs w:val="20"/>
        </w:rPr>
      </w:pPr>
      <w:r w:rsidRPr="00DA21DC">
        <w:rPr>
          <w:rFonts w:ascii="Open Sans" w:eastAsia="Times New Roman" w:hAnsi="Open Sans" w:cs="Open Sans"/>
          <w:sz w:val="20"/>
          <w:szCs w:val="20"/>
        </w:rPr>
        <w:t>The PBAC’s recommendations applied to PBS listings a</w:t>
      </w:r>
      <w:r w:rsidR="00C017FA">
        <w:rPr>
          <w:rFonts w:ascii="Open Sans" w:eastAsia="Times New Roman" w:hAnsi="Open Sans" w:cs="Open Sans"/>
          <w:sz w:val="20"/>
          <w:szCs w:val="20"/>
        </w:rPr>
        <w:t xml:space="preserve">s </w:t>
      </w:r>
      <w:proofErr w:type="gramStart"/>
      <w:r w:rsidR="00C017FA">
        <w:rPr>
          <w:rFonts w:ascii="Open Sans" w:eastAsia="Times New Roman" w:hAnsi="Open Sans" w:cs="Open Sans"/>
          <w:sz w:val="20"/>
          <w:szCs w:val="20"/>
        </w:rPr>
        <w:t>a</w:t>
      </w:r>
      <w:r w:rsidRPr="00DA21DC">
        <w:rPr>
          <w:rFonts w:ascii="Open Sans" w:eastAsia="Times New Roman" w:hAnsi="Open Sans" w:cs="Open Sans"/>
          <w:sz w:val="20"/>
          <w:szCs w:val="20"/>
        </w:rPr>
        <w:t>t</w:t>
      </w:r>
      <w:proofErr w:type="gramEnd"/>
      <w:r w:rsidRPr="00DA21DC">
        <w:rPr>
          <w:rFonts w:ascii="Open Sans" w:eastAsia="Times New Roman" w:hAnsi="Open Sans" w:cs="Open Sans"/>
          <w:sz w:val="20"/>
          <w:szCs w:val="20"/>
        </w:rPr>
        <w:t xml:space="preserve"> </w:t>
      </w:r>
      <w:r w:rsidR="004D32AC">
        <w:rPr>
          <w:rFonts w:ascii="Open Sans" w:eastAsia="Times New Roman" w:hAnsi="Open Sans" w:cs="Open Sans"/>
          <w:sz w:val="20"/>
          <w:szCs w:val="20"/>
        </w:rPr>
        <w:t>March 2025</w:t>
      </w:r>
      <w:r w:rsidRPr="00DA21DC">
        <w:rPr>
          <w:rFonts w:ascii="Open Sans" w:eastAsia="Times New Roman" w:hAnsi="Open Sans" w:cs="Open Sans"/>
          <w:sz w:val="20"/>
          <w:szCs w:val="20"/>
        </w:rPr>
        <w:t>. Some medicines are listed in more than one section of the Schedule or for more than one indication. PBS listings for the same medicine may have different conditions for prescribing. Medicines listed on the PBS are updated monthly and PBS prescribers should check the schedule regularly to ensure they prescribe in accordance with any restrictions specified in a listing.</w:t>
      </w:r>
    </w:p>
    <w:p w14:paraId="03579654" w14:textId="4AEDBCF3" w:rsidR="00CE53FC" w:rsidRDefault="00B6156E" w:rsidP="00D349CF">
      <w:pPr>
        <w:spacing w:after="90" w:line="286" w:lineRule="atLeast"/>
        <w:ind w:right="147"/>
        <w:rPr>
          <w:rFonts w:ascii="Open Sans" w:eastAsia="Times New Roman" w:hAnsi="Open Sans" w:cs="Open Sans"/>
          <w:sz w:val="20"/>
          <w:szCs w:val="20"/>
        </w:rPr>
        <w:sectPr w:rsidR="00CE53FC">
          <w:headerReference w:type="default" r:id="rId8"/>
          <w:footerReference w:type="default" r:id="rId9"/>
          <w:pgSz w:w="11906" w:h="16838"/>
          <w:pgMar w:top="1440" w:right="1440" w:bottom="1440" w:left="1440" w:header="708" w:footer="708" w:gutter="0"/>
          <w:cols w:space="708"/>
          <w:docGrid w:linePitch="360"/>
        </w:sectPr>
      </w:pPr>
      <w:r w:rsidRPr="00B6156E">
        <w:rPr>
          <w:rFonts w:ascii="Open Sans" w:eastAsia="Times New Roman" w:hAnsi="Open Sans" w:cs="Open Sans"/>
          <w:sz w:val="20"/>
          <w:szCs w:val="20"/>
        </w:rPr>
        <w:t>More information can be found by visiting ‘</w:t>
      </w:r>
      <w:hyperlink r:id="rId10" w:history="1">
        <w:r w:rsidRPr="003F5B9B">
          <w:rPr>
            <w:rStyle w:val="Hyperlink"/>
            <w:rFonts w:ascii="Open Sans" w:eastAsia="Times New Roman" w:hAnsi="Open Sans" w:cs="Open Sans"/>
            <w:sz w:val="20"/>
            <w:szCs w:val="20"/>
          </w:rPr>
          <w:t>Review of PBS items for prescribing by nurse practitioners and endorsed midwives</w:t>
        </w:r>
      </w:hyperlink>
      <w:r w:rsidRPr="00B6156E">
        <w:rPr>
          <w:rFonts w:ascii="Open Sans" w:eastAsia="Times New Roman" w:hAnsi="Open Sans" w:cs="Open Sans"/>
          <w:sz w:val="20"/>
          <w:szCs w:val="20"/>
        </w:rPr>
        <w:t xml:space="preserve">‘ on the PBS website. </w:t>
      </w:r>
    </w:p>
    <w:p w14:paraId="2EE0791C" w14:textId="77777777" w:rsidR="00915445" w:rsidRPr="0087200C" w:rsidRDefault="00915445" w:rsidP="00915445">
      <w:pPr>
        <w:pStyle w:val="Heading1"/>
        <w:rPr>
          <w:rFonts w:ascii="Arial Narrow" w:eastAsia="Calibri" w:hAnsi="Arial Narrow"/>
          <w:b w:val="0"/>
          <w:bCs/>
          <w:color w:val="auto"/>
          <w:sz w:val="22"/>
          <w:szCs w:val="22"/>
          <w:lang w:eastAsia="en-AU"/>
        </w:rPr>
      </w:pPr>
      <w:r w:rsidRPr="0087200C">
        <w:rPr>
          <w:rFonts w:ascii="Arial Narrow" w:eastAsia="Calibri" w:hAnsi="Arial Narrow"/>
          <w:bCs/>
          <w:color w:val="auto"/>
          <w:sz w:val="22"/>
          <w:szCs w:val="22"/>
          <w:lang w:eastAsia="en-AU"/>
        </w:rPr>
        <w:lastRenderedPageBreak/>
        <w:t xml:space="preserve">Table 1 – PBS General schedule medicines requested by stakeholders where nurse practitioners are not currently (as </w:t>
      </w:r>
      <w:proofErr w:type="gramStart"/>
      <w:r w:rsidRPr="0087200C">
        <w:rPr>
          <w:rFonts w:ascii="Arial Narrow" w:eastAsia="Calibri" w:hAnsi="Arial Narrow"/>
          <w:bCs/>
          <w:color w:val="auto"/>
          <w:sz w:val="22"/>
          <w:szCs w:val="22"/>
          <w:lang w:eastAsia="en-AU"/>
        </w:rPr>
        <w:t>at</w:t>
      </w:r>
      <w:proofErr w:type="gramEnd"/>
      <w:r w:rsidRPr="0087200C">
        <w:rPr>
          <w:rFonts w:ascii="Arial Narrow" w:eastAsia="Calibri" w:hAnsi="Arial Narrow"/>
          <w:bCs/>
          <w:color w:val="auto"/>
          <w:sz w:val="22"/>
          <w:szCs w:val="22"/>
          <w:lang w:eastAsia="en-AU"/>
        </w:rPr>
        <w:t xml:space="preserve"> 1 March 2025) authorised prescribers</w:t>
      </w:r>
    </w:p>
    <w:tbl>
      <w:tblPr>
        <w:tblStyle w:val="TableGrid3"/>
        <w:tblW w:w="13892" w:type="dxa"/>
        <w:tblInd w:w="-5" w:type="dxa"/>
        <w:tblLook w:val="04A0" w:firstRow="1" w:lastRow="0" w:firstColumn="1" w:lastColumn="0" w:noHBand="0" w:noVBand="1"/>
      </w:tblPr>
      <w:tblGrid>
        <w:gridCol w:w="3828"/>
        <w:gridCol w:w="3969"/>
        <w:gridCol w:w="6095"/>
      </w:tblGrid>
      <w:tr w:rsidR="00915445" w:rsidRPr="00C913AC" w14:paraId="7D23F13F" w14:textId="77777777" w:rsidTr="00E24614">
        <w:trPr>
          <w:trHeight w:val="378"/>
          <w:tblHeader/>
        </w:trPr>
        <w:tc>
          <w:tcPr>
            <w:tcW w:w="3828" w:type="dxa"/>
            <w:noWrap/>
          </w:tcPr>
          <w:p w14:paraId="7493043B" w14:textId="77777777" w:rsidR="00915445" w:rsidRPr="00C913AC" w:rsidRDefault="00915445" w:rsidP="00E24614">
            <w:pPr>
              <w:rPr>
                <w:rFonts w:ascii="Arial Narrow" w:eastAsia="Times New Roman" w:hAnsi="Arial Narrow" w:cs="Arial"/>
                <w:b/>
                <w:bCs/>
                <w:kern w:val="0"/>
                <w:sz w:val="22"/>
                <w:szCs w:val="22"/>
                <w:lang w:eastAsia="en-AU"/>
                <w14:ligatures w14:val="none"/>
              </w:rPr>
            </w:pPr>
            <w:r w:rsidRPr="00C913AC">
              <w:rPr>
                <w:rFonts w:ascii="Arial Narrow" w:eastAsia="Times New Roman" w:hAnsi="Arial Narrow" w:cs="Arial"/>
                <w:b/>
                <w:bCs/>
                <w:kern w:val="0"/>
                <w:sz w:val="22"/>
                <w:szCs w:val="22"/>
                <w:lang w:eastAsia="en-AU"/>
                <w14:ligatures w14:val="none"/>
              </w:rPr>
              <w:t>Drug name</w:t>
            </w:r>
          </w:p>
        </w:tc>
        <w:tc>
          <w:tcPr>
            <w:tcW w:w="3969" w:type="dxa"/>
          </w:tcPr>
          <w:p w14:paraId="47163C33" w14:textId="77777777" w:rsidR="00915445" w:rsidRPr="00C913AC" w:rsidRDefault="00915445" w:rsidP="00E24614">
            <w:pPr>
              <w:rPr>
                <w:rFonts w:ascii="Arial Narrow" w:eastAsia="Times New Roman" w:hAnsi="Arial Narrow" w:cs="Arial"/>
                <w:b/>
                <w:bCs/>
                <w:kern w:val="0"/>
                <w:sz w:val="22"/>
                <w:szCs w:val="22"/>
                <w:lang w:eastAsia="en-AU"/>
                <w14:ligatures w14:val="none"/>
              </w:rPr>
            </w:pPr>
            <w:r w:rsidRPr="00C913AC">
              <w:rPr>
                <w:rFonts w:ascii="Arial Narrow" w:eastAsia="Times New Roman" w:hAnsi="Arial Narrow" w:cs="Arial"/>
                <w:b/>
                <w:bCs/>
                <w:kern w:val="0"/>
                <w:sz w:val="22"/>
                <w:szCs w:val="22"/>
                <w:lang w:eastAsia="en-AU"/>
                <w14:ligatures w14:val="none"/>
              </w:rPr>
              <w:t>PBS listed indication(s)</w:t>
            </w:r>
          </w:p>
        </w:tc>
        <w:tc>
          <w:tcPr>
            <w:tcW w:w="6095" w:type="dxa"/>
          </w:tcPr>
          <w:p w14:paraId="3B10589A" w14:textId="77777777" w:rsidR="00915445" w:rsidRPr="00C913AC" w:rsidRDefault="00915445" w:rsidP="00E24614">
            <w:pPr>
              <w:rPr>
                <w:rFonts w:ascii="Arial Narrow" w:eastAsia="Times New Roman" w:hAnsi="Arial Narrow" w:cs="Arial"/>
                <w:b/>
                <w:bCs/>
                <w:kern w:val="0"/>
                <w:sz w:val="22"/>
                <w:szCs w:val="22"/>
                <w:lang w:eastAsia="en-AU"/>
                <w14:ligatures w14:val="none"/>
              </w:rPr>
            </w:pPr>
            <w:r w:rsidRPr="00C913AC">
              <w:rPr>
                <w:rFonts w:ascii="Arial Narrow" w:eastAsia="Times New Roman" w:hAnsi="Arial Narrow" w:cs="Arial"/>
                <w:b/>
                <w:bCs/>
                <w:kern w:val="0"/>
                <w:sz w:val="22"/>
                <w:szCs w:val="22"/>
                <w:lang w:eastAsia="en-AU"/>
                <w14:ligatures w14:val="none"/>
              </w:rPr>
              <w:t xml:space="preserve">PBAC recommended nurse practitioner outcome / </w:t>
            </w:r>
            <w:r w:rsidRPr="00C913AC">
              <w:rPr>
                <w:rFonts w:ascii="Arial Narrow" w:eastAsia="Times New Roman" w:hAnsi="Arial Narrow" w:cs="Arial"/>
                <w:b/>
                <w:bCs/>
                <w:i/>
                <w:iCs/>
                <w:kern w:val="0"/>
                <w:sz w:val="22"/>
                <w:szCs w:val="22"/>
                <w:lang w:eastAsia="en-AU"/>
                <w14:ligatures w14:val="none"/>
              </w:rPr>
              <w:t>Rationale</w:t>
            </w:r>
          </w:p>
        </w:tc>
      </w:tr>
      <w:tr w:rsidR="00915445" w:rsidRPr="00C913AC" w14:paraId="5DB5A609" w14:textId="77777777" w:rsidTr="00E24614">
        <w:trPr>
          <w:trHeight w:val="189"/>
        </w:trPr>
        <w:tc>
          <w:tcPr>
            <w:tcW w:w="13892" w:type="dxa"/>
            <w:gridSpan w:val="3"/>
            <w:noWrap/>
          </w:tcPr>
          <w:p w14:paraId="66EAEDE7" w14:textId="77777777" w:rsidR="00915445" w:rsidRPr="00C913AC" w:rsidRDefault="00915445" w:rsidP="00E24614">
            <w:pPr>
              <w:rPr>
                <w:rFonts w:ascii="Arial Narrow" w:eastAsia="Times New Roman" w:hAnsi="Arial Narrow" w:cs="Arial"/>
                <w:b/>
                <w:bCs/>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t>Dermatologicals</w:t>
            </w:r>
          </w:p>
        </w:tc>
      </w:tr>
      <w:tr w:rsidR="00915445" w:rsidRPr="00C913AC" w14:paraId="49E4C18E" w14:textId="77777777" w:rsidTr="00E24614">
        <w:trPr>
          <w:trHeight w:val="316"/>
        </w:trPr>
        <w:tc>
          <w:tcPr>
            <w:tcW w:w="3828" w:type="dxa"/>
            <w:noWrap/>
            <w:hideMark/>
          </w:tcPr>
          <w:p w14:paraId="1CAF8F6C"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Isotretinoin</w:t>
            </w:r>
          </w:p>
        </w:tc>
        <w:tc>
          <w:tcPr>
            <w:tcW w:w="3969" w:type="dxa"/>
            <w:hideMark/>
          </w:tcPr>
          <w:p w14:paraId="161DE825"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Severe cystic acne</w:t>
            </w:r>
          </w:p>
        </w:tc>
        <w:tc>
          <w:tcPr>
            <w:tcW w:w="6095" w:type="dxa"/>
            <w:vMerge w:val="restart"/>
          </w:tcPr>
          <w:p w14:paraId="145F98FA" w14:textId="46092F4D"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2</w:t>
            </w:r>
            <w:r w:rsidR="00EB5432">
              <w:rPr>
                <w:rFonts w:ascii="Arial Narrow" w:eastAsia="Times New Roman" w:hAnsi="Arial Narrow" w:cs="Arial"/>
                <w:kern w:val="0"/>
                <w:sz w:val="22"/>
                <w:szCs w:val="22"/>
                <w:lang w:eastAsia="en-AU"/>
                <w14:ligatures w14:val="none"/>
              </w:rPr>
              <w:t xml:space="preserve">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continuation of </w:t>
            </w:r>
            <w:r w:rsidR="00493401">
              <w:rPr>
                <w:rFonts w:ascii="Arial Narrow" w:eastAsia="Times New Roman" w:hAnsi="Arial Narrow" w:cs="Arial"/>
                <w:kern w:val="0"/>
                <w:sz w:val="22"/>
                <w:szCs w:val="22"/>
                <w:lang w:eastAsia="en-AU"/>
                <w14:ligatures w14:val="none"/>
              </w:rPr>
              <w:t>t</w:t>
            </w:r>
            <w:r w:rsidR="003B189F">
              <w:rPr>
                <w:rFonts w:ascii="Arial Narrow" w:eastAsia="Times New Roman" w:hAnsi="Arial Narrow" w:cs="Arial"/>
                <w:kern w:val="0"/>
                <w:sz w:val="22"/>
                <w:szCs w:val="22"/>
                <w:lang w:eastAsia="en-AU"/>
                <w14:ligatures w14:val="none"/>
              </w:rPr>
              <w:t>herapy</w:t>
            </w:r>
            <w:r w:rsidRPr="00C913AC">
              <w:rPr>
                <w:rFonts w:ascii="Arial Narrow" w:eastAsia="Times New Roman" w:hAnsi="Arial Narrow" w:cs="Arial"/>
                <w:kern w:val="0"/>
                <w:sz w:val="22"/>
                <w:szCs w:val="22"/>
                <w:lang w:eastAsia="en-AU"/>
                <w14:ligatures w14:val="none"/>
              </w:rPr>
              <w:t xml:space="preserve"> noting that PBS listings already contain a note for prescribers to comply with state/territory law.</w:t>
            </w:r>
          </w:p>
          <w:p w14:paraId="327C77E0"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60AF8712" w14:textId="64A11ED0" w:rsidR="00D11305" w:rsidRPr="00C913AC"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Principle 1 – Scope of practice of the health practitioner group (e.g. state or territory regulations prohibiting prescribing by NPs)</w:t>
            </w:r>
          </w:p>
          <w:p w14:paraId="2FFAF70F" w14:textId="77777777" w:rsidR="00915445" w:rsidRPr="00C913AC" w:rsidRDefault="00915445" w:rsidP="00E24614">
            <w:pPr>
              <w:rPr>
                <w:rFonts w:ascii="Arial Narrow" w:eastAsia="Times New Roman" w:hAnsi="Arial Narrow" w:cs="Arial"/>
                <w:kern w:val="0"/>
                <w:sz w:val="22"/>
                <w:szCs w:val="22"/>
                <w:lang w:eastAsia="en-AU"/>
                <w14:ligatures w14:val="none"/>
              </w:rPr>
            </w:pPr>
          </w:p>
        </w:tc>
      </w:tr>
      <w:tr w:rsidR="00915445" w:rsidRPr="00C913AC" w14:paraId="2ABD1304" w14:textId="77777777" w:rsidTr="00E24614">
        <w:trPr>
          <w:trHeight w:val="554"/>
        </w:trPr>
        <w:tc>
          <w:tcPr>
            <w:tcW w:w="3828" w:type="dxa"/>
            <w:noWrap/>
            <w:hideMark/>
          </w:tcPr>
          <w:p w14:paraId="67E24CE2"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Acitretin</w:t>
            </w:r>
          </w:p>
        </w:tc>
        <w:tc>
          <w:tcPr>
            <w:tcW w:w="3969" w:type="dxa"/>
            <w:hideMark/>
          </w:tcPr>
          <w:p w14:paraId="6FAC744F"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Severe intractable psoriasis</w:t>
            </w:r>
            <w:r w:rsidRPr="00C913AC">
              <w:rPr>
                <w:rFonts w:ascii="Arial Narrow" w:eastAsia="Times New Roman" w:hAnsi="Arial Narrow" w:cs="Arial"/>
                <w:kern w:val="0"/>
                <w:sz w:val="22"/>
                <w:szCs w:val="22"/>
                <w:lang w:eastAsia="en-AU"/>
                <w14:ligatures w14:val="none"/>
              </w:rPr>
              <w:br/>
              <w:t>Severe disorders of keratinisation</w:t>
            </w:r>
          </w:p>
        </w:tc>
        <w:tc>
          <w:tcPr>
            <w:tcW w:w="6095" w:type="dxa"/>
            <w:vMerge/>
          </w:tcPr>
          <w:p w14:paraId="45F6DE5B" w14:textId="77777777" w:rsidR="00915445" w:rsidRPr="00C913AC" w:rsidRDefault="00915445" w:rsidP="00E24614">
            <w:pPr>
              <w:rPr>
                <w:rFonts w:ascii="Arial Narrow" w:eastAsia="Times New Roman" w:hAnsi="Arial Narrow" w:cs="Arial"/>
                <w:kern w:val="0"/>
                <w:sz w:val="22"/>
                <w:szCs w:val="22"/>
                <w:lang w:eastAsia="en-AU"/>
                <w14:ligatures w14:val="none"/>
              </w:rPr>
            </w:pPr>
          </w:p>
        </w:tc>
      </w:tr>
      <w:tr w:rsidR="00915445" w:rsidRPr="00C913AC" w14:paraId="0055FC40" w14:textId="77777777" w:rsidTr="00E24614">
        <w:trPr>
          <w:trHeight w:val="417"/>
        </w:trPr>
        <w:tc>
          <w:tcPr>
            <w:tcW w:w="3828" w:type="dxa"/>
            <w:hideMark/>
          </w:tcPr>
          <w:p w14:paraId="328F3EA5"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Imiquimod</w:t>
            </w:r>
          </w:p>
        </w:tc>
        <w:tc>
          <w:tcPr>
            <w:tcW w:w="3969" w:type="dxa"/>
            <w:hideMark/>
          </w:tcPr>
          <w:p w14:paraId="3C6310A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Superficial basal cell carcinoma</w:t>
            </w:r>
          </w:p>
        </w:tc>
        <w:tc>
          <w:tcPr>
            <w:tcW w:w="6095" w:type="dxa"/>
          </w:tcPr>
          <w:p w14:paraId="3F822F1B" w14:textId="628733AC"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p>
        </w:tc>
      </w:tr>
      <w:tr w:rsidR="00915445" w:rsidRPr="00C913AC" w14:paraId="35A240FA" w14:textId="77777777" w:rsidTr="00E24614">
        <w:trPr>
          <w:trHeight w:val="417"/>
        </w:trPr>
        <w:tc>
          <w:tcPr>
            <w:tcW w:w="3828" w:type="dxa"/>
          </w:tcPr>
          <w:p w14:paraId="7DBAC3C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Pimecrolimus </w:t>
            </w:r>
          </w:p>
        </w:tc>
        <w:tc>
          <w:tcPr>
            <w:tcW w:w="3969" w:type="dxa"/>
          </w:tcPr>
          <w:p w14:paraId="00F52FF8"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Atopic dermatitis</w:t>
            </w:r>
          </w:p>
        </w:tc>
        <w:tc>
          <w:tcPr>
            <w:tcW w:w="6095" w:type="dxa"/>
          </w:tcPr>
          <w:p w14:paraId="593DDF09" w14:textId="67947BE1"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p>
        </w:tc>
      </w:tr>
      <w:tr w:rsidR="00915445" w:rsidRPr="00C913AC" w14:paraId="6371CDD3" w14:textId="77777777" w:rsidTr="00E24614">
        <w:trPr>
          <w:trHeight w:val="417"/>
        </w:trPr>
        <w:tc>
          <w:tcPr>
            <w:tcW w:w="3828" w:type="dxa"/>
          </w:tcPr>
          <w:p w14:paraId="2CA37A8F"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Apremilast</w:t>
            </w:r>
          </w:p>
          <w:p w14:paraId="16A17B38"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Deucravacitinib</w:t>
            </w:r>
          </w:p>
        </w:tc>
        <w:tc>
          <w:tcPr>
            <w:tcW w:w="3969" w:type="dxa"/>
          </w:tcPr>
          <w:p w14:paraId="4C00E0D2"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Severe chronic plaque </w:t>
            </w:r>
            <w:proofErr w:type="spellStart"/>
            <w:r w:rsidRPr="00C913AC">
              <w:rPr>
                <w:rFonts w:ascii="Arial Narrow" w:eastAsia="Times New Roman" w:hAnsi="Arial Narrow" w:cs="Arial"/>
                <w:kern w:val="0"/>
                <w:sz w:val="22"/>
                <w:szCs w:val="22"/>
                <w:lang w:eastAsia="en-AU"/>
                <w14:ligatures w14:val="none"/>
              </w:rPr>
              <w:t>psoriasis</w:t>
            </w:r>
            <w:r w:rsidRPr="00C913AC">
              <w:rPr>
                <w:rFonts w:ascii="Arial Narrow" w:eastAsia="Times New Roman" w:hAnsi="Arial Narrow" w:cs="Arial"/>
                <w:kern w:val="0"/>
                <w:sz w:val="22"/>
                <w:szCs w:val="22"/>
                <w:vertAlign w:val="superscript"/>
                <w:lang w:eastAsia="en-AU"/>
                <w14:ligatures w14:val="none"/>
              </w:rPr>
              <w:t>a</w:t>
            </w:r>
            <w:proofErr w:type="spellEnd"/>
            <w:r w:rsidRPr="00C913AC">
              <w:rPr>
                <w:rFonts w:ascii="Arial Narrow" w:eastAsia="Times New Roman" w:hAnsi="Arial Narrow" w:cs="Arial"/>
                <w:kern w:val="0"/>
                <w:sz w:val="22"/>
                <w:szCs w:val="22"/>
                <w:vertAlign w:val="superscript"/>
                <w:lang w:eastAsia="en-AU"/>
                <w14:ligatures w14:val="none"/>
              </w:rPr>
              <w:t>, d</w:t>
            </w:r>
          </w:p>
        </w:tc>
        <w:tc>
          <w:tcPr>
            <w:tcW w:w="6095" w:type="dxa"/>
          </w:tcPr>
          <w:p w14:paraId="58BDAB15" w14:textId="1EFC7CA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2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continuation of </w:t>
            </w:r>
            <w:r w:rsidR="008A311F">
              <w:rPr>
                <w:rFonts w:ascii="Arial Narrow" w:eastAsia="Times New Roman" w:hAnsi="Arial Narrow" w:cs="Arial"/>
                <w:kern w:val="0"/>
                <w:sz w:val="22"/>
                <w:szCs w:val="22"/>
                <w:lang w:eastAsia="en-AU"/>
                <w14:ligatures w14:val="none"/>
              </w:rPr>
              <w:t xml:space="preserve">therapy </w:t>
            </w:r>
            <w:r w:rsidRPr="00C913AC">
              <w:rPr>
                <w:rFonts w:ascii="Arial Narrow" w:eastAsia="Times New Roman" w:hAnsi="Arial Narrow" w:cs="Arial"/>
                <w:kern w:val="0"/>
                <w:sz w:val="22"/>
                <w:szCs w:val="22"/>
                <w:lang w:eastAsia="en-AU"/>
                <w14:ligatures w14:val="none"/>
              </w:rPr>
              <w:t>where there is agreement with either a dermatologist, rheumatologist or general physician (i.e. same conditions as a general practitioner)</w:t>
            </w:r>
            <w:r w:rsidR="00EB5432">
              <w:rPr>
                <w:rFonts w:ascii="Arial Narrow" w:eastAsia="Times New Roman" w:hAnsi="Arial Narrow" w:cs="Arial"/>
                <w:kern w:val="0"/>
                <w:sz w:val="22"/>
                <w:szCs w:val="22"/>
                <w:lang w:eastAsia="en-AU"/>
                <w14:ligatures w14:val="none"/>
              </w:rPr>
              <w:t>.</w:t>
            </w:r>
          </w:p>
          <w:p w14:paraId="7F5939D0"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0D3628C6" w14:textId="51B36509"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conditions where specialists are likely to oversee treatment.</w:t>
            </w:r>
          </w:p>
          <w:p w14:paraId="6C390B42" w14:textId="7F8CBBFC" w:rsidR="006C3002" w:rsidRPr="00C913AC" w:rsidRDefault="006C3002" w:rsidP="00E24614">
            <w:pPr>
              <w:rPr>
                <w:rFonts w:ascii="Arial Narrow" w:eastAsia="Times New Roman" w:hAnsi="Arial Narrow" w:cs="Arial"/>
                <w:kern w:val="0"/>
                <w:sz w:val="22"/>
                <w:szCs w:val="22"/>
                <w:lang w:eastAsia="en-AU"/>
                <w14:ligatures w14:val="none"/>
              </w:rPr>
            </w:pPr>
          </w:p>
        </w:tc>
      </w:tr>
      <w:tr w:rsidR="00915445" w:rsidRPr="00C913AC" w14:paraId="0218FF68" w14:textId="77777777" w:rsidTr="00E24614">
        <w:trPr>
          <w:trHeight w:val="417"/>
        </w:trPr>
        <w:tc>
          <w:tcPr>
            <w:tcW w:w="3828" w:type="dxa"/>
          </w:tcPr>
          <w:p w14:paraId="1FF1F265"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Dupilumab</w:t>
            </w:r>
          </w:p>
        </w:tc>
        <w:tc>
          <w:tcPr>
            <w:tcW w:w="3969" w:type="dxa"/>
          </w:tcPr>
          <w:p w14:paraId="1FECBEE5"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Chronic severe atopic </w:t>
            </w:r>
            <w:proofErr w:type="spellStart"/>
            <w:r w:rsidRPr="00C913AC">
              <w:rPr>
                <w:rFonts w:ascii="Arial Narrow" w:eastAsia="Times New Roman" w:hAnsi="Arial Narrow" w:cs="Arial"/>
                <w:kern w:val="0"/>
                <w:sz w:val="22"/>
                <w:szCs w:val="22"/>
                <w:lang w:eastAsia="en-AU"/>
                <w14:ligatures w14:val="none"/>
              </w:rPr>
              <w:t>dermatitis</w:t>
            </w:r>
            <w:r w:rsidRPr="00C913AC">
              <w:rPr>
                <w:rFonts w:ascii="Arial Narrow" w:eastAsia="Times New Roman" w:hAnsi="Arial Narrow" w:cs="Arial"/>
                <w:kern w:val="0"/>
                <w:sz w:val="22"/>
                <w:szCs w:val="22"/>
                <w:vertAlign w:val="superscript"/>
                <w:lang w:eastAsia="en-AU"/>
                <w14:ligatures w14:val="none"/>
              </w:rPr>
              <w:t>b</w:t>
            </w:r>
            <w:proofErr w:type="spellEnd"/>
          </w:p>
        </w:tc>
        <w:tc>
          <w:tcPr>
            <w:tcW w:w="6095" w:type="dxa"/>
          </w:tcPr>
          <w:p w14:paraId="5864257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4 – Exclude. Specialist only medicine.</w:t>
            </w:r>
          </w:p>
          <w:p w14:paraId="14FF257F"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4C45B403" w14:textId="7CDDBBD9"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conditions where specialists are likely to oversee treatment.</w:t>
            </w:r>
          </w:p>
          <w:p w14:paraId="24203188" w14:textId="45B3699D" w:rsidR="006C3002" w:rsidRPr="00C913AC" w:rsidRDefault="006C3002" w:rsidP="00E24614">
            <w:pPr>
              <w:rPr>
                <w:rFonts w:ascii="Arial Narrow" w:eastAsia="Times New Roman" w:hAnsi="Arial Narrow" w:cs="Arial"/>
                <w:kern w:val="0"/>
                <w:sz w:val="22"/>
                <w:szCs w:val="22"/>
                <w:lang w:eastAsia="en-AU"/>
                <w14:ligatures w14:val="none"/>
              </w:rPr>
            </w:pPr>
          </w:p>
        </w:tc>
      </w:tr>
      <w:tr w:rsidR="00915445" w:rsidRPr="00C913AC" w14:paraId="29B700CE" w14:textId="77777777" w:rsidTr="00E24614">
        <w:trPr>
          <w:trHeight w:val="417"/>
        </w:trPr>
        <w:tc>
          <w:tcPr>
            <w:tcW w:w="3828" w:type="dxa"/>
          </w:tcPr>
          <w:p w14:paraId="140AF9D2"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Clobetasol propionate </w:t>
            </w:r>
          </w:p>
        </w:tc>
        <w:tc>
          <w:tcPr>
            <w:tcW w:w="3969" w:type="dxa"/>
          </w:tcPr>
          <w:p w14:paraId="041EBA3F"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Moderate to severe scalp psoriasis (shampoo)</w:t>
            </w:r>
          </w:p>
          <w:p w14:paraId="296F7D47" w14:textId="4C216EAC" w:rsidR="00915445"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Corticosteroid-responsive dermatoses (cream and ointment)</w:t>
            </w:r>
          </w:p>
          <w:p w14:paraId="29DBBBE9" w14:textId="77777777" w:rsidR="00D9042E" w:rsidRPr="00C913AC" w:rsidRDefault="00D9042E" w:rsidP="00E24614">
            <w:pPr>
              <w:rPr>
                <w:rFonts w:ascii="Arial Narrow" w:eastAsia="Times New Roman" w:hAnsi="Arial Narrow" w:cs="Arial"/>
                <w:kern w:val="0"/>
                <w:sz w:val="22"/>
                <w:szCs w:val="22"/>
                <w:lang w:eastAsia="en-AU"/>
                <w14:ligatures w14:val="none"/>
              </w:rPr>
            </w:pPr>
          </w:p>
        </w:tc>
        <w:tc>
          <w:tcPr>
            <w:tcW w:w="6095" w:type="dxa"/>
          </w:tcPr>
          <w:p w14:paraId="6DC495E2"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1 – Permit NP prescribing.</w:t>
            </w:r>
          </w:p>
        </w:tc>
      </w:tr>
      <w:tr w:rsidR="00915445" w:rsidRPr="00C913AC" w14:paraId="4FB4BCCD" w14:textId="77777777" w:rsidTr="00E24614">
        <w:trPr>
          <w:trHeight w:val="209"/>
        </w:trPr>
        <w:tc>
          <w:tcPr>
            <w:tcW w:w="13892" w:type="dxa"/>
            <w:gridSpan w:val="3"/>
          </w:tcPr>
          <w:p w14:paraId="6CA6A27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lastRenderedPageBreak/>
              <w:t>Eye drops</w:t>
            </w:r>
          </w:p>
        </w:tc>
      </w:tr>
      <w:tr w:rsidR="00915445" w:rsidRPr="00C913AC" w14:paraId="3E8DDCFC" w14:textId="77777777" w:rsidTr="00E24614">
        <w:trPr>
          <w:trHeight w:val="417"/>
        </w:trPr>
        <w:tc>
          <w:tcPr>
            <w:tcW w:w="3828" w:type="dxa"/>
          </w:tcPr>
          <w:p w14:paraId="63BBD638" w14:textId="77777777" w:rsidR="00915445" w:rsidRPr="00C913AC" w:rsidRDefault="00915445" w:rsidP="00E24614">
            <w:pPr>
              <w:rPr>
                <w:rFonts w:ascii="Arial Narrow" w:eastAsia="Times New Roman" w:hAnsi="Arial Narrow" w:cs="Arial"/>
                <w:b/>
                <w:bCs/>
                <w:i/>
                <w:iCs/>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t xml:space="preserve">Glaucoma eye drops </w:t>
            </w:r>
          </w:p>
          <w:p w14:paraId="381602B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Prostaglandin analogues (bimatoprost, latanoprost, travoprost) +/- timolol</w:t>
            </w:r>
          </w:p>
          <w:p w14:paraId="3F727D7F"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Brimonidine (+/- timolol, brinzolamide)</w:t>
            </w:r>
          </w:p>
          <w:p w14:paraId="26453D4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Carbonic anhydrase inhibitors (brinzolamide, dorzolamide) +/- timolol</w:t>
            </w:r>
          </w:p>
          <w:p w14:paraId="494C2229"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Pilocarpine</w:t>
            </w:r>
          </w:p>
          <w:p w14:paraId="3880C824" w14:textId="77777777" w:rsidR="00915445"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Beta blocking agents (betaxolol, timolol)</w:t>
            </w:r>
          </w:p>
          <w:p w14:paraId="08C74B2D" w14:textId="77777777" w:rsidR="006C3002" w:rsidRPr="00C913AC" w:rsidRDefault="006C3002" w:rsidP="00E24614">
            <w:pPr>
              <w:rPr>
                <w:rFonts w:ascii="Arial Narrow" w:eastAsia="Times New Roman" w:hAnsi="Arial Narrow" w:cs="Arial"/>
                <w:kern w:val="0"/>
                <w:sz w:val="22"/>
                <w:szCs w:val="22"/>
                <w:lang w:eastAsia="en-AU"/>
                <w14:ligatures w14:val="none"/>
              </w:rPr>
            </w:pPr>
          </w:p>
        </w:tc>
        <w:tc>
          <w:tcPr>
            <w:tcW w:w="3969" w:type="dxa"/>
          </w:tcPr>
          <w:p w14:paraId="609BAD60"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Unrestricted benefit (single agent eye drops)</w:t>
            </w:r>
          </w:p>
          <w:p w14:paraId="4F572646" w14:textId="50898D54"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Elevated intraocular pressure not controlled by monotherapy (combination eye drops)</w:t>
            </w:r>
          </w:p>
        </w:tc>
        <w:tc>
          <w:tcPr>
            <w:tcW w:w="6095" w:type="dxa"/>
          </w:tcPr>
          <w:p w14:paraId="5D642292" w14:textId="0050DA04"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p w14:paraId="658F1E64" w14:textId="77777777" w:rsidR="00915445" w:rsidRPr="00C913AC" w:rsidRDefault="00915445" w:rsidP="00E24614">
            <w:pPr>
              <w:rPr>
                <w:rFonts w:ascii="Arial Narrow" w:eastAsia="Times New Roman" w:hAnsi="Arial Narrow" w:cs="Arial"/>
                <w:kern w:val="0"/>
                <w:sz w:val="22"/>
                <w:szCs w:val="22"/>
                <w:lang w:eastAsia="en-AU"/>
                <w14:ligatures w14:val="none"/>
              </w:rPr>
            </w:pPr>
          </w:p>
        </w:tc>
      </w:tr>
      <w:tr w:rsidR="00915445" w:rsidRPr="00C913AC" w14:paraId="248C5EA9" w14:textId="77777777" w:rsidTr="00E24614">
        <w:trPr>
          <w:trHeight w:val="748"/>
        </w:trPr>
        <w:tc>
          <w:tcPr>
            <w:tcW w:w="3828" w:type="dxa"/>
          </w:tcPr>
          <w:p w14:paraId="636396A5"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Ciprofloxacin</w:t>
            </w:r>
          </w:p>
          <w:p w14:paraId="7E9735B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Ofloxacin</w:t>
            </w:r>
          </w:p>
        </w:tc>
        <w:tc>
          <w:tcPr>
            <w:tcW w:w="3969" w:type="dxa"/>
          </w:tcPr>
          <w:p w14:paraId="09F5B941"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Bacterial </w:t>
            </w:r>
            <w:proofErr w:type="spellStart"/>
            <w:r w:rsidRPr="00C913AC">
              <w:rPr>
                <w:rFonts w:ascii="Arial Narrow" w:eastAsia="Times New Roman" w:hAnsi="Arial Narrow" w:cs="Arial"/>
                <w:kern w:val="0"/>
                <w:sz w:val="22"/>
                <w:szCs w:val="22"/>
                <w:lang w:eastAsia="en-AU"/>
                <w14:ligatures w14:val="none"/>
              </w:rPr>
              <w:t>keratitis</w:t>
            </w:r>
            <w:r w:rsidRPr="00C913AC">
              <w:rPr>
                <w:rFonts w:ascii="Arial Narrow" w:eastAsia="Times New Roman" w:hAnsi="Arial Narrow" w:cs="Arial"/>
                <w:kern w:val="0"/>
                <w:sz w:val="22"/>
                <w:szCs w:val="22"/>
                <w:vertAlign w:val="superscript"/>
                <w:lang w:eastAsia="en-AU"/>
                <w14:ligatures w14:val="none"/>
              </w:rPr>
              <w:t>c</w:t>
            </w:r>
            <w:proofErr w:type="spellEnd"/>
          </w:p>
        </w:tc>
        <w:tc>
          <w:tcPr>
            <w:tcW w:w="6095" w:type="dxa"/>
          </w:tcPr>
          <w:p w14:paraId="32D0B693" w14:textId="7DD16C9B"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p w14:paraId="0BF8F594"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460E92AB" w14:textId="1A5F6633"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Existing restriction (for MP,</w:t>
            </w:r>
            <w:r w:rsidR="00EB5432">
              <w:rPr>
                <w:rFonts w:ascii="Arial Narrow" w:eastAsia="Times New Roman" w:hAnsi="Arial Narrow" w:cs="Arial"/>
                <w:i/>
                <w:iCs/>
                <w:kern w:val="0"/>
                <w:sz w:val="22"/>
                <w:szCs w:val="22"/>
                <w:lang w:eastAsia="en-AU"/>
                <w14:ligatures w14:val="none"/>
              </w:rPr>
              <w:t xml:space="preserve"> </w:t>
            </w:r>
            <w:r w:rsidRPr="00C913AC">
              <w:rPr>
                <w:rFonts w:ascii="Arial Narrow" w:eastAsia="Times New Roman" w:hAnsi="Arial Narrow" w:cs="Arial"/>
                <w:i/>
                <w:iCs/>
                <w:kern w:val="0"/>
                <w:sz w:val="22"/>
                <w:szCs w:val="22"/>
                <w:lang w:eastAsia="en-AU"/>
                <w14:ligatures w14:val="none"/>
              </w:rPr>
              <w:t xml:space="preserve">OP) already requires treatment to be by, or in consultation with an ophthalmologist. </w:t>
            </w:r>
          </w:p>
          <w:p w14:paraId="68F1EFE0" w14:textId="77777777" w:rsidR="006C3002" w:rsidRPr="00C913AC" w:rsidRDefault="006C3002" w:rsidP="00E24614">
            <w:pPr>
              <w:rPr>
                <w:rFonts w:ascii="Arial Narrow" w:eastAsia="Times New Roman" w:hAnsi="Arial Narrow" w:cs="Arial"/>
                <w:i/>
                <w:iCs/>
                <w:kern w:val="0"/>
                <w:sz w:val="22"/>
                <w:szCs w:val="22"/>
                <w:lang w:eastAsia="en-AU"/>
                <w14:ligatures w14:val="none"/>
              </w:rPr>
            </w:pPr>
          </w:p>
        </w:tc>
      </w:tr>
      <w:tr w:rsidR="00915445" w:rsidRPr="00C913AC" w14:paraId="3DFBFB79" w14:textId="77777777" w:rsidTr="00E24614">
        <w:trPr>
          <w:trHeight w:val="417"/>
        </w:trPr>
        <w:tc>
          <w:tcPr>
            <w:tcW w:w="3828" w:type="dxa"/>
          </w:tcPr>
          <w:p w14:paraId="38183DA8"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Ciclosporin eye drops</w:t>
            </w:r>
          </w:p>
        </w:tc>
        <w:tc>
          <w:tcPr>
            <w:tcW w:w="3969" w:type="dxa"/>
          </w:tcPr>
          <w:p w14:paraId="15021BB8"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Chronic severe dry eye disease with </w:t>
            </w:r>
            <w:proofErr w:type="spellStart"/>
            <w:r w:rsidRPr="00C913AC">
              <w:rPr>
                <w:rFonts w:ascii="Arial Narrow" w:eastAsia="Times New Roman" w:hAnsi="Arial Narrow" w:cs="Arial"/>
                <w:kern w:val="0"/>
                <w:sz w:val="22"/>
                <w:szCs w:val="22"/>
                <w:lang w:eastAsia="en-AU"/>
                <w14:ligatures w14:val="none"/>
              </w:rPr>
              <w:t>keratitis</w:t>
            </w:r>
            <w:r w:rsidRPr="00C913AC">
              <w:rPr>
                <w:rFonts w:ascii="Arial Narrow" w:eastAsia="Times New Roman" w:hAnsi="Arial Narrow" w:cs="Arial"/>
                <w:kern w:val="0"/>
                <w:sz w:val="22"/>
                <w:szCs w:val="22"/>
                <w:vertAlign w:val="superscript"/>
                <w:lang w:eastAsia="en-AU"/>
                <w14:ligatures w14:val="none"/>
              </w:rPr>
              <w:t>b</w:t>
            </w:r>
            <w:proofErr w:type="spellEnd"/>
          </w:p>
        </w:tc>
        <w:tc>
          <w:tcPr>
            <w:tcW w:w="6095" w:type="dxa"/>
          </w:tcPr>
          <w:p w14:paraId="0CEE127A" w14:textId="0B17E165"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4 – Exclude</w:t>
            </w:r>
            <w:r w:rsidR="003D61B8">
              <w:rPr>
                <w:rFonts w:ascii="Arial Narrow" w:eastAsia="Times New Roman" w:hAnsi="Arial Narrow" w:cs="Arial"/>
                <w:kern w:val="0"/>
                <w:sz w:val="22"/>
                <w:szCs w:val="22"/>
                <w:lang w:eastAsia="en-AU"/>
                <w14:ligatures w14:val="none"/>
              </w:rPr>
              <w:t>.</w:t>
            </w:r>
          </w:p>
          <w:p w14:paraId="24478161"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2FB05206" w14:textId="526E2CFE"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conditions where specialists are likely to oversee treatment.</w:t>
            </w:r>
            <w:r w:rsidR="006C3002">
              <w:rPr>
                <w:rFonts w:ascii="Arial Narrow" w:eastAsia="Times New Roman" w:hAnsi="Arial Narrow" w:cs="Arial"/>
                <w:i/>
                <w:iCs/>
                <w:kern w:val="0"/>
                <w:sz w:val="22"/>
                <w:szCs w:val="22"/>
                <w:lang w:eastAsia="en-AU"/>
                <w14:ligatures w14:val="none"/>
              </w:rPr>
              <w:t xml:space="preserve"> </w:t>
            </w:r>
            <w:r w:rsidRPr="00C913AC">
              <w:rPr>
                <w:rFonts w:ascii="Arial Narrow" w:eastAsia="Times New Roman" w:hAnsi="Arial Narrow" w:cs="Arial"/>
                <w:i/>
                <w:iCs/>
                <w:kern w:val="0"/>
                <w:sz w:val="22"/>
                <w:szCs w:val="22"/>
                <w:lang w:eastAsia="en-AU"/>
                <w14:ligatures w14:val="none"/>
              </w:rPr>
              <w:t>Existing restriction requires treatment to be by an</w:t>
            </w:r>
            <w:r w:rsidR="00493401">
              <w:rPr>
                <w:rFonts w:ascii="Arial Narrow" w:eastAsia="Times New Roman" w:hAnsi="Arial Narrow" w:cs="Arial"/>
                <w:i/>
                <w:iCs/>
                <w:kern w:val="0"/>
                <w:sz w:val="22"/>
                <w:szCs w:val="22"/>
                <w:lang w:eastAsia="en-AU"/>
                <w14:ligatures w14:val="none"/>
              </w:rPr>
              <w:t xml:space="preserve"> </w:t>
            </w:r>
            <w:r w:rsidR="00F14C74">
              <w:rPr>
                <w:rFonts w:ascii="Arial Narrow" w:eastAsia="Times New Roman" w:hAnsi="Arial Narrow" w:cs="Arial"/>
                <w:i/>
                <w:iCs/>
                <w:kern w:val="0"/>
                <w:sz w:val="22"/>
                <w:szCs w:val="22"/>
                <w:lang w:eastAsia="en-AU"/>
                <w14:ligatures w14:val="none"/>
              </w:rPr>
              <w:t>OP</w:t>
            </w:r>
            <w:r w:rsidRPr="00C913AC">
              <w:rPr>
                <w:rFonts w:ascii="Arial Narrow" w:eastAsia="Times New Roman" w:hAnsi="Arial Narrow" w:cs="Arial"/>
                <w:i/>
                <w:iCs/>
                <w:kern w:val="0"/>
                <w:sz w:val="22"/>
                <w:szCs w:val="22"/>
                <w:lang w:eastAsia="en-AU"/>
                <w14:ligatures w14:val="none"/>
              </w:rPr>
              <w:t>, ophthalmologist, or ophthalmology registrar in consultation with an ophthalmologist.</w:t>
            </w:r>
          </w:p>
          <w:p w14:paraId="00A7BCA0" w14:textId="15184A2D" w:rsidR="005F1661" w:rsidRPr="00C913AC" w:rsidRDefault="005F1661" w:rsidP="00E24614">
            <w:pPr>
              <w:rPr>
                <w:rFonts w:ascii="Arial Narrow" w:eastAsia="Times New Roman" w:hAnsi="Arial Narrow" w:cs="Arial"/>
                <w:i/>
                <w:iCs/>
                <w:kern w:val="0"/>
                <w:sz w:val="22"/>
                <w:szCs w:val="22"/>
                <w:lang w:eastAsia="en-AU"/>
                <w14:ligatures w14:val="none"/>
              </w:rPr>
            </w:pPr>
          </w:p>
        </w:tc>
      </w:tr>
      <w:tr w:rsidR="00915445" w:rsidRPr="00C913AC" w14:paraId="611FF6DA" w14:textId="77777777" w:rsidTr="00E24614">
        <w:trPr>
          <w:trHeight w:val="417"/>
        </w:trPr>
        <w:tc>
          <w:tcPr>
            <w:tcW w:w="3828" w:type="dxa"/>
          </w:tcPr>
          <w:p w14:paraId="06EB376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Tobramycin eye drops/ointment</w:t>
            </w:r>
          </w:p>
        </w:tc>
        <w:tc>
          <w:tcPr>
            <w:tcW w:w="3969" w:type="dxa"/>
          </w:tcPr>
          <w:p w14:paraId="08B89B86"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Invasive ocular infection</w:t>
            </w:r>
          </w:p>
          <w:p w14:paraId="2D330CE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Perioperative use in ophthalmic surgery</w:t>
            </w:r>
          </w:p>
          <w:p w14:paraId="1A825CEC"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Suspected Pseudomonal eye infection</w:t>
            </w:r>
          </w:p>
        </w:tc>
        <w:tc>
          <w:tcPr>
            <w:tcW w:w="6095" w:type="dxa"/>
          </w:tcPr>
          <w:p w14:paraId="16339843" w14:textId="70D53AD9"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3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 but only where treatment is in consultation with an MP or</w:t>
            </w:r>
            <w:r w:rsidR="005F1661">
              <w:rPr>
                <w:rFonts w:ascii="Arial Narrow" w:eastAsia="Times New Roman" w:hAnsi="Arial Narrow" w:cs="Arial"/>
                <w:kern w:val="0"/>
                <w:sz w:val="22"/>
                <w:szCs w:val="22"/>
                <w:lang w:eastAsia="en-AU"/>
                <w14:ligatures w14:val="none"/>
              </w:rPr>
              <w:t xml:space="preserve"> </w:t>
            </w:r>
            <w:r w:rsidR="00F14C74">
              <w:rPr>
                <w:rFonts w:ascii="Arial Narrow" w:eastAsia="Times New Roman" w:hAnsi="Arial Narrow" w:cs="Arial"/>
                <w:kern w:val="0"/>
                <w:sz w:val="22"/>
                <w:szCs w:val="22"/>
                <w:lang w:eastAsia="en-AU"/>
                <w14:ligatures w14:val="none"/>
              </w:rPr>
              <w:t>OP</w:t>
            </w:r>
            <w:r w:rsidRPr="00C913AC">
              <w:rPr>
                <w:rFonts w:ascii="Arial Narrow" w:eastAsia="Times New Roman" w:hAnsi="Arial Narrow" w:cs="Arial"/>
                <w:kern w:val="0"/>
                <w:sz w:val="22"/>
                <w:szCs w:val="22"/>
                <w:lang w:eastAsia="en-AU"/>
                <w14:ligatures w14:val="none"/>
              </w:rPr>
              <w:t>.</w:t>
            </w:r>
          </w:p>
          <w:p w14:paraId="5465039A"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034A8033" w14:textId="77777777"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Principle 4 – complex conditions where medical practitioners are likely to oversee treatment.</w:t>
            </w:r>
          </w:p>
          <w:p w14:paraId="0B519D9F" w14:textId="77777777" w:rsidR="00EB5432" w:rsidRDefault="00EB5432" w:rsidP="00E24614">
            <w:pPr>
              <w:rPr>
                <w:rFonts w:ascii="Arial Narrow" w:eastAsia="Times New Roman" w:hAnsi="Arial Narrow" w:cs="Arial"/>
                <w:i/>
                <w:iCs/>
                <w:kern w:val="0"/>
                <w:sz w:val="22"/>
                <w:szCs w:val="22"/>
                <w:lang w:eastAsia="en-AU"/>
                <w14:ligatures w14:val="none"/>
              </w:rPr>
            </w:pPr>
          </w:p>
          <w:p w14:paraId="42480CCD" w14:textId="77777777" w:rsidR="00EB5432" w:rsidRPr="00C913AC" w:rsidRDefault="00EB5432" w:rsidP="00E24614">
            <w:pPr>
              <w:rPr>
                <w:rFonts w:ascii="Arial Narrow" w:eastAsia="Times New Roman" w:hAnsi="Arial Narrow" w:cs="Arial"/>
                <w:i/>
                <w:iCs/>
                <w:kern w:val="0"/>
                <w:sz w:val="22"/>
                <w:szCs w:val="22"/>
                <w:lang w:eastAsia="en-AU"/>
                <w14:ligatures w14:val="none"/>
              </w:rPr>
            </w:pPr>
          </w:p>
        </w:tc>
      </w:tr>
      <w:tr w:rsidR="00915445" w:rsidRPr="00C913AC" w14:paraId="23E2E139" w14:textId="77777777" w:rsidTr="00E24614">
        <w:trPr>
          <w:trHeight w:val="325"/>
        </w:trPr>
        <w:tc>
          <w:tcPr>
            <w:tcW w:w="13892" w:type="dxa"/>
            <w:gridSpan w:val="3"/>
          </w:tcPr>
          <w:p w14:paraId="224DF5F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lastRenderedPageBreak/>
              <w:t>Gastrointestinal medicines</w:t>
            </w:r>
          </w:p>
        </w:tc>
      </w:tr>
      <w:tr w:rsidR="00915445" w:rsidRPr="00C913AC" w14:paraId="518BFFAD" w14:textId="77777777" w:rsidTr="00E24614">
        <w:trPr>
          <w:trHeight w:val="417"/>
        </w:trPr>
        <w:tc>
          <w:tcPr>
            <w:tcW w:w="3828" w:type="dxa"/>
          </w:tcPr>
          <w:p w14:paraId="51E71A47"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Budesonide orally disintegrating tablets</w:t>
            </w:r>
          </w:p>
        </w:tc>
        <w:tc>
          <w:tcPr>
            <w:tcW w:w="3969" w:type="dxa"/>
          </w:tcPr>
          <w:p w14:paraId="29E7F614"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Eosinophilic </w:t>
            </w:r>
            <w:proofErr w:type="spellStart"/>
            <w:r w:rsidRPr="00C913AC">
              <w:rPr>
                <w:rFonts w:ascii="Arial Narrow" w:eastAsia="Times New Roman" w:hAnsi="Arial Narrow" w:cs="Arial"/>
                <w:kern w:val="0"/>
                <w:sz w:val="22"/>
                <w:szCs w:val="22"/>
                <w:lang w:eastAsia="en-AU"/>
                <w14:ligatures w14:val="none"/>
              </w:rPr>
              <w:t>oesophagitis</w:t>
            </w:r>
            <w:r w:rsidRPr="00C913AC">
              <w:rPr>
                <w:rFonts w:ascii="Arial Narrow" w:eastAsia="Times New Roman" w:hAnsi="Arial Narrow" w:cs="Arial"/>
                <w:kern w:val="0"/>
                <w:sz w:val="22"/>
                <w:szCs w:val="22"/>
                <w:vertAlign w:val="superscript"/>
                <w:lang w:eastAsia="en-AU"/>
                <w14:ligatures w14:val="none"/>
              </w:rPr>
              <w:t>a</w:t>
            </w:r>
            <w:proofErr w:type="spellEnd"/>
            <w:r w:rsidRPr="00C913AC">
              <w:rPr>
                <w:rFonts w:ascii="Arial Narrow" w:eastAsia="Times New Roman" w:hAnsi="Arial Narrow" w:cs="Arial"/>
                <w:kern w:val="0"/>
                <w:sz w:val="22"/>
                <w:szCs w:val="22"/>
                <w:vertAlign w:val="superscript"/>
                <w:lang w:eastAsia="en-AU"/>
                <w14:ligatures w14:val="none"/>
              </w:rPr>
              <w:t>, d</w:t>
            </w:r>
          </w:p>
        </w:tc>
        <w:tc>
          <w:tcPr>
            <w:tcW w:w="6095" w:type="dxa"/>
          </w:tcPr>
          <w:p w14:paraId="785FDFAA" w14:textId="0E4223AD"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p w14:paraId="576179D7" w14:textId="0ECB6479" w:rsidR="00915445" w:rsidRPr="00C913AC"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Existing restriction already requires treatment to be by, or in consultation with specialist MPs (i.e. gastroenterologist, experienced surgeon)</w:t>
            </w:r>
          </w:p>
        </w:tc>
      </w:tr>
      <w:tr w:rsidR="00915445" w:rsidRPr="00C913AC" w14:paraId="322674D7" w14:textId="77777777" w:rsidTr="00E24614">
        <w:trPr>
          <w:trHeight w:val="417"/>
        </w:trPr>
        <w:tc>
          <w:tcPr>
            <w:tcW w:w="3828" w:type="dxa"/>
          </w:tcPr>
          <w:p w14:paraId="02DC7022"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Esomeprazole </w:t>
            </w:r>
          </w:p>
          <w:p w14:paraId="5DC68B7C"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Pantoprazole</w:t>
            </w:r>
          </w:p>
        </w:tc>
        <w:tc>
          <w:tcPr>
            <w:tcW w:w="3969" w:type="dxa"/>
          </w:tcPr>
          <w:p w14:paraId="24E20AAA"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Complex gastro-oesophageal reflux disease (GORD)</w:t>
            </w:r>
            <w:r w:rsidRPr="00C913AC">
              <w:rPr>
                <w:rFonts w:ascii="Arial Narrow" w:eastAsia="Times New Roman" w:hAnsi="Arial Narrow" w:cs="Arial"/>
                <w:kern w:val="0"/>
                <w:sz w:val="22"/>
                <w:szCs w:val="22"/>
                <w:vertAlign w:val="superscript"/>
                <w:lang w:eastAsia="en-AU"/>
                <w14:ligatures w14:val="none"/>
              </w:rPr>
              <w:t>a, d</w:t>
            </w:r>
          </w:p>
        </w:tc>
        <w:tc>
          <w:tcPr>
            <w:tcW w:w="6095" w:type="dxa"/>
          </w:tcPr>
          <w:p w14:paraId="0EBFD47B" w14:textId="5D18D342"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4 – Exclude</w:t>
            </w:r>
          </w:p>
          <w:p w14:paraId="7047396A"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20A69146" w14:textId="299ECEA1" w:rsidR="005F1661"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conditions where specialists are likely to oversee treatment.</w:t>
            </w:r>
            <w:r w:rsidR="005F1661">
              <w:rPr>
                <w:rFonts w:ascii="Arial Narrow" w:eastAsia="Times New Roman" w:hAnsi="Arial Narrow" w:cs="Arial"/>
                <w:i/>
                <w:iCs/>
                <w:kern w:val="0"/>
                <w:sz w:val="22"/>
                <w:szCs w:val="22"/>
                <w:lang w:eastAsia="en-AU"/>
                <w14:ligatures w14:val="none"/>
              </w:rPr>
              <w:t xml:space="preserve"> </w:t>
            </w:r>
          </w:p>
          <w:p w14:paraId="4CCB6675" w14:textId="0A53A71A"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Previous PBAC concern with higher quantities being prescribed by non</w:t>
            </w:r>
            <w:r w:rsidR="003C28C8">
              <w:rPr>
                <w:rFonts w:ascii="Arial Narrow" w:eastAsia="Times New Roman" w:hAnsi="Arial Narrow" w:cs="Arial"/>
                <w:i/>
                <w:iCs/>
                <w:kern w:val="0"/>
                <w:sz w:val="22"/>
                <w:szCs w:val="22"/>
                <w:lang w:eastAsia="en-AU"/>
                <w14:ligatures w14:val="none"/>
              </w:rPr>
              <w:noBreakHyphen/>
            </w:r>
            <w:r w:rsidRPr="00C913AC">
              <w:rPr>
                <w:rFonts w:ascii="Arial Narrow" w:eastAsia="Times New Roman" w:hAnsi="Arial Narrow" w:cs="Arial"/>
                <w:i/>
                <w:iCs/>
                <w:kern w:val="0"/>
                <w:sz w:val="22"/>
                <w:szCs w:val="22"/>
                <w:lang w:eastAsia="en-AU"/>
                <w14:ligatures w14:val="none"/>
              </w:rPr>
              <w:t>specialist prescribers. NPs can continue therapy through the standard quantity GORD listings</w:t>
            </w:r>
            <w:r w:rsidRPr="00C913AC">
              <w:rPr>
                <w:rFonts w:ascii="Arial Narrow" w:eastAsia="Times New Roman" w:hAnsi="Arial Narrow" w:cs="Arial"/>
                <w:kern w:val="0"/>
                <w:sz w:val="22"/>
                <w:szCs w:val="22"/>
                <w:lang w:eastAsia="en-AU"/>
                <w14:ligatures w14:val="none"/>
              </w:rPr>
              <w:t>.</w:t>
            </w:r>
          </w:p>
        </w:tc>
      </w:tr>
      <w:tr w:rsidR="00915445" w:rsidRPr="00C913AC" w14:paraId="0D9BE8AF" w14:textId="77777777" w:rsidTr="00E24614">
        <w:trPr>
          <w:trHeight w:val="417"/>
        </w:trPr>
        <w:tc>
          <w:tcPr>
            <w:tcW w:w="3828" w:type="dxa"/>
          </w:tcPr>
          <w:p w14:paraId="085D29E2"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Mercaptopurine</w:t>
            </w:r>
          </w:p>
        </w:tc>
        <w:tc>
          <w:tcPr>
            <w:tcW w:w="3969" w:type="dxa"/>
          </w:tcPr>
          <w:p w14:paraId="791C8B67"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Unrestricted benefit</w:t>
            </w:r>
          </w:p>
        </w:tc>
        <w:tc>
          <w:tcPr>
            <w:tcW w:w="6095" w:type="dxa"/>
          </w:tcPr>
          <w:p w14:paraId="571CF97C" w14:textId="289CD1C9"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1 – Permit NP prescribing</w:t>
            </w:r>
            <w:r w:rsidR="00EB5432">
              <w:rPr>
                <w:rFonts w:ascii="Arial Narrow" w:eastAsia="Times New Roman" w:hAnsi="Arial Narrow" w:cs="Arial"/>
                <w:kern w:val="0"/>
                <w:sz w:val="22"/>
                <w:szCs w:val="22"/>
                <w:lang w:eastAsia="en-AU"/>
                <w14:ligatures w14:val="none"/>
              </w:rPr>
              <w:t>.</w:t>
            </w:r>
          </w:p>
        </w:tc>
      </w:tr>
      <w:tr w:rsidR="00915445" w:rsidRPr="00C913AC" w14:paraId="23708A1C" w14:textId="77777777" w:rsidTr="00E24614">
        <w:trPr>
          <w:trHeight w:val="273"/>
        </w:trPr>
        <w:tc>
          <w:tcPr>
            <w:tcW w:w="13892" w:type="dxa"/>
            <w:gridSpan w:val="3"/>
          </w:tcPr>
          <w:p w14:paraId="313A44DC"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t>Sex hormones</w:t>
            </w:r>
          </w:p>
        </w:tc>
      </w:tr>
      <w:tr w:rsidR="00915445" w:rsidRPr="00C913AC" w14:paraId="5381113F" w14:textId="77777777" w:rsidTr="00E24614">
        <w:trPr>
          <w:trHeight w:val="417"/>
        </w:trPr>
        <w:tc>
          <w:tcPr>
            <w:tcW w:w="3828" w:type="dxa"/>
          </w:tcPr>
          <w:p w14:paraId="2F6F1403"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Cyproterone tablets</w:t>
            </w:r>
          </w:p>
        </w:tc>
        <w:tc>
          <w:tcPr>
            <w:tcW w:w="3969" w:type="dxa"/>
          </w:tcPr>
          <w:p w14:paraId="535F87A3"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Unrestricted benefit (50 mg, 100 mg tablets, 50)</w:t>
            </w:r>
          </w:p>
          <w:p w14:paraId="12E35C2C"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Moderate to severe androgenisation (50 mg tablet, 20)</w:t>
            </w:r>
          </w:p>
          <w:p w14:paraId="3753C34D" w14:textId="77777777" w:rsidR="00915445" w:rsidRPr="00C913AC" w:rsidRDefault="00915445" w:rsidP="00E24614">
            <w:pPr>
              <w:rPr>
                <w:rFonts w:ascii="Arial Narrow" w:eastAsia="Times New Roman" w:hAnsi="Arial Narrow" w:cs="Arial"/>
                <w:kern w:val="0"/>
                <w:sz w:val="22"/>
                <w:szCs w:val="22"/>
                <w:lang w:eastAsia="en-AU"/>
                <w14:ligatures w14:val="none"/>
              </w:rPr>
            </w:pPr>
          </w:p>
        </w:tc>
        <w:tc>
          <w:tcPr>
            <w:tcW w:w="6095" w:type="dxa"/>
          </w:tcPr>
          <w:p w14:paraId="2378271C" w14:textId="0E596702"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tc>
      </w:tr>
      <w:tr w:rsidR="00915445" w:rsidRPr="00C913AC" w14:paraId="32B277A0" w14:textId="77777777" w:rsidTr="00E24614">
        <w:trPr>
          <w:trHeight w:val="417"/>
        </w:trPr>
        <w:tc>
          <w:tcPr>
            <w:tcW w:w="3828" w:type="dxa"/>
          </w:tcPr>
          <w:p w14:paraId="197F80F2"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Testosterone cream, gel, injection</w:t>
            </w:r>
          </w:p>
        </w:tc>
        <w:tc>
          <w:tcPr>
            <w:tcW w:w="3969" w:type="dxa"/>
          </w:tcPr>
          <w:p w14:paraId="4B827C56"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Androgen deficiency (1) - due to established pituitary or testicular disorder </w:t>
            </w:r>
            <w:r w:rsidRPr="00C913AC">
              <w:rPr>
                <w:rFonts w:ascii="Arial Narrow" w:eastAsia="Times New Roman" w:hAnsi="Arial Narrow" w:cs="Arial"/>
                <w:kern w:val="0"/>
                <w:sz w:val="22"/>
                <w:szCs w:val="22"/>
                <w:vertAlign w:val="superscript"/>
                <w:lang w:eastAsia="en-AU"/>
                <w14:ligatures w14:val="none"/>
              </w:rPr>
              <w:t>c</w:t>
            </w:r>
          </w:p>
          <w:p w14:paraId="67E8C076"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Androgen deficiency (2) - not from pituitary, testicular disorders, age, obesity cardiovascular, infertility, drug </w:t>
            </w:r>
            <w:proofErr w:type="spellStart"/>
            <w:r w:rsidRPr="00C913AC">
              <w:rPr>
                <w:rFonts w:ascii="Arial Narrow" w:eastAsia="Times New Roman" w:hAnsi="Arial Narrow" w:cs="Arial"/>
                <w:kern w:val="0"/>
                <w:sz w:val="22"/>
                <w:szCs w:val="22"/>
                <w:lang w:eastAsia="en-AU"/>
                <w14:ligatures w14:val="none"/>
              </w:rPr>
              <w:t>causes</w:t>
            </w:r>
            <w:r w:rsidRPr="00C913AC">
              <w:rPr>
                <w:rFonts w:ascii="Arial Narrow" w:eastAsia="Times New Roman" w:hAnsi="Arial Narrow" w:cs="Arial"/>
                <w:kern w:val="0"/>
                <w:sz w:val="22"/>
                <w:szCs w:val="22"/>
                <w:vertAlign w:val="superscript"/>
                <w:lang w:eastAsia="en-AU"/>
                <w14:ligatures w14:val="none"/>
              </w:rPr>
              <w:t>c</w:t>
            </w:r>
            <w:proofErr w:type="spellEnd"/>
          </w:p>
          <w:p w14:paraId="672C6B2C"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proofErr w:type="spellStart"/>
            <w:r w:rsidRPr="00C913AC">
              <w:rPr>
                <w:rFonts w:ascii="Arial Narrow" w:eastAsia="Times New Roman" w:hAnsi="Arial Narrow" w:cs="Arial"/>
                <w:kern w:val="0"/>
                <w:sz w:val="22"/>
                <w:szCs w:val="22"/>
                <w:lang w:eastAsia="en-AU"/>
                <w14:ligatures w14:val="none"/>
              </w:rPr>
              <w:t>Micropenis</w:t>
            </w:r>
            <w:r w:rsidRPr="00C913AC">
              <w:rPr>
                <w:rFonts w:ascii="Arial Narrow" w:eastAsia="Times New Roman" w:hAnsi="Arial Narrow" w:cs="Arial"/>
                <w:kern w:val="0"/>
                <w:sz w:val="22"/>
                <w:szCs w:val="22"/>
                <w:vertAlign w:val="superscript"/>
                <w:lang w:eastAsia="en-AU"/>
                <w14:ligatures w14:val="none"/>
              </w:rPr>
              <w:t>c</w:t>
            </w:r>
            <w:proofErr w:type="spellEnd"/>
          </w:p>
          <w:p w14:paraId="2E185DF0"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Pubertal </w:t>
            </w:r>
            <w:proofErr w:type="spellStart"/>
            <w:r w:rsidRPr="00C913AC">
              <w:rPr>
                <w:rFonts w:ascii="Arial Narrow" w:eastAsia="Times New Roman" w:hAnsi="Arial Narrow" w:cs="Arial"/>
                <w:kern w:val="0"/>
                <w:sz w:val="22"/>
                <w:szCs w:val="22"/>
                <w:lang w:eastAsia="en-AU"/>
                <w14:ligatures w14:val="none"/>
              </w:rPr>
              <w:t>induction</w:t>
            </w:r>
            <w:r w:rsidRPr="00C913AC">
              <w:rPr>
                <w:rFonts w:ascii="Arial Narrow" w:eastAsia="Times New Roman" w:hAnsi="Arial Narrow" w:cs="Arial"/>
                <w:kern w:val="0"/>
                <w:sz w:val="22"/>
                <w:szCs w:val="22"/>
                <w:vertAlign w:val="superscript"/>
                <w:lang w:eastAsia="en-AU"/>
                <w14:ligatures w14:val="none"/>
              </w:rPr>
              <w:t>c</w:t>
            </w:r>
            <w:proofErr w:type="spellEnd"/>
          </w:p>
          <w:p w14:paraId="77D889B0"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Constitutional delay of growth or </w:t>
            </w:r>
            <w:proofErr w:type="spellStart"/>
            <w:r w:rsidRPr="00C913AC">
              <w:rPr>
                <w:rFonts w:ascii="Arial Narrow" w:eastAsia="Times New Roman" w:hAnsi="Arial Narrow" w:cs="Arial"/>
                <w:kern w:val="0"/>
                <w:sz w:val="22"/>
                <w:szCs w:val="22"/>
                <w:lang w:eastAsia="en-AU"/>
                <w14:ligatures w14:val="none"/>
              </w:rPr>
              <w:t>puberty</w:t>
            </w:r>
            <w:r w:rsidRPr="00C913AC">
              <w:rPr>
                <w:rFonts w:ascii="Arial Narrow" w:eastAsia="Times New Roman" w:hAnsi="Arial Narrow" w:cs="Arial"/>
                <w:kern w:val="0"/>
                <w:sz w:val="22"/>
                <w:szCs w:val="22"/>
                <w:vertAlign w:val="superscript"/>
                <w:lang w:eastAsia="en-AU"/>
                <w14:ligatures w14:val="none"/>
              </w:rPr>
              <w:t>c</w:t>
            </w:r>
            <w:proofErr w:type="spellEnd"/>
          </w:p>
          <w:p w14:paraId="49272C68" w14:textId="77777777" w:rsidR="00915445" w:rsidRPr="00C913AC" w:rsidRDefault="00915445" w:rsidP="00E24614">
            <w:pPr>
              <w:rPr>
                <w:rFonts w:ascii="Arial Narrow" w:eastAsia="Times New Roman" w:hAnsi="Arial Narrow" w:cs="Arial"/>
                <w:kern w:val="0"/>
                <w:sz w:val="22"/>
                <w:szCs w:val="22"/>
                <w:lang w:eastAsia="en-AU"/>
                <w14:ligatures w14:val="none"/>
              </w:rPr>
            </w:pPr>
          </w:p>
        </w:tc>
        <w:tc>
          <w:tcPr>
            <w:tcW w:w="6095" w:type="dxa"/>
          </w:tcPr>
          <w:p w14:paraId="7EDF7B34" w14:textId="7A5283D6"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p w14:paraId="5E866988"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658B791F" w14:textId="77777777" w:rsidR="00915445" w:rsidRPr="00C913AC"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Existing restrictions already require the patient to be treated by, in consultation with, or have an appointment to be assessed by a specialist.</w:t>
            </w:r>
          </w:p>
        </w:tc>
      </w:tr>
      <w:tr w:rsidR="00915445" w:rsidRPr="00C913AC" w14:paraId="08831845" w14:textId="77777777" w:rsidTr="00E24614">
        <w:trPr>
          <w:trHeight w:val="417"/>
        </w:trPr>
        <w:tc>
          <w:tcPr>
            <w:tcW w:w="3828" w:type="dxa"/>
          </w:tcPr>
          <w:p w14:paraId="03A3F50B"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Medroxyprogesterone </w:t>
            </w:r>
          </w:p>
        </w:tc>
        <w:tc>
          <w:tcPr>
            <w:tcW w:w="3969" w:type="dxa"/>
          </w:tcPr>
          <w:p w14:paraId="43FC5826"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Endometriosis (10 mg tablets, 100)</w:t>
            </w:r>
          </w:p>
        </w:tc>
        <w:tc>
          <w:tcPr>
            <w:tcW w:w="6095" w:type="dxa"/>
          </w:tcPr>
          <w:p w14:paraId="42CE89A3" w14:textId="5CCCE6B6"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 </w:t>
            </w:r>
          </w:p>
        </w:tc>
      </w:tr>
      <w:tr w:rsidR="00915445" w:rsidRPr="00C913AC" w14:paraId="3FE6C60B" w14:textId="77777777" w:rsidTr="00E24614">
        <w:trPr>
          <w:trHeight w:val="251"/>
        </w:trPr>
        <w:tc>
          <w:tcPr>
            <w:tcW w:w="13892" w:type="dxa"/>
            <w:gridSpan w:val="3"/>
          </w:tcPr>
          <w:p w14:paraId="2846D1A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lastRenderedPageBreak/>
              <w:t>Anti-infectives</w:t>
            </w:r>
          </w:p>
        </w:tc>
      </w:tr>
      <w:tr w:rsidR="00915445" w:rsidRPr="00C913AC" w14:paraId="3A2634FE" w14:textId="77777777" w:rsidTr="00E24614">
        <w:trPr>
          <w:trHeight w:val="417"/>
        </w:trPr>
        <w:tc>
          <w:tcPr>
            <w:tcW w:w="3828" w:type="dxa"/>
          </w:tcPr>
          <w:p w14:paraId="134878ED"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Cefalexin capsules</w:t>
            </w:r>
          </w:p>
        </w:tc>
        <w:tc>
          <w:tcPr>
            <w:tcW w:w="3969" w:type="dxa"/>
          </w:tcPr>
          <w:p w14:paraId="5E53E946"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Osteomyelitis (500 mg, 40 units, 1 repeat)</w:t>
            </w:r>
          </w:p>
          <w:p w14:paraId="5428FFB7"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0D639706"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40A57A46"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Prophylaxis of urinary tract infection (250 mg caps, 40 units, 2 repeats)</w:t>
            </w:r>
          </w:p>
          <w:p w14:paraId="2750B901" w14:textId="77777777" w:rsidR="00915445" w:rsidRPr="00C913AC" w:rsidRDefault="00915445" w:rsidP="00E24614">
            <w:pPr>
              <w:rPr>
                <w:rFonts w:ascii="Arial Narrow" w:eastAsia="Times New Roman" w:hAnsi="Arial Narrow" w:cs="Arial"/>
                <w:kern w:val="0"/>
                <w:sz w:val="22"/>
                <w:szCs w:val="22"/>
                <w:lang w:eastAsia="en-AU"/>
                <w14:ligatures w14:val="none"/>
              </w:rPr>
            </w:pPr>
          </w:p>
        </w:tc>
        <w:tc>
          <w:tcPr>
            <w:tcW w:w="6095" w:type="dxa"/>
          </w:tcPr>
          <w:p w14:paraId="5A5F4216" w14:textId="0B0D0B0A"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Osteomyelitis: Outcome 2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continuation </w:t>
            </w:r>
            <w:r w:rsidR="00B27767">
              <w:rPr>
                <w:rFonts w:ascii="Arial Narrow" w:eastAsia="Times New Roman" w:hAnsi="Arial Narrow" w:cs="Arial"/>
                <w:kern w:val="0"/>
                <w:sz w:val="22"/>
                <w:szCs w:val="22"/>
                <w:lang w:eastAsia="en-AU"/>
                <w14:ligatures w14:val="none"/>
              </w:rPr>
              <w:t>of therapy</w:t>
            </w:r>
            <w:r w:rsidR="00EB5432">
              <w:rPr>
                <w:rFonts w:ascii="Arial Narrow" w:eastAsia="Times New Roman" w:hAnsi="Arial Narrow" w:cs="Arial"/>
                <w:kern w:val="0"/>
                <w:sz w:val="22"/>
                <w:szCs w:val="22"/>
                <w:lang w:eastAsia="en-AU"/>
                <w14:ligatures w14:val="none"/>
              </w:rPr>
              <w:t>.</w:t>
            </w:r>
          </w:p>
          <w:p w14:paraId="4ECFEA19" w14:textId="77777777" w:rsidR="00B27767" w:rsidRDefault="00B27767" w:rsidP="00E24614">
            <w:pPr>
              <w:rPr>
                <w:rFonts w:ascii="Arial Narrow" w:eastAsia="Times New Roman" w:hAnsi="Arial Narrow" w:cs="Arial"/>
                <w:i/>
                <w:iCs/>
                <w:kern w:val="0"/>
                <w:sz w:val="22"/>
                <w:szCs w:val="22"/>
                <w:lang w:eastAsia="en-AU"/>
                <w14:ligatures w14:val="none"/>
              </w:rPr>
            </w:pPr>
          </w:p>
          <w:p w14:paraId="6059EE84" w14:textId="2E041406"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 where MPs are likely to establish diagnosis/treatment. </w:t>
            </w:r>
          </w:p>
          <w:p w14:paraId="793D3766" w14:textId="77777777" w:rsidR="00D7271B" w:rsidRDefault="00D7271B" w:rsidP="00E24614">
            <w:pPr>
              <w:rPr>
                <w:rFonts w:ascii="Arial Narrow" w:eastAsia="Times New Roman" w:hAnsi="Arial Narrow" w:cs="Arial"/>
                <w:kern w:val="0"/>
                <w:sz w:val="22"/>
                <w:szCs w:val="22"/>
                <w:lang w:eastAsia="en-AU"/>
                <w14:ligatures w14:val="none"/>
              </w:rPr>
            </w:pPr>
          </w:p>
          <w:p w14:paraId="0299D095" w14:textId="09E8A0F7" w:rsidR="00915445"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UTI prophylaxis: 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p w14:paraId="701A406B" w14:textId="2434E5A6" w:rsidR="00B27767" w:rsidRPr="00C913AC" w:rsidRDefault="00B27767" w:rsidP="00E24614">
            <w:pPr>
              <w:rPr>
                <w:rFonts w:ascii="Arial Narrow" w:eastAsia="Times New Roman" w:hAnsi="Arial Narrow" w:cs="Arial"/>
                <w:kern w:val="0"/>
                <w:sz w:val="22"/>
                <w:szCs w:val="22"/>
                <w:lang w:eastAsia="en-AU"/>
                <w14:ligatures w14:val="none"/>
              </w:rPr>
            </w:pPr>
          </w:p>
        </w:tc>
      </w:tr>
      <w:tr w:rsidR="00915445" w:rsidRPr="00C913AC" w14:paraId="07C77586" w14:textId="77777777" w:rsidTr="00E24614">
        <w:trPr>
          <w:trHeight w:val="417"/>
        </w:trPr>
        <w:tc>
          <w:tcPr>
            <w:tcW w:w="3828" w:type="dxa"/>
          </w:tcPr>
          <w:p w14:paraId="66CBD24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Cefuroxime tablets, liquid</w:t>
            </w:r>
          </w:p>
        </w:tc>
        <w:tc>
          <w:tcPr>
            <w:tcW w:w="3969" w:type="dxa"/>
          </w:tcPr>
          <w:p w14:paraId="344FF8F7"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Unrestricted benefit</w:t>
            </w:r>
          </w:p>
        </w:tc>
        <w:tc>
          <w:tcPr>
            <w:tcW w:w="6095" w:type="dxa"/>
          </w:tcPr>
          <w:p w14:paraId="7B0EF484" w14:textId="44670EAA"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tc>
      </w:tr>
      <w:tr w:rsidR="00915445" w:rsidRPr="00C913AC" w14:paraId="1BE68E2C" w14:textId="77777777" w:rsidTr="00E24614">
        <w:trPr>
          <w:trHeight w:val="417"/>
        </w:trPr>
        <w:tc>
          <w:tcPr>
            <w:tcW w:w="3828" w:type="dxa"/>
          </w:tcPr>
          <w:p w14:paraId="09F45C0A"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Doxycycline 100 mg</w:t>
            </w:r>
          </w:p>
          <w:p w14:paraId="7E7BB49C"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Erythromycin 250 mg capsules</w:t>
            </w:r>
          </w:p>
          <w:p w14:paraId="6ACCC1BA" w14:textId="77777777" w:rsidR="00915445" w:rsidRPr="00C913AC" w:rsidRDefault="00915445" w:rsidP="00E24614">
            <w:pPr>
              <w:rPr>
                <w:rFonts w:ascii="Arial Narrow" w:eastAsia="Times New Roman" w:hAnsi="Arial Narrow" w:cs="Arial"/>
                <w:kern w:val="0"/>
                <w:sz w:val="22"/>
                <w:szCs w:val="22"/>
                <w:lang w:eastAsia="en-AU"/>
                <w14:ligatures w14:val="none"/>
              </w:rPr>
            </w:pPr>
          </w:p>
        </w:tc>
        <w:tc>
          <w:tcPr>
            <w:tcW w:w="3969" w:type="dxa"/>
          </w:tcPr>
          <w:p w14:paraId="4C30DC8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Severe acne (larger quantity listings)</w:t>
            </w:r>
          </w:p>
        </w:tc>
        <w:tc>
          <w:tcPr>
            <w:tcW w:w="6095" w:type="dxa"/>
          </w:tcPr>
          <w:p w14:paraId="098A014A" w14:textId="666DCF8F"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p w14:paraId="0E603539" w14:textId="77777777" w:rsidR="00915445" w:rsidRPr="00C913AC" w:rsidRDefault="00915445" w:rsidP="00E24614">
            <w:pPr>
              <w:rPr>
                <w:rFonts w:ascii="Arial Narrow" w:eastAsia="Times New Roman" w:hAnsi="Arial Narrow" w:cs="Arial"/>
                <w:kern w:val="0"/>
                <w:sz w:val="22"/>
                <w:szCs w:val="22"/>
                <w:lang w:eastAsia="en-AU"/>
                <w14:ligatures w14:val="none"/>
              </w:rPr>
            </w:pPr>
          </w:p>
        </w:tc>
      </w:tr>
      <w:tr w:rsidR="00915445" w:rsidRPr="00C913AC" w14:paraId="2EA13375" w14:textId="77777777" w:rsidTr="00E24614">
        <w:trPr>
          <w:trHeight w:val="417"/>
        </w:trPr>
        <w:tc>
          <w:tcPr>
            <w:tcW w:w="3828" w:type="dxa"/>
          </w:tcPr>
          <w:p w14:paraId="76E8E5E1"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Flucloxacillin capsules</w:t>
            </w:r>
          </w:p>
        </w:tc>
        <w:tc>
          <w:tcPr>
            <w:tcW w:w="3969" w:type="dxa"/>
          </w:tcPr>
          <w:p w14:paraId="5FC7D5E8" w14:textId="1C5AE1DB"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Osteomyelitis (48 capsules, 1 repeat) </w:t>
            </w:r>
          </w:p>
          <w:p w14:paraId="10661826" w14:textId="77777777" w:rsidR="00915445" w:rsidRPr="00C913AC" w:rsidRDefault="00915445" w:rsidP="00E24614">
            <w:pPr>
              <w:rPr>
                <w:rFonts w:ascii="Arial Narrow" w:eastAsia="Times New Roman" w:hAnsi="Arial Narrow" w:cs="Arial"/>
                <w:kern w:val="0"/>
                <w:sz w:val="22"/>
                <w:szCs w:val="22"/>
                <w:lang w:eastAsia="en-AU"/>
                <w14:ligatures w14:val="none"/>
              </w:rPr>
            </w:pPr>
          </w:p>
        </w:tc>
        <w:tc>
          <w:tcPr>
            <w:tcW w:w="6095" w:type="dxa"/>
          </w:tcPr>
          <w:p w14:paraId="37B92EBD" w14:textId="00CDF409"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2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continuation </w:t>
            </w:r>
            <w:r w:rsidR="00B27767">
              <w:rPr>
                <w:rFonts w:ascii="Arial Narrow" w:eastAsia="Times New Roman" w:hAnsi="Arial Narrow" w:cs="Arial"/>
                <w:kern w:val="0"/>
                <w:sz w:val="22"/>
                <w:szCs w:val="22"/>
                <w:lang w:eastAsia="en-AU"/>
                <w14:ligatures w14:val="none"/>
              </w:rPr>
              <w:t xml:space="preserve">of therapy </w:t>
            </w:r>
            <w:r w:rsidRPr="00C913AC">
              <w:rPr>
                <w:rFonts w:ascii="Arial Narrow" w:eastAsia="Times New Roman" w:hAnsi="Arial Narrow" w:cs="Arial"/>
                <w:kern w:val="0"/>
                <w:sz w:val="22"/>
                <w:szCs w:val="22"/>
                <w:lang w:eastAsia="en-AU"/>
                <w14:ligatures w14:val="none"/>
              </w:rPr>
              <w:t>as per cefalexin listing for this indication.</w:t>
            </w:r>
          </w:p>
          <w:p w14:paraId="5642E6B2" w14:textId="77777777" w:rsidR="00915445" w:rsidRPr="00C913AC" w:rsidRDefault="00915445" w:rsidP="00E24614">
            <w:pPr>
              <w:rPr>
                <w:rFonts w:ascii="Arial Narrow" w:eastAsia="Times New Roman" w:hAnsi="Arial Narrow" w:cs="Arial"/>
                <w:i/>
                <w:iCs/>
                <w:kern w:val="0"/>
                <w:sz w:val="22"/>
                <w:szCs w:val="22"/>
                <w:lang w:eastAsia="en-AU"/>
                <w14:ligatures w14:val="none"/>
              </w:rPr>
            </w:pPr>
          </w:p>
          <w:p w14:paraId="71B844DA" w14:textId="3F93E4AE"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 where MPs are likely to establish diagnosis/treatment. </w:t>
            </w:r>
          </w:p>
          <w:p w14:paraId="0E780D41" w14:textId="5E30E22E" w:rsidR="00B27767" w:rsidRPr="00C913AC" w:rsidRDefault="00B27767" w:rsidP="00E24614">
            <w:pPr>
              <w:rPr>
                <w:rFonts w:ascii="Arial Narrow" w:eastAsia="Times New Roman" w:hAnsi="Arial Narrow" w:cs="Arial"/>
                <w:kern w:val="0"/>
                <w:sz w:val="22"/>
                <w:szCs w:val="22"/>
                <w:lang w:eastAsia="en-AU"/>
                <w14:ligatures w14:val="none"/>
              </w:rPr>
            </w:pPr>
          </w:p>
        </w:tc>
      </w:tr>
      <w:tr w:rsidR="00915445" w:rsidRPr="00C913AC" w14:paraId="578ED86B" w14:textId="77777777" w:rsidTr="00E24614">
        <w:trPr>
          <w:trHeight w:val="417"/>
        </w:trPr>
        <w:tc>
          <w:tcPr>
            <w:tcW w:w="3828" w:type="dxa"/>
          </w:tcPr>
          <w:p w14:paraId="793FD5DC"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Tobramycin inhalation (nebules and powder for inhalation)</w:t>
            </w:r>
          </w:p>
        </w:tc>
        <w:tc>
          <w:tcPr>
            <w:tcW w:w="3969" w:type="dxa"/>
          </w:tcPr>
          <w:p w14:paraId="20FC484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Proven Pseudomonas aeruginosa infection in a cystic fibrosis patient.</w:t>
            </w:r>
          </w:p>
        </w:tc>
        <w:tc>
          <w:tcPr>
            <w:tcW w:w="6095" w:type="dxa"/>
          </w:tcPr>
          <w:p w14:paraId="096D2F8C" w14:textId="7787CDBC"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3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 where patient care is being shared with a medical practitioner</w:t>
            </w:r>
            <w:r w:rsidR="003C28C8">
              <w:rPr>
                <w:rFonts w:ascii="Arial Narrow" w:eastAsia="Times New Roman" w:hAnsi="Arial Narrow" w:cs="Arial"/>
                <w:kern w:val="0"/>
                <w:sz w:val="22"/>
                <w:szCs w:val="22"/>
                <w:lang w:eastAsia="en-AU"/>
                <w14:ligatures w14:val="none"/>
              </w:rPr>
              <w:t>.</w:t>
            </w:r>
          </w:p>
          <w:p w14:paraId="3CC5D557"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048C1D26" w14:textId="77777777"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Principle 4 – complex condition where specialist is likely to oversee treatment.</w:t>
            </w:r>
          </w:p>
          <w:p w14:paraId="7D704833" w14:textId="57EDFBB4" w:rsidR="00D7271B" w:rsidRPr="00C913AC" w:rsidRDefault="00D7271B" w:rsidP="00E24614">
            <w:pPr>
              <w:rPr>
                <w:rFonts w:ascii="Arial Narrow" w:eastAsia="Times New Roman" w:hAnsi="Arial Narrow" w:cs="Arial"/>
                <w:kern w:val="0"/>
                <w:sz w:val="22"/>
                <w:szCs w:val="22"/>
                <w:lang w:eastAsia="en-AU"/>
                <w14:ligatures w14:val="none"/>
              </w:rPr>
            </w:pPr>
          </w:p>
        </w:tc>
      </w:tr>
      <w:tr w:rsidR="00915445" w:rsidRPr="00C913AC" w14:paraId="694F5182" w14:textId="77777777" w:rsidTr="00E24614">
        <w:trPr>
          <w:trHeight w:val="417"/>
        </w:trPr>
        <w:tc>
          <w:tcPr>
            <w:tcW w:w="3828" w:type="dxa"/>
          </w:tcPr>
          <w:p w14:paraId="1E115F82"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Trimethoprim + sulfamethoxazole</w:t>
            </w:r>
          </w:p>
        </w:tc>
        <w:tc>
          <w:tcPr>
            <w:tcW w:w="3969" w:type="dxa"/>
          </w:tcPr>
          <w:p w14:paraId="66BD2CD7" w14:textId="77777777" w:rsidR="00915445"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Prophylaxis of Pneumocystis jiroveci pneumonia (30 tablets, 2 repeats)</w:t>
            </w:r>
          </w:p>
          <w:p w14:paraId="0ED19CC7" w14:textId="5F3ABF40" w:rsidR="00D7271B" w:rsidRPr="00C913AC" w:rsidRDefault="00D7271B" w:rsidP="00E24614">
            <w:pPr>
              <w:rPr>
                <w:rFonts w:ascii="Arial Narrow" w:eastAsia="Times New Roman" w:hAnsi="Arial Narrow" w:cs="Arial"/>
                <w:kern w:val="0"/>
                <w:sz w:val="22"/>
                <w:szCs w:val="22"/>
                <w:lang w:eastAsia="en-AU"/>
                <w14:ligatures w14:val="none"/>
              </w:rPr>
            </w:pPr>
          </w:p>
        </w:tc>
        <w:tc>
          <w:tcPr>
            <w:tcW w:w="6095" w:type="dxa"/>
          </w:tcPr>
          <w:p w14:paraId="1A783E22" w14:textId="22A1C7C0"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w:t>
            </w:r>
            <w:r w:rsidR="00EB5432">
              <w:rPr>
                <w:rFonts w:ascii="Arial Narrow" w:eastAsia="Times New Roman" w:hAnsi="Arial Narrow" w:cs="Arial"/>
                <w:kern w:val="0"/>
                <w:sz w:val="22"/>
                <w:szCs w:val="22"/>
                <w:lang w:eastAsia="en-AU"/>
                <w14:ligatures w14:val="none"/>
              </w:rPr>
              <w:t>.</w:t>
            </w:r>
          </w:p>
          <w:p w14:paraId="11F46EE7" w14:textId="77777777" w:rsidR="00915445" w:rsidRPr="00C913AC" w:rsidRDefault="00915445" w:rsidP="00E24614">
            <w:pPr>
              <w:rPr>
                <w:rFonts w:ascii="Arial Narrow" w:eastAsia="Times New Roman" w:hAnsi="Arial Narrow" w:cs="Arial"/>
                <w:kern w:val="0"/>
                <w:sz w:val="22"/>
                <w:szCs w:val="22"/>
                <w:lang w:eastAsia="en-AU"/>
                <w14:ligatures w14:val="none"/>
              </w:rPr>
            </w:pPr>
          </w:p>
        </w:tc>
      </w:tr>
      <w:tr w:rsidR="00915445" w:rsidRPr="00C913AC" w14:paraId="15B8CE0C" w14:textId="77777777" w:rsidTr="00E24614">
        <w:trPr>
          <w:trHeight w:val="485"/>
        </w:trPr>
        <w:tc>
          <w:tcPr>
            <w:tcW w:w="3828" w:type="dxa"/>
          </w:tcPr>
          <w:p w14:paraId="22F6CDE8"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Vancomycin capsules</w:t>
            </w:r>
          </w:p>
        </w:tc>
        <w:tc>
          <w:tcPr>
            <w:tcW w:w="3969" w:type="dxa"/>
          </w:tcPr>
          <w:p w14:paraId="71460369"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Antibiotic associated pseudomembranous colitis</w:t>
            </w:r>
          </w:p>
        </w:tc>
        <w:tc>
          <w:tcPr>
            <w:tcW w:w="6095" w:type="dxa"/>
          </w:tcPr>
          <w:p w14:paraId="25FDD3F3" w14:textId="40005DB6"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 of the capsules (injection form not requested)</w:t>
            </w:r>
            <w:r w:rsidR="00EB5432">
              <w:rPr>
                <w:rFonts w:ascii="Arial Narrow" w:eastAsia="Times New Roman" w:hAnsi="Arial Narrow" w:cs="Arial"/>
                <w:kern w:val="0"/>
                <w:sz w:val="22"/>
                <w:szCs w:val="22"/>
                <w:lang w:eastAsia="en-AU"/>
                <w14:ligatures w14:val="none"/>
              </w:rPr>
              <w:t>.</w:t>
            </w:r>
          </w:p>
        </w:tc>
      </w:tr>
      <w:tr w:rsidR="00915445" w:rsidRPr="00C913AC" w14:paraId="4843CFDA" w14:textId="77777777" w:rsidTr="00E24614">
        <w:trPr>
          <w:trHeight w:val="170"/>
        </w:trPr>
        <w:tc>
          <w:tcPr>
            <w:tcW w:w="13892" w:type="dxa"/>
            <w:gridSpan w:val="3"/>
          </w:tcPr>
          <w:p w14:paraId="6DC561BF"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lastRenderedPageBreak/>
              <w:t xml:space="preserve">Rheumatology </w:t>
            </w:r>
          </w:p>
        </w:tc>
      </w:tr>
      <w:tr w:rsidR="00915445" w:rsidRPr="00C913AC" w14:paraId="0EFE002C" w14:textId="77777777" w:rsidTr="00E24614">
        <w:trPr>
          <w:trHeight w:val="1584"/>
        </w:trPr>
        <w:tc>
          <w:tcPr>
            <w:tcW w:w="3828" w:type="dxa"/>
            <w:hideMark/>
          </w:tcPr>
          <w:p w14:paraId="6C89B496"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t xml:space="preserve">Biologics </w:t>
            </w:r>
          </w:p>
          <w:p w14:paraId="66067619" w14:textId="76262D66" w:rsidR="00C76484"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Adalimumab, abatacept, certolizumab, etanercept, infliximab, ixekizumab, golimumab, secukinumab, tocilizumab </w:t>
            </w:r>
          </w:p>
          <w:p w14:paraId="65E4A9F8" w14:textId="77777777" w:rsidR="00915445" w:rsidRPr="00C913AC" w:rsidRDefault="00915445" w:rsidP="00E24614">
            <w:pPr>
              <w:rPr>
                <w:rFonts w:ascii="Arial Narrow" w:eastAsia="Times New Roman" w:hAnsi="Arial Narrow" w:cs="Arial"/>
                <w:b/>
                <w:bCs/>
                <w:i/>
                <w:iCs/>
                <w:kern w:val="0"/>
                <w:sz w:val="22"/>
                <w:szCs w:val="22"/>
                <w:lang w:eastAsia="en-AU"/>
                <w14:ligatures w14:val="none"/>
              </w:rPr>
            </w:pPr>
          </w:p>
          <w:p w14:paraId="10597287"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t>JAK inhibitors</w:t>
            </w:r>
            <w:r w:rsidRPr="00C913AC">
              <w:rPr>
                <w:rFonts w:ascii="Arial Narrow" w:eastAsia="Times New Roman" w:hAnsi="Arial Narrow" w:cs="Arial"/>
                <w:kern w:val="0"/>
                <w:sz w:val="22"/>
                <w:szCs w:val="22"/>
                <w:lang w:eastAsia="en-AU"/>
                <w14:ligatures w14:val="none"/>
              </w:rPr>
              <w:t xml:space="preserve"> – Baricitinib, tofacitinib</w:t>
            </w:r>
          </w:p>
          <w:p w14:paraId="528B59F1" w14:textId="77777777" w:rsidR="00915445" w:rsidRPr="00C913AC" w:rsidRDefault="00915445" w:rsidP="00E24614">
            <w:pPr>
              <w:rPr>
                <w:rFonts w:ascii="Arial Narrow" w:eastAsia="Times New Roman" w:hAnsi="Arial Narrow" w:cs="Arial"/>
                <w:kern w:val="0"/>
                <w:sz w:val="22"/>
                <w:szCs w:val="22"/>
                <w:lang w:eastAsia="en-AU"/>
                <w14:ligatures w14:val="none"/>
              </w:rPr>
            </w:pPr>
          </w:p>
        </w:tc>
        <w:tc>
          <w:tcPr>
            <w:tcW w:w="3969" w:type="dxa"/>
          </w:tcPr>
          <w:p w14:paraId="47065588"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All PBS indications</w:t>
            </w:r>
          </w:p>
        </w:tc>
        <w:tc>
          <w:tcPr>
            <w:tcW w:w="6095" w:type="dxa"/>
          </w:tcPr>
          <w:p w14:paraId="590C1A39" w14:textId="5E37706B"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4 – Exclude</w:t>
            </w:r>
            <w:r w:rsidR="00EB5432">
              <w:rPr>
                <w:rFonts w:ascii="Arial Narrow" w:eastAsia="Times New Roman" w:hAnsi="Arial Narrow" w:cs="Arial"/>
                <w:kern w:val="0"/>
                <w:sz w:val="22"/>
                <w:szCs w:val="22"/>
                <w:lang w:eastAsia="en-AU"/>
                <w14:ligatures w14:val="none"/>
              </w:rPr>
              <w:t>.</w:t>
            </w:r>
          </w:p>
          <w:p w14:paraId="4056D20D"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6C5B8B5B" w14:textId="531A8A27" w:rsidR="00915445" w:rsidRPr="00C913AC"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conditions where specialist medical practitioners are likely to oversee treatment.</w:t>
            </w:r>
            <w:r w:rsidR="00C76484" w:rsidRPr="009A3EB7">
              <w:rPr>
                <w:rFonts w:ascii="Arial Narrow" w:eastAsia="Times New Roman" w:hAnsi="Arial Narrow" w:cs="Arial"/>
                <w:i/>
                <w:iCs/>
                <w:kern w:val="0"/>
                <w:sz w:val="22"/>
                <w:szCs w:val="22"/>
                <w:lang w:eastAsia="en-AU"/>
                <w14:ligatures w14:val="none"/>
              </w:rPr>
              <w:t xml:space="preserve"> Specialist only medicines. </w:t>
            </w:r>
          </w:p>
        </w:tc>
      </w:tr>
      <w:tr w:rsidR="00915445" w:rsidRPr="00C913AC" w14:paraId="1B923F03" w14:textId="77777777" w:rsidTr="00E24614">
        <w:trPr>
          <w:trHeight w:val="283"/>
        </w:trPr>
        <w:tc>
          <w:tcPr>
            <w:tcW w:w="3828" w:type="dxa"/>
            <w:hideMark/>
          </w:tcPr>
          <w:p w14:paraId="415950DB" w14:textId="77777777" w:rsidR="00915445" w:rsidRPr="00C913AC" w:rsidRDefault="00915445" w:rsidP="00E24614">
            <w:pPr>
              <w:rPr>
                <w:rFonts w:ascii="Arial Narrow" w:eastAsia="Times New Roman" w:hAnsi="Arial Narrow" w:cs="Arial"/>
                <w:b/>
                <w:bCs/>
                <w:i/>
                <w:iCs/>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t xml:space="preserve">Disease modifying anti-rheumatic drugs </w:t>
            </w:r>
          </w:p>
          <w:p w14:paraId="1A7FB63B"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Leflunomide</w:t>
            </w:r>
          </w:p>
        </w:tc>
        <w:tc>
          <w:tcPr>
            <w:tcW w:w="3969" w:type="dxa"/>
          </w:tcPr>
          <w:p w14:paraId="307EB2A7"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Severe active rheumatoid </w:t>
            </w:r>
            <w:proofErr w:type="spellStart"/>
            <w:r w:rsidRPr="00C913AC">
              <w:rPr>
                <w:rFonts w:ascii="Arial Narrow" w:eastAsia="Times New Roman" w:hAnsi="Arial Narrow" w:cs="Arial"/>
                <w:kern w:val="0"/>
                <w:sz w:val="22"/>
                <w:szCs w:val="22"/>
                <w:lang w:eastAsia="en-AU"/>
                <w14:ligatures w14:val="none"/>
              </w:rPr>
              <w:t>arthritis</w:t>
            </w:r>
            <w:r w:rsidRPr="00C913AC">
              <w:rPr>
                <w:rFonts w:ascii="Arial Narrow" w:eastAsia="Times New Roman" w:hAnsi="Arial Narrow" w:cs="Arial"/>
                <w:kern w:val="0"/>
                <w:sz w:val="22"/>
                <w:szCs w:val="22"/>
                <w:vertAlign w:val="superscript"/>
                <w:lang w:eastAsia="en-AU"/>
                <w14:ligatures w14:val="none"/>
              </w:rPr>
              <w:t>a</w:t>
            </w:r>
            <w:proofErr w:type="spellEnd"/>
          </w:p>
          <w:p w14:paraId="07987382"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Severe active psoriatic </w:t>
            </w:r>
            <w:proofErr w:type="spellStart"/>
            <w:r w:rsidRPr="00C913AC">
              <w:rPr>
                <w:rFonts w:ascii="Arial Narrow" w:eastAsia="Times New Roman" w:hAnsi="Arial Narrow" w:cs="Arial"/>
                <w:kern w:val="0"/>
                <w:sz w:val="22"/>
                <w:szCs w:val="22"/>
                <w:lang w:eastAsia="en-AU"/>
                <w14:ligatures w14:val="none"/>
              </w:rPr>
              <w:t>arthritis</w:t>
            </w:r>
            <w:r w:rsidRPr="00C913AC">
              <w:rPr>
                <w:rFonts w:ascii="Arial Narrow" w:eastAsia="Times New Roman" w:hAnsi="Arial Narrow" w:cs="Arial"/>
                <w:kern w:val="0"/>
                <w:sz w:val="22"/>
                <w:szCs w:val="22"/>
                <w:vertAlign w:val="superscript"/>
                <w:lang w:eastAsia="en-AU"/>
                <w14:ligatures w14:val="none"/>
              </w:rPr>
              <w:t>a</w:t>
            </w:r>
            <w:proofErr w:type="spellEnd"/>
          </w:p>
        </w:tc>
        <w:tc>
          <w:tcPr>
            <w:tcW w:w="6095" w:type="dxa"/>
          </w:tcPr>
          <w:p w14:paraId="7E93F699" w14:textId="05D97872"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2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continuation</w:t>
            </w:r>
            <w:r w:rsidR="00023137">
              <w:rPr>
                <w:rFonts w:ascii="Arial Narrow" w:eastAsia="Times New Roman" w:hAnsi="Arial Narrow" w:cs="Arial"/>
                <w:kern w:val="0"/>
                <w:sz w:val="22"/>
                <w:szCs w:val="22"/>
                <w:lang w:eastAsia="en-AU"/>
                <w14:ligatures w14:val="none"/>
              </w:rPr>
              <w:t xml:space="preserve"> of therapy</w:t>
            </w:r>
            <w:r w:rsidR="00EB5432">
              <w:rPr>
                <w:rFonts w:ascii="Arial Narrow" w:eastAsia="Times New Roman" w:hAnsi="Arial Narrow" w:cs="Arial"/>
                <w:kern w:val="0"/>
                <w:sz w:val="22"/>
                <w:szCs w:val="22"/>
                <w:lang w:eastAsia="en-AU"/>
                <w14:ligatures w14:val="none"/>
              </w:rPr>
              <w:t>.</w:t>
            </w:r>
          </w:p>
          <w:p w14:paraId="0D684A84"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79462425" w14:textId="0C670F41"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 where MPs are likely to establish diagnosis/treatment. Existing restriction already limits initiation to a physician. </w:t>
            </w:r>
          </w:p>
          <w:p w14:paraId="01FB2A4B" w14:textId="66AEB601" w:rsidR="00393ADC" w:rsidRPr="00C913AC" w:rsidRDefault="00393ADC" w:rsidP="00E24614">
            <w:pPr>
              <w:rPr>
                <w:rFonts w:ascii="Arial Narrow" w:eastAsia="Times New Roman" w:hAnsi="Arial Narrow" w:cs="Arial"/>
                <w:i/>
                <w:iCs/>
                <w:kern w:val="0"/>
                <w:sz w:val="22"/>
                <w:szCs w:val="22"/>
                <w:lang w:eastAsia="en-AU"/>
                <w14:ligatures w14:val="none"/>
              </w:rPr>
            </w:pPr>
          </w:p>
        </w:tc>
      </w:tr>
      <w:tr w:rsidR="00915445" w:rsidRPr="00C913AC" w14:paraId="09B9D12F" w14:textId="77777777" w:rsidTr="006F3EFD">
        <w:trPr>
          <w:trHeight w:val="283"/>
        </w:trPr>
        <w:tc>
          <w:tcPr>
            <w:tcW w:w="3828" w:type="dxa"/>
          </w:tcPr>
          <w:p w14:paraId="23F1FB89" w14:textId="77777777" w:rsidR="00915445" w:rsidRDefault="00915445" w:rsidP="00E24614">
            <w:pPr>
              <w:contextualSpacing/>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Methotrexate pre-filled syringes (Trexject)</w:t>
            </w:r>
          </w:p>
          <w:p w14:paraId="0533E234" w14:textId="2EF15ADE" w:rsidR="00393ADC" w:rsidRPr="00C913AC" w:rsidRDefault="00393ADC" w:rsidP="00E24614">
            <w:pPr>
              <w:contextualSpacing/>
              <w:rPr>
                <w:rFonts w:ascii="Arial Narrow" w:eastAsia="Times New Roman" w:hAnsi="Arial Narrow" w:cs="Arial"/>
                <w:kern w:val="0"/>
                <w:sz w:val="22"/>
                <w:szCs w:val="22"/>
                <w:lang w:eastAsia="en-AU"/>
                <w14:ligatures w14:val="none"/>
              </w:rPr>
            </w:pPr>
          </w:p>
        </w:tc>
        <w:tc>
          <w:tcPr>
            <w:tcW w:w="3969" w:type="dxa"/>
          </w:tcPr>
          <w:p w14:paraId="32799AC4" w14:textId="77777777" w:rsidR="00915445" w:rsidRPr="00C913AC" w:rsidRDefault="00915445" w:rsidP="00E24614">
            <w:pPr>
              <w:contextualSpacing/>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Severe active juvenile idiopathic arthritis </w:t>
            </w:r>
          </w:p>
        </w:tc>
        <w:tc>
          <w:tcPr>
            <w:tcW w:w="6095" w:type="dxa"/>
          </w:tcPr>
          <w:p w14:paraId="7E331BAE" w14:textId="45B69CCE" w:rsidR="00915445" w:rsidRPr="00C913AC" w:rsidRDefault="00915445" w:rsidP="00E24614">
            <w:pPr>
              <w:contextualSpacing/>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1 – Permit NP prescribing</w:t>
            </w:r>
            <w:r w:rsidR="00EB5432">
              <w:rPr>
                <w:rFonts w:ascii="Arial Narrow" w:eastAsia="Times New Roman" w:hAnsi="Arial Narrow" w:cs="Arial"/>
                <w:kern w:val="0"/>
                <w:sz w:val="22"/>
                <w:szCs w:val="22"/>
                <w:lang w:eastAsia="en-AU"/>
                <w14:ligatures w14:val="none"/>
              </w:rPr>
              <w:t>.</w:t>
            </w:r>
          </w:p>
        </w:tc>
      </w:tr>
      <w:tr w:rsidR="00915445" w:rsidRPr="00C913AC" w14:paraId="20C5511F" w14:textId="77777777" w:rsidTr="00E24614">
        <w:trPr>
          <w:trHeight w:val="219"/>
        </w:trPr>
        <w:tc>
          <w:tcPr>
            <w:tcW w:w="13892" w:type="dxa"/>
            <w:gridSpan w:val="3"/>
          </w:tcPr>
          <w:p w14:paraId="389AAC00"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t>Metabolic disorders</w:t>
            </w:r>
          </w:p>
        </w:tc>
      </w:tr>
      <w:tr w:rsidR="00915445" w:rsidRPr="00C913AC" w14:paraId="535F406B" w14:textId="77777777" w:rsidTr="00E24614">
        <w:trPr>
          <w:trHeight w:val="417"/>
        </w:trPr>
        <w:tc>
          <w:tcPr>
            <w:tcW w:w="3828" w:type="dxa"/>
          </w:tcPr>
          <w:p w14:paraId="4CC5D2ED"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Sapropterin – initial treatment (including responsiveness testing)</w:t>
            </w:r>
          </w:p>
        </w:tc>
        <w:tc>
          <w:tcPr>
            <w:tcW w:w="3969" w:type="dxa"/>
          </w:tcPr>
          <w:p w14:paraId="5C399E92"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Hyperphenylalaninaemia</w:t>
            </w:r>
            <w:r w:rsidRPr="00C913AC">
              <w:rPr>
                <w:rFonts w:ascii="Arial Narrow" w:eastAsia="Times New Roman" w:hAnsi="Arial Narrow" w:cs="Arial"/>
                <w:kern w:val="0"/>
                <w:sz w:val="22"/>
                <w:szCs w:val="22"/>
                <w:vertAlign w:val="superscript"/>
                <w:lang w:eastAsia="en-AU"/>
                <w14:ligatures w14:val="none"/>
              </w:rPr>
              <w:t>a</w:t>
            </w:r>
          </w:p>
          <w:p w14:paraId="29852407"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Hyperphenylalaninaemia (HPA) due to phenylketonuria (PKU)</w:t>
            </w:r>
            <w:r w:rsidRPr="00C913AC">
              <w:rPr>
                <w:rFonts w:ascii="Arial Narrow" w:eastAsia="Times New Roman" w:hAnsi="Arial Narrow" w:cs="Arial"/>
                <w:kern w:val="0"/>
                <w:sz w:val="22"/>
                <w:szCs w:val="22"/>
                <w:vertAlign w:val="superscript"/>
                <w:lang w:eastAsia="en-AU"/>
                <w14:ligatures w14:val="none"/>
              </w:rPr>
              <w:t>a</w:t>
            </w:r>
          </w:p>
          <w:p w14:paraId="73C3E3FA"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 xml:space="preserve">Hyperphenylalaninaemia (HPA) due to tetrahydrobiopterin (BH4) </w:t>
            </w:r>
            <w:proofErr w:type="spellStart"/>
            <w:r w:rsidRPr="00C913AC">
              <w:rPr>
                <w:rFonts w:ascii="Arial Narrow" w:eastAsia="Times New Roman" w:hAnsi="Arial Narrow" w:cs="Arial"/>
                <w:kern w:val="0"/>
                <w:sz w:val="22"/>
                <w:szCs w:val="22"/>
                <w:lang w:eastAsia="en-AU"/>
                <w14:ligatures w14:val="none"/>
              </w:rPr>
              <w:t>deficiency</w:t>
            </w:r>
            <w:r w:rsidRPr="00C913AC">
              <w:rPr>
                <w:rFonts w:ascii="Arial Narrow" w:eastAsia="Times New Roman" w:hAnsi="Arial Narrow" w:cs="Arial"/>
                <w:kern w:val="0"/>
                <w:sz w:val="22"/>
                <w:szCs w:val="22"/>
                <w:vertAlign w:val="superscript"/>
                <w:lang w:eastAsia="en-AU"/>
                <w14:ligatures w14:val="none"/>
              </w:rPr>
              <w:t>a</w:t>
            </w:r>
            <w:proofErr w:type="spellEnd"/>
          </w:p>
          <w:p w14:paraId="576ED096" w14:textId="62575ACF" w:rsidR="00915445" w:rsidRPr="00C913AC" w:rsidRDefault="00915445" w:rsidP="00E24614">
            <w:pPr>
              <w:rPr>
                <w:rFonts w:ascii="Arial Narrow" w:eastAsia="Times New Roman" w:hAnsi="Arial Narrow" w:cs="Arial"/>
                <w:kern w:val="0"/>
                <w:sz w:val="22"/>
                <w:szCs w:val="22"/>
                <w:vertAlign w:val="superscript"/>
                <w:lang w:eastAsia="en-AU"/>
                <w14:ligatures w14:val="none"/>
              </w:rPr>
            </w:pPr>
            <w:r w:rsidRPr="00C913AC">
              <w:rPr>
                <w:rFonts w:ascii="Arial Narrow" w:eastAsia="Times New Roman" w:hAnsi="Arial Narrow" w:cs="Arial"/>
                <w:kern w:val="0"/>
                <w:sz w:val="22"/>
                <w:szCs w:val="22"/>
                <w:lang w:eastAsia="en-AU"/>
                <w14:ligatures w14:val="none"/>
              </w:rPr>
              <w:t>Maternal hyperphenylalaninaemia (HPA) due to phenylketonuria (PKU)</w:t>
            </w:r>
            <w:r w:rsidRPr="00C913AC">
              <w:rPr>
                <w:rFonts w:ascii="Arial Narrow" w:eastAsia="Times New Roman" w:hAnsi="Arial Narrow" w:cs="Arial"/>
                <w:kern w:val="0"/>
                <w:sz w:val="22"/>
                <w:szCs w:val="22"/>
                <w:vertAlign w:val="superscript"/>
                <w:lang w:eastAsia="en-AU"/>
                <w14:ligatures w14:val="none"/>
              </w:rPr>
              <w:t>g</w:t>
            </w:r>
          </w:p>
        </w:tc>
        <w:tc>
          <w:tcPr>
            <w:tcW w:w="6095" w:type="dxa"/>
          </w:tcPr>
          <w:p w14:paraId="5144E2C2" w14:textId="09AA5804"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Outcome 4 – Exclude</w:t>
            </w:r>
            <w:r w:rsidR="00EB5432">
              <w:rPr>
                <w:rFonts w:ascii="Arial Narrow" w:eastAsia="Times New Roman" w:hAnsi="Arial Narrow" w:cs="Arial"/>
                <w:kern w:val="0"/>
                <w:sz w:val="22"/>
                <w:szCs w:val="22"/>
                <w:lang w:eastAsia="en-AU"/>
                <w14:ligatures w14:val="none"/>
              </w:rPr>
              <w:t>.</w:t>
            </w:r>
          </w:p>
          <w:p w14:paraId="5ABC0544"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27B48501" w14:textId="4E39E9A5"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 xml:space="preserve">Principle 4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i/>
                <w:iCs/>
                <w:kern w:val="0"/>
                <w:sz w:val="22"/>
                <w:szCs w:val="22"/>
                <w:lang w:eastAsia="en-AU"/>
                <w14:ligatures w14:val="none"/>
              </w:rPr>
              <w:t xml:space="preserve"> complex conditions where specialists are likely to oversee treatment.</w:t>
            </w:r>
            <w:r w:rsidR="003C28C8">
              <w:rPr>
                <w:rFonts w:ascii="Arial Narrow" w:eastAsia="Times New Roman" w:hAnsi="Arial Narrow" w:cs="Arial"/>
                <w:i/>
                <w:iCs/>
                <w:kern w:val="0"/>
                <w:sz w:val="22"/>
                <w:szCs w:val="22"/>
                <w:lang w:eastAsia="en-AU"/>
                <w14:ligatures w14:val="none"/>
              </w:rPr>
              <w:t xml:space="preserve"> </w:t>
            </w:r>
            <w:r w:rsidRPr="00C913AC">
              <w:rPr>
                <w:rFonts w:ascii="Arial Narrow" w:eastAsia="Times New Roman" w:hAnsi="Arial Narrow" w:cs="Arial"/>
                <w:i/>
                <w:iCs/>
                <w:kern w:val="0"/>
                <w:sz w:val="22"/>
                <w:szCs w:val="22"/>
                <w:lang w:eastAsia="en-AU"/>
                <w14:ligatures w14:val="none"/>
              </w:rPr>
              <w:t>Specialist expertise required to make the diagnosis. NPs already eligible to continue treatment.</w:t>
            </w:r>
          </w:p>
        </w:tc>
      </w:tr>
      <w:tr w:rsidR="00915445" w:rsidRPr="00C913AC" w14:paraId="2FF813BA" w14:textId="77777777" w:rsidTr="00E24614">
        <w:trPr>
          <w:trHeight w:val="417"/>
        </w:trPr>
        <w:tc>
          <w:tcPr>
            <w:tcW w:w="3828" w:type="dxa"/>
          </w:tcPr>
          <w:p w14:paraId="08372689"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Betaine</w:t>
            </w:r>
          </w:p>
        </w:tc>
        <w:tc>
          <w:tcPr>
            <w:tcW w:w="3969" w:type="dxa"/>
          </w:tcPr>
          <w:p w14:paraId="46CE0B31" w14:textId="77777777" w:rsidR="00915445" w:rsidRPr="00C913AC" w:rsidRDefault="00915445" w:rsidP="00E24614">
            <w:pPr>
              <w:rPr>
                <w:rFonts w:ascii="Arial Narrow" w:eastAsia="Times New Roman" w:hAnsi="Arial Narrow" w:cs="Arial"/>
                <w:kern w:val="0"/>
                <w:sz w:val="22"/>
                <w:szCs w:val="22"/>
                <w:vertAlign w:val="superscript"/>
                <w:lang w:eastAsia="en-AU"/>
                <w14:ligatures w14:val="none"/>
              </w:rPr>
            </w:pPr>
            <w:proofErr w:type="spellStart"/>
            <w:r w:rsidRPr="00C913AC">
              <w:rPr>
                <w:rFonts w:ascii="Arial Narrow" w:eastAsia="Times New Roman" w:hAnsi="Arial Narrow" w:cs="Arial"/>
                <w:kern w:val="0"/>
                <w:sz w:val="22"/>
                <w:szCs w:val="22"/>
                <w:lang w:eastAsia="en-AU"/>
                <w14:ligatures w14:val="none"/>
              </w:rPr>
              <w:t>Homocystinuria</w:t>
            </w:r>
            <w:r w:rsidRPr="00C913AC">
              <w:rPr>
                <w:rFonts w:ascii="Arial Narrow" w:eastAsia="Times New Roman" w:hAnsi="Arial Narrow" w:cs="Arial"/>
                <w:kern w:val="0"/>
                <w:sz w:val="22"/>
                <w:szCs w:val="22"/>
                <w:vertAlign w:val="superscript"/>
                <w:lang w:eastAsia="en-AU"/>
                <w14:ligatures w14:val="none"/>
              </w:rPr>
              <w:t>c</w:t>
            </w:r>
            <w:proofErr w:type="spellEnd"/>
          </w:p>
        </w:tc>
        <w:tc>
          <w:tcPr>
            <w:tcW w:w="6095" w:type="dxa"/>
          </w:tcPr>
          <w:p w14:paraId="69904432" w14:textId="10E64DE6"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 </w:t>
            </w:r>
          </w:p>
          <w:p w14:paraId="5E95137F"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77F047BA" w14:textId="77777777" w:rsidR="00A020F6"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Existing restrictions already state treatment must be by, or in consultation with a metabolic physician with the specialist’s name included in the authority approval.</w:t>
            </w:r>
          </w:p>
          <w:p w14:paraId="1819C71B" w14:textId="6A56AF62" w:rsidR="005F1661" w:rsidRPr="00C913AC" w:rsidRDefault="005F1661" w:rsidP="00E24614">
            <w:pPr>
              <w:rPr>
                <w:rFonts w:ascii="Arial Narrow" w:eastAsia="Times New Roman" w:hAnsi="Arial Narrow" w:cs="Arial"/>
                <w:i/>
                <w:iCs/>
                <w:kern w:val="0"/>
                <w:sz w:val="22"/>
                <w:szCs w:val="22"/>
                <w:lang w:eastAsia="en-AU"/>
                <w14:ligatures w14:val="none"/>
              </w:rPr>
            </w:pPr>
          </w:p>
        </w:tc>
      </w:tr>
      <w:tr w:rsidR="00915445" w:rsidRPr="00C913AC" w14:paraId="7F4BA369" w14:textId="77777777" w:rsidTr="00E24614">
        <w:trPr>
          <w:trHeight w:val="275"/>
        </w:trPr>
        <w:tc>
          <w:tcPr>
            <w:tcW w:w="13892" w:type="dxa"/>
            <w:gridSpan w:val="3"/>
          </w:tcPr>
          <w:p w14:paraId="5B1993E5"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b/>
                <w:bCs/>
                <w:i/>
                <w:iCs/>
                <w:kern w:val="0"/>
                <w:sz w:val="22"/>
                <w:szCs w:val="22"/>
                <w:lang w:eastAsia="en-AU"/>
                <w14:ligatures w14:val="none"/>
              </w:rPr>
              <w:lastRenderedPageBreak/>
              <w:t>Respiratory disorders</w:t>
            </w:r>
          </w:p>
        </w:tc>
      </w:tr>
      <w:tr w:rsidR="00915445" w:rsidRPr="00C913AC" w14:paraId="06EA1CDD" w14:textId="77777777" w:rsidTr="00E24614">
        <w:trPr>
          <w:trHeight w:val="692"/>
        </w:trPr>
        <w:tc>
          <w:tcPr>
            <w:tcW w:w="3828" w:type="dxa"/>
          </w:tcPr>
          <w:p w14:paraId="13C8F094"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Nintedanib</w:t>
            </w:r>
          </w:p>
          <w:p w14:paraId="1EC213F1"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Pirfenidone</w:t>
            </w:r>
          </w:p>
          <w:p w14:paraId="1683C48B" w14:textId="77777777" w:rsidR="00915445" w:rsidRPr="00C913AC" w:rsidRDefault="00915445" w:rsidP="00E24614">
            <w:pPr>
              <w:rPr>
                <w:rFonts w:ascii="Arial Narrow" w:eastAsia="Times New Roman" w:hAnsi="Arial Narrow" w:cs="Arial"/>
                <w:kern w:val="0"/>
                <w:sz w:val="22"/>
                <w:szCs w:val="22"/>
                <w:lang w:eastAsia="en-AU"/>
                <w14:ligatures w14:val="none"/>
              </w:rPr>
            </w:pPr>
          </w:p>
        </w:tc>
        <w:tc>
          <w:tcPr>
            <w:tcW w:w="3969" w:type="dxa"/>
          </w:tcPr>
          <w:p w14:paraId="5817C09E" w14:textId="77777777"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Idiopathic pulmonary </w:t>
            </w:r>
            <w:proofErr w:type="spellStart"/>
            <w:r w:rsidRPr="00C913AC">
              <w:rPr>
                <w:rFonts w:ascii="Arial Narrow" w:eastAsia="Times New Roman" w:hAnsi="Arial Narrow" w:cs="Arial"/>
                <w:kern w:val="0"/>
                <w:sz w:val="22"/>
                <w:szCs w:val="22"/>
                <w:lang w:eastAsia="en-AU"/>
                <w14:ligatures w14:val="none"/>
              </w:rPr>
              <w:t>fibrosis</w:t>
            </w:r>
            <w:r w:rsidRPr="00C913AC">
              <w:rPr>
                <w:rFonts w:ascii="Arial Narrow" w:eastAsia="Times New Roman" w:hAnsi="Arial Narrow" w:cs="Arial"/>
                <w:kern w:val="0"/>
                <w:sz w:val="22"/>
                <w:szCs w:val="22"/>
                <w:vertAlign w:val="superscript"/>
                <w:lang w:eastAsia="en-AU"/>
                <w14:ligatures w14:val="none"/>
              </w:rPr>
              <w:t>c</w:t>
            </w:r>
            <w:proofErr w:type="spellEnd"/>
            <w:r w:rsidRPr="00C913AC">
              <w:rPr>
                <w:rFonts w:ascii="Arial Narrow" w:eastAsia="Times New Roman" w:hAnsi="Arial Narrow" w:cs="Arial"/>
                <w:kern w:val="0"/>
                <w:sz w:val="22"/>
                <w:szCs w:val="22"/>
                <w:lang w:eastAsia="en-AU"/>
                <w14:ligatures w14:val="none"/>
              </w:rPr>
              <w:t xml:space="preserve"> </w:t>
            </w:r>
          </w:p>
        </w:tc>
        <w:tc>
          <w:tcPr>
            <w:tcW w:w="6095" w:type="dxa"/>
          </w:tcPr>
          <w:p w14:paraId="2245491D" w14:textId="3A55178B" w:rsidR="00915445" w:rsidRPr="00C913AC" w:rsidRDefault="00915445" w:rsidP="00E24614">
            <w:pPr>
              <w:rPr>
                <w:rFonts w:ascii="Arial Narrow" w:eastAsia="Times New Roman" w:hAnsi="Arial Narrow" w:cs="Arial"/>
                <w:kern w:val="0"/>
                <w:sz w:val="22"/>
                <w:szCs w:val="22"/>
                <w:lang w:eastAsia="en-AU"/>
                <w14:ligatures w14:val="none"/>
              </w:rPr>
            </w:pPr>
            <w:r w:rsidRPr="00C913AC">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C913AC">
              <w:rPr>
                <w:rFonts w:ascii="Arial Narrow" w:eastAsia="Times New Roman" w:hAnsi="Arial Narrow" w:cs="Arial"/>
                <w:kern w:val="0"/>
                <w:sz w:val="22"/>
                <w:szCs w:val="22"/>
                <w:lang w:eastAsia="en-AU"/>
                <w14:ligatures w14:val="none"/>
              </w:rPr>
              <w:t xml:space="preserve"> Permit NP prescribing. </w:t>
            </w:r>
          </w:p>
          <w:p w14:paraId="57129D99" w14:textId="77777777" w:rsidR="00915445" w:rsidRPr="00C913AC" w:rsidRDefault="00915445" w:rsidP="00E24614">
            <w:pPr>
              <w:rPr>
                <w:rFonts w:ascii="Arial Narrow" w:eastAsia="Times New Roman" w:hAnsi="Arial Narrow" w:cs="Arial"/>
                <w:kern w:val="0"/>
                <w:sz w:val="22"/>
                <w:szCs w:val="22"/>
                <w:lang w:eastAsia="en-AU"/>
                <w14:ligatures w14:val="none"/>
              </w:rPr>
            </w:pPr>
          </w:p>
          <w:p w14:paraId="63FAF948" w14:textId="77777777" w:rsidR="00915445" w:rsidRDefault="00915445" w:rsidP="00E24614">
            <w:pPr>
              <w:rPr>
                <w:rFonts w:ascii="Arial Narrow" w:eastAsia="Times New Roman" w:hAnsi="Arial Narrow" w:cs="Arial"/>
                <w:i/>
                <w:iCs/>
                <w:kern w:val="0"/>
                <w:sz w:val="22"/>
                <w:szCs w:val="22"/>
                <w:lang w:eastAsia="en-AU"/>
                <w14:ligatures w14:val="none"/>
              </w:rPr>
            </w:pPr>
            <w:r w:rsidRPr="00C913AC">
              <w:rPr>
                <w:rFonts w:ascii="Arial Narrow" w:eastAsia="Times New Roman" w:hAnsi="Arial Narrow" w:cs="Arial"/>
                <w:i/>
                <w:iCs/>
                <w:kern w:val="0"/>
                <w:sz w:val="22"/>
                <w:szCs w:val="22"/>
                <w:lang w:eastAsia="en-AU"/>
                <w14:ligatures w14:val="none"/>
              </w:rPr>
              <w:t>Existing restriction already requires the condition to be diagnosed through a multi-disciplinary team and treated by, or in consultation with a specialist physician.</w:t>
            </w:r>
          </w:p>
          <w:p w14:paraId="0034DC0A" w14:textId="77777777" w:rsidR="00B3768E" w:rsidRPr="00C913AC" w:rsidRDefault="00B3768E" w:rsidP="00E24614">
            <w:pPr>
              <w:rPr>
                <w:rFonts w:ascii="Arial Narrow" w:eastAsia="Times New Roman" w:hAnsi="Arial Narrow" w:cs="Arial"/>
                <w:i/>
                <w:iCs/>
                <w:kern w:val="0"/>
                <w:sz w:val="22"/>
                <w:szCs w:val="22"/>
                <w:lang w:eastAsia="en-AU"/>
                <w14:ligatures w14:val="none"/>
              </w:rPr>
            </w:pPr>
          </w:p>
        </w:tc>
      </w:tr>
      <w:tr w:rsidR="00915445" w:rsidRPr="006F3EFD" w14:paraId="72424B83" w14:textId="77777777" w:rsidTr="00E24614">
        <w:trPr>
          <w:trHeight w:val="277"/>
        </w:trPr>
        <w:tc>
          <w:tcPr>
            <w:tcW w:w="13892" w:type="dxa"/>
            <w:gridSpan w:val="3"/>
          </w:tcPr>
          <w:p w14:paraId="5E620AB9"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b/>
                <w:bCs/>
                <w:i/>
                <w:iCs/>
                <w:kern w:val="0"/>
                <w:sz w:val="22"/>
                <w:szCs w:val="22"/>
                <w:lang w:eastAsia="en-AU"/>
                <w14:ligatures w14:val="none"/>
              </w:rPr>
              <w:t>Attention deficit hyperactivity disorder (ADHD) medicines (non-stimulant)</w:t>
            </w:r>
          </w:p>
        </w:tc>
      </w:tr>
      <w:tr w:rsidR="00915445" w:rsidRPr="006F3EFD" w14:paraId="1C8C539D" w14:textId="77777777" w:rsidTr="00E24614">
        <w:trPr>
          <w:trHeight w:val="417"/>
        </w:trPr>
        <w:tc>
          <w:tcPr>
            <w:tcW w:w="3828" w:type="dxa"/>
          </w:tcPr>
          <w:p w14:paraId="7457DC38"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Atomoxetine</w:t>
            </w:r>
          </w:p>
          <w:p w14:paraId="69A84574"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Guanfacine</w:t>
            </w:r>
          </w:p>
        </w:tc>
        <w:tc>
          <w:tcPr>
            <w:tcW w:w="3969" w:type="dxa"/>
          </w:tcPr>
          <w:p w14:paraId="777D6FBE"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Attention deficit hyperactivity </w:t>
            </w:r>
            <w:proofErr w:type="spellStart"/>
            <w:r w:rsidRPr="006F3EFD">
              <w:rPr>
                <w:rFonts w:ascii="Arial Narrow" w:eastAsia="Times New Roman" w:hAnsi="Arial Narrow" w:cs="Arial"/>
                <w:kern w:val="0"/>
                <w:sz w:val="22"/>
                <w:szCs w:val="22"/>
                <w:lang w:eastAsia="en-AU"/>
                <w14:ligatures w14:val="none"/>
              </w:rPr>
              <w:t>disorder</w:t>
            </w:r>
            <w:r w:rsidRPr="006F3EFD">
              <w:rPr>
                <w:rFonts w:ascii="Arial Narrow" w:eastAsia="Times New Roman" w:hAnsi="Arial Narrow" w:cs="Arial"/>
                <w:kern w:val="0"/>
                <w:sz w:val="22"/>
                <w:szCs w:val="22"/>
                <w:vertAlign w:val="superscript"/>
                <w:lang w:eastAsia="en-AU"/>
                <w14:ligatures w14:val="none"/>
              </w:rPr>
              <w:t>a</w:t>
            </w:r>
            <w:proofErr w:type="spellEnd"/>
          </w:p>
        </w:tc>
        <w:tc>
          <w:tcPr>
            <w:tcW w:w="6095" w:type="dxa"/>
          </w:tcPr>
          <w:p w14:paraId="5EF03A5D" w14:textId="3EB7711F" w:rsidR="00915445" w:rsidRPr="006F3EFD" w:rsidRDefault="00915445" w:rsidP="00E24614">
            <w:pPr>
              <w:rPr>
                <w:rFonts w:ascii="Arial Narrow" w:eastAsia="Times New Roman" w:hAnsi="Arial Narrow" w:cs="Arial"/>
                <w:i/>
                <w:iCs/>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2 </w:t>
            </w:r>
            <w:r w:rsidR="00EB5432">
              <w:rPr>
                <w:rFonts w:ascii="Arial Narrow" w:eastAsia="Times New Roman" w:hAnsi="Arial Narrow" w:cs="Arial"/>
                <w:kern w:val="0"/>
                <w:sz w:val="22"/>
                <w:szCs w:val="22"/>
                <w:lang w:eastAsia="en-AU"/>
                <w14:ligatures w14:val="none"/>
              </w:rPr>
              <w:t>–</w:t>
            </w:r>
            <w:r w:rsidRPr="006F3EFD">
              <w:rPr>
                <w:rFonts w:ascii="Arial Narrow" w:eastAsia="Times New Roman" w:hAnsi="Arial Narrow" w:cs="Arial"/>
                <w:kern w:val="0"/>
                <w:sz w:val="22"/>
                <w:szCs w:val="22"/>
                <w:lang w:eastAsia="en-AU"/>
                <w14:ligatures w14:val="none"/>
              </w:rPr>
              <w:t xml:space="preserve"> Permit NP continuation of therapy.</w:t>
            </w:r>
          </w:p>
          <w:p w14:paraId="02396602" w14:textId="77777777" w:rsidR="00B3768E" w:rsidRDefault="00B3768E" w:rsidP="00E24614">
            <w:pPr>
              <w:rPr>
                <w:rFonts w:ascii="Arial Narrow" w:eastAsia="Times New Roman" w:hAnsi="Arial Narrow" w:cs="Arial"/>
                <w:i/>
                <w:iCs/>
                <w:kern w:val="0"/>
                <w:sz w:val="22"/>
                <w:szCs w:val="22"/>
                <w:lang w:eastAsia="en-AU"/>
                <w14:ligatures w14:val="none"/>
              </w:rPr>
            </w:pPr>
          </w:p>
          <w:p w14:paraId="40FBF254" w14:textId="7D35563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i/>
                <w:iCs/>
                <w:kern w:val="0"/>
                <w:sz w:val="22"/>
                <w:szCs w:val="22"/>
                <w:lang w:eastAsia="en-AU"/>
                <w14:ligatures w14:val="none"/>
              </w:rPr>
              <w:t>Existing restriction already limits treatment initiation to a paediatrician or psychiatrist.</w:t>
            </w:r>
            <w:r w:rsidRPr="006F3EFD">
              <w:rPr>
                <w:rFonts w:ascii="Arial Narrow" w:eastAsia="Times New Roman" w:hAnsi="Arial Narrow" w:cs="Arial"/>
                <w:kern w:val="0"/>
                <w:sz w:val="22"/>
                <w:szCs w:val="22"/>
                <w:lang w:eastAsia="en-AU"/>
                <w14:ligatures w14:val="none"/>
              </w:rPr>
              <w:t xml:space="preserve">  </w:t>
            </w:r>
          </w:p>
        </w:tc>
      </w:tr>
      <w:tr w:rsidR="00915445" w:rsidRPr="006F3EFD" w14:paraId="4AE0732A" w14:textId="77777777" w:rsidTr="00E24614">
        <w:trPr>
          <w:trHeight w:val="313"/>
        </w:trPr>
        <w:tc>
          <w:tcPr>
            <w:tcW w:w="13892" w:type="dxa"/>
            <w:gridSpan w:val="3"/>
            <w:noWrap/>
          </w:tcPr>
          <w:p w14:paraId="4E70725F"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b/>
                <w:bCs/>
                <w:i/>
                <w:iCs/>
                <w:kern w:val="0"/>
                <w:sz w:val="22"/>
                <w:szCs w:val="22"/>
                <w:lang w:eastAsia="en-AU"/>
                <w14:ligatures w14:val="none"/>
              </w:rPr>
              <w:t>Miscellaneous</w:t>
            </w:r>
          </w:p>
        </w:tc>
      </w:tr>
      <w:tr w:rsidR="00915445" w:rsidRPr="006F3EFD" w14:paraId="30760237" w14:textId="77777777" w:rsidTr="00E24614">
        <w:trPr>
          <w:trHeight w:val="313"/>
        </w:trPr>
        <w:tc>
          <w:tcPr>
            <w:tcW w:w="3828" w:type="dxa"/>
            <w:noWrap/>
          </w:tcPr>
          <w:p w14:paraId="1FAEE521" w14:textId="77777777" w:rsidR="00915445" w:rsidRPr="006F3EFD" w:rsidRDefault="00915445" w:rsidP="00E24614">
            <w:pPr>
              <w:rPr>
                <w:rFonts w:ascii="Arial Narrow" w:eastAsia="Times New Roman" w:hAnsi="Arial Narrow" w:cs="Arial"/>
                <w:b/>
                <w:bCs/>
                <w:i/>
                <w:iCs/>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Amifampridine</w:t>
            </w:r>
          </w:p>
        </w:tc>
        <w:tc>
          <w:tcPr>
            <w:tcW w:w="3969" w:type="dxa"/>
          </w:tcPr>
          <w:p w14:paraId="1398F8C9" w14:textId="77777777" w:rsidR="00915445" w:rsidRPr="006F3EFD" w:rsidRDefault="00915445" w:rsidP="00E24614">
            <w:pPr>
              <w:rPr>
                <w:rFonts w:ascii="Arial Narrow" w:eastAsia="Times New Roman" w:hAnsi="Arial Narrow" w:cs="Arial"/>
                <w:b/>
                <w:bCs/>
                <w:i/>
                <w:iCs/>
                <w:kern w:val="0"/>
                <w:sz w:val="22"/>
                <w:szCs w:val="22"/>
                <w:vertAlign w:val="superscript"/>
                <w:lang w:eastAsia="en-AU"/>
                <w14:ligatures w14:val="none"/>
              </w:rPr>
            </w:pPr>
            <w:r w:rsidRPr="006F3EFD">
              <w:rPr>
                <w:rFonts w:ascii="Arial Narrow" w:eastAsia="Times New Roman" w:hAnsi="Arial Narrow" w:cs="Arial"/>
                <w:kern w:val="0"/>
                <w:sz w:val="22"/>
                <w:szCs w:val="22"/>
                <w:lang w:eastAsia="en-AU"/>
                <w14:ligatures w14:val="none"/>
              </w:rPr>
              <w:t>Lambert-Eaton myasthenic syndrome (LEMS)</w:t>
            </w:r>
            <w:r w:rsidRPr="006F3EFD">
              <w:rPr>
                <w:rFonts w:ascii="Arial Narrow" w:eastAsia="Times New Roman" w:hAnsi="Arial Narrow" w:cs="Arial"/>
                <w:kern w:val="0"/>
                <w:sz w:val="22"/>
                <w:szCs w:val="22"/>
                <w:vertAlign w:val="superscript"/>
                <w:lang w:eastAsia="en-AU"/>
                <w14:ligatures w14:val="none"/>
              </w:rPr>
              <w:t>c</w:t>
            </w:r>
          </w:p>
        </w:tc>
        <w:tc>
          <w:tcPr>
            <w:tcW w:w="6095" w:type="dxa"/>
          </w:tcPr>
          <w:p w14:paraId="6E8CE9AB" w14:textId="483E2C4B"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Outcome 4 – Exclude.</w:t>
            </w:r>
          </w:p>
          <w:p w14:paraId="2EED3D3C" w14:textId="77777777" w:rsidR="00915445" w:rsidRPr="006F3EFD" w:rsidRDefault="00915445" w:rsidP="00E24614">
            <w:pPr>
              <w:rPr>
                <w:rFonts w:ascii="Arial Narrow" w:eastAsia="Times New Roman" w:hAnsi="Arial Narrow" w:cs="Arial"/>
                <w:kern w:val="0"/>
                <w:sz w:val="22"/>
                <w:szCs w:val="22"/>
                <w:lang w:eastAsia="en-AU"/>
                <w14:ligatures w14:val="none"/>
              </w:rPr>
            </w:pPr>
          </w:p>
          <w:p w14:paraId="07D26C76" w14:textId="77777777" w:rsidR="00263083" w:rsidRDefault="00915445" w:rsidP="00E24614">
            <w:pPr>
              <w:rPr>
                <w:rFonts w:ascii="Arial Narrow" w:eastAsia="Times New Roman" w:hAnsi="Arial Narrow" w:cs="Arial"/>
                <w:i/>
                <w:iCs/>
                <w:kern w:val="0"/>
                <w:sz w:val="22"/>
                <w:szCs w:val="22"/>
                <w:lang w:eastAsia="en-AU"/>
                <w14:ligatures w14:val="none"/>
              </w:rPr>
            </w:pPr>
            <w:r w:rsidRPr="006F3EFD">
              <w:rPr>
                <w:rFonts w:ascii="Arial Narrow" w:eastAsia="Times New Roman" w:hAnsi="Arial Narrow" w:cs="Arial"/>
                <w:i/>
                <w:iCs/>
                <w:kern w:val="0"/>
                <w:sz w:val="22"/>
                <w:szCs w:val="22"/>
                <w:lang w:eastAsia="en-AU"/>
                <w14:ligatures w14:val="none"/>
              </w:rPr>
              <w:t>Principle 4 – Complex/rare condition where specialist expertise is required to make initial diagnosis and assess response to treatment.</w:t>
            </w:r>
          </w:p>
          <w:p w14:paraId="2C8975B9" w14:textId="4E9D6903" w:rsidR="00915445" w:rsidRPr="006F3EFD" w:rsidRDefault="00915445" w:rsidP="00E24614">
            <w:pPr>
              <w:rPr>
                <w:rFonts w:ascii="Arial Narrow" w:eastAsia="Times New Roman" w:hAnsi="Arial Narrow" w:cs="Arial"/>
                <w:i/>
                <w:iCs/>
                <w:kern w:val="0"/>
                <w:sz w:val="22"/>
                <w:szCs w:val="22"/>
                <w:lang w:eastAsia="en-AU"/>
                <w14:ligatures w14:val="none"/>
              </w:rPr>
            </w:pPr>
            <w:r w:rsidRPr="006F3EFD">
              <w:rPr>
                <w:rFonts w:ascii="Arial Narrow" w:eastAsia="Times New Roman" w:hAnsi="Arial Narrow" w:cs="Arial"/>
                <w:i/>
                <w:iCs/>
                <w:kern w:val="0"/>
                <w:sz w:val="22"/>
                <w:szCs w:val="22"/>
                <w:lang w:eastAsia="en-AU"/>
                <w14:ligatures w14:val="none"/>
              </w:rPr>
              <w:t xml:space="preserve"> </w:t>
            </w:r>
          </w:p>
        </w:tc>
      </w:tr>
      <w:tr w:rsidR="00915445" w:rsidRPr="006F3EFD" w14:paraId="6D3CC2B0" w14:textId="77777777" w:rsidTr="00E24614">
        <w:trPr>
          <w:trHeight w:val="459"/>
        </w:trPr>
        <w:tc>
          <w:tcPr>
            <w:tcW w:w="3828" w:type="dxa"/>
            <w:noWrap/>
          </w:tcPr>
          <w:p w14:paraId="3A3FC0D0"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Cannabidiol</w:t>
            </w:r>
          </w:p>
        </w:tc>
        <w:tc>
          <w:tcPr>
            <w:tcW w:w="3969" w:type="dxa"/>
          </w:tcPr>
          <w:p w14:paraId="3AD4B452" w14:textId="77777777" w:rsidR="00915445" w:rsidRPr="006F3EFD" w:rsidRDefault="00915445" w:rsidP="00E24614">
            <w:pPr>
              <w:rPr>
                <w:rFonts w:ascii="Arial Narrow" w:eastAsia="Times New Roman" w:hAnsi="Arial Narrow" w:cs="Arial"/>
                <w:kern w:val="0"/>
                <w:sz w:val="22"/>
                <w:szCs w:val="22"/>
                <w:vertAlign w:val="superscript"/>
                <w:lang w:eastAsia="en-AU"/>
                <w14:ligatures w14:val="none"/>
              </w:rPr>
            </w:pPr>
            <w:r w:rsidRPr="006F3EFD">
              <w:rPr>
                <w:rFonts w:ascii="Arial Narrow" w:eastAsia="Times New Roman" w:hAnsi="Arial Narrow" w:cs="Arial"/>
                <w:kern w:val="0"/>
                <w:sz w:val="22"/>
                <w:szCs w:val="22"/>
                <w:lang w:eastAsia="en-AU"/>
                <w14:ligatures w14:val="none"/>
              </w:rPr>
              <w:t xml:space="preserve">Severe myoclonic epilepsy in infancy (Dravet </w:t>
            </w:r>
            <w:proofErr w:type="gramStart"/>
            <w:r w:rsidRPr="006F3EFD">
              <w:rPr>
                <w:rFonts w:ascii="Arial Narrow" w:eastAsia="Times New Roman" w:hAnsi="Arial Narrow" w:cs="Arial"/>
                <w:kern w:val="0"/>
                <w:sz w:val="22"/>
                <w:szCs w:val="22"/>
                <w:lang w:eastAsia="en-AU"/>
                <w14:ligatures w14:val="none"/>
              </w:rPr>
              <w:t>syndrome)</w:t>
            </w:r>
            <w:r w:rsidRPr="006F3EFD">
              <w:rPr>
                <w:rFonts w:ascii="Arial Narrow" w:eastAsia="Times New Roman" w:hAnsi="Arial Narrow" w:cs="Arial"/>
                <w:kern w:val="0"/>
                <w:sz w:val="22"/>
                <w:szCs w:val="22"/>
                <w:vertAlign w:val="superscript"/>
                <w:lang w:eastAsia="en-AU"/>
                <w14:ligatures w14:val="none"/>
              </w:rPr>
              <w:t>a</w:t>
            </w:r>
            <w:proofErr w:type="gramEnd"/>
            <w:r w:rsidRPr="006F3EFD">
              <w:rPr>
                <w:rFonts w:ascii="Arial Narrow" w:eastAsia="Times New Roman" w:hAnsi="Arial Narrow" w:cs="Arial"/>
                <w:kern w:val="0"/>
                <w:sz w:val="22"/>
                <w:szCs w:val="22"/>
                <w:vertAlign w:val="superscript"/>
                <w:lang w:eastAsia="en-AU"/>
                <w14:ligatures w14:val="none"/>
              </w:rPr>
              <w:t>, d</w:t>
            </w:r>
          </w:p>
        </w:tc>
        <w:tc>
          <w:tcPr>
            <w:tcW w:w="6095" w:type="dxa"/>
          </w:tcPr>
          <w:p w14:paraId="0D166F94" w14:textId="02EEA7D0"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4 </w:t>
            </w:r>
            <w:r w:rsidR="00EB5432">
              <w:rPr>
                <w:rFonts w:ascii="Arial Narrow" w:eastAsia="Times New Roman" w:hAnsi="Arial Narrow" w:cs="Arial"/>
                <w:kern w:val="0"/>
                <w:sz w:val="22"/>
                <w:szCs w:val="22"/>
                <w:lang w:eastAsia="en-AU"/>
                <w14:ligatures w14:val="none"/>
              </w:rPr>
              <w:t>–</w:t>
            </w:r>
            <w:r w:rsidRPr="006F3EFD">
              <w:rPr>
                <w:rFonts w:ascii="Arial Narrow" w:eastAsia="Times New Roman" w:hAnsi="Arial Narrow" w:cs="Arial"/>
                <w:kern w:val="0"/>
                <w:sz w:val="22"/>
                <w:szCs w:val="22"/>
                <w:lang w:eastAsia="en-AU"/>
                <w14:ligatures w14:val="none"/>
              </w:rPr>
              <w:t xml:space="preserve"> Exclude. </w:t>
            </w:r>
          </w:p>
          <w:p w14:paraId="30C346AD" w14:textId="77777777" w:rsidR="00915445" w:rsidRPr="006F3EFD" w:rsidRDefault="00915445" w:rsidP="00E24614">
            <w:pPr>
              <w:rPr>
                <w:rFonts w:ascii="Arial Narrow" w:eastAsia="Times New Roman" w:hAnsi="Arial Narrow" w:cs="Arial"/>
                <w:kern w:val="0"/>
                <w:sz w:val="22"/>
                <w:szCs w:val="22"/>
                <w:lang w:eastAsia="en-AU"/>
                <w14:ligatures w14:val="none"/>
              </w:rPr>
            </w:pPr>
          </w:p>
          <w:p w14:paraId="5D4B3B47" w14:textId="77777777" w:rsidR="00915445" w:rsidRDefault="00915445" w:rsidP="00E24614">
            <w:pPr>
              <w:rPr>
                <w:rFonts w:ascii="Arial Narrow" w:eastAsia="Times New Roman" w:hAnsi="Arial Narrow" w:cs="Arial"/>
                <w:i/>
                <w:iCs/>
                <w:kern w:val="0"/>
                <w:sz w:val="22"/>
                <w:szCs w:val="22"/>
                <w:lang w:eastAsia="en-AU"/>
                <w14:ligatures w14:val="none"/>
              </w:rPr>
            </w:pPr>
            <w:r w:rsidRPr="006F3EFD">
              <w:rPr>
                <w:rFonts w:ascii="Arial Narrow" w:eastAsia="Times New Roman" w:hAnsi="Arial Narrow" w:cs="Arial"/>
                <w:i/>
                <w:iCs/>
                <w:kern w:val="0"/>
                <w:sz w:val="22"/>
                <w:szCs w:val="22"/>
                <w:lang w:eastAsia="en-AU"/>
                <w14:ligatures w14:val="none"/>
              </w:rPr>
              <w:t xml:space="preserve">Principle 4 – Complex/rare condition where specialist expertise is required to make initial diagnosis and assess response to treatment. </w:t>
            </w:r>
          </w:p>
          <w:p w14:paraId="649618A8" w14:textId="09EAC64E" w:rsidR="005A591A" w:rsidRPr="006F3EFD" w:rsidRDefault="005A591A" w:rsidP="00E24614">
            <w:pPr>
              <w:rPr>
                <w:rFonts w:ascii="Arial Narrow" w:eastAsia="Times New Roman" w:hAnsi="Arial Narrow" w:cs="Arial"/>
                <w:i/>
                <w:iCs/>
                <w:kern w:val="0"/>
                <w:sz w:val="22"/>
                <w:szCs w:val="22"/>
                <w:lang w:eastAsia="en-AU"/>
                <w14:ligatures w14:val="none"/>
              </w:rPr>
            </w:pPr>
          </w:p>
        </w:tc>
      </w:tr>
      <w:tr w:rsidR="00915445" w:rsidRPr="006F3EFD" w14:paraId="71D85CAE" w14:textId="77777777" w:rsidTr="00E24614">
        <w:trPr>
          <w:trHeight w:val="459"/>
        </w:trPr>
        <w:tc>
          <w:tcPr>
            <w:tcW w:w="3828" w:type="dxa"/>
            <w:noWrap/>
          </w:tcPr>
          <w:p w14:paraId="4F05DC16"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Evolocumab injection</w:t>
            </w:r>
          </w:p>
        </w:tc>
        <w:tc>
          <w:tcPr>
            <w:tcW w:w="3969" w:type="dxa"/>
          </w:tcPr>
          <w:p w14:paraId="2ED92577" w14:textId="77777777" w:rsidR="00915445" w:rsidRPr="006F3EFD" w:rsidRDefault="00915445" w:rsidP="00E24614">
            <w:pPr>
              <w:rPr>
                <w:rFonts w:ascii="Arial Narrow" w:eastAsia="Times New Roman" w:hAnsi="Arial Narrow" w:cs="Arial"/>
                <w:kern w:val="0"/>
                <w:sz w:val="22"/>
                <w:szCs w:val="22"/>
                <w:vertAlign w:val="superscript"/>
                <w:lang w:eastAsia="en-AU"/>
                <w14:ligatures w14:val="none"/>
              </w:rPr>
            </w:pPr>
            <w:r w:rsidRPr="006F3EFD">
              <w:rPr>
                <w:rFonts w:ascii="Arial Narrow" w:eastAsia="Times New Roman" w:hAnsi="Arial Narrow" w:cs="Arial"/>
                <w:kern w:val="0"/>
                <w:sz w:val="22"/>
                <w:szCs w:val="22"/>
                <w:lang w:eastAsia="en-AU"/>
                <w14:ligatures w14:val="none"/>
              </w:rPr>
              <w:t xml:space="preserve">Familial homozygous </w:t>
            </w:r>
            <w:proofErr w:type="spellStart"/>
            <w:r w:rsidRPr="006F3EFD">
              <w:rPr>
                <w:rFonts w:ascii="Arial Narrow" w:eastAsia="Times New Roman" w:hAnsi="Arial Narrow" w:cs="Arial"/>
                <w:kern w:val="0"/>
                <w:sz w:val="22"/>
                <w:szCs w:val="22"/>
                <w:lang w:eastAsia="en-AU"/>
                <w14:ligatures w14:val="none"/>
              </w:rPr>
              <w:t>hypercholesterolaemia</w:t>
            </w:r>
            <w:r w:rsidRPr="006F3EFD">
              <w:rPr>
                <w:rFonts w:ascii="Arial Narrow" w:eastAsia="Times New Roman" w:hAnsi="Arial Narrow" w:cs="Arial"/>
                <w:kern w:val="0"/>
                <w:sz w:val="22"/>
                <w:szCs w:val="22"/>
                <w:vertAlign w:val="superscript"/>
                <w:lang w:eastAsia="en-AU"/>
                <w14:ligatures w14:val="none"/>
              </w:rPr>
              <w:t>e</w:t>
            </w:r>
            <w:proofErr w:type="spellEnd"/>
          </w:p>
        </w:tc>
        <w:tc>
          <w:tcPr>
            <w:tcW w:w="6095" w:type="dxa"/>
          </w:tcPr>
          <w:p w14:paraId="5B7F082B" w14:textId="15C727AC"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3 </w:t>
            </w:r>
            <w:r w:rsidR="00EB5432">
              <w:rPr>
                <w:rFonts w:ascii="Arial Narrow" w:eastAsia="Times New Roman" w:hAnsi="Arial Narrow" w:cs="Arial"/>
                <w:kern w:val="0"/>
                <w:sz w:val="22"/>
                <w:szCs w:val="22"/>
                <w:lang w:eastAsia="en-AU"/>
                <w14:ligatures w14:val="none"/>
              </w:rPr>
              <w:t>–</w:t>
            </w:r>
            <w:r w:rsidRPr="006F3EFD">
              <w:rPr>
                <w:rFonts w:ascii="Arial Narrow" w:eastAsia="Times New Roman" w:hAnsi="Arial Narrow" w:cs="Arial"/>
                <w:kern w:val="0"/>
                <w:sz w:val="22"/>
                <w:szCs w:val="22"/>
                <w:lang w:eastAsia="en-AU"/>
                <w14:ligatures w14:val="none"/>
              </w:rPr>
              <w:t xml:space="preserve"> Permit NP </w:t>
            </w:r>
            <w:r w:rsidR="00E8386D">
              <w:rPr>
                <w:rFonts w:ascii="Arial Narrow" w:eastAsia="Times New Roman" w:hAnsi="Arial Narrow" w:cs="Arial"/>
                <w:kern w:val="0"/>
                <w:sz w:val="22"/>
                <w:szCs w:val="22"/>
                <w:lang w:eastAsia="en-AU"/>
                <w14:ligatures w14:val="none"/>
              </w:rPr>
              <w:t xml:space="preserve">prescribing </w:t>
            </w:r>
            <w:r w:rsidRPr="006F3EFD">
              <w:rPr>
                <w:rFonts w:ascii="Arial Narrow" w:eastAsia="Times New Roman" w:hAnsi="Arial Narrow" w:cs="Arial"/>
                <w:kern w:val="0"/>
                <w:sz w:val="22"/>
                <w:szCs w:val="22"/>
                <w:lang w:eastAsia="en-AU"/>
                <w14:ligatures w14:val="none"/>
              </w:rPr>
              <w:t>where consult</w:t>
            </w:r>
            <w:r w:rsidR="006B26C7">
              <w:rPr>
                <w:rFonts w:ascii="Arial Narrow" w:eastAsia="Times New Roman" w:hAnsi="Arial Narrow" w:cs="Arial"/>
                <w:kern w:val="0"/>
                <w:sz w:val="22"/>
                <w:szCs w:val="22"/>
                <w:lang w:eastAsia="en-AU"/>
                <w14:ligatures w14:val="none"/>
              </w:rPr>
              <w:t>ation with</w:t>
            </w:r>
            <w:r w:rsidRPr="006F3EFD">
              <w:rPr>
                <w:rFonts w:ascii="Arial Narrow" w:eastAsia="Times New Roman" w:hAnsi="Arial Narrow" w:cs="Arial"/>
                <w:kern w:val="0"/>
                <w:sz w:val="22"/>
                <w:szCs w:val="22"/>
                <w:lang w:eastAsia="en-AU"/>
                <w14:ligatures w14:val="none"/>
              </w:rPr>
              <w:t xml:space="preserve"> a specialist physician</w:t>
            </w:r>
            <w:r w:rsidR="006B26C7">
              <w:rPr>
                <w:rFonts w:ascii="Arial Narrow" w:eastAsia="Times New Roman" w:hAnsi="Arial Narrow" w:cs="Arial"/>
                <w:kern w:val="0"/>
                <w:sz w:val="22"/>
                <w:szCs w:val="22"/>
                <w:lang w:eastAsia="en-AU"/>
                <w14:ligatures w14:val="none"/>
              </w:rPr>
              <w:t xml:space="preserve"> has occurred</w:t>
            </w:r>
            <w:r w:rsidRPr="006F3EFD">
              <w:rPr>
                <w:rFonts w:ascii="Arial Narrow" w:eastAsia="Times New Roman" w:hAnsi="Arial Narrow" w:cs="Arial"/>
                <w:kern w:val="0"/>
                <w:sz w:val="22"/>
                <w:szCs w:val="22"/>
                <w:lang w:eastAsia="en-AU"/>
                <w14:ligatures w14:val="none"/>
              </w:rPr>
              <w:t>.</w:t>
            </w:r>
          </w:p>
          <w:p w14:paraId="33692D78" w14:textId="77777777" w:rsidR="00915445" w:rsidRPr="006F3EFD" w:rsidRDefault="00915445" w:rsidP="00E24614">
            <w:pPr>
              <w:rPr>
                <w:rFonts w:ascii="Arial Narrow" w:eastAsia="Times New Roman" w:hAnsi="Arial Narrow" w:cs="Arial"/>
                <w:kern w:val="0"/>
                <w:sz w:val="22"/>
                <w:szCs w:val="22"/>
                <w:lang w:eastAsia="en-AU"/>
                <w14:ligatures w14:val="none"/>
              </w:rPr>
            </w:pPr>
          </w:p>
          <w:p w14:paraId="52D61E54" w14:textId="77777777" w:rsidR="00915445" w:rsidRDefault="00915445" w:rsidP="006F3EFD">
            <w:pPr>
              <w:rPr>
                <w:rFonts w:ascii="Arial Narrow" w:eastAsia="Times New Roman" w:hAnsi="Arial Narrow" w:cs="Arial"/>
                <w:i/>
                <w:iCs/>
                <w:kern w:val="0"/>
                <w:sz w:val="22"/>
                <w:szCs w:val="22"/>
                <w:lang w:eastAsia="en-AU"/>
                <w14:ligatures w14:val="none"/>
              </w:rPr>
            </w:pPr>
            <w:r w:rsidRPr="006F3EFD">
              <w:rPr>
                <w:rFonts w:ascii="Arial Narrow" w:eastAsia="Times New Roman" w:hAnsi="Arial Narrow" w:cs="Arial"/>
                <w:i/>
                <w:iCs/>
                <w:kern w:val="0"/>
                <w:sz w:val="22"/>
                <w:szCs w:val="22"/>
                <w:lang w:eastAsia="en-AU"/>
                <w14:ligatures w14:val="none"/>
              </w:rPr>
              <w:t>Principle 4 – complex condition where specialist is likely to oversee treatment.</w:t>
            </w:r>
          </w:p>
          <w:p w14:paraId="1B74FB46" w14:textId="4D50DAB3" w:rsidR="006B26C7" w:rsidRPr="006F3EFD" w:rsidRDefault="006B26C7" w:rsidP="006F3EFD">
            <w:pPr>
              <w:rPr>
                <w:rFonts w:ascii="Arial Narrow" w:eastAsia="Times New Roman" w:hAnsi="Arial Narrow" w:cs="Arial"/>
                <w:i/>
                <w:iCs/>
                <w:kern w:val="0"/>
                <w:sz w:val="22"/>
                <w:szCs w:val="22"/>
                <w:lang w:eastAsia="en-AU"/>
                <w14:ligatures w14:val="none"/>
              </w:rPr>
            </w:pPr>
          </w:p>
        </w:tc>
      </w:tr>
      <w:tr w:rsidR="00915445" w:rsidRPr="006F3EFD" w14:paraId="25905680" w14:textId="77777777" w:rsidTr="00E24614">
        <w:trPr>
          <w:trHeight w:val="357"/>
        </w:trPr>
        <w:tc>
          <w:tcPr>
            <w:tcW w:w="3828" w:type="dxa"/>
          </w:tcPr>
          <w:p w14:paraId="14687E84"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lastRenderedPageBreak/>
              <w:t xml:space="preserve">Mycophenolate </w:t>
            </w:r>
          </w:p>
          <w:p w14:paraId="07CA58CF"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Ciclosporin capsules</w:t>
            </w:r>
          </w:p>
        </w:tc>
        <w:tc>
          <w:tcPr>
            <w:tcW w:w="3969" w:type="dxa"/>
          </w:tcPr>
          <w:p w14:paraId="78BDC248"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Unrestricted (</w:t>
            </w:r>
            <w:proofErr w:type="spellStart"/>
            <w:r w:rsidRPr="006F3EFD">
              <w:rPr>
                <w:rFonts w:ascii="Arial Narrow" w:eastAsia="Times New Roman" w:hAnsi="Arial Narrow" w:cs="Arial"/>
                <w:kern w:val="0"/>
                <w:sz w:val="22"/>
                <w:szCs w:val="22"/>
                <w:lang w:eastAsia="en-AU"/>
                <w14:ligatures w14:val="none"/>
              </w:rPr>
              <w:t>Gen.Sched</w:t>
            </w:r>
            <w:proofErr w:type="spellEnd"/>
            <w:r w:rsidRPr="006F3EFD">
              <w:rPr>
                <w:rFonts w:ascii="Arial Narrow" w:eastAsia="Times New Roman" w:hAnsi="Arial Narrow" w:cs="Arial"/>
                <w:kern w:val="0"/>
                <w:sz w:val="22"/>
                <w:szCs w:val="22"/>
                <w:lang w:eastAsia="en-AU"/>
                <w14:ligatures w14:val="none"/>
              </w:rPr>
              <w:t>)</w:t>
            </w:r>
          </w:p>
        </w:tc>
        <w:tc>
          <w:tcPr>
            <w:tcW w:w="6095" w:type="dxa"/>
          </w:tcPr>
          <w:p w14:paraId="29C385A0" w14:textId="67D46857" w:rsidR="00915445"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6F3EFD">
              <w:rPr>
                <w:rFonts w:ascii="Arial Narrow" w:eastAsia="Times New Roman" w:hAnsi="Arial Narrow" w:cs="Arial"/>
                <w:kern w:val="0"/>
                <w:sz w:val="22"/>
                <w:szCs w:val="22"/>
                <w:lang w:eastAsia="en-AU"/>
                <w14:ligatures w14:val="none"/>
              </w:rPr>
              <w:t xml:space="preserve"> Permit NP </w:t>
            </w:r>
            <w:proofErr w:type="gramStart"/>
            <w:r w:rsidRPr="006F3EFD">
              <w:rPr>
                <w:rFonts w:ascii="Arial Narrow" w:eastAsia="Times New Roman" w:hAnsi="Arial Narrow" w:cs="Arial"/>
                <w:kern w:val="0"/>
                <w:sz w:val="22"/>
                <w:szCs w:val="22"/>
                <w:lang w:eastAsia="en-AU"/>
                <w14:ligatures w14:val="none"/>
              </w:rPr>
              <w:t>prescribing, but</w:t>
            </w:r>
            <w:proofErr w:type="gramEnd"/>
            <w:r w:rsidRPr="006F3EFD">
              <w:rPr>
                <w:rFonts w:ascii="Arial Narrow" w:eastAsia="Times New Roman" w:hAnsi="Arial Narrow" w:cs="Arial"/>
                <w:kern w:val="0"/>
                <w:sz w:val="22"/>
                <w:szCs w:val="22"/>
                <w:lang w:eastAsia="en-AU"/>
                <w14:ligatures w14:val="none"/>
              </w:rPr>
              <w:t xml:space="preserve"> amend ‘Caution’ for prescribers to consider consulting with a specialist medical practitioner.</w:t>
            </w:r>
          </w:p>
          <w:p w14:paraId="1AEA3217" w14:textId="0F168418" w:rsidR="004C1353" w:rsidRPr="006F3EFD" w:rsidRDefault="004C1353" w:rsidP="00E24614">
            <w:pPr>
              <w:rPr>
                <w:rFonts w:ascii="Arial Narrow" w:eastAsia="Times New Roman" w:hAnsi="Arial Narrow" w:cs="Arial"/>
                <w:kern w:val="0"/>
                <w:sz w:val="22"/>
                <w:szCs w:val="22"/>
                <w:lang w:eastAsia="en-AU"/>
                <w14:ligatures w14:val="none"/>
              </w:rPr>
            </w:pPr>
          </w:p>
        </w:tc>
      </w:tr>
      <w:tr w:rsidR="00915445" w:rsidRPr="006F3EFD" w14:paraId="1AA8E33D" w14:textId="77777777" w:rsidTr="00E24614">
        <w:trPr>
          <w:trHeight w:val="417"/>
        </w:trPr>
        <w:tc>
          <w:tcPr>
            <w:tcW w:w="3828" w:type="dxa"/>
          </w:tcPr>
          <w:p w14:paraId="2D53448B"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Rifaximin tablets</w:t>
            </w:r>
          </w:p>
        </w:tc>
        <w:tc>
          <w:tcPr>
            <w:tcW w:w="3969" w:type="dxa"/>
          </w:tcPr>
          <w:p w14:paraId="6E794C61" w14:textId="77777777" w:rsidR="00915445" w:rsidRPr="006F3EFD" w:rsidRDefault="00915445" w:rsidP="00E24614">
            <w:pPr>
              <w:rPr>
                <w:rFonts w:ascii="Arial Narrow" w:eastAsia="Times New Roman" w:hAnsi="Arial Narrow" w:cs="Arial"/>
                <w:kern w:val="0"/>
                <w:sz w:val="22"/>
                <w:szCs w:val="22"/>
                <w:vertAlign w:val="superscript"/>
                <w:lang w:eastAsia="en-AU"/>
                <w14:ligatures w14:val="none"/>
              </w:rPr>
            </w:pPr>
            <w:r w:rsidRPr="006F3EFD">
              <w:rPr>
                <w:rFonts w:ascii="Arial Narrow" w:eastAsia="Times New Roman" w:hAnsi="Arial Narrow" w:cs="Arial"/>
                <w:kern w:val="0"/>
                <w:sz w:val="22"/>
                <w:szCs w:val="22"/>
                <w:lang w:eastAsia="en-AU"/>
                <w14:ligatures w14:val="none"/>
              </w:rPr>
              <w:t xml:space="preserve">Prevention of hepatic </w:t>
            </w:r>
            <w:proofErr w:type="spellStart"/>
            <w:r w:rsidRPr="006F3EFD">
              <w:rPr>
                <w:rFonts w:ascii="Arial Narrow" w:eastAsia="Times New Roman" w:hAnsi="Arial Narrow" w:cs="Arial"/>
                <w:kern w:val="0"/>
                <w:sz w:val="22"/>
                <w:szCs w:val="22"/>
                <w:lang w:eastAsia="en-AU"/>
                <w14:ligatures w14:val="none"/>
              </w:rPr>
              <w:t>encephalopathy</w:t>
            </w:r>
            <w:r w:rsidRPr="006F3EFD">
              <w:rPr>
                <w:rFonts w:ascii="Arial Narrow" w:eastAsia="Times New Roman" w:hAnsi="Arial Narrow" w:cs="Arial"/>
                <w:kern w:val="0"/>
                <w:sz w:val="22"/>
                <w:szCs w:val="22"/>
                <w:vertAlign w:val="superscript"/>
                <w:lang w:eastAsia="en-AU"/>
                <w14:ligatures w14:val="none"/>
              </w:rPr>
              <w:t>c</w:t>
            </w:r>
            <w:proofErr w:type="spellEnd"/>
          </w:p>
        </w:tc>
        <w:tc>
          <w:tcPr>
            <w:tcW w:w="6095" w:type="dxa"/>
          </w:tcPr>
          <w:p w14:paraId="3E7414CF" w14:textId="3C06CC18"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6F3EFD">
              <w:rPr>
                <w:rFonts w:ascii="Arial Narrow" w:eastAsia="Times New Roman" w:hAnsi="Arial Narrow" w:cs="Arial"/>
                <w:kern w:val="0"/>
                <w:sz w:val="22"/>
                <w:szCs w:val="22"/>
                <w:lang w:eastAsia="en-AU"/>
                <w14:ligatures w14:val="none"/>
              </w:rPr>
              <w:t xml:space="preserve"> Permit NP prescribing.</w:t>
            </w:r>
          </w:p>
          <w:p w14:paraId="064F0E83" w14:textId="77777777" w:rsidR="00915445" w:rsidRPr="006F3EFD" w:rsidRDefault="00915445" w:rsidP="00E24614">
            <w:pPr>
              <w:rPr>
                <w:rFonts w:ascii="Arial Narrow" w:eastAsia="Times New Roman" w:hAnsi="Arial Narrow" w:cs="Arial"/>
                <w:kern w:val="0"/>
                <w:sz w:val="22"/>
                <w:szCs w:val="22"/>
                <w:lang w:eastAsia="en-AU"/>
                <w14:ligatures w14:val="none"/>
              </w:rPr>
            </w:pPr>
          </w:p>
          <w:p w14:paraId="5AD758F9" w14:textId="77777777" w:rsidR="00915445" w:rsidRDefault="00915445" w:rsidP="00E24614">
            <w:pPr>
              <w:rPr>
                <w:rFonts w:ascii="Arial Narrow" w:eastAsia="Times New Roman" w:hAnsi="Arial Narrow" w:cs="Arial"/>
                <w:i/>
                <w:iCs/>
                <w:kern w:val="0"/>
                <w:sz w:val="22"/>
                <w:szCs w:val="22"/>
                <w:lang w:eastAsia="en-AU"/>
                <w14:ligatures w14:val="none"/>
              </w:rPr>
            </w:pPr>
            <w:r w:rsidRPr="006F3EFD">
              <w:rPr>
                <w:rFonts w:ascii="Arial Narrow" w:eastAsia="Times New Roman" w:hAnsi="Arial Narrow" w:cs="Arial"/>
                <w:i/>
                <w:iCs/>
                <w:kern w:val="0"/>
                <w:sz w:val="22"/>
                <w:szCs w:val="22"/>
                <w:lang w:eastAsia="en-AU"/>
                <w14:ligatures w14:val="none"/>
              </w:rPr>
              <w:t xml:space="preserve">PBS restriction already requires treatment to be by, or in consultation with specialists (i.e. gastroenterologist or hepatologist). </w:t>
            </w:r>
          </w:p>
          <w:p w14:paraId="05EE1BB0" w14:textId="081361B2" w:rsidR="004C1353" w:rsidRPr="006F3EFD" w:rsidRDefault="004C1353" w:rsidP="00E24614">
            <w:pPr>
              <w:rPr>
                <w:rFonts w:ascii="Arial Narrow" w:eastAsia="Times New Roman" w:hAnsi="Arial Narrow" w:cs="Arial"/>
                <w:kern w:val="0"/>
                <w:sz w:val="22"/>
                <w:szCs w:val="22"/>
                <w:lang w:eastAsia="en-AU"/>
                <w14:ligatures w14:val="none"/>
              </w:rPr>
            </w:pPr>
          </w:p>
        </w:tc>
      </w:tr>
      <w:tr w:rsidR="00915445" w:rsidRPr="006F3EFD" w14:paraId="1055E442" w14:textId="77777777" w:rsidTr="00E24614">
        <w:trPr>
          <w:trHeight w:val="417"/>
        </w:trPr>
        <w:tc>
          <w:tcPr>
            <w:tcW w:w="3828" w:type="dxa"/>
          </w:tcPr>
          <w:p w14:paraId="5C226CC1"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Rotigotine patches</w:t>
            </w:r>
          </w:p>
        </w:tc>
        <w:tc>
          <w:tcPr>
            <w:tcW w:w="3969" w:type="dxa"/>
          </w:tcPr>
          <w:p w14:paraId="2FB320E6"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Parkinson disease</w:t>
            </w:r>
          </w:p>
        </w:tc>
        <w:tc>
          <w:tcPr>
            <w:tcW w:w="6095" w:type="dxa"/>
          </w:tcPr>
          <w:p w14:paraId="0601E9E8" w14:textId="37819D95"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2 </w:t>
            </w:r>
            <w:r w:rsidR="00EB5432">
              <w:rPr>
                <w:rFonts w:ascii="Arial Narrow" w:eastAsia="Times New Roman" w:hAnsi="Arial Narrow" w:cs="Arial"/>
                <w:kern w:val="0"/>
                <w:sz w:val="22"/>
                <w:szCs w:val="22"/>
                <w:lang w:eastAsia="en-AU"/>
                <w14:ligatures w14:val="none"/>
              </w:rPr>
              <w:t>–</w:t>
            </w:r>
            <w:r w:rsidRPr="006F3EFD">
              <w:rPr>
                <w:rFonts w:ascii="Arial Narrow" w:eastAsia="Times New Roman" w:hAnsi="Arial Narrow" w:cs="Arial"/>
                <w:kern w:val="0"/>
                <w:sz w:val="22"/>
                <w:szCs w:val="22"/>
                <w:lang w:eastAsia="en-AU"/>
                <w14:ligatures w14:val="none"/>
              </w:rPr>
              <w:t xml:space="preserve"> Permit NP continuation of therapy, but only where patient care is being shared with a medical practitioner</w:t>
            </w:r>
            <w:r w:rsidR="003C28C8">
              <w:rPr>
                <w:rFonts w:ascii="Arial Narrow" w:eastAsia="Times New Roman" w:hAnsi="Arial Narrow" w:cs="Arial"/>
                <w:kern w:val="0"/>
                <w:sz w:val="22"/>
                <w:szCs w:val="22"/>
                <w:lang w:eastAsia="en-AU"/>
                <w14:ligatures w14:val="none"/>
              </w:rPr>
              <w:t>.</w:t>
            </w:r>
          </w:p>
          <w:p w14:paraId="12770E4D" w14:textId="77777777" w:rsidR="00915445" w:rsidRPr="006F3EFD" w:rsidRDefault="00915445" w:rsidP="00E24614">
            <w:pPr>
              <w:rPr>
                <w:rFonts w:ascii="Arial Narrow" w:eastAsia="Times New Roman" w:hAnsi="Arial Narrow" w:cs="Arial"/>
                <w:kern w:val="0"/>
                <w:sz w:val="22"/>
                <w:szCs w:val="22"/>
                <w:lang w:eastAsia="en-AU"/>
                <w14:ligatures w14:val="none"/>
              </w:rPr>
            </w:pPr>
          </w:p>
          <w:p w14:paraId="613D864B" w14:textId="3C526E58"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i/>
                <w:iCs/>
                <w:kern w:val="0"/>
                <w:sz w:val="22"/>
                <w:szCs w:val="22"/>
                <w:lang w:eastAsia="en-AU"/>
                <w14:ligatures w14:val="none"/>
              </w:rPr>
              <w:t>Principle 4 – complex condition where specialist is likely to oversee treatment.</w:t>
            </w:r>
          </w:p>
        </w:tc>
      </w:tr>
    </w:tbl>
    <w:p w14:paraId="27839BAA" w14:textId="52C2B960" w:rsidR="00915445" w:rsidRPr="006F3EFD" w:rsidRDefault="00915445" w:rsidP="006F3EFD">
      <w:pPr>
        <w:spacing w:after="120" w:line="240" w:lineRule="auto"/>
        <w:ind w:right="-23"/>
        <w:jc w:val="both"/>
        <w:rPr>
          <w:rFonts w:ascii="Arial Narrow" w:eastAsia="Calibri" w:hAnsi="Arial Narrow" w:cs="Arial"/>
          <w:b/>
          <w:bCs/>
          <w:lang w:eastAsia="en-AU"/>
        </w:rPr>
      </w:pPr>
      <w:proofErr w:type="spellStart"/>
      <w:r w:rsidRPr="006F3EFD">
        <w:rPr>
          <w:rFonts w:ascii="Arial Narrow" w:eastAsia="Calibri" w:hAnsi="Arial Narrow"/>
          <w:vertAlign w:val="superscript"/>
          <w:lang w:eastAsia="en-AU"/>
        </w:rPr>
        <w:t>a</w:t>
      </w:r>
      <w:r w:rsidRPr="006F3EFD">
        <w:rPr>
          <w:rFonts w:ascii="Arial Narrow" w:eastAsia="Calibri" w:hAnsi="Arial Narrow"/>
          <w:lang w:eastAsia="en-AU"/>
        </w:rPr>
        <w:t>initiation</w:t>
      </w:r>
      <w:proofErr w:type="spellEnd"/>
      <w:r w:rsidRPr="006F3EFD">
        <w:rPr>
          <w:rFonts w:ascii="Arial Narrow" w:eastAsia="Calibri" w:hAnsi="Arial Narrow"/>
          <w:lang w:eastAsia="en-AU"/>
        </w:rPr>
        <w:t xml:space="preserve"> must be by a specialist medical practitioner only; </w:t>
      </w:r>
      <w:r w:rsidRPr="006F3EFD">
        <w:rPr>
          <w:rFonts w:ascii="Arial Narrow" w:eastAsia="Calibri" w:hAnsi="Arial Narrow"/>
          <w:vertAlign w:val="superscript"/>
          <w:lang w:eastAsia="en-AU"/>
        </w:rPr>
        <w:t xml:space="preserve">b </w:t>
      </w:r>
      <w:r w:rsidRPr="006F3EFD">
        <w:rPr>
          <w:rFonts w:ascii="Arial Narrow" w:eastAsia="Calibri" w:hAnsi="Arial Narrow"/>
          <w:lang w:eastAsia="en-AU"/>
        </w:rPr>
        <w:t xml:space="preserve">both initiation and continuation must be by a specialist medical practitioner only; </w:t>
      </w:r>
      <w:r w:rsidRPr="006F3EFD">
        <w:rPr>
          <w:rFonts w:ascii="Arial Narrow" w:eastAsia="Calibri" w:hAnsi="Arial Narrow"/>
          <w:vertAlign w:val="superscript"/>
          <w:lang w:eastAsia="en-AU"/>
        </w:rPr>
        <w:t xml:space="preserve">b1 </w:t>
      </w:r>
      <w:r w:rsidRPr="006F3EFD">
        <w:rPr>
          <w:rFonts w:ascii="Arial Narrow" w:eastAsia="Calibri" w:hAnsi="Arial Narrow"/>
          <w:lang w:eastAsia="en-AU"/>
        </w:rPr>
        <w:t>both initiation and continuation must be by either: (</w:t>
      </w:r>
      <w:proofErr w:type="spellStart"/>
      <w:r w:rsidRPr="006F3EFD">
        <w:rPr>
          <w:rFonts w:ascii="Arial Narrow" w:eastAsia="Calibri" w:hAnsi="Arial Narrow"/>
          <w:lang w:eastAsia="en-AU"/>
        </w:rPr>
        <w:t>i</w:t>
      </w:r>
      <w:proofErr w:type="spellEnd"/>
      <w:r w:rsidRPr="006F3EFD">
        <w:rPr>
          <w:rFonts w:ascii="Arial Narrow" w:eastAsia="Calibri" w:hAnsi="Arial Narrow"/>
          <w:lang w:eastAsia="en-AU"/>
        </w:rPr>
        <w:t xml:space="preserve">) a specialist medical practitioner, (ii) under the supervision of a paediatric rheumatology treatment centre; </w:t>
      </w:r>
      <w:r w:rsidRPr="006F3EFD">
        <w:rPr>
          <w:rFonts w:ascii="Arial Narrow" w:eastAsia="Calibri" w:hAnsi="Arial Narrow"/>
          <w:vertAlign w:val="superscript"/>
          <w:lang w:eastAsia="en-AU"/>
        </w:rPr>
        <w:t xml:space="preserve">c </w:t>
      </w:r>
      <w:r w:rsidRPr="006F3EFD">
        <w:rPr>
          <w:rFonts w:ascii="Arial Narrow" w:eastAsia="Calibri" w:hAnsi="Arial Narrow"/>
          <w:lang w:eastAsia="en-AU"/>
        </w:rPr>
        <w:t xml:space="preserve">prescribing (any) must be by a specialist medical practitioner or in consultation with the specialist; </w:t>
      </w:r>
      <w:r w:rsidRPr="006F3EFD">
        <w:rPr>
          <w:rFonts w:ascii="Arial Narrow" w:eastAsia="Calibri" w:hAnsi="Arial Narrow"/>
          <w:vertAlign w:val="superscript"/>
          <w:lang w:eastAsia="en-AU"/>
        </w:rPr>
        <w:t>d</w:t>
      </w:r>
      <w:r w:rsidRPr="006F3EFD">
        <w:rPr>
          <w:rFonts w:ascii="Arial Narrow" w:eastAsia="Calibri" w:hAnsi="Arial Narrow"/>
          <w:lang w:eastAsia="en-AU"/>
        </w:rPr>
        <w:t xml:space="preserve"> continuation must be by a specialist practitioner or in consultation with the specialist, </w:t>
      </w:r>
      <w:r w:rsidRPr="006F3EFD">
        <w:rPr>
          <w:rFonts w:ascii="Arial Narrow" w:eastAsia="Calibri" w:hAnsi="Arial Narrow"/>
          <w:vertAlign w:val="superscript"/>
          <w:lang w:eastAsia="en-AU"/>
        </w:rPr>
        <w:t>e</w:t>
      </w:r>
      <w:r w:rsidRPr="006F3EFD">
        <w:rPr>
          <w:rFonts w:ascii="Arial Narrow" w:eastAsia="Calibri" w:hAnsi="Arial Narrow"/>
          <w:lang w:eastAsia="en-AU"/>
        </w:rPr>
        <w:t xml:space="preserve"> initiation must be by a specialist medical practitioner or in consultation with a specialist.  NP – nurse practitioner, MP – medical practitioner, OP – optometrist</w:t>
      </w:r>
    </w:p>
    <w:p w14:paraId="7EF79961" w14:textId="77777777" w:rsidR="00915445" w:rsidRPr="006F3EFD" w:rsidRDefault="00915445" w:rsidP="00915445">
      <w:pPr>
        <w:pStyle w:val="Heading1"/>
        <w:rPr>
          <w:rFonts w:ascii="Arial Narrow" w:eastAsia="Calibri" w:hAnsi="Arial Narrow"/>
          <w:b w:val="0"/>
          <w:bCs/>
          <w:color w:val="auto"/>
          <w:sz w:val="22"/>
          <w:szCs w:val="22"/>
          <w:lang w:eastAsia="en-AU"/>
        </w:rPr>
      </w:pPr>
      <w:r w:rsidRPr="006F3EFD">
        <w:rPr>
          <w:rFonts w:ascii="Arial Narrow" w:eastAsia="Calibri" w:hAnsi="Arial Narrow"/>
          <w:bCs/>
          <w:color w:val="auto"/>
          <w:sz w:val="22"/>
          <w:szCs w:val="22"/>
          <w:lang w:eastAsia="en-AU"/>
        </w:rPr>
        <w:t xml:space="preserve">Table 2 – PBS Prescriber bag medicines requested by stakeholders where nurse practitioners are not currently (as </w:t>
      </w:r>
      <w:proofErr w:type="gramStart"/>
      <w:r w:rsidRPr="006F3EFD">
        <w:rPr>
          <w:rFonts w:ascii="Arial Narrow" w:eastAsia="Calibri" w:hAnsi="Arial Narrow"/>
          <w:bCs/>
          <w:color w:val="auto"/>
          <w:sz w:val="22"/>
          <w:szCs w:val="22"/>
          <w:lang w:eastAsia="en-AU"/>
        </w:rPr>
        <w:t>at</w:t>
      </w:r>
      <w:proofErr w:type="gramEnd"/>
      <w:r w:rsidRPr="006F3EFD">
        <w:rPr>
          <w:rFonts w:ascii="Arial Narrow" w:eastAsia="Calibri" w:hAnsi="Arial Narrow"/>
          <w:bCs/>
          <w:color w:val="auto"/>
          <w:sz w:val="22"/>
          <w:szCs w:val="22"/>
          <w:lang w:eastAsia="en-AU"/>
        </w:rPr>
        <w:t xml:space="preserve"> 1 March 2025) authorised prescribers</w:t>
      </w:r>
    </w:p>
    <w:tbl>
      <w:tblPr>
        <w:tblStyle w:val="TableGrid3"/>
        <w:tblW w:w="13892" w:type="dxa"/>
        <w:tblInd w:w="-5" w:type="dxa"/>
        <w:tblLook w:val="04A0" w:firstRow="1" w:lastRow="0" w:firstColumn="1" w:lastColumn="0" w:noHBand="0" w:noVBand="1"/>
      </w:tblPr>
      <w:tblGrid>
        <w:gridCol w:w="3686"/>
        <w:gridCol w:w="4111"/>
        <w:gridCol w:w="6095"/>
      </w:tblGrid>
      <w:tr w:rsidR="00915445" w:rsidRPr="006F3EFD" w14:paraId="218D6BFC" w14:textId="77777777" w:rsidTr="00E24614">
        <w:trPr>
          <w:trHeight w:val="378"/>
          <w:tblHeader/>
        </w:trPr>
        <w:tc>
          <w:tcPr>
            <w:tcW w:w="3686" w:type="dxa"/>
            <w:noWrap/>
          </w:tcPr>
          <w:p w14:paraId="7BC40928" w14:textId="77777777" w:rsidR="00915445" w:rsidRPr="006F3EFD" w:rsidRDefault="00915445" w:rsidP="00E24614">
            <w:pPr>
              <w:rPr>
                <w:rFonts w:ascii="Arial Narrow" w:eastAsia="Times New Roman" w:hAnsi="Arial Narrow" w:cs="Arial"/>
                <w:b/>
                <w:bCs/>
                <w:kern w:val="0"/>
                <w:sz w:val="22"/>
                <w:szCs w:val="22"/>
                <w:lang w:eastAsia="en-AU"/>
                <w14:ligatures w14:val="none"/>
              </w:rPr>
            </w:pPr>
            <w:r w:rsidRPr="006F3EFD">
              <w:rPr>
                <w:rFonts w:ascii="Arial Narrow" w:eastAsia="Times New Roman" w:hAnsi="Arial Narrow" w:cs="Arial"/>
                <w:b/>
                <w:bCs/>
                <w:kern w:val="0"/>
                <w:sz w:val="22"/>
                <w:szCs w:val="22"/>
                <w:lang w:eastAsia="en-AU"/>
                <w14:ligatures w14:val="none"/>
              </w:rPr>
              <w:t>Drug name</w:t>
            </w:r>
          </w:p>
        </w:tc>
        <w:tc>
          <w:tcPr>
            <w:tcW w:w="4111" w:type="dxa"/>
          </w:tcPr>
          <w:p w14:paraId="2AA04B87" w14:textId="77777777" w:rsidR="00915445" w:rsidRPr="006F3EFD" w:rsidRDefault="00915445" w:rsidP="00E24614">
            <w:pPr>
              <w:rPr>
                <w:rFonts w:ascii="Arial Narrow" w:eastAsia="Times New Roman" w:hAnsi="Arial Narrow" w:cs="Arial"/>
                <w:b/>
                <w:bCs/>
                <w:kern w:val="0"/>
                <w:sz w:val="22"/>
                <w:szCs w:val="22"/>
                <w:lang w:eastAsia="en-AU"/>
                <w14:ligatures w14:val="none"/>
              </w:rPr>
            </w:pPr>
            <w:r w:rsidRPr="006F3EFD">
              <w:rPr>
                <w:rFonts w:ascii="Arial Narrow" w:eastAsia="Times New Roman" w:hAnsi="Arial Narrow" w:cs="Arial"/>
                <w:b/>
                <w:bCs/>
                <w:kern w:val="0"/>
                <w:sz w:val="22"/>
                <w:szCs w:val="22"/>
                <w:lang w:eastAsia="en-AU"/>
                <w14:ligatures w14:val="none"/>
              </w:rPr>
              <w:t>PBS listed indication(s)</w:t>
            </w:r>
          </w:p>
        </w:tc>
        <w:tc>
          <w:tcPr>
            <w:tcW w:w="6095" w:type="dxa"/>
          </w:tcPr>
          <w:p w14:paraId="627E4798" w14:textId="77777777" w:rsidR="00915445" w:rsidRPr="006F3EFD" w:rsidRDefault="00915445" w:rsidP="00E24614">
            <w:pPr>
              <w:rPr>
                <w:rFonts w:ascii="Arial Narrow" w:eastAsia="Times New Roman" w:hAnsi="Arial Narrow" w:cs="Arial"/>
                <w:b/>
                <w:bCs/>
                <w:kern w:val="0"/>
                <w:sz w:val="22"/>
                <w:szCs w:val="22"/>
                <w:lang w:eastAsia="en-AU"/>
                <w14:ligatures w14:val="none"/>
              </w:rPr>
            </w:pPr>
            <w:r w:rsidRPr="006F3EFD">
              <w:rPr>
                <w:rFonts w:ascii="Arial Narrow" w:eastAsia="Times New Roman" w:hAnsi="Arial Narrow" w:cs="Arial"/>
                <w:b/>
                <w:bCs/>
                <w:kern w:val="0"/>
                <w:sz w:val="22"/>
                <w:szCs w:val="22"/>
                <w:lang w:eastAsia="en-AU"/>
                <w14:ligatures w14:val="none"/>
              </w:rPr>
              <w:t xml:space="preserve">PBAC recommended nurse practitioner outcome / </w:t>
            </w:r>
            <w:r w:rsidRPr="006F3EFD">
              <w:rPr>
                <w:rFonts w:ascii="Arial Narrow" w:eastAsia="Times New Roman" w:hAnsi="Arial Narrow" w:cs="Arial"/>
                <w:b/>
                <w:bCs/>
                <w:i/>
                <w:iCs/>
                <w:kern w:val="0"/>
                <w:sz w:val="22"/>
                <w:szCs w:val="22"/>
                <w:lang w:eastAsia="en-AU"/>
                <w14:ligatures w14:val="none"/>
              </w:rPr>
              <w:t>Rationale</w:t>
            </w:r>
          </w:p>
        </w:tc>
      </w:tr>
      <w:tr w:rsidR="00915445" w:rsidRPr="006F3EFD" w14:paraId="12900DC3" w14:textId="77777777" w:rsidTr="00E24614">
        <w:trPr>
          <w:trHeight w:val="166"/>
        </w:trPr>
        <w:tc>
          <w:tcPr>
            <w:tcW w:w="13892" w:type="dxa"/>
            <w:gridSpan w:val="3"/>
          </w:tcPr>
          <w:p w14:paraId="49746D40"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b/>
                <w:bCs/>
                <w:i/>
                <w:iCs/>
                <w:kern w:val="0"/>
                <w:sz w:val="22"/>
                <w:szCs w:val="22"/>
                <w:lang w:eastAsia="en-AU"/>
                <w14:ligatures w14:val="none"/>
              </w:rPr>
              <w:t>Prescriber bag items</w:t>
            </w:r>
          </w:p>
        </w:tc>
      </w:tr>
      <w:tr w:rsidR="00915445" w:rsidRPr="006F3EFD" w14:paraId="6252FEB6" w14:textId="77777777" w:rsidTr="00E24614">
        <w:trPr>
          <w:trHeight w:val="417"/>
        </w:trPr>
        <w:tc>
          <w:tcPr>
            <w:tcW w:w="3686" w:type="dxa"/>
          </w:tcPr>
          <w:p w14:paraId="3B6CBFB1"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Methoxyflurane</w:t>
            </w:r>
          </w:p>
        </w:tc>
        <w:tc>
          <w:tcPr>
            <w:tcW w:w="4111" w:type="dxa"/>
          </w:tcPr>
          <w:p w14:paraId="5602B893"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Prescriber Bag listing</w:t>
            </w:r>
          </w:p>
        </w:tc>
        <w:tc>
          <w:tcPr>
            <w:tcW w:w="6095" w:type="dxa"/>
          </w:tcPr>
          <w:p w14:paraId="416FBFFC" w14:textId="1962CD9D"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1 </w:t>
            </w:r>
            <w:r w:rsidR="00EB5432">
              <w:rPr>
                <w:rFonts w:ascii="Arial Narrow" w:eastAsia="Times New Roman" w:hAnsi="Arial Narrow" w:cs="Arial"/>
                <w:kern w:val="0"/>
                <w:sz w:val="22"/>
                <w:szCs w:val="22"/>
                <w:lang w:eastAsia="en-AU"/>
                <w14:ligatures w14:val="none"/>
              </w:rPr>
              <w:t>–</w:t>
            </w:r>
            <w:r w:rsidRPr="006F3EFD">
              <w:rPr>
                <w:rFonts w:ascii="Arial Narrow" w:eastAsia="Times New Roman" w:hAnsi="Arial Narrow" w:cs="Arial"/>
                <w:kern w:val="0"/>
                <w:sz w:val="22"/>
                <w:szCs w:val="22"/>
                <w:lang w:eastAsia="en-AU"/>
                <w14:ligatures w14:val="none"/>
              </w:rPr>
              <w:t xml:space="preserve"> Permit </w:t>
            </w:r>
            <w:r w:rsidR="003C28C8">
              <w:rPr>
                <w:rFonts w:ascii="Arial Narrow" w:eastAsia="Times New Roman" w:hAnsi="Arial Narrow" w:cs="Arial"/>
                <w:kern w:val="0"/>
                <w:sz w:val="22"/>
                <w:szCs w:val="22"/>
                <w:lang w:eastAsia="en-AU"/>
                <w14:ligatures w14:val="none"/>
              </w:rPr>
              <w:t>NP</w:t>
            </w:r>
            <w:r w:rsidRPr="006F3EFD">
              <w:rPr>
                <w:rFonts w:ascii="Arial Narrow" w:eastAsia="Times New Roman" w:hAnsi="Arial Narrow" w:cs="Arial"/>
                <w:kern w:val="0"/>
                <w:sz w:val="22"/>
                <w:szCs w:val="22"/>
                <w:lang w:eastAsia="en-AU"/>
                <w14:ligatures w14:val="none"/>
              </w:rPr>
              <w:t xml:space="preserve"> access.</w:t>
            </w:r>
          </w:p>
          <w:p w14:paraId="7725058E" w14:textId="77777777" w:rsidR="00915445" w:rsidRPr="006F3EFD" w:rsidRDefault="00915445" w:rsidP="00E24614">
            <w:pPr>
              <w:rPr>
                <w:rFonts w:ascii="Arial Narrow" w:eastAsia="Times New Roman" w:hAnsi="Arial Narrow" w:cs="Arial"/>
                <w:kern w:val="0"/>
                <w:sz w:val="22"/>
                <w:szCs w:val="22"/>
                <w:lang w:eastAsia="en-AU"/>
                <w14:ligatures w14:val="none"/>
              </w:rPr>
            </w:pPr>
          </w:p>
        </w:tc>
      </w:tr>
      <w:tr w:rsidR="00915445" w:rsidRPr="006F3EFD" w14:paraId="296B03D0" w14:textId="77777777" w:rsidTr="00E24614">
        <w:trPr>
          <w:trHeight w:val="417"/>
        </w:trPr>
        <w:tc>
          <w:tcPr>
            <w:tcW w:w="3686" w:type="dxa"/>
          </w:tcPr>
          <w:p w14:paraId="25027C23"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Phytomenadione</w:t>
            </w:r>
          </w:p>
        </w:tc>
        <w:tc>
          <w:tcPr>
            <w:tcW w:w="4111" w:type="dxa"/>
          </w:tcPr>
          <w:p w14:paraId="6B611365" w14:textId="77777777"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Prescriber Bag listing</w:t>
            </w:r>
          </w:p>
        </w:tc>
        <w:tc>
          <w:tcPr>
            <w:tcW w:w="6095" w:type="dxa"/>
          </w:tcPr>
          <w:p w14:paraId="0631EAE1" w14:textId="3CDBA571" w:rsidR="00915445" w:rsidRPr="006F3EFD" w:rsidRDefault="00915445" w:rsidP="00E24614">
            <w:pPr>
              <w:rPr>
                <w:rFonts w:ascii="Arial Narrow" w:eastAsia="Times New Roman" w:hAnsi="Arial Narrow" w:cs="Arial"/>
                <w:kern w:val="0"/>
                <w:sz w:val="22"/>
                <w:szCs w:val="22"/>
                <w:lang w:eastAsia="en-AU"/>
                <w14:ligatures w14:val="none"/>
              </w:rPr>
            </w:pPr>
            <w:r w:rsidRPr="006F3EFD">
              <w:rPr>
                <w:rFonts w:ascii="Arial Narrow" w:eastAsia="Times New Roman" w:hAnsi="Arial Narrow" w:cs="Arial"/>
                <w:kern w:val="0"/>
                <w:sz w:val="22"/>
                <w:szCs w:val="22"/>
                <w:lang w:eastAsia="en-AU"/>
                <w14:ligatures w14:val="none"/>
              </w:rPr>
              <w:t xml:space="preserve">Outcome 1 – Permit </w:t>
            </w:r>
            <w:r w:rsidR="003C28C8">
              <w:rPr>
                <w:rFonts w:ascii="Arial Narrow" w:eastAsia="Times New Roman" w:hAnsi="Arial Narrow" w:cs="Arial"/>
                <w:kern w:val="0"/>
                <w:sz w:val="22"/>
                <w:szCs w:val="22"/>
                <w:lang w:eastAsia="en-AU"/>
                <w14:ligatures w14:val="none"/>
              </w:rPr>
              <w:t>NP</w:t>
            </w:r>
            <w:r w:rsidRPr="006F3EFD">
              <w:rPr>
                <w:rFonts w:ascii="Arial Narrow" w:eastAsia="Times New Roman" w:hAnsi="Arial Narrow" w:cs="Arial"/>
                <w:kern w:val="0"/>
                <w:sz w:val="22"/>
                <w:szCs w:val="22"/>
                <w:lang w:eastAsia="en-AU"/>
                <w14:ligatures w14:val="none"/>
              </w:rPr>
              <w:t xml:space="preserve"> access.</w:t>
            </w:r>
          </w:p>
          <w:p w14:paraId="440C5D7B" w14:textId="77777777" w:rsidR="00915445" w:rsidRPr="006F3EFD" w:rsidRDefault="00915445" w:rsidP="00E24614">
            <w:pPr>
              <w:rPr>
                <w:rFonts w:ascii="Arial Narrow" w:eastAsia="Times New Roman" w:hAnsi="Arial Narrow" w:cs="Arial"/>
                <w:i/>
                <w:iCs/>
                <w:kern w:val="0"/>
                <w:sz w:val="22"/>
                <w:szCs w:val="22"/>
                <w:lang w:eastAsia="en-AU"/>
                <w14:ligatures w14:val="none"/>
              </w:rPr>
            </w:pPr>
          </w:p>
        </w:tc>
      </w:tr>
    </w:tbl>
    <w:p w14:paraId="407162A4" w14:textId="77777777" w:rsidR="002E3851" w:rsidRPr="002356CF" w:rsidRDefault="002E3851" w:rsidP="00915445">
      <w:pPr>
        <w:rPr>
          <w:rFonts w:ascii="Arial" w:hAnsi="Arial" w:cs="Arial"/>
        </w:rPr>
      </w:pPr>
    </w:p>
    <w:sectPr w:rsidR="002E3851" w:rsidRPr="002356CF" w:rsidSect="0087200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726E" w14:textId="77777777" w:rsidR="00345AEC" w:rsidRDefault="00345AEC" w:rsidP="002E3851">
      <w:pPr>
        <w:spacing w:after="0" w:line="240" w:lineRule="auto"/>
      </w:pPr>
      <w:r>
        <w:separator/>
      </w:r>
    </w:p>
  </w:endnote>
  <w:endnote w:type="continuationSeparator" w:id="0">
    <w:p w14:paraId="63B404F0" w14:textId="77777777" w:rsidR="00345AEC" w:rsidRDefault="00345AEC" w:rsidP="002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676A" w14:textId="40AEC8F5" w:rsidR="002E3851" w:rsidRDefault="002E3851" w:rsidP="00EF19E0">
    <w:pPr>
      <w:pStyle w:val="Footer"/>
      <w:jc w:val="center"/>
    </w:pPr>
    <w:r w:rsidRPr="00EF19E0">
      <w:rPr>
        <w:sz w:val="16"/>
        <w:szCs w:val="16"/>
      </w:rPr>
      <w:t xml:space="preserve">Department of Health and Aged Care – </w:t>
    </w:r>
    <w:r w:rsidR="006F1D48" w:rsidRPr="00EF19E0">
      <w:rPr>
        <w:sz w:val="16"/>
        <w:szCs w:val="16"/>
      </w:rPr>
      <w:t xml:space="preserve">Review of </w:t>
    </w:r>
    <w:r w:rsidR="008D47D4">
      <w:rPr>
        <w:sz w:val="16"/>
        <w:szCs w:val="16"/>
      </w:rPr>
      <w:t>nurse practitioner</w:t>
    </w:r>
    <w:r w:rsidR="008D47D4" w:rsidRPr="00EF19E0">
      <w:rPr>
        <w:sz w:val="16"/>
        <w:szCs w:val="16"/>
      </w:rPr>
      <w:t xml:space="preserve"> </w:t>
    </w:r>
    <w:r w:rsidR="00CD47B5">
      <w:rPr>
        <w:sz w:val="16"/>
        <w:szCs w:val="16"/>
      </w:rPr>
      <w:t>PBS</w:t>
    </w:r>
    <w:r w:rsidR="006F1D48" w:rsidRPr="00EF19E0">
      <w:rPr>
        <w:sz w:val="16"/>
        <w:szCs w:val="16"/>
      </w:rPr>
      <w:t xml:space="preserve"> listings</w:t>
    </w:r>
    <w:r w:rsidR="00400D6E">
      <w:rPr>
        <w:sz w:val="16"/>
        <w:szCs w:val="16"/>
      </w:rPr>
      <w:t xml:space="preserve"> </w:t>
    </w:r>
    <w:sdt>
      <w:sdtPr>
        <w:rPr>
          <w:sz w:val="16"/>
          <w:szCs w:val="16"/>
        </w:rPr>
        <w:id w:val="-183903453"/>
        <w:docPartObj>
          <w:docPartGallery w:val="Page Numbers (Bottom of Page)"/>
          <w:docPartUnique/>
        </w:docPartObj>
      </w:sdtPr>
      <w:sdtEndPr>
        <w:rPr>
          <w:sz w:val="22"/>
          <w:szCs w:val="22"/>
        </w:rPr>
      </w:sdtEndPr>
      <w:sdtContent>
        <w:r w:rsidR="00DF5FCD" w:rsidRPr="00EF19E0">
          <w:rPr>
            <w:sz w:val="16"/>
            <w:szCs w:val="16"/>
          </w:rPr>
          <w:t xml:space="preserve"> –</w:t>
        </w:r>
        <w:r w:rsidR="002675CA">
          <w:rPr>
            <w:sz w:val="16"/>
            <w:szCs w:val="16"/>
          </w:rPr>
          <w:t xml:space="preserve"> </w:t>
        </w:r>
        <w:r w:rsidR="002D4DAA">
          <w:rPr>
            <w:sz w:val="16"/>
            <w:szCs w:val="16"/>
          </w:rPr>
          <w:t>March 2025</w:t>
        </w:r>
        <w:r w:rsidR="002675CA">
          <w:rPr>
            <w:sz w:val="16"/>
            <w:szCs w:val="16"/>
          </w:rPr>
          <w:t xml:space="preserve"> PBAC</w:t>
        </w:r>
        <w:r w:rsidR="00DF5FCD" w:rsidRPr="00EF19E0">
          <w:rPr>
            <w:sz w:val="16"/>
            <w:szCs w:val="16"/>
          </w:rPr>
          <w:t xml:space="preserve"> meeting</w:t>
        </w:r>
        <w:r w:rsidR="00EF19E0">
          <w:rPr>
            <w:sz w:val="16"/>
            <w:szCs w:val="16"/>
          </w:rPr>
          <w:t xml:space="preserve">        </w:t>
        </w:r>
        <w:r w:rsidR="0060240A">
          <w:rPr>
            <w:sz w:val="16"/>
            <w:szCs w:val="16"/>
          </w:rPr>
          <w:t xml:space="preserve">   </w:t>
        </w:r>
        <w:r w:rsidR="00EF19E0">
          <w:rPr>
            <w:sz w:val="16"/>
            <w:szCs w:val="16"/>
          </w:rPr>
          <w:t xml:space="preserve">          </w:t>
        </w:r>
        <w:r w:rsidRPr="002E3851">
          <w:tab/>
        </w:r>
        <w:r w:rsidR="00D918DD">
          <w:tab/>
        </w:r>
        <w:r w:rsidR="00EF19E0">
          <w:t xml:space="preserve">  </w:t>
        </w:r>
        <w:r w:rsidRPr="002E3851">
          <w:fldChar w:fldCharType="begin"/>
        </w:r>
        <w:r w:rsidRPr="002E3851">
          <w:instrText xml:space="preserve"> PAGE   \* MERGEFORMAT </w:instrText>
        </w:r>
        <w:r w:rsidRPr="002E3851">
          <w:fldChar w:fldCharType="separate"/>
        </w:r>
        <w:r w:rsidRPr="002E3851">
          <w:t>4</w:t>
        </w:r>
        <w:r w:rsidRPr="002E385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F5FD" w14:textId="77777777" w:rsidR="00345AEC" w:rsidRDefault="00345AEC" w:rsidP="002E3851">
      <w:pPr>
        <w:spacing w:after="0" w:line="240" w:lineRule="auto"/>
      </w:pPr>
      <w:r>
        <w:separator/>
      </w:r>
    </w:p>
  </w:footnote>
  <w:footnote w:type="continuationSeparator" w:id="0">
    <w:p w14:paraId="105361BA" w14:textId="77777777" w:rsidR="00345AEC" w:rsidRDefault="00345AEC" w:rsidP="002E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A93C" w14:textId="7CF314C7" w:rsidR="002E3851" w:rsidRDefault="002E3851">
    <w:pPr>
      <w:pStyle w:val="Header"/>
    </w:pPr>
    <w:r>
      <w:rPr>
        <w:noProof/>
        <w:lang w:eastAsia="en-AU"/>
      </w:rPr>
      <w:drawing>
        <wp:inline distT="0" distB="0" distL="0" distR="0" wp14:anchorId="14710BDC" wp14:editId="1B52D2A2">
          <wp:extent cx="5731510" cy="937137"/>
          <wp:effectExtent l="0" t="0" r="254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p w14:paraId="5A4D62C0" w14:textId="77777777" w:rsidR="004A0822" w:rsidRDefault="004A0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AD1"/>
    <w:multiLevelType w:val="hybridMultilevel"/>
    <w:tmpl w:val="68E48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D2361"/>
    <w:multiLevelType w:val="hybridMultilevel"/>
    <w:tmpl w:val="98662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9574DA"/>
    <w:multiLevelType w:val="hybridMultilevel"/>
    <w:tmpl w:val="1A4A0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93FDA"/>
    <w:multiLevelType w:val="hybridMultilevel"/>
    <w:tmpl w:val="840A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C0404"/>
    <w:multiLevelType w:val="hybridMultilevel"/>
    <w:tmpl w:val="A09E7CCA"/>
    <w:lvl w:ilvl="0" w:tplc="B1D6E7E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E37ACE"/>
    <w:multiLevelType w:val="hybridMultilevel"/>
    <w:tmpl w:val="2A88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5D016B"/>
    <w:multiLevelType w:val="hybridMultilevel"/>
    <w:tmpl w:val="2E1093B2"/>
    <w:lvl w:ilvl="0" w:tplc="B3369A28">
      <w:start w:val="1"/>
      <w:numFmt w:val="bullet"/>
      <w:lvlText w:val="•"/>
      <w:lvlJc w:val="left"/>
      <w:pPr>
        <w:tabs>
          <w:tab w:val="num" w:pos="720"/>
        </w:tabs>
        <w:ind w:left="720" w:hanging="360"/>
      </w:pPr>
      <w:rPr>
        <w:rFonts w:ascii="Arial" w:hAnsi="Arial" w:hint="default"/>
      </w:rPr>
    </w:lvl>
    <w:lvl w:ilvl="1" w:tplc="5E96034E" w:tentative="1">
      <w:start w:val="1"/>
      <w:numFmt w:val="bullet"/>
      <w:lvlText w:val="•"/>
      <w:lvlJc w:val="left"/>
      <w:pPr>
        <w:tabs>
          <w:tab w:val="num" w:pos="1440"/>
        </w:tabs>
        <w:ind w:left="1440" w:hanging="360"/>
      </w:pPr>
      <w:rPr>
        <w:rFonts w:ascii="Arial" w:hAnsi="Arial" w:hint="default"/>
      </w:rPr>
    </w:lvl>
    <w:lvl w:ilvl="2" w:tplc="FFA0384A" w:tentative="1">
      <w:start w:val="1"/>
      <w:numFmt w:val="bullet"/>
      <w:lvlText w:val="•"/>
      <w:lvlJc w:val="left"/>
      <w:pPr>
        <w:tabs>
          <w:tab w:val="num" w:pos="2160"/>
        </w:tabs>
        <w:ind w:left="2160" w:hanging="360"/>
      </w:pPr>
      <w:rPr>
        <w:rFonts w:ascii="Arial" w:hAnsi="Arial" w:hint="default"/>
      </w:rPr>
    </w:lvl>
    <w:lvl w:ilvl="3" w:tplc="E32C9DF6" w:tentative="1">
      <w:start w:val="1"/>
      <w:numFmt w:val="bullet"/>
      <w:lvlText w:val="•"/>
      <w:lvlJc w:val="left"/>
      <w:pPr>
        <w:tabs>
          <w:tab w:val="num" w:pos="2880"/>
        </w:tabs>
        <w:ind w:left="2880" w:hanging="360"/>
      </w:pPr>
      <w:rPr>
        <w:rFonts w:ascii="Arial" w:hAnsi="Arial" w:hint="default"/>
      </w:rPr>
    </w:lvl>
    <w:lvl w:ilvl="4" w:tplc="64A465E8" w:tentative="1">
      <w:start w:val="1"/>
      <w:numFmt w:val="bullet"/>
      <w:lvlText w:val="•"/>
      <w:lvlJc w:val="left"/>
      <w:pPr>
        <w:tabs>
          <w:tab w:val="num" w:pos="3600"/>
        </w:tabs>
        <w:ind w:left="3600" w:hanging="360"/>
      </w:pPr>
      <w:rPr>
        <w:rFonts w:ascii="Arial" w:hAnsi="Arial" w:hint="default"/>
      </w:rPr>
    </w:lvl>
    <w:lvl w:ilvl="5" w:tplc="0AC44BAA" w:tentative="1">
      <w:start w:val="1"/>
      <w:numFmt w:val="bullet"/>
      <w:lvlText w:val="•"/>
      <w:lvlJc w:val="left"/>
      <w:pPr>
        <w:tabs>
          <w:tab w:val="num" w:pos="4320"/>
        </w:tabs>
        <w:ind w:left="4320" w:hanging="360"/>
      </w:pPr>
      <w:rPr>
        <w:rFonts w:ascii="Arial" w:hAnsi="Arial" w:hint="default"/>
      </w:rPr>
    </w:lvl>
    <w:lvl w:ilvl="6" w:tplc="4D10DBDC" w:tentative="1">
      <w:start w:val="1"/>
      <w:numFmt w:val="bullet"/>
      <w:lvlText w:val="•"/>
      <w:lvlJc w:val="left"/>
      <w:pPr>
        <w:tabs>
          <w:tab w:val="num" w:pos="5040"/>
        </w:tabs>
        <w:ind w:left="5040" w:hanging="360"/>
      </w:pPr>
      <w:rPr>
        <w:rFonts w:ascii="Arial" w:hAnsi="Arial" w:hint="default"/>
      </w:rPr>
    </w:lvl>
    <w:lvl w:ilvl="7" w:tplc="2D7079F8" w:tentative="1">
      <w:start w:val="1"/>
      <w:numFmt w:val="bullet"/>
      <w:lvlText w:val="•"/>
      <w:lvlJc w:val="left"/>
      <w:pPr>
        <w:tabs>
          <w:tab w:val="num" w:pos="5760"/>
        </w:tabs>
        <w:ind w:left="5760" w:hanging="360"/>
      </w:pPr>
      <w:rPr>
        <w:rFonts w:ascii="Arial" w:hAnsi="Arial" w:hint="default"/>
      </w:rPr>
    </w:lvl>
    <w:lvl w:ilvl="8" w:tplc="8E8C07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D87230"/>
    <w:multiLevelType w:val="hybridMultilevel"/>
    <w:tmpl w:val="B626440E"/>
    <w:lvl w:ilvl="0" w:tplc="5332032E">
      <w:start w:val="1"/>
      <w:numFmt w:val="bullet"/>
      <w:lvlText w:val="•"/>
      <w:lvlJc w:val="left"/>
      <w:pPr>
        <w:tabs>
          <w:tab w:val="num" w:pos="720"/>
        </w:tabs>
        <w:ind w:left="720" w:hanging="360"/>
      </w:pPr>
      <w:rPr>
        <w:rFonts w:ascii="Arial" w:hAnsi="Arial" w:hint="default"/>
      </w:rPr>
    </w:lvl>
    <w:lvl w:ilvl="1" w:tplc="522E0D10">
      <w:numFmt w:val="bullet"/>
      <w:lvlText w:val="o"/>
      <w:lvlJc w:val="left"/>
      <w:pPr>
        <w:tabs>
          <w:tab w:val="num" w:pos="1440"/>
        </w:tabs>
        <w:ind w:left="1440" w:hanging="360"/>
      </w:pPr>
      <w:rPr>
        <w:rFonts w:ascii="Courier New" w:hAnsi="Courier New" w:hint="default"/>
      </w:rPr>
    </w:lvl>
    <w:lvl w:ilvl="2" w:tplc="6AAE3220" w:tentative="1">
      <w:start w:val="1"/>
      <w:numFmt w:val="bullet"/>
      <w:lvlText w:val="•"/>
      <w:lvlJc w:val="left"/>
      <w:pPr>
        <w:tabs>
          <w:tab w:val="num" w:pos="2160"/>
        </w:tabs>
        <w:ind w:left="2160" w:hanging="360"/>
      </w:pPr>
      <w:rPr>
        <w:rFonts w:ascii="Arial" w:hAnsi="Arial" w:hint="default"/>
      </w:rPr>
    </w:lvl>
    <w:lvl w:ilvl="3" w:tplc="813A097E" w:tentative="1">
      <w:start w:val="1"/>
      <w:numFmt w:val="bullet"/>
      <w:lvlText w:val="•"/>
      <w:lvlJc w:val="left"/>
      <w:pPr>
        <w:tabs>
          <w:tab w:val="num" w:pos="2880"/>
        </w:tabs>
        <w:ind w:left="2880" w:hanging="360"/>
      </w:pPr>
      <w:rPr>
        <w:rFonts w:ascii="Arial" w:hAnsi="Arial" w:hint="default"/>
      </w:rPr>
    </w:lvl>
    <w:lvl w:ilvl="4" w:tplc="7F426E9A" w:tentative="1">
      <w:start w:val="1"/>
      <w:numFmt w:val="bullet"/>
      <w:lvlText w:val="•"/>
      <w:lvlJc w:val="left"/>
      <w:pPr>
        <w:tabs>
          <w:tab w:val="num" w:pos="3600"/>
        </w:tabs>
        <w:ind w:left="3600" w:hanging="360"/>
      </w:pPr>
      <w:rPr>
        <w:rFonts w:ascii="Arial" w:hAnsi="Arial" w:hint="default"/>
      </w:rPr>
    </w:lvl>
    <w:lvl w:ilvl="5" w:tplc="7AFECE44" w:tentative="1">
      <w:start w:val="1"/>
      <w:numFmt w:val="bullet"/>
      <w:lvlText w:val="•"/>
      <w:lvlJc w:val="left"/>
      <w:pPr>
        <w:tabs>
          <w:tab w:val="num" w:pos="4320"/>
        </w:tabs>
        <w:ind w:left="4320" w:hanging="360"/>
      </w:pPr>
      <w:rPr>
        <w:rFonts w:ascii="Arial" w:hAnsi="Arial" w:hint="default"/>
      </w:rPr>
    </w:lvl>
    <w:lvl w:ilvl="6" w:tplc="8124E454" w:tentative="1">
      <w:start w:val="1"/>
      <w:numFmt w:val="bullet"/>
      <w:lvlText w:val="•"/>
      <w:lvlJc w:val="left"/>
      <w:pPr>
        <w:tabs>
          <w:tab w:val="num" w:pos="5040"/>
        </w:tabs>
        <w:ind w:left="5040" w:hanging="360"/>
      </w:pPr>
      <w:rPr>
        <w:rFonts w:ascii="Arial" w:hAnsi="Arial" w:hint="default"/>
      </w:rPr>
    </w:lvl>
    <w:lvl w:ilvl="7" w:tplc="28B4E564" w:tentative="1">
      <w:start w:val="1"/>
      <w:numFmt w:val="bullet"/>
      <w:lvlText w:val="•"/>
      <w:lvlJc w:val="left"/>
      <w:pPr>
        <w:tabs>
          <w:tab w:val="num" w:pos="5760"/>
        </w:tabs>
        <w:ind w:left="5760" w:hanging="360"/>
      </w:pPr>
      <w:rPr>
        <w:rFonts w:ascii="Arial" w:hAnsi="Arial" w:hint="default"/>
      </w:rPr>
    </w:lvl>
    <w:lvl w:ilvl="8" w:tplc="B750FB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C913E3"/>
    <w:multiLevelType w:val="hybridMultilevel"/>
    <w:tmpl w:val="22EC2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973D5"/>
    <w:multiLevelType w:val="hybridMultilevel"/>
    <w:tmpl w:val="E19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A57EBC"/>
    <w:multiLevelType w:val="hybridMultilevel"/>
    <w:tmpl w:val="7F7AF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07C97"/>
    <w:multiLevelType w:val="hybridMultilevel"/>
    <w:tmpl w:val="119E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37262A"/>
    <w:multiLevelType w:val="hybridMultilevel"/>
    <w:tmpl w:val="C678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402051"/>
    <w:multiLevelType w:val="hybridMultilevel"/>
    <w:tmpl w:val="414A4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8B64D25"/>
    <w:multiLevelType w:val="multilevel"/>
    <w:tmpl w:val="77A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F07E83"/>
    <w:multiLevelType w:val="hybridMultilevel"/>
    <w:tmpl w:val="7A92D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84515F"/>
    <w:multiLevelType w:val="hybridMultilevel"/>
    <w:tmpl w:val="DB5C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F07D0"/>
    <w:multiLevelType w:val="hybridMultilevel"/>
    <w:tmpl w:val="DEC48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9E7DFD"/>
    <w:multiLevelType w:val="hybridMultilevel"/>
    <w:tmpl w:val="76484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BC2693"/>
    <w:multiLevelType w:val="multilevel"/>
    <w:tmpl w:val="35CA008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0" w15:restartNumberingAfterBreak="0">
    <w:nsid w:val="589066C6"/>
    <w:multiLevelType w:val="hybridMultilevel"/>
    <w:tmpl w:val="30D6FA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1E859FF"/>
    <w:multiLevelType w:val="hybridMultilevel"/>
    <w:tmpl w:val="999A1598"/>
    <w:lvl w:ilvl="0" w:tplc="B9209582">
      <w:start w:val="1"/>
      <w:numFmt w:val="bullet"/>
      <w:lvlText w:val=""/>
      <w:lvlJc w:val="left"/>
      <w:pPr>
        <w:ind w:left="1160" w:hanging="360"/>
      </w:pPr>
      <w:rPr>
        <w:rFonts w:ascii="Symbol" w:hAnsi="Symbol"/>
      </w:rPr>
    </w:lvl>
    <w:lvl w:ilvl="1" w:tplc="12D49930">
      <w:start w:val="1"/>
      <w:numFmt w:val="bullet"/>
      <w:lvlText w:val=""/>
      <w:lvlJc w:val="left"/>
      <w:pPr>
        <w:ind w:left="1160" w:hanging="360"/>
      </w:pPr>
      <w:rPr>
        <w:rFonts w:ascii="Symbol" w:hAnsi="Symbol"/>
      </w:rPr>
    </w:lvl>
    <w:lvl w:ilvl="2" w:tplc="63A400DA">
      <w:start w:val="1"/>
      <w:numFmt w:val="bullet"/>
      <w:lvlText w:val=""/>
      <w:lvlJc w:val="left"/>
      <w:pPr>
        <w:ind w:left="1160" w:hanging="360"/>
      </w:pPr>
      <w:rPr>
        <w:rFonts w:ascii="Symbol" w:hAnsi="Symbol"/>
      </w:rPr>
    </w:lvl>
    <w:lvl w:ilvl="3" w:tplc="2ADE0A06">
      <w:start w:val="1"/>
      <w:numFmt w:val="bullet"/>
      <w:lvlText w:val=""/>
      <w:lvlJc w:val="left"/>
      <w:pPr>
        <w:ind w:left="1160" w:hanging="360"/>
      </w:pPr>
      <w:rPr>
        <w:rFonts w:ascii="Symbol" w:hAnsi="Symbol"/>
      </w:rPr>
    </w:lvl>
    <w:lvl w:ilvl="4" w:tplc="F22E8E8E">
      <w:start w:val="1"/>
      <w:numFmt w:val="bullet"/>
      <w:lvlText w:val=""/>
      <w:lvlJc w:val="left"/>
      <w:pPr>
        <w:ind w:left="1160" w:hanging="360"/>
      </w:pPr>
      <w:rPr>
        <w:rFonts w:ascii="Symbol" w:hAnsi="Symbol"/>
      </w:rPr>
    </w:lvl>
    <w:lvl w:ilvl="5" w:tplc="76A2BEC6">
      <w:start w:val="1"/>
      <w:numFmt w:val="bullet"/>
      <w:lvlText w:val=""/>
      <w:lvlJc w:val="left"/>
      <w:pPr>
        <w:ind w:left="1160" w:hanging="360"/>
      </w:pPr>
      <w:rPr>
        <w:rFonts w:ascii="Symbol" w:hAnsi="Symbol"/>
      </w:rPr>
    </w:lvl>
    <w:lvl w:ilvl="6" w:tplc="2C0C44B4">
      <w:start w:val="1"/>
      <w:numFmt w:val="bullet"/>
      <w:lvlText w:val=""/>
      <w:lvlJc w:val="left"/>
      <w:pPr>
        <w:ind w:left="1160" w:hanging="360"/>
      </w:pPr>
      <w:rPr>
        <w:rFonts w:ascii="Symbol" w:hAnsi="Symbol"/>
      </w:rPr>
    </w:lvl>
    <w:lvl w:ilvl="7" w:tplc="0B30AD30">
      <w:start w:val="1"/>
      <w:numFmt w:val="bullet"/>
      <w:lvlText w:val=""/>
      <w:lvlJc w:val="left"/>
      <w:pPr>
        <w:ind w:left="1160" w:hanging="360"/>
      </w:pPr>
      <w:rPr>
        <w:rFonts w:ascii="Symbol" w:hAnsi="Symbol"/>
      </w:rPr>
    </w:lvl>
    <w:lvl w:ilvl="8" w:tplc="8C96E116">
      <w:start w:val="1"/>
      <w:numFmt w:val="bullet"/>
      <w:lvlText w:val=""/>
      <w:lvlJc w:val="left"/>
      <w:pPr>
        <w:ind w:left="1160" w:hanging="360"/>
      </w:pPr>
      <w:rPr>
        <w:rFonts w:ascii="Symbol" w:hAnsi="Symbol"/>
      </w:rPr>
    </w:lvl>
  </w:abstractNum>
  <w:abstractNum w:abstractNumId="22" w15:restartNumberingAfterBreak="0">
    <w:nsid w:val="64B71C7E"/>
    <w:multiLevelType w:val="hybridMultilevel"/>
    <w:tmpl w:val="AE9C2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D0631"/>
    <w:multiLevelType w:val="hybridMultilevel"/>
    <w:tmpl w:val="582260F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500EE1"/>
    <w:multiLevelType w:val="hybridMultilevel"/>
    <w:tmpl w:val="FCDE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AA15F3"/>
    <w:multiLevelType w:val="hybridMultilevel"/>
    <w:tmpl w:val="965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C16A8E"/>
    <w:multiLevelType w:val="hybridMultilevel"/>
    <w:tmpl w:val="1316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142362"/>
    <w:multiLevelType w:val="hybridMultilevel"/>
    <w:tmpl w:val="5EC2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8" w15:restartNumberingAfterBreak="0">
    <w:nsid w:val="6CA82840"/>
    <w:multiLevelType w:val="hybridMultilevel"/>
    <w:tmpl w:val="C258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87D01"/>
    <w:multiLevelType w:val="hybridMultilevel"/>
    <w:tmpl w:val="B3463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0D5A84"/>
    <w:multiLevelType w:val="hybridMultilevel"/>
    <w:tmpl w:val="F6E2D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231913"/>
    <w:multiLevelType w:val="hybridMultilevel"/>
    <w:tmpl w:val="26ACE1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2684083"/>
    <w:multiLevelType w:val="hybridMultilevel"/>
    <w:tmpl w:val="05BA1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410602"/>
    <w:multiLevelType w:val="hybridMultilevel"/>
    <w:tmpl w:val="1A28B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9C306E"/>
    <w:multiLevelType w:val="hybridMultilevel"/>
    <w:tmpl w:val="588C7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CCBE1B6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85828AE"/>
    <w:multiLevelType w:val="multilevel"/>
    <w:tmpl w:val="89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6A4A17"/>
    <w:multiLevelType w:val="hybridMultilevel"/>
    <w:tmpl w:val="14F0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C256D04"/>
    <w:multiLevelType w:val="hybridMultilevel"/>
    <w:tmpl w:val="1EF8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016BC3"/>
    <w:multiLevelType w:val="hybridMultilevel"/>
    <w:tmpl w:val="E4147A38"/>
    <w:lvl w:ilvl="0" w:tplc="1D18A5CA">
      <w:start w:val="1"/>
      <w:numFmt w:val="bullet"/>
      <w:lvlText w:val=""/>
      <w:lvlJc w:val="left"/>
      <w:pPr>
        <w:ind w:left="2160" w:hanging="360"/>
      </w:pPr>
      <w:rPr>
        <w:rFonts w:ascii="Symbol" w:hAnsi="Symbol"/>
      </w:rPr>
    </w:lvl>
    <w:lvl w:ilvl="1" w:tplc="BFCC7296">
      <w:start w:val="1"/>
      <w:numFmt w:val="bullet"/>
      <w:lvlText w:val=""/>
      <w:lvlJc w:val="left"/>
      <w:pPr>
        <w:ind w:left="2160" w:hanging="360"/>
      </w:pPr>
      <w:rPr>
        <w:rFonts w:ascii="Symbol" w:hAnsi="Symbol"/>
      </w:rPr>
    </w:lvl>
    <w:lvl w:ilvl="2" w:tplc="539ABEB2">
      <w:start w:val="1"/>
      <w:numFmt w:val="bullet"/>
      <w:lvlText w:val=""/>
      <w:lvlJc w:val="left"/>
      <w:pPr>
        <w:ind w:left="2160" w:hanging="360"/>
      </w:pPr>
      <w:rPr>
        <w:rFonts w:ascii="Symbol" w:hAnsi="Symbol"/>
      </w:rPr>
    </w:lvl>
    <w:lvl w:ilvl="3" w:tplc="24787D7E">
      <w:start w:val="1"/>
      <w:numFmt w:val="bullet"/>
      <w:lvlText w:val=""/>
      <w:lvlJc w:val="left"/>
      <w:pPr>
        <w:ind w:left="2160" w:hanging="360"/>
      </w:pPr>
      <w:rPr>
        <w:rFonts w:ascii="Symbol" w:hAnsi="Symbol"/>
      </w:rPr>
    </w:lvl>
    <w:lvl w:ilvl="4" w:tplc="AB2C5E74">
      <w:start w:val="1"/>
      <w:numFmt w:val="bullet"/>
      <w:lvlText w:val=""/>
      <w:lvlJc w:val="left"/>
      <w:pPr>
        <w:ind w:left="2160" w:hanging="360"/>
      </w:pPr>
      <w:rPr>
        <w:rFonts w:ascii="Symbol" w:hAnsi="Symbol"/>
      </w:rPr>
    </w:lvl>
    <w:lvl w:ilvl="5" w:tplc="E66EACAA">
      <w:start w:val="1"/>
      <w:numFmt w:val="bullet"/>
      <w:lvlText w:val=""/>
      <w:lvlJc w:val="left"/>
      <w:pPr>
        <w:ind w:left="2160" w:hanging="360"/>
      </w:pPr>
      <w:rPr>
        <w:rFonts w:ascii="Symbol" w:hAnsi="Symbol"/>
      </w:rPr>
    </w:lvl>
    <w:lvl w:ilvl="6" w:tplc="973ECF8E">
      <w:start w:val="1"/>
      <w:numFmt w:val="bullet"/>
      <w:lvlText w:val=""/>
      <w:lvlJc w:val="left"/>
      <w:pPr>
        <w:ind w:left="2160" w:hanging="360"/>
      </w:pPr>
      <w:rPr>
        <w:rFonts w:ascii="Symbol" w:hAnsi="Symbol"/>
      </w:rPr>
    </w:lvl>
    <w:lvl w:ilvl="7" w:tplc="330CC3D2">
      <w:start w:val="1"/>
      <w:numFmt w:val="bullet"/>
      <w:lvlText w:val=""/>
      <w:lvlJc w:val="left"/>
      <w:pPr>
        <w:ind w:left="2160" w:hanging="360"/>
      </w:pPr>
      <w:rPr>
        <w:rFonts w:ascii="Symbol" w:hAnsi="Symbol"/>
      </w:rPr>
    </w:lvl>
    <w:lvl w:ilvl="8" w:tplc="FF86651A">
      <w:start w:val="1"/>
      <w:numFmt w:val="bullet"/>
      <w:lvlText w:val=""/>
      <w:lvlJc w:val="left"/>
      <w:pPr>
        <w:ind w:left="2160" w:hanging="360"/>
      </w:pPr>
      <w:rPr>
        <w:rFonts w:ascii="Symbol" w:hAnsi="Symbol"/>
      </w:rPr>
    </w:lvl>
  </w:abstractNum>
  <w:num w:numId="1" w16cid:durableId="1923444207">
    <w:abstractNumId w:val="38"/>
  </w:num>
  <w:num w:numId="2" w16cid:durableId="1306280192">
    <w:abstractNumId w:val="30"/>
  </w:num>
  <w:num w:numId="3" w16cid:durableId="890725674">
    <w:abstractNumId w:val="20"/>
  </w:num>
  <w:num w:numId="4" w16cid:durableId="748159009">
    <w:abstractNumId w:val="12"/>
  </w:num>
  <w:num w:numId="5" w16cid:durableId="1764646313">
    <w:abstractNumId w:val="26"/>
  </w:num>
  <w:num w:numId="6" w16cid:durableId="2079940783">
    <w:abstractNumId w:val="22"/>
  </w:num>
  <w:num w:numId="7" w16cid:durableId="335815680">
    <w:abstractNumId w:val="16"/>
  </w:num>
  <w:num w:numId="8" w16cid:durableId="1413308192">
    <w:abstractNumId w:val="21"/>
  </w:num>
  <w:num w:numId="9" w16cid:durableId="1244952406">
    <w:abstractNumId w:val="36"/>
  </w:num>
  <w:num w:numId="10" w16cid:durableId="1405377542">
    <w:abstractNumId w:val="33"/>
  </w:num>
  <w:num w:numId="11" w16cid:durableId="1142425831">
    <w:abstractNumId w:val="14"/>
  </w:num>
  <w:num w:numId="12" w16cid:durableId="1203716071">
    <w:abstractNumId w:val="6"/>
  </w:num>
  <w:num w:numId="13" w16cid:durableId="1746607933">
    <w:abstractNumId w:val="7"/>
  </w:num>
  <w:num w:numId="14" w16cid:durableId="1846749596">
    <w:abstractNumId w:val="27"/>
  </w:num>
  <w:num w:numId="15" w16cid:durableId="1661809180">
    <w:abstractNumId w:val="13"/>
  </w:num>
  <w:num w:numId="16" w16cid:durableId="2001497418">
    <w:abstractNumId w:val="39"/>
  </w:num>
  <w:num w:numId="17" w16cid:durableId="2069037651">
    <w:abstractNumId w:val="0"/>
  </w:num>
  <w:num w:numId="18" w16cid:durableId="1679652430">
    <w:abstractNumId w:val="1"/>
  </w:num>
  <w:num w:numId="19" w16cid:durableId="1471558028">
    <w:abstractNumId w:val="9"/>
  </w:num>
  <w:num w:numId="20" w16cid:durableId="1326200833">
    <w:abstractNumId w:val="25"/>
  </w:num>
  <w:num w:numId="21" w16cid:durableId="650407551">
    <w:abstractNumId w:val="37"/>
  </w:num>
  <w:num w:numId="22" w16cid:durableId="153882153">
    <w:abstractNumId w:val="19"/>
  </w:num>
  <w:num w:numId="23" w16cid:durableId="951474939">
    <w:abstractNumId w:val="11"/>
  </w:num>
  <w:num w:numId="24" w16cid:durableId="968826897">
    <w:abstractNumId w:val="31"/>
  </w:num>
  <w:num w:numId="25" w16cid:durableId="997271078">
    <w:abstractNumId w:val="5"/>
  </w:num>
  <w:num w:numId="26" w16cid:durableId="717166605">
    <w:abstractNumId w:val="3"/>
  </w:num>
  <w:num w:numId="27" w16cid:durableId="1586646935">
    <w:abstractNumId w:val="2"/>
  </w:num>
  <w:num w:numId="28" w16cid:durableId="889994929">
    <w:abstractNumId w:val="23"/>
  </w:num>
  <w:num w:numId="29" w16cid:durableId="2039773198">
    <w:abstractNumId w:val="29"/>
  </w:num>
  <w:num w:numId="30" w16cid:durableId="957570559">
    <w:abstractNumId w:val="35"/>
  </w:num>
  <w:num w:numId="31" w16cid:durableId="577834697">
    <w:abstractNumId w:val="34"/>
  </w:num>
  <w:num w:numId="32" w16cid:durableId="1820224752">
    <w:abstractNumId w:val="32"/>
  </w:num>
  <w:num w:numId="33" w16cid:durableId="1266578141">
    <w:abstractNumId w:val="17"/>
  </w:num>
  <w:num w:numId="34" w16cid:durableId="540361893">
    <w:abstractNumId w:val="10"/>
  </w:num>
  <w:num w:numId="35" w16cid:durableId="23596773">
    <w:abstractNumId w:val="4"/>
  </w:num>
  <w:num w:numId="36" w16cid:durableId="1414011146">
    <w:abstractNumId w:val="18"/>
  </w:num>
  <w:num w:numId="37" w16cid:durableId="857547502">
    <w:abstractNumId w:val="15"/>
  </w:num>
  <w:num w:numId="38" w16cid:durableId="89745103">
    <w:abstractNumId w:val="24"/>
  </w:num>
  <w:num w:numId="39" w16cid:durableId="1301617135">
    <w:abstractNumId w:val="8"/>
  </w:num>
  <w:num w:numId="40" w16cid:durableId="15510698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1"/>
    <w:rsid w:val="00001087"/>
    <w:rsid w:val="00005D23"/>
    <w:rsid w:val="00006646"/>
    <w:rsid w:val="00007170"/>
    <w:rsid w:val="00023137"/>
    <w:rsid w:val="00023BDF"/>
    <w:rsid w:val="00023E47"/>
    <w:rsid w:val="0002610C"/>
    <w:rsid w:val="0002665C"/>
    <w:rsid w:val="000304B6"/>
    <w:rsid w:val="00030DC5"/>
    <w:rsid w:val="0003106F"/>
    <w:rsid w:val="00036184"/>
    <w:rsid w:val="00036C47"/>
    <w:rsid w:val="000410F1"/>
    <w:rsid w:val="00042AD0"/>
    <w:rsid w:val="000437CE"/>
    <w:rsid w:val="0004439C"/>
    <w:rsid w:val="00050B0A"/>
    <w:rsid w:val="00051FD0"/>
    <w:rsid w:val="00052F48"/>
    <w:rsid w:val="000543F1"/>
    <w:rsid w:val="00054CD4"/>
    <w:rsid w:val="00065DB3"/>
    <w:rsid w:val="00066178"/>
    <w:rsid w:val="000674A8"/>
    <w:rsid w:val="00067706"/>
    <w:rsid w:val="000773E9"/>
    <w:rsid w:val="00077953"/>
    <w:rsid w:val="000817FD"/>
    <w:rsid w:val="00090761"/>
    <w:rsid w:val="00094144"/>
    <w:rsid w:val="000942F6"/>
    <w:rsid w:val="00096457"/>
    <w:rsid w:val="000973DF"/>
    <w:rsid w:val="000A0712"/>
    <w:rsid w:val="000A24D7"/>
    <w:rsid w:val="000A442D"/>
    <w:rsid w:val="000A5DFD"/>
    <w:rsid w:val="000B07B0"/>
    <w:rsid w:val="000B16EF"/>
    <w:rsid w:val="000B1EFB"/>
    <w:rsid w:val="000B2B7F"/>
    <w:rsid w:val="000B3186"/>
    <w:rsid w:val="000B429F"/>
    <w:rsid w:val="000B4A3B"/>
    <w:rsid w:val="000B521A"/>
    <w:rsid w:val="000C04E4"/>
    <w:rsid w:val="000C2C56"/>
    <w:rsid w:val="000C32F3"/>
    <w:rsid w:val="000C4626"/>
    <w:rsid w:val="000C6357"/>
    <w:rsid w:val="000D1DC6"/>
    <w:rsid w:val="000D3868"/>
    <w:rsid w:val="000D6B0F"/>
    <w:rsid w:val="000E711A"/>
    <w:rsid w:val="000E7D04"/>
    <w:rsid w:val="000F4412"/>
    <w:rsid w:val="000F5D59"/>
    <w:rsid w:val="000F6640"/>
    <w:rsid w:val="000F6F81"/>
    <w:rsid w:val="001022CB"/>
    <w:rsid w:val="00102844"/>
    <w:rsid w:val="001028DD"/>
    <w:rsid w:val="00102B9E"/>
    <w:rsid w:val="00105CA2"/>
    <w:rsid w:val="00106F3F"/>
    <w:rsid w:val="00110557"/>
    <w:rsid w:val="001138CE"/>
    <w:rsid w:val="001154D1"/>
    <w:rsid w:val="00121975"/>
    <w:rsid w:val="00122ACC"/>
    <w:rsid w:val="001244CD"/>
    <w:rsid w:val="0012759A"/>
    <w:rsid w:val="001275B5"/>
    <w:rsid w:val="00127C79"/>
    <w:rsid w:val="0013317F"/>
    <w:rsid w:val="00133D51"/>
    <w:rsid w:val="00136B15"/>
    <w:rsid w:val="00141C6E"/>
    <w:rsid w:val="00143A36"/>
    <w:rsid w:val="00145349"/>
    <w:rsid w:val="00146956"/>
    <w:rsid w:val="00152FCB"/>
    <w:rsid w:val="00153820"/>
    <w:rsid w:val="00157DFD"/>
    <w:rsid w:val="00161DEC"/>
    <w:rsid w:val="001624DA"/>
    <w:rsid w:val="00162E2C"/>
    <w:rsid w:val="00186AFD"/>
    <w:rsid w:val="00187CCE"/>
    <w:rsid w:val="00190E33"/>
    <w:rsid w:val="00191775"/>
    <w:rsid w:val="00195198"/>
    <w:rsid w:val="00195C8B"/>
    <w:rsid w:val="001973C1"/>
    <w:rsid w:val="001A290C"/>
    <w:rsid w:val="001A5ABA"/>
    <w:rsid w:val="001A6D9A"/>
    <w:rsid w:val="001B02E8"/>
    <w:rsid w:val="001B28AA"/>
    <w:rsid w:val="001C2A9F"/>
    <w:rsid w:val="001C2F1E"/>
    <w:rsid w:val="001C4707"/>
    <w:rsid w:val="001C60A3"/>
    <w:rsid w:val="001C7D7C"/>
    <w:rsid w:val="001D2BA6"/>
    <w:rsid w:val="001D34D5"/>
    <w:rsid w:val="001D4A2E"/>
    <w:rsid w:val="001D4EB6"/>
    <w:rsid w:val="001D50DC"/>
    <w:rsid w:val="001E0463"/>
    <w:rsid w:val="001E4463"/>
    <w:rsid w:val="001E4BF3"/>
    <w:rsid w:val="001F570B"/>
    <w:rsid w:val="0020000D"/>
    <w:rsid w:val="00203DF5"/>
    <w:rsid w:val="002105C6"/>
    <w:rsid w:val="00210B4E"/>
    <w:rsid w:val="00210DD8"/>
    <w:rsid w:val="00213A14"/>
    <w:rsid w:val="0021523A"/>
    <w:rsid w:val="00217F82"/>
    <w:rsid w:val="00220E7B"/>
    <w:rsid w:val="002226ED"/>
    <w:rsid w:val="002245B5"/>
    <w:rsid w:val="002356CF"/>
    <w:rsid w:val="00240EE4"/>
    <w:rsid w:val="002434BB"/>
    <w:rsid w:val="002437A4"/>
    <w:rsid w:val="00247491"/>
    <w:rsid w:val="00247515"/>
    <w:rsid w:val="00247AC8"/>
    <w:rsid w:val="00250E8E"/>
    <w:rsid w:val="00251F7F"/>
    <w:rsid w:val="00252F88"/>
    <w:rsid w:val="00254137"/>
    <w:rsid w:val="00261769"/>
    <w:rsid w:val="00263083"/>
    <w:rsid w:val="00263B0B"/>
    <w:rsid w:val="0026527A"/>
    <w:rsid w:val="00265E01"/>
    <w:rsid w:val="002675CA"/>
    <w:rsid w:val="00275C05"/>
    <w:rsid w:val="00277C1D"/>
    <w:rsid w:val="00280D51"/>
    <w:rsid w:val="00285018"/>
    <w:rsid w:val="00285B66"/>
    <w:rsid w:val="00285F1A"/>
    <w:rsid w:val="00286241"/>
    <w:rsid w:val="00286417"/>
    <w:rsid w:val="00287424"/>
    <w:rsid w:val="00293CD6"/>
    <w:rsid w:val="002967B3"/>
    <w:rsid w:val="002A6F8D"/>
    <w:rsid w:val="002B1E2B"/>
    <w:rsid w:val="002B6BD4"/>
    <w:rsid w:val="002C054A"/>
    <w:rsid w:val="002C08BE"/>
    <w:rsid w:val="002C4197"/>
    <w:rsid w:val="002C506D"/>
    <w:rsid w:val="002D3296"/>
    <w:rsid w:val="002D4DAA"/>
    <w:rsid w:val="002D707C"/>
    <w:rsid w:val="002D79FD"/>
    <w:rsid w:val="002E3851"/>
    <w:rsid w:val="002E569F"/>
    <w:rsid w:val="002E6A28"/>
    <w:rsid w:val="002E73CB"/>
    <w:rsid w:val="002F29F3"/>
    <w:rsid w:val="002F44BC"/>
    <w:rsid w:val="002F5052"/>
    <w:rsid w:val="002F604C"/>
    <w:rsid w:val="002F6648"/>
    <w:rsid w:val="002F7E03"/>
    <w:rsid w:val="003014E4"/>
    <w:rsid w:val="00302CFD"/>
    <w:rsid w:val="00304A22"/>
    <w:rsid w:val="003053CC"/>
    <w:rsid w:val="00311314"/>
    <w:rsid w:val="00312125"/>
    <w:rsid w:val="00313CF7"/>
    <w:rsid w:val="003142CA"/>
    <w:rsid w:val="003145D3"/>
    <w:rsid w:val="003176BA"/>
    <w:rsid w:val="00321BD5"/>
    <w:rsid w:val="00322EE6"/>
    <w:rsid w:val="0032576D"/>
    <w:rsid w:val="003317F2"/>
    <w:rsid w:val="00331FB7"/>
    <w:rsid w:val="00332020"/>
    <w:rsid w:val="00332A9D"/>
    <w:rsid w:val="00335408"/>
    <w:rsid w:val="00335751"/>
    <w:rsid w:val="00335BE3"/>
    <w:rsid w:val="0034003D"/>
    <w:rsid w:val="00342057"/>
    <w:rsid w:val="003449C3"/>
    <w:rsid w:val="0034502F"/>
    <w:rsid w:val="00345584"/>
    <w:rsid w:val="00345AEC"/>
    <w:rsid w:val="00347640"/>
    <w:rsid w:val="00351908"/>
    <w:rsid w:val="003564D2"/>
    <w:rsid w:val="00356856"/>
    <w:rsid w:val="00356F43"/>
    <w:rsid w:val="00362A26"/>
    <w:rsid w:val="00366816"/>
    <w:rsid w:val="00366C0C"/>
    <w:rsid w:val="003718ED"/>
    <w:rsid w:val="00372050"/>
    <w:rsid w:val="00375A7B"/>
    <w:rsid w:val="00375AEF"/>
    <w:rsid w:val="00376656"/>
    <w:rsid w:val="00380290"/>
    <w:rsid w:val="00380C9F"/>
    <w:rsid w:val="00381137"/>
    <w:rsid w:val="00381534"/>
    <w:rsid w:val="003817BE"/>
    <w:rsid w:val="00383B82"/>
    <w:rsid w:val="0038401B"/>
    <w:rsid w:val="00385CB8"/>
    <w:rsid w:val="003861F1"/>
    <w:rsid w:val="0039000C"/>
    <w:rsid w:val="00393ADC"/>
    <w:rsid w:val="003956F5"/>
    <w:rsid w:val="00396738"/>
    <w:rsid w:val="00397183"/>
    <w:rsid w:val="003A1AA5"/>
    <w:rsid w:val="003A1E0D"/>
    <w:rsid w:val="003A22B0"/>
    <w:rsid w:val="003A6581"/>
    <w:rsid w:val="003A67AA"/>
    <w:rsid w:val="003B189F"/>
    <w:rsid w:val="003B2A03"/>
    <w:rsid w:val="003B30A6"/>
    <w:rsid w:val="003B59D1"/>
    <w:rsid w:val="003B67C2"/>
    <w:rsid w:val="003B698E"/>
    <w:rsid w:val="003C28C8"/>
    <w:rsid w:val="003C3B48"/>
    <w:rsid w:val="003C4676"/>
    <w:rsid w:val="003C7704"/>
    <w:rsid w:val="003C770C"/>
    <w:rsid w:val="003D61B8"/>
    <w:rsid w:val="003D652F"/>
    <w:rsid w:val="003D7D42"/>
    <w:rsid w:val="003E18F5"/>
    <w:rsid w:val="003E23E8"/>
    <w:rsid w:val="003E267B"/>
    <w:rsid w:val="003E29CF"/>
    <w:rsid w:val="003E5842"/>
    <w:rsid w:val="003E6780"/>
    <w:rsid w:val="003E6CA8"/>
    <w:rsid w:val="003E75AF"/>
    <w:rsid w:val="003F5083"/>
    <w:rsid w:val="003F53DB"/>
    <w:rsid w:val="003F5B9B"/>
    <w:rsid w:val="003F65A0"/>
    <w:rsid w:val="00400D6E"/>
    <w:rsid w:val="00401E3D"/>
    <w:rsid w:val="00401FE9"/>
    <w:rsid w:val="00403980"/>
    <w:rsid w:val="00404F2A"/>
    <w:rsid w:val="00405C02"/>
    <w:rsid w:val="00406EE4"/>
    <w:rsid w:val="00412F38"/>
    <w:rsid w:val="00414BCC"/>
    <w:rsid w:val="004204A9"/>
    <w:rsid w:val="004218D5"/>
    <w:rsid w:val="00423C0C"/>
    <w:rsid w:val="0042451E"/>
    <w:rsid w:val="00425F3D"/>
    <w:rsid w:val="00431F3E"/>
    <w:rsid w:val="00433975"/>
    <w:rsid w:val="00433D87"/>
    <w:rsid w:val="00434C34"/>
    <w:rsid w:val="00435256"/>
    <w:rsid w:val="00436B36"/>
    <w:rsid w:val="00440423"/>
    <w:rsid w:val="004409D7"/>
    <w:rsid w:val="00442603"/>
    <w:rsid w:val="0044437F"/>
    <w:rsid w:val="00447BF5"/>
    <w:rsid w:val="00451C1D"/>
    <w:rsid w:val="00455E82"/>
    <w:rsid w:val="00457445"/>
    <w:rsid w:val="004608A0"/>
    <w:rsid w:val="0046228A"/>
    <w:rsid w:val="00462DB5"/>
    <w:rsid w:val="00466827"/>
    <w:rsid w:val="00472164"/>
    <w:rsid w:val="0047664B"/>
    <w:rsid w:val="00482106"/>
    <w:rsid w:val="00484E3F"/>
    <w:rsid w:val="0048769B"/>
    <w:rsid w:val="0049130D"/>
    <w:rsid w:val="0049165C"/>
    <w:rsid w:val="00493401"/>
    <w:rsid w:val="00495E3F"/>
    <w:rsid w:val="00497C48"/>
    <w:rsid w:val="004A0822"/>
    <w:rsid w:val="004A3015"/>
    <w:rsid w:val="004A3138"/>
    <w:rsid w:val="004A36EA"/>
    <w:rsid w:val="004A3FBE"/>
    <w:rsid w:val="004A4403"/>
    <w:rsid w:val="004A4C8C"/>
    <w:rsid w:val="004A4E2F"/>
    <w:rsid w:val="004A60B8"/>
    <w:rsid w:val="004B2D74"/>
    <w:rsid w:val="004B4A3C"/>
    <w:rsid w:val="004B5E69"/>
    <w:rsid w:val="004C0A2D"/>
    <w:rsid w:val="004C0B8A"/>
    <w:rsid w:val="004C0F53"/>
    <w:rsid w:val="004C1353"/>
    <w:rsid w:val="004C556B"/>
    <w:rsid w:val="004C5D20"/>
    <w:rsid w:val="004D0A95"/>
    <w:rsid w:val="004D273A"/>
    <w:rsid w:val="004D32AC"/>
    <w:rsid w:val="004D4320"/>
    <w:rsid w:val="004D48E2"/>
    <w:rsid w:val="004D7A41"/>
    <w:rsid w:val="004E2DCD"/>
    <w:rsid w:val="004E4C65"/>
    <w:rsid w:val="004E5FA8"/>
    <w:rsid w:val="004E7C32"/>
    <w:rsid w:val="004F3A0D"/>
    <w:rsid w:val="004F5519"/>
    <w:rsid w:val="004F5D6D"/>
    <w:rsid w:val="00506CFE"/>
    <w:rsid w:val="0051063F"/>
    <w:rsid w:val="005113D5"/>
    <w:rsid w:val="00512428"/>
    <w:rsid w:val="0051243C"/>
    <w:rsid w:val="005163E2"/>
    <w:rsid w:val="005171DC"/>
    <w:rsid w:val="005202C9"/>
    <w:rsid w:val="0052399A"/>
    <w:rsid w:val="00527188"/>
    <w:rsid w:val="00527481"/>
    <w:rsid w:val="00527D43"/>
    <w:rsid w:val="00530C6C"/>
    <w:rsid w:val="005332F5"/>
    <w:rsid w:val="00533850"/>
    <w:rsid w:val="00534BAC"/>
    <w:rsid w:val="005370B0"/>
    <w:rsid w:val="00537CC8"/>
    <w:rsid w:val="00542D31"/>
    <w:rsid w:val="00544D36"/>
    <w:rsid w:val="005532F2"/>
    <w:rsid w:val="00553A97"/>
    <w:rsid w:val="005542BA"/>
    <w:rsid w:val="005542E3"/>
    <w:rsid w:val="00557335"/>
    <w:rsid w:val="00560C3E"/>
    <w:rsid w:val="00560C6A"/>
    <w:rsid w:val="00562120"/>
    <w:rsid w:val="00562266"/>
    <w:rsid w:val="005634F4"/>
    <w:rsid w:val="0056361F"/>
    <w:rsid w:val="0057224A"/>
    <w:rsid w:val="00572343"/>
    <w:rsid w:val="005724A9"/>
    <w:rsid w:val="00572F6E"/>
    <w:rsid w:val="00581CED"/>
    <w:rsid w:val="00582426"/>
    <w:rsid w:val="00583570"/>
    <w:rsid w:val="00591D3E"/>
    <w:rsid w:val="00591F91"/>
    <w:rsid w:val="00594193"/>
    <w:rsid w:val="005959C6"/>
    <w:rsid w:val="00597673"/>
    <w:rsid w:val="005A06F7"/>
    <w:rsid w:val="005A2E39"/>
    <w:rsid w:val="005A31A0"/>
    <w:rsid w:val="005A591A"/>
    <w:rsid w:val="005A72DE"/>
    <w:rsid w:val="005A757D"/>
    <w:rsid w:val="005B081F"/>
    <w:rsid w:val="005B1EB4"/>
    <w:rsid w:val="005B2A19"/>
    <w:rsid w:val="005B42E4"/>
    <w:rsid w:val="005B475B"/>
    <w:rsid w:val="005B612F"/>
    <w:rsid w:val="005C044E"/>
    <w:rsid w:val="005C23B7"/>
    <w:rsid w:val="005C443B"/>
    <w:rsid w:val="005C6B28"/>
    <w:rsid w:val="005D050C"/>
    <w:rsid w:val="005D138D"/>
    <w:rsid w:val="005D25F5"/>
    <w:rsid w:val="005D37F9"/>
    <w:rsid w:val="005D6575"/>
    <w:rsid w:val="005E0338"/>
    <w:rsid w:val="005E794A"/>
    <w:rsid w:val="005F1661"/>
    <w:rsid w:val="005F3891"/>
    <w:rsid w:val="005F3AB5"/>
    <w:rsid w:val="005F4429"/>
    <w:rsid w:val="005F5AE4"/>
    <w:rsid w:val="005F5E96"/>
    <w:rsid w:val="005F7260"/>
    <w:rsid w:val="0060240A"/>
    <w:rsid w:val="00603F3C"/>
    <w:rsid w:val="00605DBD"/>
    <w:rsid w:val="00611CA9"/>
    <w:rsid w:val="00612577"/>
    <w:rsid w:val="006129A2"/>
    <w:rsid w:val="00615FF5"/>
    <w:rsid w:val="00621270"/>
    <w:rsid w:val="00621B9E"/>
    <w:rsid w:val="00621D94"/>
    <w:rsid w:val="006221BE"/>
    <w:rsid w:val="00622227"/>
    <w:rsid w:val="006248F8"/>
    <w:rsid w:val="00624AEC"/>
    <w:rsid w:val="00630176"/>
    <w:rsid w:val="006332FB"/>
    <w:rsid w:val="00635606"/>
    <w:rsid w:val="00640F94"/>
    <w:rsid w:val="00644B33"/>
    <w:rsid w:val="006540E1"/>
    <w:rsid w:val="0065604D"/>
    <w:rsid w:val="006562EA"/>
    <w:rsid w:val="00656F89"/>
    <w:rsid w:val="00662B03"/>
    <w:rsid w:val="00664BFD"/>
    <w:rsid w:val="006704FE"/>
    <w:rsid w:val="006716EB"/>
    <w:rsid w:val="00672979"/>
    <w:rsid w:val="00675AF8"/>
    <w:rsid w:val="00676F46"/>
    <w:rsid w:val="00677632"/>
    <w:rsid w:val="00677E32"/>
    <w:rsid w:val="0068720A"/>
    <w:rsid w:val="006935B6"/>
    <w:rsid w:val="0069366B"/>
    <w:rsid w:val="00694071"/>
    <w:rsid w:val="00695538"/>
    <w:rsid w:val="00695800"/>
    <w:rsid w:val="00697FEB"/>
    <w:rsid w:val="006A291D"/>
    <w:rsid w:val="006A56AC"/>
    <w:rsid w:val="006A72F0"/>
    <w:rsid w:val="006B0D2D"/>
    <w:rsid w:val="006B20DD"/>
    <w:rsid w:val="006B25D9"/>
    <w:rsid w:val="006B26C7"/>
    <w:rsid w:val="006B50D7"/>
    <w:rsid w:val="006B6FB6"/>
    <w:rsid w:val="006C14C4"/>
    <w:rsid w:val="006C1E52"/>
    <w:rsid w:val="006C24BC"/>
    <w:rsid w:val="006C3002"/>
    <w:rsid w:val="006C556D"/>
    <w:rsid w:val="006C698C"/>
    <w:rsid w:val="006D1D9F"/>
    <w:rsid w:val="006D1F6F"/>
    <w:rsid w:val="006D7FF9"/>
    <w:rsid w:val="006E315C"/>
    <w:rsid w:val="006E3AB6"/>
    <w:rsid w:val="006E3EE2"/>
    <w:rsid w:val="006E4729"/>
    <w:rsid w:val="006E4B88"/>
    <w:rsid w:val="006E4F7B"/>
    <w:rsid w:val="006F1A41"/>
    <w:rsid w:val="006F1D48"/>
    <w:rsid w:val="006F3EFD"/>
    <w:rsid w:val="006F69E2"/>
    <w:rsid w:val="00700C40"/>
    <w:rsid w:val="00700E19"/>
    <w:rsid w:val="00702541"/>
    <w:rsid w:val="00703231"/>
    <w:rsid w:val="0070426B"/>
    <w:rsid w:val="007108B8"/>
    <w:rsid w:val="007112BF"/>
    <w:rsid w:val="0071303D"/>
    <w:rsid w:val="00717BEC"/>
    <w:rsid w:val="00722961"/>
    <w:rsid w:val="00727AC2"/>
    <w:rsid w:val="00727ED2"/>
    <w:rsid w:val="00737FB7"/>
    <w:rsid w:val="0074015B"/>
    <w:rsid w:val="007404B6"/>
    <w:rsid w:val="007415F8"/>
    <w:rsid w:val="00744394"/>
    <w:rsid w:val="007454D3"/>
    <w:rsid w:val="00745C34"/>
    <w:rsid w:val="00745D4F"/>
    <w:rsid w:val="007514CC"/>
    <w:rsid w:val="007526BE"/>
    <w:rsid w:val="00754D6B"/>
    <w:rsid w:val="00755764"/>
    <w:rsid w:val="00762EC1"/>
    <w:rsid w:val="0077143B"/>
    <w:rsid w:val="00771C26"/>
    <w:rsid w:val="00771F58"/>
    <w:rsid w:val="00774D2A"/>
    <w:rsid w:val="00781BD6"/>
    <w:rsid w:val="007869C4"/>
    <w:rsid w:val="00787E0F"/>
    <w:rsid w:val="00790347"/>
    <w:rsid w:val="00792827"/>
    <w:rsid w:val="00792FF3"/>
    <w:rsid w:val="00796E42"/>
    <w:rsid w:val="00797C65"/>
    <w:rsid w:val="007A0BAD"/>
    <w:rsid w:val="007A21EE"/>
    <w:rsid w:val="007A3A1D"/>
    <w:rsid w:val="007A45FB"/>
    <w:rsid w:val="007A466B"/>
    <w:rsid w:val="007A5503"/>
    <w:rsid w:val="007A6801"/>
    <w:rsid w:val="007B2D01"/>
    <w:rsid w:val="007B37BF"/>
    <w:rsid w:val="007C1E26"/>
    <w:rsid w:val="007C24F0"/>
    <w:rsid w:val="007C40E4"/>
    <w:rsid w:val="007C4741"/>
    <w:rsid w:val="007C5F4A"/>
    <w:rsid w:val="007C63D5"/>
    <w:rsid w:val="007C65F5"/>
    <w:rsid w:val="007D187E"/>
    <w:rsid w:val="007D5E38"/>
    <w:rsid w:val="007E5568"/>
    <w:rsid w:val="007E6551"/>
    <w:rsid w:val="007F11A4"/>
    <w:rsid w:val="007F12BF"/>
    <w:rsid w:val="007F6830"/>
    <w:rsid w:val="00800FCC"/>
    <w:rsid w:val="00801651"/>
    <w:rsid w:val="00803925"/>
    <w:rsid w:val="008049BA"/>
    <w:rsid w:val="00804D18"/>
    <w:rsid w:val="00806364"/>
    <w:rsid w:val="00807BA8"/>
    <w:rsid w:val="008160CE"/>
    <w:rsid w:val="008207E0"/>
    <w:rsid w:val="00820991"/>
    <w:rsid w:val="00820CDF"/>
    <w:rsid w:val="008240AE"/>
    <w:rsid w:val="00826D9B"/>
    <w:rsid w:val="00826DD5"/>
    <w:rsid w:val="008327BE"/>
    <w:rsid w:val="008351DD"/>
    <w:rsid w:val="00840BC5"/>
    <w:rsid w:val="00840CCE"/>
    <w:rsid w:val="00841C93"/>
    <w:rsid w:val="00845B06"/>
    <w:rsid w:val="00845B71"/>
    <w:rsid w:val="00846CB5"/>
    <w:rsid w:val="0084743C"/>
    <w:rsid w:val="00850E0D"/>
    <w:rsid w:val="0085558C"/>
    <w:rsid w:val="008556D7"/>
    <w:rsid w:val="008577FA"/>
    <w:rsid w:val="00860F4B"/>
    <w:rsid w:val="00860F62"/>
    <w:rsid w:val="008667B2"/>
    <w:rsid w:val="008703BA"/>
    <w:rsid w:val="008704B6"/>
    <w:rsid w:val="0087200C"/>
    <w:rsid w:val="00873E4F"/>
    <w:rsid w:val="00876810"/>
    <w:rsid w:val="00880FFC"/>
    <w:rsid w:val="0088264E"/>
    <w:rsid w:val="00884F0B"/>
    <w:rsid w:val="00885596"/>
    <w:rsid w:val="00890D0F"/>
    <w:rsid w:val="00895FEB"/>
    <w:rsid w:val="00897E26"/>
    <w:rsid w:val="008A311F"/>
    <w:rsid w:val="008A436A"/>
    <w:rsid w:val="008B3929"/>
    <w:rsid w:val="008B5AB2"/>
    <w:rsid w:val="008C0AE4"/>
    <w:rsid w:val="008C1419"/>
    <w:rsid w:val="008C1573"/>
    <w:rsid w:val="008C2FCA"/>
    <w:rsid w:val="008C3932"/>
    <w:rsid w:val="008C3E88"/>
    <w:rsid w:val="008C5AB9"/>
    <w:rsid w:val="008C6644"/>
    <w:rsid w:val="008C7EDD"/>
    <w:rsid w:val="008D14B0"/>
    <w:rsid w:val="008D15CE"/>
    <w:rsid w:val="008D18CD"/>
    <w:rsid w:val="008D2365"/>
    <w:rsid w:val="008D442F"/>
    <w:rsid w:val="008D47D4"/>
    <w:rsid w:val="008D6592"/>
    <w:rsid w:val="008D681E"/>
    <w:rsid w:val="008E54BE"/>
    <w:rsid w:val="008E5594"/>
    <w:rsid w:val="008E7136"/>
    <w:rsid w:val="008F178A"/>
    <w:rsid w:val="008F38B9"/>
    <w:rsid w:val="008F49B1"/>
    <w:rsid w:val="009000EB"/>
    <w:rsid w:val="00900834"/>
    <w:rsid w:val="00900F2C"/>
    <w:rsid w:val="009032D1"/>
    <w:rsid w:val="00903EED"/>
    <w:rsid w:val="00905A84"/>
    <w:rsid w:val="00910CC3"/>
    <w:rsid w:val="00910F9E"/>
    <w:rsid w:val="0091253C"/>
    <w:rsid w:val="00914D3A"/>
    <w:rsid w:val="00915445"/>
    <w:rsid w:val="00921B18"/>
    <w:rsid w:val="00923F8B"/>
    <w:rsid w:val="00927BB9"/>
    <w:rsid w:val="009323E3"/>
    <w:rsid w:val="0093343B"/>
    <w:rsid w:val="00933881"/>
    <w:rsid w:val="00933F04"/>
    <w:rsid w:val="00937B10"/>
    <w:rsid w:val="00937C16"/>
    <w:rsid w:val="009406DB"/>
    <w:rsid w:val="00940E24"/>
    <w:rsid w:val="00943CF2"/>
    <w:rsid w:val="00944291"/>
    <w:rsid w:val="0094446D"/>
    <w:rsid w:val="009453E8"/>
    <w:rsid w:val="00945641"/>
    <w:rsid w:val="00945ED3"/>
    <w:rsid w:val="00945FE8"/>
    <w:rsid w:val="00946602"/>
    <w:rsid w:val="00946A44"/>
    <w:rsid w:val="009501C2"/>
    <w:rsid w:val="0095094D"/>
    <w:rsid w:val="00951036"/>
    <w:rsid w:val="009578EA"/>
    <w:rsid w:val="00957DEB"/>
    <w:rsid w:val="0096122D"/>
    <w:rsid w:val="00961A4E"/>
    <w:rsid w:val="0096618E"/>
    <w:rsid w:val="00966349"/>
    <w:rsid w:val="00967E0D"/>
    <w:rsid w:val="0097111A"/>
    <w:rsid w:val="009737AC"/>
    <w:rsid w:val="009753A5"/>
    <w:rsid w:val="00976917"/>
    <w:rsid w:val="00977A5D"/>
    <w:rsid w:val="009828EA"/>
    <w:rsid w:val="00984101"/>
    <w:rsid w:val="0098546E"/>
    <w:rsid w:val="00985B09"/>
    <w:rsid w:val="00986F6B"/>
    <w:rsid w:val="009925E6"/>
    <w:rsid w:val="009A14CC"/>
    <w:rsid w:val="009A1589"/>
    <w:rsid w:val="009A1794"/>
    <w:rsid w:val="009A46FB"/>
    <w:rsid w:val="009A5B94"/>
    <w:rsid w:val="009A7AAA"/>
    <w:rsid w:val="009B355D"/>
    <w:rsid w:val="009B3991"/>
    <w:rsid w:val="009B5B10"/>
    <w:rsid w:val="009B6420"/>
    <w:rsid w:val="009B729B"/>
    <w:rsid w:val="009C0776"/>
    <w:rsid w:val="009C0C0E"/>
    <w:rsid w:val="009C2125"/>
    <w:rsid w:val="009C4440"/>
    <w:rsid w:val="009C684C"/>
    <w:rsid w:val="009D28BF"/>
    <w:rsid w:val="009D4238"/>
    <w:rsid w:val="009D6D40"/>
    <w:rsid w:val="009E1FC9"/>
    <w:rsid w:val="009E295C"/>
    <w:rsid w:val="009E41A1"/>
    <w:rsid w:val="009F19A4"/>
    <w:rsid w:val="009F31EE"/>
    <w:rsid w:val="00A020F6"/>
    <w:rsid w:val="00A04F7B"/>
    <w:rsid w:val="00A10BD6"/>
    <w:rsid w:val="00A11985"/>
    <w:rsid w:val="00A11DE9"/>
    <w:rsid w:val="00A12295"/>
    <w:rsid w:val="00A148EC"/>
    <w:rsid w:val="00A225C3"/>
    <w:rsid w:val="00A22D55"/>
    <w:rsid w:val="00A22EE2"/>
    <w:rsid w:val="00A2703D"/>
    <w:rsid w:val="00A31002"/>
    <w:rsid w:val="00A31976"/>
    <w:rsid w:val="00A337CD"/>
    <w:rsid w:val="00A354D5"/>
    <w:rsid w:val="00A35C14"/>
    <w:rsid w:val="00A367E3"/>
    <w:rsid w:val="00A4001C"/>
    <w:rsid w:val="00A429B4"/>
    <w:rsid w:val="00A432BE"/>
    <w:rsid w:val="00A43CDF"/>
    <w:rsid w:val="00A45231"/>
    <w:rsid w:val="00A45305"/>
    <w:rsid w:val="00A45320"/>
    <w:rsid w:val="00A45884"/>
    <w:rsid w:val="00A475E3"/>
    <w:rsid w:val="00A47D4E"/>
    <w:rsid w:val="00A47F18"/>
    <w:rsid w:val="00A547F1"/>
    <w:rsid w:val="00A55079"/>
    <w:rsid w:val="00A61905"/>
    <w:rsid w:val="00A61F67"/>
    <w:rsid w:val="00A643FD"/>
    <w:rsid w:val="00A65783"/>
    <w:rsid w:val="00A67582"/>
    <w:rsid w:val="00A71026"/>
    <w:rsid w:val="00A73DC5"/>
    <w:rsid w:val="00A75FBE"/>
    <w:rsid w:val="00A77FF8"/>
    <w:rsid w:val="00A81E7B"/>
    <w:rsid w:val="00A843B6"/>
    <w:rsid w:val="00A85081"/>
    <w:rsid w:val="00A878EE"/>
    <w:rsid w:val="00A92BB7"/>
    <w:rsid w:val="00A957C3"/>
    <w:rsid w:val="00A96B3B"/>
    <w:rsid w:val="00A97374"/>
    <w:rsid w:val="00AA49F3"/>
    <w:rsid w:val="00AA58E8"/>
    <w:rsid w:val="00AA5AAC"/>
    <w:rsid w:val="00AB3165"/>
    <w:rsid w:val="00AB53AA"/>
    <w:rsid w:val="00AB608F"/>
    <w:rsid w:val="00AC343E"/>
    <w:rsid w:val="00AC6C83"/>
    <w:rsid w:val="00AD1472"/>
    <w:rsid w:val="00AD2AD9"/>
    <w:rsid w:val="00AD3C51"/>
    <w:rsid w:val="00AD3FFE"/>
    <w:rsid w:val="00AD54D7"/>
    <w:rsid w:val="00AD713D"/>
    <w:rsid w:val="00AE1278"/>
    <w:rsid w:val="00AE664E"/>
    <w:rsid w:val="00AF0A7B"/>
    <w:rsid w:val="00AF57D1"/>
    <w:rsid w:val="00AF582B"/>
    <w:rsid w:val="00AF7156"/>
    <w:rsid w:val="00B021CC"/>
    <w:rsid w:val="00B02C3B"/>
    <w:rsid w:val="00B03631"/>
    <w:rsid w:val="00B11B12"/>
    <w:rsid w:val="00B1334B"/>
    <w:rsid w:val="00B1385C"/>
    <w:rsid w:val="00B138E0"/>
    <w:rsid w:val="00B17003"/>
    <w:rsid w:val="00B17E54"/>
    <w:rsid w:val="00B25961"/>
    <w:rsid w:val="00B25A0A"/>
    <w:rsid w:val="00B27767"/>
    <w:rsid w:val="00B30C81"/>
    <w:rsid w:val="00B30D97"/>
    <w:rsid w:val="00B314C1"/>
    <w:rsid w:val="00B3245A"/>
    <w:rsid w:val="00B3280E"/>
    <w:rsid w:val="00B32A99"/>
    <w:rsid w:val="00B3398B"/>
    <w:rsid w:val="00B3768E"/>
    <w:rsid w:val="00B4265A"/>
    <w:rsid w:val="00B47C73"/>
    <w:rsid w:val="00B56E1D"/>
    <w:rsid w:val="00B60B9A"/>
    <w:rsid w:val="00B6156E"/>
    <w:rsid w:val="00B61704"/>
    <w:rsid w:val="00B62086"/>
    <w:rsid w:val="00B6211E"/>
    <w:rsid w:val="00B6249C"/>
    <w:rsid w:val="00B6589F"/>
    <w:rsid w:val="00B72D97"/>
    <w:rsid w:val="00B734DC"/>
    <w:rsid w:val="00B737EF"/>
    <w:rsid w:val="00B740FA"/>
    <w:rsid w:val="00B750B5"/>
    <w:rsid w:val="00B8069C"/>
    <w:rsid w:val="00B80789"/>
    <w:rsid w:val="00B82035"/>
    <w:rsid w:val="00B83D2F"/>
    <w:rsid w:val="00B86CA3"/>
    <w:rsid w:val="00B91D1D"/>
    <w:rsid w:val="00B93C44"/>
    <w:rsid w:val="00B95292"/>
    <w:rsid w:val="00B95470"/>
    <w:rsid w:val="00B956D6"/>
    <w:rsid w:val="00B96206"/>
    <w:rsid w:val="00BA042A"/>
    <w:rsid w:val="00BA1F73"/>
    <w:rsid w:val="00BA4E78"/>
    <w:rsid w:val="00BA6786"/>
    <w:rsid w:val="00BA6DBA"/>
    <w:rsid w:val="00BB0B1F"/>
    <w:rsid w:val="00BB4319"/>
    <w:rsid w:val="00BC1970"/>
    <w:rsid w:val="00BC2923"/>
    <w:rsid w:val="00BC321E"/>
    <w:rsid w:val="00BC365E"/>
    <w:rsid w:val="00BC479C"/>
    <w:rsid w:val="00BC4A72"/>
    <w:rsid w:val="00BC585C"/>
    <w:rsid w:val="00BC7501"/>
    <w:rsid w:val="00BD225C"/>
    <w:rsid w:val="00BD3866"/>
    <w:rsid w:val="00BD4267"/>
    <w:rsid w:val="00BD4C4C"/>
    <w:rsid w:val="00BD51FB"/>
    <w:rsid w:val="00BD7C84"/>
    <w:rsid w:val="00BE042B"/>
    <w:rsid w:val="00BE2B1A"/>
    <w:rsid w:val="00BE2FEC"/>
    <w:rsid w:val="00BE4A89"/>
    <w:rsid w:val="00BE4D3B"/>
    <w:rsid w:val="00BE5CC0"/>
    <w:rsid w:val="00BE6F89"/>
    <w:rsid w:val="00BF5119"/>
    <w:rsid w:val="00BF587C"/>
    <w:rsid w:val="00BF6F80"/>
    <w:rsid w:val="00BF736B"/>
    <w:rsid w:val="00C00D2B"/>
    <w:rsid w:val="00C00E72"/>
    <w:rsid w:val="00C017FA"/>
    <w:rsid w:val="00C06639"/>
    <w:rsid w:val="00C069A4"/>
    <w:rsid w:val="00C11995"/>
    <w:rsid w:val="00C176A2"/>
    <w:rsid w:val="00C176AE"/>
    <w:rsid w:val="00C2062B"/>
    <w:rsid w:val="00C20BB9"/>
    <w:rsid w:val="00C21C04"/>
    <w:rsid w:val="00C251A7"/>
    <w:rsid w:val="00C27AF8"/>
    <w:rsid w:val="00C31B69"/>
    <w:rsid w:val="00C33B7E"/>
    <w:rsid w:val="00C34271"/>
    <w:rsid w:val="00C35350"/>
    <w:rsid w:val="00C35C41"/>
    <w:rsid w:val="00C4081D"/>
    <w:rsid w:val="00C43EA0"/>
    <w:rsid w:val="00C50117"/>
    <w:rsid w:val="00C50B03"/>
    <w:rsid w:val="00C512E3"/>
    <w:rsid w:val="00C51977"/>
    <w:rsid w:val="00C51D0B"/>
    <w:rsid w:val="00C51D68"/>
    <w:rsid w:val="00C554B8"/>
    <w:rsid w:val="00C577DA"/>
    <w:rsid w:val="00C60B01"/>
    <w:rsid w:val="00C615E5"/>
    <w:rsid w:val="00C61E11"/>
    <w:rsid w:val="00C65155"/>
    <w:rsid w:val="00C709D1"/>
    <w:rsid w:val="00C71592"/>
    <w:rsid w:val="00C76279"/>
    <w:rsid w:val="00C76484"/>
    <w:rsid w:val="00C77603"/>
    <w:rsid w:val="00C77B14"/>
    <w:rsid w:val="00C82D35"/>
    <w:rsid w:val="00C83AB0"/>
    <w:rsid w:val="00C84C40"/>
    <w:rsid w:val="00C85B9A"/>
    <w:rsid w:val="00C8708A"/>
    <w:rsid w:val="00C913AC"/>
    <w:rsid w:val="00C916BF"/>
    <w:rsid w:val="00C91E3D"/>
    <w:rsid w:val="00C93EA5"/>
    <w:rsid w:val="00C9459D"/>
    <w:rsid w:val="00CA37FA"/>
    <w:rsid w:val="00CA394E"/>
    <w:rsid w:val="00CA5D1C"/>
    <w:rsid w:val="00CA7822"/>
    <w:rsid w:val="00CA7CE8"/>
    <w:rsid w:val="00CB0291"/>
    <w:rsid w:val="00CC0D8E"/>
    <w:rsid w:val="00CC0EEA"/>
    <w:rsid w:val="00CC7771"/>
    <w:rsid w:val="00CD0A3C"/>
    <w:rsid w:val="00CD36F8"/>
    <w:rsid w:val="00CD3DD1"/>
    <w:rsid w:val="00CD47B5"/>
    <w:rsid w:val="00CD4F98"/>
    <w:rsid w:val="00CD5036"/>
    <w:rsid w:val="00CD5BC1"/>
    <w:rsid w:val="00CD5D80"/>
    <w:rsid w:val="00CD7AEC"/>
    <w:rsid w:val="00CE2A4A"/>
    <w:rsid w:val="00CE3566"/>
    <w:rsid w:val="00CE53FC"/>
    <w:rsid w:val="00CE5591"/>
    <w:rsid w:val="00CF0ADA"/>
    <w:rsid w:val="00CF24BF"/>
    <w:rsid w:val="00CF3703"/>
    <w:rsid w:val="00CF4CEF"/>
    <w:rsid w:val="00CF5F7E"/>
    <w:rsid w:val="00CF6D0A"/>
    <w:rsid w:val="00D007E0"/>
    <w:rsid w:val="00D0310F"/>
    <w:rsid w:val="00D07A45"/>
    <w:rsid w:val="00D10ADA"/>
    <w:rsid w:val="00D11305"/>
    <w:rsid w:val="00D12E11"/>
    <w:rsid w:val="00D1534E"/>
    <w:rsid w:val="00D15A09"/>
    <w:rsid w:val="00D15D48"/>
    <w:rsid w:val="00D212D9"/>
    <w:rsid w:val="00D21BF0"/>
    <w:rsid w:val="00D25501"/>
    <w:rsid w:val="00D25A08"/>
    <w:rsid w:val="00D25C91"/>
    <w:rsid w:val="00D25CF7"/>
    <w:rsid w:val="00D334F8"/>
    <w:rsid w:val="00D33B79"/>
    <w:rsid w:val="00D33EB3"/>
    <w:rsid w:val="00D3432C"/>
    <w:rsid w:val="00D349CF"/>
    <w:rsid w:val="00D3506C"/>
    <w:rsid w:val="00D3617F"/>
    <w:rsid w:val="00D36442"/>
    <w:rsid w:val="00D378C9"/>
    <w:rsid w:val="00D42595"/>
    <w:rsid w:val="00D51F0F"/>
    <w:rsid w:val="00D53599"/>
    <w:rsid w:val="00D56C06"/>
    <w:rsid w:val="00D60947"/>
    <w:rsid w:val="00D6099A"/>
    <w:rsid w:val="00D60AA2"/>
    <w:rsid w:val="00D655BC"/>
    <w:rsid w:val="00D656A8"/>
    <w:rsid w:val="00D66D4E"/>
    <w:rsid w:val="00D722F4"/>
    <w:rsid w:val="00D7271B"/>
    <w:rsid w:val="00D72D9D"/>
    <w:rsid w:val="00D743EC"/>
    <w:rsid w:val="00D745DD"/>
    <w:rsid w:val="00D746DA"/>
    <w:rsid w:val="00D74A27"/>
    <w:rsid w:val="00D8130F"/>
    <w:rsid w:val="00D90070"/>
    <w:rsid w:val="00D9042E"/>
    <w:rsid w:val="00D90C62"/>
    <w:rsid w:val="00D918DD"/>
    <w:rsid w:val="00D91997"/>
    <w:rsid w:val="00D91D28"/>
    <w:rsid w:val="00D92FB3"/>
    <w:rsid w:val="00D94AF1"/>
    <w:rsid w:val="00D95BB4"/>
    <w:rsid w:val="00D95F59"/>
    <w:rsid w:val="00DA21DC"/>
    <w:rsid w:val="00DA3017"/>
    <w:rsid w:val="00DA366C"/>
    <w:rsid w:val="00DA4E06"/>
    <w:rsid w:val="00DA6DC0"/>
    <w:rsid w:val="00DB1221"/>
    <w:rsid w:val="00DB1809"/>
    <w:rsid w:val="00DB1C73"/>
    <w:rsid w:val="00DB3698"/>
    <w:rsid w:val="00DB3C30"/>
    <w:rsid w:val="00DB64B5"/>
    <w:rsid w:val="00DB75D1"/>
    <w:rsid w:val="00DC2155"/>
    <w:rsid w:val="00DC39EB"/>
    <w:rsid w:val="00DC4B30"/>
    <w:rsid w:val="00DC4F5B"/>
    <w:rsid w:val="00DC56B5"/>
    <w:rsid w:val="00DD0097"/>
    <w:rsid w:val="00DD01D3"/>
    <w:rsid w:val="00DD084B"/>
    <w:rsid w:val="00DD0AF3"/>
    <w:rsid w:val="00DD30D0"/>
    <w:rsid w:val="00DD3DE5"/>
    <w:rsid w:val="00DD3DF7"/>
    <w:rsid w:val="00DD3FC3"/>
    <w:rsid w:val="00DD7799"/>
    <w:rsid w:val="00DE705C"/>
    <w:rsid w:val="00DF0D3C"/>
    <w:rsid w:val="00DF387B"/>
    <w:rsid w:val="00DF5FCD"/>
    <w:rsid w:val="00DF655A"/>
    <w:rsid w:val="00DF77FB"/>
    <w:rsid w:val="00E00049"/>
    <w:rsid w:val="00E00723"/>
    <w:rsid w:val="00E00920"/>
    <w:rsid w:val="00E00FAD"/>
    <w:rsid w:val="00E06929"/>
    <w:rsid w:val="00E06C66"/>
    <w:rsid w:val="00E10908"/>
    <w:rsid w:val="00E15224"/>
    <w:rsid w:val="00E1578D"/>
    <w:rsid w:val="00E1793E"/>
    <w:rsid w:val="00E275B6"/>
    <w:rsid w:val="00E315D8"/>
    <w:rsid w:val="00E33292"/>
    <w:rsid w:val="00E35384"/>
    <w:rsid w:val="00E361CF"/>
    <w:rsid w:val="00E367CC"/>
    <w:rsid w:val="00E40AC4"/>
    <w:rsid w:val="00E4194A"/>
    <w:rsid w:val="00E43F02"/>
    <w:rsid w:val="00E47AB8"/>
    <w:rsid w:val="00E5318A"/>
    <w:rsid w:val="00E558D1"/>
    <w:rsid w:val="00E60D99"/>
    <w:rsid w:val="00E60F76"/>
    <w:rsid w:val="00E623C7"/>
    <w:rsid w:val="00E64550"/>
    <w:rsid w:val="00E66444"/>
    <w:rsid w:val="00E72FBB"/>
    <w:rsid w:val="00E73EC7"/>
    <w:rsid w:val="00E77562"/>
    <w:rsid w:val="00E8137B"/>
    <w:rsid w:val="00E82E37"/>
    <w:rsid w:val="00E83181"/>
    <w:rsid w:val="00E8386D"/>
    <w:rsid w:val="00E87000"/>
    <w:rsid w:val="00E92478"/>
    <w:rsid w:val="00E92D73"/>
    <w:rsid w:val="00E94AF7"/>
    <w:rsid w:val="00E971DA"/>
    <w:rsid w:val="00E97366"/>
    <w:rsid w:val="00EA117F"/>
    <w:rsid w:val="00EA1BBA"/>
    <w:rsid w:val="00EA273A"/>
    <w:rsid w:val="00EA32EF"/>
    <w:rsid w:val="00EA5FEB"/>
    <w:rsid w:val="00EA7B51"/>
    <w:rsid w:val="00EA7F36"/>
    <w:rsid w:val="00EB5432"/>
    <w:rsid w:val="00EB59D4"/>
    <w:rsid w:val="00EC01B7"/>
    <w:rsid w:val="00EC073D"/>
    <w:rsid w:val="00ED0C4F"/>
    <w:rsid w:val="00ED46F5"/>
    <w:rsid w:val="00ED6A99"/>
    <w:rsid w:val="00EE16E8"/>
    <w:rsid w:val="00EE1F4F"/>
    <w:rsid w:val="00EE3388"/>
    <w:rsid w:val="00EE360F"/>
    <w:rsid w:val="00EE5199"/>
    <w:rsid w:val="00EE6522"/>
    <w:rsid w:val="00EE7B78"/>
    <w:rsid w:val="00EF19E0"/>
    <w:rsid w:val="00EF47FB"/>
    <w:rsid w:val="00EF5286"/>
    <w:rsid w:val="00EF5E96"/>
    <w:rsid w:val="00EF5F4A"/>
    <w:rsid w:val="00F0004A"/>
    <w:rsid w:val="00F02788"/>
    <w:rsid w:val="00F02DC5"/>
    <w:rsid w:val="00F07793"/>
    <w:rsid w:val="00F10D38"/>
    <w:rsid w:val="00F12370"/>
    <w:rsid w:val="00F127D8"/>
    <w:rsid w:val="00F13810"/>
    <w:rsid w:val="00F14C74"/>
    <w:rsid w:val="00F162C3"/>
    <w:rsid w:val="00F16F57"/>
    <w:rsid w:val="00F21925"/>
    <w:rsid w:val="00F24E77"/>
    <w:rsid w:val="00F25D17"/>
    <w:rsid w:val="00F30A89"/>
    <w:rsid w:val="00F31176"/>
    <w:rsid w:val="00F36E52"/>
    <w:rsid w:val="00F4116F"/>
    <w:rsid w:val="00F44253"/>
    <w:rsid w:val="00F51112"/>
    <w:rsid w:val="00F52762"/>
    <w:rsid w:val="00F52884"/>
    <w:rsid w:val="00F54E1D"/>
    <w:rsid w:val="00F55B65"/>
    <w:rsid w:val="00F60621"/>
    <w:rsid w:val="00F65DBC"/>
    <w:rsid w:val="00F66FBB"/>
    <w:rsid w:val="00F67881"/>
    <w:rsid w:val="00F726FD"/>
    <w:rsid w:val="00F73A75"/>
    <w:rsid w:val="00F74E1A"/>
    <w:rsid w:val="00F75406"/>
    <w:rsid w:val="00F75659"/>
    <w:rsid w:val="00F7617B"/>
    <w:rsid w:val="00F820BC"/>
    <w:rsid w:val="00F861F5"/>
    <w:rsid w:val="00F90DAB"/>
    <w:rsid w:val="00F9730E"/>
    <w:rsid w:val="00FA05A7"/>
    <w:rsid w:val="00FA2F36"/>
    <w:rsid w:val="00FA3F15"/>
    <w:rsid w:val="00FA546D"/>
    <w:rsid w:val="00FA708F"/>
    <w:rsid w:val="00FB4815"/>
    <w:rsid w:val="00FC0C51"/>
    <w:rsid w:val="00FC7EB4"/>
    <w:rsid w:val="00FD429A"/>
    <w:rsid w:val="00FD6865"/>
    <w:rsid w:val="00FD72C6"/>
    <w:rsid w:val="00FD78E9"/>
    <w:rsid w:val="00FE299E"/>
    <w:rsid w:val="00FE3F8F"/>
    <w:rsid w:val="00FF071E"/>
    <w:rsid w:val="00FF34A2"/>
    <w:rsid w:val="00FF548C"/>
    <w:rsid w:val="00FF5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51"/>
  </w:style>
  <w:style w:type="paragraph" w:styleId="Heading1">
    <w:name w:val="heading 1"/>
    <w:basedOn w:val="Normal"/>
    <w:next w:val="Normal"/>
    <w:link w:val="Heading1Char"/>
    <w:uiPriority w:val="9"/>
    <w:qFormat/>
    <w:rsid w:val="006C24BC"/>
    <w:pPr>
      <w:keepNext/>
      <w:keepLines/>
      <w:spacing w:before="480" w:after="240"/>
      <w:outlineLvl w:val="0"/>
    </w:pPr>
    <w:rPr>
      <w:rFonts w:ascii="Arial" w:eastAsiaTheme="majorEastAsia" w:hAnsi="Arial" w:cstheme="majorBidi"/>
      <w:b/>
      <w:color w:val="2F5496" w:themeColor="accent1" w:themeShade="BF"/>
      <w:sz w:val="44"/>
      <w:szCs w:val="32"/>
    </w:rPr>
  </w:style>
  <w:style w:type="paragraph" w:styleId="Heading2">
    <w:name w:val="heading 2"/>
    <w:basedOn w:val="Normal"/>
    <w:link w:val="Heading2Char"/>
    <w:uiPriority w:val="9"/>
    <w:qFormat/>
    <w:rsid w:val="006C24BC"/>
    <w:pPr>
      <w:spacing w:before="100" w:beforeAutospacing="1" w:after="100" w:afterAutospacing="1" w:line="240" w:lineRule="auto"/>
      <w:outlineLvl w:val="1"/>
    </w:pPr>
    <w:rPr>
      <w:rFonts w:ascii="Arial" w:eastAsia="Times New Roman" w:hAnsi="Arial" w:cs="Times New Roman"/>
      <w:b/>
      <w:bCs/>
      <w:color w:val="008080"/>
      <w:sz w:val="32"/>
      <w:szCs w:val="36"/>
      <w:lang w:eastAsia="en-AU"/>
    </w:rPr>
  </w:style>
  <w:style w:type="paragraph" w:styleId="Heading3">
    <w:name w:val="heading 3"/>
    <w:basedOn w:val="Normal"/>
    <w:link w:val="Heading3Char"/>
    <w:uiPriority w:val="9"/>
    <w:qFormat/>
    <w:rsid w:val="006C24BC"/>
    <w:pPr>
      <w:spacing w:before="100" w:beforeAutospacing="1" w:after="100" w:afterAutospacing="1" w:line="240" w:lineRule="auto"/>
      <w:outlineLvl w:val="2"/>
    </w:pPr>
    <w:rPr>
      <w:rFonts w:ascii="Arial" w:eastAsia="Times New Roman" w:hAnsi="Arial" w:cs="Times New Roman"/>
      <w:b/>
      <w:bCs/>
      <w:i/>
      <w:color w:val="008080"/>
      <w:sz w:val="24"/>
      <w:szCs w:val="27"/>
      <w:lang w:eastAsia="en-AU"/>
    </w:rPr>
  </w:style>
  <w:style w:type="paragraph" w:styleId="Heading4">
    <w:name w:val="heading 4"/>
    <w:basedOn w:val="Normal"/>
    <w:next w:val="Normal"/>
    <w:link w:val="Heading4Char"/>
    <w:uiPriority w:val="9"/>
    <w:unhideWhenUsed/>
    <w:qFormat/>
    <w:rsid w:val="00E35384"/>
    <w:pPr>
      <w:keepNext/>
      <w:keepLines/>
      <w:spacing w:before="120" w:after="12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5202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51"/>
  </w:style>
  <w:style w:type="paragraph" w:styleId="Footer">
    <w:name w:val="footer"/>
    <w:basedOn w:val="Normal"/>
    <w:link w:val="FooterChar"/>
    <w:uiPriority w:val="99"/>
    <w:unhideWhenUsed/>
    <w:rsid w:val="002E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51"/>
  </w:style>
  <w:style w:type="table" w:styleId="TableGrid">
    <w:name w:val="Table Grid"/>
    <w:basedOn w:val="TableNormal"/>
    <w:uiPriority w:val="39"/>
    <w:rsid w:val="002E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7F1"/>
    <w:rPr>
      <w:color w:val="0563C1" w:themeColor="hyperlink"/>
      <w:u w:val="single"/>
    </w:rPr>
  </w:style>
  <w:style w:type="character" w:styleId="UnresolvedMention">
    <w:name w:val="Unresolved Mention"/>
    <w:basedOn w:val="DefaultParagraphFont"/>
    <w:uiPriority w:val="99"/>
    <w:semiHidden/>
    <w:unhideWhenUsed/>
    <w:rsid w:val="00A547F1"/>
    <w:rPr>
      <w:color w:val="605E5C"/>
      <w:shd w:val="clear" w:color="auto" w:fill="E1DFDD"/>
    </w:rPr>
  </w:style>
  <w:style w:type="character" w:styleId="CommentReference">
    <w:name w:val="annotation reference"/>
    <w:basedOn w:val="DefaultParagraphFont"/>
    <w:uiPriority w:val="99"/>
    <w:semiHidden/>
    <w:unhideWhenUsed/>
    <w:rsid w:val="00774D2A"/>
    <w:rPr>
      <w:sz w:val="16"/>
      <w:szCs w:val="16"/>
    </w:rPr>
  </w:style>
  <w:style w:type="paragraph" w:styleId="CommentText">
    <w:name w:val="annotation text"/>
    <w:basedOn w:val="Normal"/>
    <w:link w:val="CommentTextChar"/>
    <w:uiPriority w:val="99"/>
    <w:unhideWhenUsed/>
    <w:rsid w:val="00774D2A"/>
    <w:pPr>
      <w:spacing w:line="240" w:lineRule="auto"/>
    </w:pPr>
    <w:rPr>
      <w:sz w:val="20"/>
      <w:szCs w:val="20"/>
    </w:rPr>
  </w:style>
  <w:style w:type="character" w:customStyle="1" w:styleId="CommentTextChar">
    <w:name w:val="Comment Text Char"/>
    <w:basedOn w:val="DefaultParagraphFont"/>
    <w:link w:val="CommentText"/>
    <w:uiPriority w:val="99"/>
    <w:rsid w:val="00774D2A"/>
    <w:rPr>
      <w:sz w:val="20"/>
      <w:szCs w:val="20"/>
    </w:rPr>
  </w:style>
  <w:style w:type="paragraph" w:styleId="CommentSubject">
    <w:name w:val="annotation subject"/>
    <w:basedOn w:val="CommentText"/>
    <w:next w:val="CommentText"/>
    <w:link w:val="CommentSubjectChar"/>
    <w:uiPriority w:val="99"/>
    <w:semiHidden/>
    <w:unhideWhenUsed/>
    <w:rsid w:val="00774D2A"/>
    <w:rPr>
      <w:b/>
      <w:bCs/>
    </w:rPr>
  </w:style>
  <w:style w:type="character" w:customStyle="1" w:styleId="CommentSubjectChar">
    <w:name w:val="Comment Subject Char"/>
    <w:basedOn w:val="CommentTextChar"/>
    <w:link w:val="CommentSubject"/>
    <w:uiPriority w:val="99"/>
    <w:semiHidden/>
    <w:rsid w:val="00774D2A"/>
    <w:rPr>
      <w:b/>
      <w:bCs/>
      <w:sz w:val="20"/>
      <w:szCs w:val="20"/>
    </w:rPr>
  </w:style>
  <w:style w:type="paragraph" w:styleId="Revision">
    <w:name w:val="Revision"/>
    <w:hidden/>
    <w:uiPriority w:val="99"/>
    <w:semiHidden/>
    <w:rsid w:val="00BE2FEC"/>
    <w:pPr>
      <w:spacing w:after="0" w:line="240" w:lineRule="auto"/>
    </w:pPr>
  </w:style>
  <w:style w:type="paragraph" w:styleId="ListParagraph">
    <w:name w:val="List Paragraph"/>
    <w:aliases w:val="BulletPoints,Numbered para,Body Text Bullet Points,List Paragraph1,Bullet point,List Paragraph11,Recommendation,Section heading,Footnote,Bullets,CV text,Dot pt,F5 List Paragraph,FooterText,L,List Paragraph111,List Paragraph2,NAST Quote,列"/>
    <w:basedOn w:val="Normal"/>
    <w:link w:val="ListParagraphChar"/>
    <w:uiPriority w:val="34"/>
    <w:qFormat/>
    <w:rsid w:val="006E3AB6"/>
    <w:pPr>
      <w:ind w:left="720"/>
      <w:contextualSpacing/>
    </w:pPr>
  </w:style>
  <w:style w:type="character" w:customStyle="1" w:styleId="Heading2Char">
    <w:name w:val="Heading 2 Char"/>
    <w:basedOn w:val="DefaultParagraphFont"/>
    <w:link w:val="Heading2"/>
    <w:uiPriority w:val="9"/>
    <w:rsid w:val="006C24BC"/>
    <w:rPr>
      <w:rFonts w:ascii="Arial" w:eastAsia="Times New Roman" w:hAnsi="Arial" w:cs="Times New Roman"/>
      <w:b/>
      <w:bCs/>
      <w:color w:val="008080"/>
      <w:sz w:val="32"/>
      <w:szCs w:val="36"/>
      <w:lang w:eastAsia="en-AU"/>
    </w:rPr>
  </w:style>
  <w:style w:type="character" w:customStyle="1" w:styleId="Heading3Char">
    <w:name w:val="Heading 3 Char"/>
    <w:basedOn w:val="DefaultParagraphFont"/>
    <w:link w:val="Heading3"/>
    <w:uiPriority w:val="9"/>
    <w:rsid w:val="006C24BC"/>
    <w:rPr>
      <w:rFonts w:ascii="Arial" w:eastAsia="Times New Roman" w:hAnsi="Arial" w:cs="Times New Roman"/>
      <w:b/>
      <w:bCs/>
      <w:i/>
      <w:color w:val="008080"/>
      <w:sz w:val="24"/>
      <w:szCs w:val="27"/>
      <w:lang w:eastAsia="en-AU"/>
    </w:rPr>
  </w:style>
  <w:style w:type="paragraph" w:styleId="BodyText">
    <w:name w:val="Body Text"/>
    <w:basedOn w:val="Normal"/>
    <w:link w:val="BodyTextChar"/>
    <w:uiPriority w:val="99"/>
    <w:unhideWhenUsed/>
    <w:rsid w:val="007A0B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7A0BAD"/>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A0BAD"/>
    <w:rPr>
      <w:i/>
      <w:iCs/>
    </w:rPr>
  </w:style>
  <w:style w:type="paragraph" w:styleId="NormalWeb">
    <w:name w:val="Normal (Web)"/>
    <w:basedOn w:val="Normal"/>
    <w:uiPriority w:val="99"/>
    <w:semiHidden/>
    <w:unhideWhenUsed/>
    <w:rsid w:val="001973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E973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97366"/>
    <w:rPr>
      <w:rFonts w:ascii="Segoe UI" w:hAnsi="Segoe UI" w:cs="Segoe UI" w:hint="default"/>
      <w:b/>
      <w:bCs/>
      <w:sz w:val="18"/>
      <w:szCs w:val="18"/>
    </w:rPr>
  </w:style>
  <w:style w:type="character" w:customStyle="1" w:styleId="Heading5Char">
    <w:name w:val="Heading 5 Char"/>
    <w:basedOn w:val="DefaultParagraphFont"/>
    <w:link w:val="Heading5"/>
    <w:uiPriority w:val="9"/>
    <w:semiHidden/>
    <w:rsid w:val="005202C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C24BC"/>
    <w:rPr>
      <w:rFonts w:ascii="Arial" w:eastAsiaTheme="majorEastAsia" w:hAnsi="Arial" w:cstheme="majorBidi"/>
      <w:b/>
      <w:color w:val="2F5496" w:themeColor="accent1" w:themeShade="BF"/>
      <w:sz w:val="44"/>
      <w:szCs w:val="32"/>
    </w:rPr>
  </w:style>
  <w:style w:type="character" w:styleId="EndnoteReference">
    <w:name w:val="endnote reference"/>
    <w:basedOn w:val="DefaultParagraphFont"/>
    <w:uiPriority w:val="99"/>
    <w:semiHidden/>
    <w:unhideWhenUsed/>
    <w:rsid w:val="00FD72C6"/>
    <w:rPr>
      <w:vertAlign w:val="superscript"/>
    </w:rPr>
  </w:style>
  <w:style w:type="character" w:customStyle="1" w:styleId="Heading4Char">
    <w:name w:val="Heading 4 Char"/>
    <w:basedOn w:val="DefaultParagraphFont"/>
    <w:link w:val="Heading4"/>
    <w:uiPriority w:val="9"/>
    <w:rsid w:val="00E35384"/>
    <w:rPr>
      <w:rFonts w:ascii="Arial" w:eastAsiaTheme="majorEastAsia" w:hAnsi="Arial" w:cstheme="majorBidi"/>
      <w:b/>
      <w:iCs/>
    </w:rPr>
  </w:style>
  <w:style w:type="table" w:customStyle="1" w:styleId="TableGrid1">
    <w:name w:val="Table Grid1"/>
    <w:basedOn w:val="TableNormal"/>
    <w:next w:val="TableGrid"/>
    <w:uiPriority w:val="39"/>
    <w:rsid w:val="00544D36"/>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44D36"/>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1FC9"/>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3CF7"/>
    <w:rPr>
      <w:color w:val="954F72" w:themeColor="followedHyperlink"/>
      <w:u w:val="single"/>
    </w:rPr>
  </w:style>
  <w:style w:type="paragraph" w:customStyle="1" w:styleId="3Bodytext">
    <w:name w:val="3. Body text"/>
    <w:basedOn w:val="ListParagraph"/>
    <w:link w:val="3BodytextChar"/>
    <w:qFormat/>
    <w:rsid w:val="00611CA9"/>
    <w:pPr>
      <w:numPr>
        <w:ilvl w:val="1"/>
        <w:numId w:val="30"/>
      </w:numPr>
      <w:spacing w:after="120" w:line="240" w:lineRule="auto"/>
      <w:contextualSpacing w:val="0"/>
    </w:pPr>
    <w:rPr>
      <w:sz w:val="24"/>
      <w:lang w:eastAsia="en-AU"/>
    </w:rPr>
  </w:style>
  <w:style w:type="character" w:customStyle="1" w:styleId="3BodytextChar">
    <w:name w:val="3. Body text Char"/>
    <w:basedOn w:val="DefaultParagraphFont"/>
    <w:link w:val="3Bodytext"/>
    <w:rsid w:val="00611CA9"/>
    <w:rPr>
      <w:sz w:val="24"/>
      <w:lang w:eastAsia="en-AU"/>
    </w:rPr>
  </w:style>
  <w:style w:type="paragraph" w:customStyle="1" w:styleId="2-SectionHeading">
    <w:name w:val="2-Section Heading"/>
    <w:qFormat/>
    <w:rsid w:val="00611CA9"/>
    <w:pPr>
      <w:keepNext/>
      <w:numPr>
        <w:numId w:val="30"/>
      </w:numPr>
      <w:spacing w:before="240" w:after="120" w:line="240" w:lineRule="auto"/>
      <w:outlineLvl w:val="0"/>
    </w:pPr>
    <w:rPr>
      <w:rFonts w:eastAsia="Times New Roman" w:cs="Arial"/>
      <w:b/>
      <w:snapToGrid w:val="0"/>
      <w:sz w:val="32"/>
      <w:szCs w:val="32"/>
      <w:lang w:eastAsia="en-AU"/>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s Char,CV text Char,Dot pt Char,L Char,列 Char"/>
    <w:basedOn w:val="DefaultParagraphFont"/>
    <w:link w:val="ListParagraph"/>
    <w:uiPriority w:val="34"/>
    <w:qFormat/>
    <w:rsid w:val="000B2B7F"/>
  </w:style>
  <w:style w:type="paragraph" w:styleId="FootnoteText">
    <w:name w:val="footnote text"/>
    <w:basedOn w:val="Normal"/>
    <w:link w:val="FootnoteTextChar"/>
    <w:uiPriority w:val="99"/>
    <w:semiHidden/>
    <w:unhideWhenUsed/>
    <w:rsid w:val="00876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810"/>
    <w:rPr>
      <w:sz w:val="20"/>
      <w:szCs w:val="20"/>
    </w:rPr>
  </w:style>
  <w:style w:type="character" w:styleId="FootnoteReference">
    <w:name w:val="footnote reference"/>
    <w:basedOn w:val="DefaultParagraphFont"/>
    <w:uiPriority w:val="99"/>
    <w:semiHidden/>
    <w:unhideWhenUsed/>
    <w:rsid w:val="00876810"/>
    <w:rPr>
      <w:vertAlign w:val="superscript"/>
    </w:rPr>
  </w:style>
  <w:style w:type="table" w:customStyle="1" w:styleId="TableGrid3">
    <w:name w:val="Table Grid3"/>
    <w:basedOn w:val="TableNormal"/>
    <w:next w:val="TableGrid"/>
    <w:uiPriority w:val="39"/>
    <w:rsid w:val="00915445"/>
    <w:pPr>
      <w:spacing w:after="0" w:line="240" w:lineRule="auto"/>
    </w:pPr>
    <w:rPr>
      <w:rFonts w:ascii="Times New Roman" w:eastAsia="Aptos"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34">
      <w:bodyDiv w:val="1"/>
      <w:marLeft w:val="0"/>
      <w:marRight w:val="0"/>
      <w:marTop w:val="0"/>
      <w:marBottom w:val="0"/>
      <w:divBdr>
        <w:top w:val="none" w:sz="0" w:space="0" w:color="auto"/>
        <w:left w:val="none" w:sz="0" w:space="0" w:color="auto"/>
        <w:bottom w:val="none" w:sz="0" w:space="0" w:color="auto"/>
        <w:right w:val="none" w:sz="0" w:space="0" w:color="auto"/>
      </w:divBdr>
    </w:div>
    <w:div w:id="91433767">
      <w:bodyDiv w:val="1"/>
      <w:marLeft w:val="0"/>
      <w:marRight w:val="0"/>
      <w:marTop w:val="0"/>
      <w:marBottom w:val="0"/>
      <w:divBdr>
        <w:top w:val="none" w:sz="0" w:space="0" w:color="auto"/>
        <w:left w:val="none" w:sz="0" w:space="0" w:color="auto"/>
        <w:bottom w:val="none" w:sz="0" w:space="0" w:color="auto"/>
        <w:right w:val="none" w:sz="0" w:space="0" w:color="auto"/>
      </w:divBdr>
    </w:div>
    <w:div w:id="587036464">
      <w:bodyDiv w:val="1"/>
      <w:marLeft w:val="0"/>
      <w:marRight w:val="0"/>
      <w:marTop w:val="0"/>
      <w:marBottom w:val="0"/>
      <w:divBdr>
        <w:top w:val="none" w:sz="0" w:space="0" w:color="auto"/>
        <w:left w:val="none" w:sz="0" w:space="0" w:color="auto"/>
        <w:bottom w:val="none" w:sz="0" w:space="0" w:color="auto"/>
        <w:right w:val="none" w:sz="0" w:space="0" w:color="auto"/>
      </w:divBdr>
    </w:div>
    <w:div w:id="650643896">
      <w:bodyDiv w:val="1"/>
      <w:marLeft w:val="0"/>
      <w:marRight w:val="0"/>
      <w:marTop w:val="0"/>
      <w:marBottom w:val="0"/>
      <w:divBdr>
        <w:top w:val="none" w:sz="0" w:space="0" w:color="auto"/>
        <w:left w:val="none" w:sz="0" w:space="0" w:color="auto"/>
        <w:bottom w:val="none" w:sz="0" w:space="0" w:color="auto"/>
        <w:right w:val="none" w:sz="0" w:space="0" w:color="auto"/>
      </w:divBdr>
    </w:div>
    <w:div w:id="660082491">
      <w:bodyDiv w:val="1"/>
      <w:marLeft w:val="0"/>
      <w:marRight w:val="0"/>
      <w:marTop w:val="0"/>
      <w:marBottom w:val="0"/>
      <w:divBdr>
        <w:top w:val="none" w:sz="0" w:space="0" w:color="auto"/>
        <w:left w:val="none" w:sz="0" w:space="0" w:color="auto"/>
        <w:bottom w:val="none" w:sz="0" w:space="0" w:color="auto"/>
        <w:right w:val="none" w:sz="0" w:space="0" w:color="auto"/>
      </w:divBdr>
    </w:div>
    <w:div w:id="687831728">
      <w:bodyDiv w:val="1"/>
      <w:marLeft w:val="0"/>
      <w:marRight w:val="0"/>
      <w:marTop w:val="0"/>
      <w:marBottom w:val="0"/>
      <w:divBdr>
        <w:top w:val="none" w:sz="0" w:space="0" w:color="auto"/>
        <w:left w:val="none" w:sz="0" w:space="0" w:color="auto"/>
        <w:bottom w:val="none" w:sz="0" w:space="0" w:color="auto"/>
        <w:right w:val="none" w:sz="0" w:space="0" w:color="auto"/>
      </w:divBdr>
    </w:div>
    <w:div w:id="741760185">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sChild>
        <w:div w:id="1088845461">
          <w:marLeft w:val="547"/>
          <w:marRight w:val="0"/>
          <w:marTop w:val="0"/>
          <w:marBottom w:val="0"/>
          <w:divBdr>
            <w:top w:val="none" w:sz="0" w:space="0" w:color="auto"/>
            <w:left w:val="none" w:sz="0" w:space="0" w:color="auto"/>
            <w:bottom w:val="none" w:sz="0" w:space="0" w:color="auto"/>
            <w:right w:val="none" w:sz="0" w:space="0" w:color="auto"/>
          </w:divBdr>
        </w:div>
        <w:div w:id="444427486">
          <w:marLeft w:val="1267"/>
          <w:marRight w:val="0"/>
          <w:marTop w:val="0"/>
          <w:marBottom w:val="0"/>
          <w:divBdr>
            <w:top w:val="none" w:sz="0" w:space="0" w:color="auto"/>
            <w:left w:val="none" w:sz="0" w:space="0" w:color="auto"/>
            <w:bottom w:val="none" w:sz="0" w:space="0" w:color="auto"/>
            <w:right w:val="none" w:sz="0" w:space="0" w:color="auto"/>
          </w:divBdr>
        </w:div>
        <w:div w:id="1722246116">
          <w:marLeft w:val="1267"/>
          <w:marRight w:val="0"/>
          <w:marTop w:val="0"/>
          <w:marBottom w:val="0"/>
          <w:divBdr>
            <w:top w:val="none" w:sz="0" w:space="0" w:color="auto"/>
            <w:left w:val="none" w:sz="0" w:space="0" w:color="auto"/>
            <w:bottom w:val="none" w:sz="0" w:space="0" w:color="auto"/>
            <w:right w:val="none" w:sz="0" w:space="0" w:color="auto"/>
          </w:divBdr>
        </w:div>
        <w:div w:id="1437209505">
          <w:marLeft w:val="1267"/>
          <w:marRight w:val="0"/>
          <w:marTop w:val="0"/>
          <w:marBottom w:val="0"/>
          <w:divBdr>
            <w:top w:val="none" w:sz="0" w:space="0" w:color="auto"/>
            <w:left w:val="none" w:sz="0" w:space="0" w:color="auto"/>
            <w:bottom w:val="none" w:sz="0" w:space="0" w:color="auto"/>
            <w:right w:val="none" w:sz="0" w:space="0" w:color="auto"/>
          </w:divBdr>
        </w:div>
        <w:div w:id="1040277445">
          <w:marLeft w:val="1267"/>
          <w:marRight w:val="0"/>
          <w:marTop w:val="0"/>
          <w:marBottom w:val="0"/>
          <w:divBdr>
            <w:top w:val="none" w:sz="0" w:space="0" w:color="auto"/>
            <w:left w:val="none" w:sz="0" w:space="0" w:color="auto"/>
            <w:bottom w:val="none" w:sz="0" w:space="0" w:color="auto"/>
            <w:right w:val="none" w:sz="0" w:space="0" w:color="auto"/>
          </w:divBdr>
        </w:div>
      </w:divsChild>
    </w:div>
    <w:div w:id="903640735">
      <w:bodyDiv w:val="1"/>
      <w:marLeft w:val="0"/>
      <w:marRight w:val="0"/>
      <w:marTop w:val="0"/>
      <w:marBottom w:val="0"/>
      <w:divBdr>
        <w:top w:val="none" w:sz="0" w:space="0" w:color="auto"/>
        <w:left w:val="none" w:sz="0" w:space="0" w:color="auto"/>
        <w:bottom w:val="none" w:sz="0" w:space="0" w:color="auto"/>
        <w:right w:val="none" w:sz="0" w:space="0" w:color="auto"/>
      </w:divBdr>
    </w:div>
    <w:div w:id="1014922085">
      <w:bodyDiv w:val="1"/>
      <w:marLeft w:val="0"/>
      <w:marRight w:val="0"/>
      <w:marTop w:val="0"/>
      <w:marBottom w:val="0"/>
      <w:divBdr>
        <w:top w:val="none" w:sz="0" w:space="0" w:color="auto"/>
        <w:left w:val="none" w:sz="0" w:space="0" w:color="auto"/>
        <w:bottom w:val="none" w:sz="0" w:space="0" w:color="auto"/>
        <w:right w:val="none" w:sz="0" w:space="0" w:color="auto"/>
      </w:divBdr>
    </w:div>
    <w:div w:id="1031078771">
      <w:bodyDiv w:val="1"/>
      <w:marLeft w:val="0"/>
      <w:marRight w:val="0"/>
      <w:marTop w:val="0"/>
      <w:marBottom w:val="0"/>
      <w:divBdr>
        <w:top w:val="none" w:sz="0" w:space="0" w:color="auto"/>
        <w:left w:val="none" w:sz="0" w:space="0" w:color="auto"/>
        <w:bottom w:val="none" w:sz="0" w:space="0" w:color="auto"/>
        <w:right w:val="none" w:sz="0" w:space="0" w:color="auto"/>
      </w:divBdr>
    </w:div>
    <w:div w:id="1088773535">
      <w:bodyDiv w:val="1"/>
      <w:marLeft w:val="0"/>
      <w:marRight w:val="0"/>
      <w:marTop w:val="0"/>
      <w:marBottom w:val="0"/>
      <w:divBdr>
        <w:top w:val="none" w:sz="0" w:space="0" w:color="auto"/>
        <w:left w:val="none" w:sz="0" w:space="0" w:color="auto"/>
        <w:bottom w:val="none" w:sz="0" w:space="0" w:color="auto"/>
        <w:right w:val="none" w:sz="0" w:space="0" w:color="auto"/>
      </w:divBdr>
    </w:div>
    <w:div w:id="1321421990">
      <w:bodyDiv w:val="1"/>
      <w:marLeft w:val="0"/>
      <w:marRight w:val="0"/>
      <w:marTop w:val="0"/>
      <w:marBottom w:val="0"/>
      <w:divBdr>
        <w:top w:val="none" w:sz="0" w:space="0" w:color="auto"/>
        <w:left w:val="none" w:sz="0" w:space="0" w:color="auto"/>
        <w:bottom w:val="none" w:sz="0" w:space="0" w:color="auto"/>
        <w:right w:val="none" w:sz="0" w:space="0" w:color="auto"/>
      </w:divBdr>
    </w:div>
    <w:div w:id="1386375591">
      <w:bodyDiv w:val="1"/>
      <w:marLeft w:val="0"/>
      <w:marRight w:val="0"/>
      <w:marTop w:val="0"/>
      <w:marBottom w:val="0"/>
      <w:divBdr>
        <w:top w:val="none" w:sz="0" w:space="0" w:color="auto"/>
        <w:left w:val="none" w:sz="0" w:space="0" w:color="auto"/>
        <w:bottom w:val="none" w:sz="0" w:space="0" w:color="auto"/>
        <w:right w:val="none" w:sz="0" w:space="0" w:color="auto"/>
      </w:divBdr>
    </w:div>
    <w:div w:id="1684866577">
      <w:bodyDiv w:val="1"/>
      <w:marLeft w:val="0"/>
      <w:marRight w:val="0"/>
      <w:marTop w:val="0"/>
      <w:marBottom w:val="0"/>
      <w:divBdr>
        <w:top w:val="none" w:sz="0" w:space="0" w:color="auto"/>
        <w:left w:val="none" w:sz="0" w:space="0" w:color="auto"/>
        <w:bottom w:val="none" w:sz="0" w:space="0" w:color="auto"/>
        <w:right w:val="none" w:sz="0" w:space="0" w:color="auto"/>
      </w:divBdr>
    </w:div>
    <w:div w:id="1734233947">
      <w:bodyDiv w:val="1"/>
      <w:marLeft w:val="0"/>
      <w:marRight w:val="0"/>
      <w:marTop w:val="0"/>
      <w:marBottom w:val="0"/>
      <w:divBdr>
        <w:top w:val="none" w:sz="0" w:space="0" w:color="auto"/>
        <w:left w:val="none" w:sz="0" w:space="0" w:color="auto"/>
        <w:bottom w:val="none" w:sz="0" w:space="0" w:color="auto"/>
        <w:right w:val="none" w:sz="0" w:space="0" w:color="auto"/>
      </w:divBdr>
      <w:divsChild>
        <w:div w:id="1336031652">
          <w:marLeft w:val="360"/>
          <w:marRight w:val="0"/>
          <w:marTop w:val="200"/>
          <w:marBottom w:val="0"/>
          <w:divBdr>
            <w:top w:val="none" w:sz="0" w:space="0" w:color="auto"/>
            <w:left w:val="none" w:sz="0" w:space="0" w:color="auto"/>
            <w:bottom w:val="none" w:sz="0" w:space="0" w:color="auto"/>
            <w:right w:val="none" w:sz="0" w:space="0" w:color="auto"/>
          </w:divBdr>
        </w:div>
      </w:divsChild>
    </w:div>
    <w:div w:id="1916546008">
      <w:bodyDiv w:val="1"/>
      <w:marLeft w:val="0"/>
      <w:marRight w:val="0"/>
      <w:marTop w:val="0"/>
      <w:marBottom w:val="0"/>
      <w:divBdr>
        <w:top w:val="none" w:sz="0" w:space="0" w:color="auto"/>
        <w:left w:val="none" w:sz="0" w:space="0" w:color="auto"/>
        <w:bottom w:val="none" w:sz="0" w:space="0" w:color="auto"/>
        <w:right w:val="none" w:sz="0" w:space="0" w:color="auto"/>
      </w:divBdr>
    </w:div>
    <w:div w:id="192788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bs.gov.au/info/reviews/review-pbs-items-prescribing-nurse-practitioners-endorsed-midwiv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003E-287C-444A-8FAB-37E86896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2025-04-29T00:45:00Z</dcterms:created>
  <dcterms:modified xsi:type="dcterms:W3CDTF">2025-05-05T00:44:00Z</dcterms:modified>
</cp:coreProperties>
</file>