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40CF" w14:textId="77777777" w:rsidR="003A270E" w:rsidRDefault="003A270E" w:rsidP="002001EB">
      <w:pPr>
        <w:spacing w:after="0" w:line="240" w:lineRule="auto"/>
        <w:ind w:right="-60"/>
        <w:jc w:val="both"/>
        <w:textAlignment w:val="baseline"/>
        <w:rPr>
          <w:rFonts w:ascii="Arial Narrow" w:eastAsia="Times New Roman" w:hAnsi="Arial Narrow" w:cs="Calibri"/>
          <w:b/>
          <w:bCs/>
          <w:kern w:val="0"/>
          <w:sz w:val="20"/>
          <w:szCs w:val="20"/>
          <w:lang w:eastAsia="en-AU"/>
          <w14:ligatures w14:val="none"/>
        </w:rPr>
      </w:pPr>
    </w:p>
    <w:p w14:paraId="722DBBC8" w14:textId="0F3C9718" w:rsidR="003A270E" w:rsidRPr="003A270E" w:rsidRDefault="003A270E" w:rsidP="003A270E">
      <w:pPr>
        <w:keepNext/>
        <w:keepLines/>
        <w:spacing w:after="240"/>
        <w:jc w:val="both"/>
        <w:outlineLvl w:val="0"/>
        <w:rPr>
          <w:rFonts w:ascii="Arial" w:eastAsia="Times New Roman" w:hAnsi="Arial"/>
          <w:b/>
          <w:color w:val="2F5496"/>
          <w:kern w:val="0"/>
          <w:sz w:val="44"/>
          <w:szCs w:val="32"/>
          <w14:ligatures w14:val="none"/>
        </w:rPr>
      </w:pPr>
      <w:r w:rsidRPr="003A270E">
        <w:rPr>
          <w:rFonts w:ascii="Arial" w:eastAsia="Times New Roman" w:hAnsi="Arial"/>
          <w:b/>
          <w:color w:val="2F5496"/>
          <w:kern w:val="0"/>
          <w:sz w:val="44"/>
          <w:szCs w:val="32"/>
          <w14:ligatures w14:val="none"/>
        </w:rPr>
        <w:t xml:space="preserve">Recommendations made by the PBAC – </w:t>
      </w:r>
      <w:r>
        <w:rPr>
          <w:rFonts w:ascii="Arial" w:eastAsia="Times New Roman" w:hAnsi="Arial"/>
          <w:b/>
          <w:color w:val="2F5496"/>
          <w:kern w:val="0"/>
          <w:sz w:val="44"/>
          <w:szCs w:val="32"/>
          <w14:ligatures w14:val="none"/>
        </w:rPr>
        <w:t>July</w:t>
      </w:r>
      <w:r w:rsidRPr="003A270E">
        <w:rPr>
          <w:rFonts w:ascii="Arial" w:eastAsia="Times New Roman" w:hAnsi="Arial"/>
          <w:b/>
          <w:color w:val="2F5496"/>
          <w:kern w:val="0"/>
          <w:sz w:val="44"/>
          <w:szCs w:val="32"/>
          <w14:ligatures w14:val="none"/>
        </w:rPr>
        <w:t xml:space="preserve"> 2025 meeting  </w:t>
      </w:r>
    </w:p>
    <w:p w14:paraId="455AA532" w14:textId="09E8B7EA" w:rsidR="003A270E" w:rsidRPr="003A270E" w:rsidRDefault="00565DEB" w:rsidP="003A270E">
      <w:pPr>
        <w:spacing w:before="100" w:beforeAutospacing="1" w:after="100" w:afterAutospacing="1" w:line="240" w:lineRule="auto"/>
        <w:outlineLvl w:val="1"/>
        <w:rPr>
          <w:rFonts w:ascii="Arial" w:eastAsia="Times New Roman" w:hAnsi="Arial"/>
          <w:b/>
          <w:bCs/>
          <w:color w:val="008080"/>
          <w:kern w:val="0"/>
          <w:sz w:val="32"/>
          <w:szCs w:val="36"/>
          <w:lang w:eastAsia="en-AU"/>
          <w14:ligatures w14:val="none"/>
        </w:rPr>
      </w:pPr>
      <w:r>
        <w:rPr>
          <w:rFonts w:ascii="Arial" w:eastAsia="Times New Roman" w:hAnsi="Arial"/>
          <w:b/>
          <w:bCs/>
          <w:color w:val="008080"/>
          <w:kern w:val="0"/>
          <w:sz w:val="32"/>
          <w:szCs w:val="36"/>
          <w:lang w:eastAsia="en-AU"/>
          <w14:ligatures w14:val="none"/>
        </w:rPr>
        <w:t>Nurse practitioners - o</w:t>
      </w:r>
      <w:r w:rsidR="00A914EB">
        <w:rPr>
          <w:rFonts w:ascii="Arial" w:eastAsia="Times New Roman" w:hAnsi="Arial"/>
          <w:b/>
          <w:bCs/>
          <w:color w:val="008080"/>
          <w:kern w:val="0"/>
          <w:sz w:val="32"/>
          <w:szCs w:val="36"/>
          <w:lang w:eastAsia="en-AU"/>
          <w14:ligatures w14:val="none"/>
        </w:rPr>
        <w:t>ncology, haematology</w:t>
      </w:r>
      <w:r>
        <w:rPr>
          <w:rFonts w:ascii="Arial" w:eastAsia="Times New Roman" w:hAnsi="Arial"/>
          <w:b/>
          <w:bCs/>
          <w:color w:val="008080"/>
          <w:kern w:val="0"/>
          <w:sz w:val="32"/>
          <w:szCs w:val="36"/>
          <w:lang w:eastAsia="en-AU"/>
          <w14:ligatures w14:val="none"/>
        </w:rPr>
        <w:t xml:space="preserve"> and</w:t>
      </w:r>
      <w:r w:rsidR="00047727">
        <w:rPr>
          <w:rFonts w:ascii="Arial" w:eastAsia="Times New Roman" w:hAnsi="Arial"/>
          <w:b/>
          <w:bCs/>
          <w:color w:val="008080"/>
          <w:kern w:val="0"/>
          <w:sz w:val="32"/>
          <w:szCs w:val="36"/>
          <w:lang w:eastAsia="en-AU"/>
          <w14:ligatures w14:val="none"/>
        </w:rPr>
        <w:t xml:space="preserve"> </w:t>
      </w:r>
      <w:r w:rsidR="00A914EB">
        <w:rPr>
          <w:rFonts w:ascii="Arial" w:eastAsia="Times New Roman" w:hAnsi="Arial"/>
          <w:b/>
          <w:bCs/>
          <w:color w:val="008080"/>
          <w:kern w:val="0"/>
          <w:sz w:val="32"/>
          <w:szCs w:val="36"/>
          <w:lang w:eastAsia="en-AU"/>
          <w14:ligatures w14:val="none"/>
        </w:rPr>
        <w:t xml:space="preserve">Section 100 Highly Specialised Drugs Program medicines </w:t>
      </w:r>
    </w:p>
    <w:p w14:paraId="7A46E705" w14:textId="45D23F5A" w:rsidR="00A4071F" w:rsidRDefault="00565DEB" w:rsidP="00311F5B">
      <w:pPr>
        <w:spacing w:after="0" w:line="240" w:lineRule="auto"/>
        <w:jc w:val="both"/>
        <w:rPr>
          <w:rFonts w:ascii="Calibri" w:eastAsia="Aptos" w:hAnsi="Calibri" w:cs="Calibri"/>
          <w:kern w:val="0"/>
        </w:rPr>
      </w:pPr>
      <w:r>
        <w:rPr>
          <w:rFonts w:ascii="Calibri" w:eastAsia="Aptos" w:hAnsi="Calibri" w:cs="Calibri"/>
          <w:kern w:val="0"/>
        </w:rPr>
        <w:t>At its July 2025 meeting, t</w:t>
      </w:r>
      <w:r w:rsidRPr="00A4071F">
        <w:rPr>
          <w:rFonts w:ascii="Calibri" w:eastAsia="Aptos" w:hAnsi="Calibri" w:cs="Calibri"/>
          <w:kern w:val="0"/>
        </w:rPr>
        <w:t xml:space="preserve">he </w:t>
      </w:r>
      <w:r w:rsidRPr="00565DEB">
        <w:rPr>
          <w:rFonts w:ascii="Calibri" w:eastAsia="Aptos" w:hAnsi="Calibri" w:cs="Calibri"/>
          <w:kern w:val="0"/>
        </w:rPr>
        <w:t>Pharmaceutical Benefits Advisory Committee (PBAC)</w:t>
      </w:r>
      <w:r w:rsidRPr="00565DEB" w:rsidDel="00565DEB">
        <w:rPr>
          <w:rFonts w:ascii="Calibri" w:eastAsia="Aptos" w:hAnsi="Calibri" w:cs="Calibri"/>
          <w:kern w:val="0"/>
        </w:rPr>
        <w:t xml:space="preserve"> </w:t>
      </w:r>
      <w:r w:rsidR="00A4071F" w:rsidRPr="00A4071F">
        <w:rPr>
          <w:rFonts w:ascii="Calibri" w:eastAsia="Aptos" w:hAnsi="Calibri" w:cs="Calibri"/>
          <w:kern w:val="0"/>
        </w:rPr>
        <w:t xml:space="preserve">considered </w:t>
      </w:r>
      <w:r>
        <w:rPr>
          <w:rFonts w:ascii="Calibri" w:eastAsia="Aptos" w:hAnsi="Calibri" w:cs="Calibri"/>
          <w:kern w:val="0"/>
        </w:rPr>
        <w:t xml:space="preserve">a list of </w:t>
      </w:r>
      <w:r w:rsidR="00A4071F" w:rsidRPr="00A4071F">
        <w:rPr>
          <w:rFonts w:ascii="Calibri" w:eastAsia="Aptos" w:hAnsi="Calibri" w:cs="Calibri"/>
          <w:kern w:val="0"/>
        </w:rPr>
        <w:t xml:space="preserve">oncology and haematology </w:t>
      </w:r>
      <w:r>
        <w:rPr>
          <w:rFonts w:ascii="Calibri" w:eastAsia="Aptos" w:hAnsi="Calibri" w:cs="Calibri"/>
          <w:kern w:val="0"/>
        </w:rPr>
        <w:t xml:space="preserve">medicines listed on the General Schedule, and medicines listed on the </w:t>
      </w:r>
      <w:r w:rsidR="00311F5B">
        <w:rPr>
          <w:rFonts w:ascii="Calibri" w:eastAsia="Aptos" w:hAnsi="Calibri" w:cs="Calibri"/>
          <w:kern w:val="0"/>
        </w:rPr>
        <w:t>S</w:t>
      </w:r>
      <w:r>
        <w:rPr>
          <w:rFonts w:ascii="Calibri" w:eastAsia="Aptos" w:hAnsi="Calibri" w:cs="Calibri"/>
          <w:kern w:val="0"/>
        </w:rPr>
        <w:t>ection 100 Highly Specialised Drugs (</w:t>
      </w:r>
      <w:r w:rsidR="00311F5B">
        <w:rPr>
          <w:rFonts w:ascii="Calibri" w:eastAsia="Aptos" w:hAnsi="Calibri" w:cs="Calibri"/>
          <w:kern w:val="0"/>
        </w:rPr>
        <w:t xml:space="preserve">S100 </w:t>
      </w:r>
      <w:r>
        <w:rPr>
          <w:rFonts w:ascii="Calibri" w:eastAsia="Aptos" w:hAnsi="Calibri" w:cs="Calibri"/>
          <w:kern w:val="0"/>
        </w:rPr>
        <w:t>HSD)</w:t>
      </w:r>
      <w:r w:rsidR="008514E8">
        <w:rPr>
          <w:rFonts w:ascii="Calibri" w:eastAsia="Aptos" w:hAnsi="Calibri" w:cs="Calibri"/>
          <w:kern w:val="0"/>
        </w:rPr>
        <w:t xml:space="preserve"> program that had been</w:t>
      </w:r>
      <w:r w:rsidR="00A4071F" w:rsidRPr="00A4071F">
        <w:rPr>
          <w:rFonts w:ascii="Calibri" w:eastAsia="Aptos" w:hAnsi="Calibri" w:cs="Calibri"/>
          <w:kern w:val="0"/>
        </w:rPr>
        <w:t xml:space="preserve"> identified by stakeholders </w:t>
      </w:r>
      <w:r w:rsidR="008514E8">
        <w:rPr>
          <w:rFonts w:ascii="Calibri" w:eastAsia="Aptos" w:hAnsi="Calibri" w:cs="Calibri"/>
          <w:kern w:val="0"/>
        </w:rPr>
        <w:t>as being suitable for prescribing by nurse practitioners</w:t>
      </w:r>
      <w:r w:rsidR="00A4071F" w:rsidRPr="00A4071F">
        <w:rPr>
          <w:rFonts w:ascii="Calibri" w:eastAsia="Aptos" w:hAnsi="Calibri" w:cs="Calibri"/>
          <w:kern w:val="0"/>
        </w:rPr>
        <w:t xml:space="preserve">. </w:t>
      </w:r>
      <w:r w:rsidR="008514E8" w:rsidRPr="008514E8">
        <w:rPr>
          <w:rFonts w:ascii="Calibri" w:eastAsia="Aptos" w:hAnsi="Calibri" w:cs="Calibri"/>
          <w:kern w:val="0"/>
        </w:rPr>
        <w:t xml:space="preserve">The PBAC made its recommendations with reference to its four general principles for determining PBS prescriber eligibility. </w:t>
      </w:r>
    </w:p>
    <w:p w14:paraId="2F4F48CD" w14:textId="77777777" w:rsidR="00A4071F" w:rsidRPr="00A4071F" w:rsidRDefault="00A4071F" w:rsidP="00A4071F">
      <w:pPr>
        <w:spacing w:after="0" w:line="240" w:lineRule="auto"/>
        <w:jc w:val="both"/>
        <w:rPr>
          <w:rFonts w:ascii="Calibri" w:eastAsia="Aptos" w:hAnsi="Calibri" w:cs="Calibri"/>
          <w:kern w:val="0"/>
        </w:rPr>
      </w:pPr>
    </w:p>
    <w:p w14:paraId="2A52ECB4" w14:textId="09F9296B" w:rsidR="00A4071F" w:rsidRDefault="008514E8" w:rsidP="00FE7210">
      <w:pPr>
        <w:spacing w:after="0" w:line="240" w:lineRule="auto"/>
        <w:jc w:val="both"/>
        <w:rPr>
          <w:rFonts w:ascii="Calibri" w:eastAsia="Aptos" w:hAnsi="Calibri" w:cs="Calibri"/>
          <w:kern w:val="0"/>
        </w:rPr>
      </w:pPr>
      <w:r>
        <w:rPr>
          <w:rFonts w:ascii="Calibri" w:eastAsia="Aptos" w:hAnsi="Calibri" w:cs="Calibri"/>
          <w:kern w:val="0"/>
        </w:rPr>
        <w:t>For most of the identified oncology and haematology medicines</w:t>
      </w:r>
      <w:r w:rsidR="00FE7210">
        <w:rPr>
          <w:rFonts w:ascii="Calibri" w:eastAsia="Aptos" w:hAnsi="Calibri" w:cs="Calibri"/>
          <w:kern w:val="0"/>
        </w:rPr>
        <w:t xml:space="preserve"> </w:t>
      </w:r>
      <w:r w:rsidR="00FE7210" w:rsidRPr="00991110">
        <w:rPr>
          <w:rFonts w:ascii="Calibri" w:eastAsia="Aptos" w:hAnsi="Calibri" w:cs="Calibri"/>
          <w:kern w:val="0"/>
        </w:rPr>
        <w:t>(</w:t>
      </w:r>
      <w:r w:rsidR="00A354BE" w:rsidRPr="00991110">
        <w:rPr>
          <w:rFonts w:ascii="Calibri" w:eastAsia="Aptos" w:hAnsi="Calibri" w:cs="Calibri"/>
          <w:kern w:val="0"/>
        </w:rPr>
        <w:t>refer</w:t>
      </w:r>
      <w:r w:rsidR="00A354BE">
        <w:rPr>
          <w:rFonts w:ascii="Calibri" w:eastAsia="Aptos" w:hAnsi="Calibri" w:cs="Calibri"/>
          <w:kern w:val="0"/>
        </w:rPr>
        <w:t xml:space="preserve"> </w:t>
      </w:r>
      <w:r w:rsidR="00FE7210">
        <w:rPr>
          <w:rFonts w:ascii="Calibri" w:eastAsia="Aptos" w:hAnsi="Calibri" w:cs="Calibri"/>
          <w:kern w:val="0"/>
        </w:rPr>
        <w:t>Table 1)</w:t>
      </w:r>
      <w:r>
        <w:rPr>
          <w:rFonts w:ascii="Calibri" w:eastAsia="Aptos" w:hAnsi="Calibri" w:cs="Calibri"/>
          <w:kern w:val="0"/>
        </w:rPr>
        <w:t>, t</w:t>
      </w:r>
      <w:r w:rsidRPr="00A4071F">
        <w:rPr>
          <w:rFonts w:ascii="Calibri" w:eastAsia="Aptos" w:hAnsi="Calibri" w:cs="Calibri"/>
          <w:kern w:val="0"/>
        </w:rPr>
        <w:t xml:space="preserve">he </w:t>
      </w:r>
      <w:r w:rsidR="00A4071F" w:rsidRPr="00A4071F">
        <w:rPr>
          <w:rFonts w:ascii="Calibri" w:eastAsia="Aptos" w:hAnsi="Calibri" w:cs="Calibri"/>
          <w:kern w:val="0"/>
        </w:rPr>
        <w:t xml:space="preserve">PBAC recommended </w:t>
      </w:r>
      <w:r w:rsidR="00A4071F" w:rsidRPr="00A354BE">
        <w:rPr>
          <w:rFonts w:ascii="Calibri" w:eastAsia="Aptos" w:hAnsi="Calibri" w:cs="Calibri"/>
          <w:kern w:val="0"/>
        </w:rPr>
        <w:t>that</w:t>
      </w:r>
      <w:r w:rsidR="00991110">
        <w:rPr>
          <w:rFonts w:ascii="Calibri" w:eastAsia="Aptos" w:hAnsi="Calibri" w:cs="Calibri"/>
          <w:kern w:val="0"/>
        </w:rPr>
        <w:t xml:space="preserve"> </w:t>
      </w:r>
      <w:r w:rsidR="00A4071F" w:rsidRPr="00A4071F">
        <w:rPr>
          <w:rFonts w:ascii="Calibri" w:eastAsia="Aptos" w:hAnsi="Calibri" w:cs="Calibri"/>
          <w:kern w:val="0"/>
        </w:rPr>
        <w:t xml:space="preserve">nurse practitioners </w:t>
      </w:r>
      <w:r w:rsidR="00A354BE" w:rsidRPr="00991110">
        <w:rPr>
          <w:rFonts w:ascii="Calibri" w:eastAsia="Aptos" w:hAnsi="Calibri" w:cs="Calibri"/>
          <w:kern w:val="0"/>
        </w:rPr>
        <w:t>be allowed</w:t>
      </w:r>
      <w:r w:rsidR="00A354BE">
        <w:rPr>
          <w:rFonts w:ascii="Calibri" w:eastAsia="Aptos" w:hAnsi="Calibri" w:cs="Calibri"/>
          <w:kern w:val="0"/>
        </w:rPr>
        <w:t xml:space="preserve"> </w:t>
      </w:r>
      <w:r w:rsidR="00A4071F" w:rsidRPr="00A4071F">
        <w:rPr>
          <w:rFonts w:ascii="Calibri" w:eastAsia="Aptos" w:hAnsi="Calibri" w:cs="Calibri"/>
          <w:kern w:val="0"/>
        </w:rPr>
        <w:t>to continue existing therapy</w:t>
      </w:r>
      <w:r>
        <w:rPr>
          <w:rFonts w:ascii="Calibri" w:eastAsia="Aptos" w:hAnsi="Calibri" w:cs="Calibri"/>
          <w:kern w:val="0"/>
        </w:rPr>
        <w:t xml:space="preserve"> where</w:t>
      </w:r>
      <w:r w:rsidR="00A4071F" w:rsidRPr="00A4071F">
        <w:rPr>
          <w:rFonts w:ascii="Calibri" w:eastAsia="Aptos" w:hAnsi="Calibri" w:cs="Calibri"/>
          <w:kern w:val="0"/>
        </w:rPr>
        <w:t xml:space="preserve"> patient care is being shared with a medical practitioner. </w:t>
      </w:r>
      <w:r w:rsidRPr="008514E8">
        <w:rPr>
          <w:rFonts w:ascii="Calibri" w:eastAsia="Aptos" w:hAnsi="Calibri" w:cs="Calibri"/>
          <w:kern w:val="0"/>
        </w:rPr>
        <w:t>The PBAC considered that Principle 4 (‘Health condition specific considerations’) applied in this context, as these medicines are used to treat complex health conditions and management generally requires oversight by a medical specialist.</w:t>
      </w:r>
      <w:r w:rsidRPr="008514E8" w:rsidDel="008514E8">
        <w:rPr>
          <w:rFonts w:ascii="Calibri" w:eastAsia="Aptos" w:hAnsi="Calibri" w:cs="Calibri"/>
          <w:kern w:val="0"/>
        </w:rPr>
        <w:t xml:space="preserve"> </w:t>
      </w:r>
      <w:r w:rsidR="00A4071F" w:rsidRPr="00A4071F">
        <w:rPr>
          <w:rFonts w:ascii="Calibri" w:eastAsia="Aptos" w:hAnsi="Calibri" w:cs="Calibri"/>
          <w:kern w:val="0"/>
        </w:rPr>
        <w:t xml:space="preserve">The PBAC </w:t>
      </w:r>
      <w:r>
        <w:rPr>
          <w:rFonts w:ascii="Calibri" w:eastAsia="Aptos" w:hAnsi="Calibri" w:cs="Calibri"/>
          <w:kern w:val="0"/>
        </w:rPr>
        <w:t>considered</w:t>
      </w:r>
      <w:r w:rsidR="00A4071F" w:rsidRPr="00A4071F">
        <w:rPr>
          <w:rFonts w:ascii="Calibri" w:eastAsia="Aptos" w:hAnsi="Calibri" w:cs="Calibri"/>
          <w:kern w:val="0"/>
        </w:rPr>
        <w:t xml:space="preserve"> it would be reasonable to expect initial treatment for these complex conditions to be authorised by a medical practitioner. </w:t>
      </w:r>
      <w:r w:rsidR="00FE7210">
        <w:rPr>
          <w:rFonts w:ascii="Calibri" w:eastAsia="Aptos" w:hAnsi="Calibri" w:cs="Calibri"/>
          <w:kern w:val="0"/>
        </w:rPr>
        <w:t>For a small number of identified oncology/haematology medicines,</w:t>
      </w:r>
      <w:r w:rsidR="00FE7210" w:rsidRPr="00FE7210">
        <w:t xml:space="preserve"> </w:t>
      </w:r>
      <w:r w:rsidR="00FE7210" w:rsidRPr="00FE7210">
        <w:rPr>
          <w:rFonts w:ascii="Calibri" w:eastAsia="Aptos" w:hAnsi="Calibri" w:cs="Calibri"/>
          <w:kern w:val="0"/>
        </w:rPr>
        <w:t>the PBAC recommended no changes to PBS prescriber type eligibility</w:t>
      </w:r>
      <w:r w:rsidR="00FE7210">
        <w:rPr>
          <w:rFonts w:ascii="Calibri" w:eastAsia="Aptos" w:hAnsi="Calibri" w:cs="Calibri"/>
          <w:kern w:val="0"/>
        </w:rPr>
        <w:t xml:space="preserve"> </w:t>
      </w:r>
      <w:r w:rsidR="00FE7210" w:rsidRPr="00991110">
        <w:rPr>
          <w:rFonts w:ascii="Calibri" w:eastAsia="Aptos" w:hAnsi="Calibri" w:cs="Calibri"/>
          <w:kern w:val="0"/>
        </w:rPr>
        <w:t>(</w:t>
      </w:r>
      <w:r w:rsidR="00A354BE" w:rsidRPr="00991110">
        <w:rPr>
          <w:rFonts w:ascii="Calibri" w:eastAsia="Aptos" w:hAnsi="Calibri" w:cs="Calibri"/>
          <w:kern w:val="0"/>
        </w:rPr>
        <w:t>refer</w:t>
      </w:r>
      <w:r w:rsidR="00A354BE">
        <w:rPr>
          <w:rFonts w:ascii="Calibri" w:eastAsia="Aptos" w:hAnsi="Calibri" w:cs="Calibri"/>
          <w:kern w:val="0"/>
        </w:rPr>
        <w:t xml:space="preserve"> </w:t>
      </w:r>
      <w:r w:rsidR="00FE7210">
        <w:rPr>
          <w:rFonts w:ascii="Calibri" w:eastAsia="Aptos" w:hAnsi="Calibri" w:cs="Calibri"/>
          <w:kern w:val="0"/>
        </w:rPr>
        <w:t>Table 2).</w:t>
      </w:r>
    </w:p>
    <w:p w14:paraId="14F32B98" w14:textId="77777777" w:rsidR="00A4071F" w:rsidRPr="00A4071F" w:rsidRDefault="00A4071F" w:rsidP="00A4071F">
      <w:pPr>
        <w:spacing w:after="0" w:line="240" w:lineRule="auto"/>
        <w:jc w:val="both"/>
        <w:rPr>
          <w:rFonts w:ascii="Calibri" w:eastAsia="Aptos" w:hAnsi="Calibri" w:cs="Calibri"/>
          <w:kern w:val="0"/>
        </w:rPr>
      </w:pPr>
    </w:p>
    <w:p w14:paraId="018AE073" w14:textId="3F33C854" w:rsidR="0056623D" w:rsidRPr="002A207B" w:rsidRDefault="00A4071F" w:rsidP="00A4071F">
      <w:pPr>
        <w:spacing w:after="0" w:line="240" w:lineRule="auto"/>
        <w:jc w:val="both"/>
        <w:rPr>
          <w:rFonts w:ascii="Calibri" w:eastAsia="Aptos" w:hAnsi="Calibri" w:cs="Calibri"/>
          <w:kern w:val="0"/>
        </w:rPr>
      </w:pPr>
      <w:r w:rsidRPr="00A4071F">
        <w:rPr>
          <w:rFonts w:ascii="Calibri" w:eastAsia="Aptos" w:hAnsi="Calibri" w:cs="Calibri"/>
          <w:kern w:val="0"/>
        </w:rPr>
        <w:t xml:space="preserve">The PBAC considered feedback </w:t>
      </w:r>
      <w:r w:rsidR="008514E8">
        <w:rPr>
          <w:rFonts w:ascii="Calibri" w:eastAsia="Aptos" w:hAnsi="Calibri" w:cs="Calibri"/>
          <w:kern w:val="0"/>
        </w:rPr>
        <w:t>indicating</w:t>
      </w:r>
      <w:r w:rsidRPr="00A4071F">
        <w:rPr>
          <w:rFonts w:ascii="Calibri" w:eastAsia="Aptos" w:hAnsi="Calibri" w:cs="Calibri"/>
          <w:kern w:val="0"/>
        </w:rPr>
        <w:t xml:space="preserve"> that many nurse practitioners are employed within medical oncology and haematology outpatient settings and that there are </w:t>
      </w:r>
      <w:r w:rsidR="00A354BE">
        <w:rPr>
          <w:rFonts w:ascii="Calibri" w:eastAsia="Aptos" w:hAnsi="Calibri" w:cs="Calibri"/>
          <w:kern w:val="0"/>
        </w:rPr>
        <w:t xml:space="preserve">usually </w:t>
      </w:r>
      <w:r w:rsidRPr="00A4071F">
        <w:rPr>
          <w:rFonts w:ascii="Calibri" w:eastAsia="Aptos" w:hAnsi="Calibri" w:cs="Calibri"/>
          <w:kern w:val="0"/>
        </w:rPr>
        <w:t xml:space="preserve">workplace prescribing protocols, clinician support and other safety and quality in healthcare measures in place that support the quality use of medicines. </w:t>
      </w:r>
    </w:p>
    <w:p w14:paraId="7BD5A5D8" w14:textId="77777777" w:rsidR="003A270E" w:rsidRDefault="003A270E" w:rsidP="002001EB">
      <w:pPr>
        <w:spacing w:after="0" w:line="240" w:lineRule="auto"/>
        <w:ind w:right="-60"/>
        <w:jc w:val="both"/>
        <w:textAlignment w:val="baseline"/>
        <w:rPr>
          <w:rFonts w:ascii="Arial Narrow" w:eastAsia="Times New Roman" w:hAnsi="Arial Narrow" w:cs="Calibri"/>
          <w:b/>
          <w:bCs/>
          <w:kern w:val="0"/>
          <w:sz w:val="20"/>
          <w:szCs w:val="20"/>
          <w:lang w:eastAsia="en-AU"/>
          <w14:ligatures w14:val="none"/>
        </w:rPr>
      </w:pPr>
    </w:p>
    <w:p w14:paraId="2F169A86" w14:textId="48DC255F" w:rsidR="00974E47" w:rsidRPr="00974E47" w:rsidRDefault="00974E47" w:rsidP="00991110">
      <w:pPr>
        <w:spacing w:after="120" w:line="240" w:lineRule="auto"/>
        <w:jc w:val="both"/>
        <w:textAlignment w:val="baseline"/>
        <w:rPr>
          <w:rFonts w:ascii="Calibri" w:eastAsia="Times New Roman" w:hAnsi="Calibri" w:cs="Calibri"/>
          <w:kern w:val="0"/>
          <w:lang w:eastAsia="en-AU"/>
          <w14:ligatures w14:val="none"/>
        </w:rPr>
      </w:pPr>
      <w:r w:rsidRPr="00974E47">
        <w:rPr>
          <w:rFonts w:ascii="Arial Narrow" w:eastAsia="Times New Roman" w:hAnsi="Arial Narrow" w:cs="Calibri"/>
          <w:b/>
          <w:bCs/>
          <w:kern w:val="0"/>
          <w:sz w:val="20"/>
          <w:szCs w:val="20"/>
          <w:lang w:eastAsia="en-AU"/>
          <w14:ligatures w14:val="none"/>
        </w:rPr>
        <w:t xml:space="preserve">Table 1 – </w:t>
      </w:r>
      <w:r w:rsidR="002E046E">
        <w:rPr>
          <w:rFonts w:ascii="Arial Narrow" w:hAnsi="Arial Narrow"/>
          <w:b/>
          <w:bCs/>
          <w:sz w:val="20"/>
          <w:szCs w:val="20"/>
        </w:rPr>
        <w:t>PBS General schedule oncology or haematology</w:t>
      </w:r>
      <w:r w:rsidR="002E046E" w:rsidRPr="00F43ACD">
        <w:rPr>
          <w:rFonts w:ascii="Arial Narrow" w:hAnsi="Arial Narrow"/>
          <w:b/>
          <w:bCs/>
          <w:sz w:val="20"/>
          <w:szCs w:val="20"/>
        </w:rPr>
        <w:t xml:space="preserve"> medicines </w:t>
      </w:r>
      <w:r w:rsidR="002E046E">
        <w:rPr>
          <w:rFonts w:ascii="Arial Narrow" w:hAnsi="Arial Narrow"/>
          <w:b/>
          <w:bCs/>
          <w:sz w:val="20"/>
          <w:szCs w:val="20"/>
        </w:rPr>
        <w:t>that PBAC recommend</w:t>
      </w:r>
      <w:r w:rsidR="00A354BE" w:rsidRPr="00991110">
        <w:rPr>
          <w:rFonts w:ascii="Arial Narrow" w:hAnsi="Arial Narrow"/>
          <w:b/>
          <w:bCs/>
          <w:sz w:val="20"/>
          <w:szCs w:val="20"/>
        </w:rPr>
        <w:t>ed amend</w:t>
      </w:r>
      <w:r w:rsidR="00991110" w:rsidRPr="00991110">
        <w:rPr>
          <w:rFonts w:ascii="Arial Narrow" w:hAnsi="Arial Narrow"/>
          <w:b/>
          <w:bCs/>
          <w:sz w:val="20"/>
          <w:szCs w:val="20"/>
        </w:rPr>
        <w:t>ing</w:t>
      </w:r>
      <w:r w:rsidR="002E046E">
        <w:rPr>
          <w:rFonts w:ascii="Arial Narrow" w:hAnsi="Arial Narrow"/>
          <w:b/>
          <w:bCs/>
          <w:sz w:val="20"/>
          <w:szCs w:val="20"/>
        </w:rPr>
        <w:t xml:space="preserve"> to allow nurse practitioners to continue therapy where patient care is shared with a medical practitioner</w:t>
      </w:r>
      <w:r w:rsidR="002E046E" w:rsidRPr="00F43ACD">
        <w:rPr>
          <w:rFonts w:ascii="Arial Narrow" w:hAnsi="Arial Narrow"/>
          <w:b/>
          <w:bCs/>
          <w:sz w:val="20"/>
          <w:szCs w:val="20"/>
        </w:rPr>
        <w:t xml:space="preserve"> </w:t>
      </w:r>
      <w:r w:rsidRPr="00974E47">
        <w:rPr>
          <w:rFonts w:ascii="Arial Narrow" w:eastAsia="Times New Roman" w:hAnsi="Arial Narrow" w:cs="Calibri"/>
          <w:b/>
          <w:bCs/>
          <w:kern w:val="0"/>
          <w:sz w:val="20"/>
          <w:szCs w:val="20"/>
          <w:lang w:eastAsia="en-AU"/>
          <w14:ligatures w14:val="none"/>
        </w:rPr>
        <w:t xml:space="preserve"> </w:t>
      </w:r>
      <w:r w:rsidRPr="00974E47">
        <w:rPr>
          <w:rFonts w:ascii="Arial Narrow" w:eastAsia="Times New Roman" w:hAnsi="Arial Narrow" w:cs="Calibri"/>
          <w:kern w:val="0"/>
          <w:sz w:val="20"/>
          <w:szCs w:val="20"/>
          <w:lang w:eastAsia="en-AU"/>
          <w14:ligatures w14:val="none"/>
        </w:rPr>
        <w:t> </w:t>
      </w:r>
    </w:p>
    <w:tbl>
      <w:tblPr>
        <w:tblStyle w:val="TableGrid"/>
        <w:tblW w:w="9072" w:type="dxa"/>
        <w:tblInd w:w="-5" w:type="dxa"/>
        <w:tblLayout w:type="fixed"/>
        <w:tblLook w:val="04A0" w:firstRow="1" w:lastRow="0" w:firstColumn="1" w:lastColumn="0" w:noHBand="0" w:noVBand="1"/>
      </w:tblPr>
      <w:tblGrid>
        <w:gridCol w:w="426"/>
        <w:gridCol w:w="8646"/>
      </w:tblGrid>
      <w:tr w:rsidR="00A471BE" w:rsidRPr="00974E47" w14:paraId="08A75E28" w14:textId="77777777" w:rsidTr="000B6844">
        <w:trPr>
          <w:trHeight w:hRule="exact" w:val="318"/>
        </w:trPr>
        <w:tc>
          <w:tcPr>
            <w:tcW w:w="9072" w:type="dxa"/>
            <w:gridSpan w:val="2"/>
          </w:tcPr>
          <w:p w14:paraId="67FA4EA1" w14:textId="3C8356D6" w:rsidR="00A471BE" w:rsidRPr="00974E47" w:rsidRDefault="00A471BE"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Pharmacological class:</w:t>
            </w:r>
            <w:r w:rsidRPr="00974E47">
              <w:rPr>
                <w:rFonts w:ascii="Arial Narrow" w:eastAsia="Times New Roman" w:hAnsi="Arial Narrow"/>
                <w:b/>
                <w:bCs/>
                <w:kern w:val="0"/>
                <w:sz w:val="20"/>
                <w:szCs w:val="20"/>
                <w:lang w:eastAsia="en-AU"/>
                <w14:ligatures w14:val="none"/>
              </w:rPr>
              <w:t xml:space="preserve"> </w:t>
            </w:r>
            <w:r w:rsidRPr="00974E47">
              <w:rPr>
                <w:rFonts w:ascii="Arial Narrow" w:eastAsia="Times New Roman" w:hAnsi="Arial Narrow"/>
                <w:kern w:val="0"/>
                <w:sz w:val="20"/>
                <w:szCs w:val="20"/>
                <w:lang w:eastAsia="en-AU"/>
                <w14:ligatures w14:val="none"/>
              </w:rPr>
              <w:t>drug(s) </w:t>
            </w:r>
          </w:p>
        </w:tc>
      </w:tr>
      <w:tr w:rsidR="00245C12" w:rsidRPr="00974E47" w14:paraId="1C03BEC2" w14:textId="77777777" w:rsidTr="000B6844">
        <w:trPr>
          <w:trHeight w:hRule="exact" w:val="280"/>
        </w:trPr>
        <w:tc>
          <w:tcPr>
            <w:tcW w:w="426" w:type="dxa"/>
          </w:tcPr>
          <w:p w14:paraId="6D86CB48" w14:textId="7454E506"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1</w:t>
            </w:r>
          </w:p>
        </w:tc>
        <w:tc>
          <w:tcPr>
            <w:tcW w:w="8646" w:type="dxa"/>
            <w:hideMark/>
          </w:tcPr>
          <w:p w14:paraId="33EA83B8" w14:textId="10B0E67C"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Oral cytotoxic chemotherapy:</w:t>
            </w:r>
            <w:r w:rsidRPr="00974E47">
              <w:rPr>
                <w:rFonts w:ascii="Arial Narrow" w:eastAsia="Times New Roman" w:hAnsi="Arial Narrow"/>
                <w:kern w:val="0"/>
                <w:sz w:val="20"/>
                <w:szCs w:val="20"/>
                <w:lang w:eastAsia="en-AU"/>
                <w14:ligatures w14:val="none"/>
              </w:rPr>
              <w:t>  capecitabine, cyclophosphamide, temozolomide, vinorelbine </w:t>
            </w:r>
          </w:p>
          <w:p w14:paraId="46CC05B5" w14:textId="77777777"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74E47" w14:paraId="4DAAF07D" w14:textId="77777777" w:rsidTr="000B6844">
        <w:trPr>
          <w:trHeight w:hRule="exact" w:val="285"/>
        </w:trPr>
        <w:tc>
          <w:tcPr>
            <w:tcW w:w="426" w:type="dxa"/>
          </w:tcPr>
          <w:p w14:paraId="0D3B2AE6" w14:textId="77E30ACA"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2</w:t>
            </w:r>
          </w:p>
        </w:tc>
        <w:tc>
          <w:tcPr>
            <w:tcW w:w="8646" w:type="dxa"/>
            <w:hideMark/>
          </w:tcPr>
          <w:p w14:paraId="31537B7E" w14:textId="7B231DCD"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CDK4/6 inhibitors: </w:t>
            </w:r>
            <w:r w:rsidRPr="00974E47">
              <w:rPr>
                <w:rFonts w:ascii="Arial Narrow" w:eastAsia="Times New Roman" w:hAnsi="Arial Narrow"/>
                <w:kern w:val="0"/>
                <w:sz w:val="20"/>
                <w:szCs w:val="20"/>
                <w:lang w:eastAsia="en-AU"/>
                <w14:ligatures w14:val="none"/>
              </w:rPr>
              <w:t>abemaciclib, palbociclib, ribociclib </w:t>
            </w:r>
          </w:p>
          <w:p w14:paraId="6AB57088" w14:textId="77777777"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74E47" w14:paraId="0CDF99F7" w14:textId="77777777" w:rsidTr="000B6844">
        <w:trPr>
          <w:trHeight w:hRule="exact" w:val="287"/>
        </w:trPr>
        <w:tc>
          <w:tcPr>
            <w:tcW w:w="426" w:type="dxa"/>
          </w:tcPr>
          <w:p w14:paraId="2D8E17F7" w14:textId="5C21F213"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3</w:t>
            </w:r>
          </w:p>
        </w:tc>
        <w:tc>
          <w:tcPr>
            <w:tcW w:w="8646" w:type="dxa"/>
            <w:hideMark/>
          </w:tcPr>
          <w:p w14:paraId="66F6B8AF" w14:textId="24E2D83B"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Tyrosine kinase receptor inhibitors (TKIs): </w:t>
            </w:r>
            <w:r w:rsidRPr="00974E47">
              <w:rPr>
                <w:rFonts w:ascii="Arial Narrow" w:eastAsia="Times New Roman" w:hAnsi="Arial Narrow"/>
                <w:kern w:val="0"/>
                <w:sz w:val="20"/>
                <w:szCs w:val="20"/>
                <w:lang w:eastAsia="en-AU"/>
                <w14:ligatures w14:val="none"/>
              </w:rPr>
              <w:t>cabozantinib, lenvatinib, sunitinib </w:t>
            </w:r>
          </w:p>
          <w:p w14:paraId="2217FA07" w14:textId="77777777"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74E47" w14:paraId="34573344" w14:textId="77777777" w:rsidTr="000B6844">
        <w:trPr>
          <w:trHeight w:hRule="exact" w:val="235"/>
        </w:trPr>
        <w:tc>
          <w:tcPr>
            <w:tcW w:w="426" w:type="dxa"/>
          </w:tcPr>
          <w:p w14:paraId="649CD49B" w14:textId="1D50A523"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4</w:t>
            </w:r>
          </w:p>
        </w:tc>
        <w:tc>
          <w:tcPr>
            <w:tcW w:w="8646" w:type="dxa"/>
            <w:hideMark/>
          </w:tcPr>
          <w:p w14:paraId="340EBC36" w14:textId="1D085B21"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EGFR TKIs: </w:t>
            </w:r>
            <w:r w:rsidRPr="00974E47">
              <w:rPr>
                <w:rFonts w:ascii="Arial Narrow" w:eastAsia="Times New Roman" w:hAnsi="Arial Narrow"/>
                <w:kern w:val="0"/>
                <w:sz w:val="20"/>
                <w:szCs w:val="20"/>
                <w:lang w:eastAsia="en-AU"/>
                <w14:ligatures w14:val="none"/>
              </w:rPr>
              <w:t>osimertinib, erlotinib, gefitinib </w:t>
            </w:r>
          </w:p>
        </w:tc>
      </w:tr>
      <w:tr w:rsidR="00245C12" w:rsidRPr="00974E47" w14:paraId="50F52409" w14:textId="77777777" w:rsidTr="000B6844">
        <w:trPr>
          <w:trHeight w:hRule="exact" w:val="286"/>
        </w:trPr>
        <w:tc>
          <w:tcPr>
            <w:tcW w:w="426" w:type="dxa"/>
          </w:tcPr>
          <w:p w14:paraId="5ECE2DE4" w14:textId="39DBE836"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5</w:t>
            </w:r>
          </w:p>
        </w:tc>
        <w:tc>
          <w:tcPr>
            <w:tcW w:w="8646" w:type="dxa"/>
            <w:hideMark/>
          </w:tcPr>
          <w:p w14:paraId="6495ED9B" w14:textId="13312110"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PARP inhibitors: </w:t>
            </w:r>
            <w:r w:rsidRPr="00974E47">
              <w:rPr>
                <w:rFonts w:ascii="Arial Narrow" w:eastAsia="Times New Roman" w:hAnsi="Arial Narrow"/>
                <w:kern w:val="0"/>
                <w:sz w:val="20"/>
                <w:szCs w:val="20"/>
                <w:lang w:eastAsia="en-AU"/>
                <w14:ligatures w14:val="none"/>
              </w:rPr>
              <w:t>olaparib, niraparib, talazoparib </w:t>
            </w:r>
          </w:p>
          <w:p w14:paraId="66C93B4F" w14:textId="77777777"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74E47" w14:paraId="0C160E81" w14:textId="77777777" w:rsidTr="000B6844">
        <w:trPr>
          <w:trHeight w:hRule="exact" w:val="279"/>
        </w:trPr>
        <w:tc>
          <w:tcPr>
            <w:tcW w:w="426" w:type="dxa"/>
          </w:tcPr>
          <w:p w14:paraId="77B54858" w14:textId="446837CF"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6</w:t>
            </w:r>
          </w:p>
        </w:tc>
        <w:tc>
          <w:tcPr>
            <w:tcW w:w="8646" w:type="dxa"/>
            <w:hideMark/>
          </w:tcPr>
          <w:p w14:paraId="710A03AA" w14:textId="17822AEB"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ALK Inhibitors: </w:t>
            </w:r>
            <w:r w:rsidRPr="00974E47">
              <w:rPr>
                <w:rFonts w:ascii="Arial Narrow" w:eastAsia="Times New Roman" w:hAnsi="Arial Narrow"/>
                <w:kern w:val="0"/>
                <w:sz w:val="20"/>
                <w:szCs w:val="20"/>
                <w:lang w:eastAsia="en-AU"/>
                <w14:ligatures w14:val="none"/>
              </w:rPr>
              <w:t>alectinib, brigatinib, lorlatinib, crizotinib, ceritinib </w:t>
            </w:r>
          </w:p>
          <w:p w14:paraId="283B7577" w14:textId="77777777"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047B8" w14:paraId="0D8FE616" w14:textId="77777777" w:rsidTr="000B6844">
        <w:trPr>
          <w:trHeight w:hRule="exact" w:val="289"/>
        </w:trPr>
        <w:tc>
          <w:tcPr>
            <w:tcW w:w="426" w:type="dxa"/>
          </w:tcPr>
          <w:p w14:paraId="0EC470A3" w14:textId="6D31D205"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7</w:t>
            </w:r>
          </w:p>
        </w:tc>
        <w:tc>
          <w:tcPr>
            <w:tcW w:w="8646" w:type="dxa"/>
            <w:hideMark/>
          </w:tcPr>
          <w:p w14:paraId="70F245FD" w14:textId="15057E21" w:rsidR="00245C12" w:rsidRPr="00974E47" w:rsidRDefault="00245C12" w:rsidP="00785A2D">
            <w:pPr>
              <w:spacing w:after="120"/>
              <w:ind w:left="-57"/>
              <w:textAlignment w:val="baseline"/>
              <w:rPr>
                <w:rFonts w:eastAsia="Times New Roman"/>
                <w:kern w:val="0"/>
                <w:lang w:val="de-DE" w:eastAsia="en-AU"/>
                <w14:ligatures w14:val="none"/>
              </w:rPr>
            </w:pPr>
            <w:r w:rsidRPr="00974E47">
              <w:rPr>
                <w:rFonts w:ascii="Arial Narrow" w:eastAsia="Times New Roman" w:hAnsi="Arial Narrow"/>
                <w:b/>
                <w:bCs/>
                <w:i/>
                <w:iCs/>
                <w:kern w:val="0"/>
                <w:sz w:val="20"/>
                <w:szCs w:val="20"/>
                <w:lang w:val="de-DE" w:eastAsia="en-AU"/>
                <w14:ligatures w14:val="none"/>
              </w:rPr>
              <w:t xml:space="preserve">BRAF inhibitors: </w:t>
            </w:r>
            <w:r w:rsidRPr="00974E47">
              <w:rPr>
                <w:rFonts w:ascii="Arial Narrow" w:eastAsia="Times New Roman" w:hAnsi="Arial Narrow"/>
                <w:kern w:val="0"/>
                <w:sz w:val="20"/>
                <w:szCs w:val="20"/>
                <w:lang w:val="de-DE" w:eastAsia="en-AU"/>
                <w14:ligatures w14:val="none"/>
              </w:rPr>
              <w:t>dabrafenib, vemurafenib, encorafenib </w:t>
            </w:r>
          </w:p>
          <w:p w14:paraId="1973E11D" w14:textId="77777777" w:rsidR="00245C12" w:rsidRPr="00974E47" w:rsidRDefault="00245C12" w:rsidP="00785A2D">
            <w:pPr>
              <w:spacing w:after="120"/>
              <w:ind w:left="-57"/>
              <w:textAlignment w:val="baseline"/>
              <w:rPr>
                <w:rFonts w:eastAsia="Times New Roman"/>
                <w:kern w:val="0"/>
                <w:lang w:val="de-DE" w:eastAsia="en-AU"/>
                <w14:ligatures w14:val="none"/>
              </w:rPr>
            </w:pPr>
            <w:r w:rsidRPr="00974E47">
              <w:rPr>
                <w:rFonts w:ascii="Arial Narrow" w:eastAsia="Times New Roman" w:hAnsi="Arial Narrow"/>
                <w:kern w:val="0"/>
                <w:sz w:val="20"/>
                <w:szCs w:val="20"/>
                <w:lang w:val="de-DE" w:eastAsia="en-AU"/>
                <w14:ligatures w14:val="none"/>
              </w:rPr>
              <w:t> </w:t>
            </w:r>
          </w:p>
        </w:tc>
      </w:tr>
      <w:tr w:rsidR="00245C12" w:rsidRPr="00974E47" w14:paraId="40290F55" w14:textId="77777777" w:rsidTr="000B6844">
        <w:trPr>
          <w:trHeight w:hRule="exact" w:val="293"/>
        </w:trPr>
        <w:tc>
          <w:tcPr>
            <w:tcW w:w="426" w:type="dxa"/>
          </w:tcPr>
          <w:p w14:paraId="51A6F84F" w14:textId="2B52F125"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8</w:t>
            </w:r>
          </w:p>
        </w:tc>
        <w:tc>
          <w:tcPr>
            <w:tcW w:w="8646" w:type="dxa"/>
            <w:hideMark/>
          </w:tcPr>
          <w:p w14:paraId="4E1614CE" w14:textId="1E9EEAEB"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MEK inhibitors: </w:t>
            </w:r>
            <w:r w:rsidRPr="00974E47">
              <w:rPr>
                <w:rFonts w:ascii="Arial Narrow" w:eastAsia="Times New Roman" w:hAnsi="Arial Narrow"/>
                <w:kern w:val="0"/>
                <w:sz w:val="20"/>
                <w:szCs w:val="20"/>
                <w:lang w:eastAsia="en-AU"/>
                <w14:ligatures w14:val="none"/>
              </w:rPr>
              <w:t>cobimetinib, trametinib, binimetinib </w:t>
            </w:r>
          </w:p>
        </w:tc>
      </w:tr>
      <w:tr w:rsidR="00245C12" w:rsidRPr="00974E47" w14:paraId="30325579" w14:textId="77777777" w:rsidTr="000B6844">
        <w:trPr>
          <w:trHeight w:hRule="exact" w:val="553"/>
        </w:trPr>
        <w:tc>
          <w:tcPr>
            <w:tcW w:w="426" w:type="dxa"/>
          </w:tcPr>
          <w:p w14:paraId="48A7B250" w14:textId="27F9DE80"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9</w:t>
            </w:r>
          </w:p>
        </w:tc>
        <w:tc>
          <w:tcPr>
            <w:tcW w:w="8646" w:type="dxa"/>
            <w:hideMark/>
          </w:tcPr>
          <w:p w14:paraId="211EA87C" w14:textId="32F052DD"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Endocrine therapy for prostate cancer – other hormone antagonists and related ages: </w:t>
            </w:r>
            <w:r w:rsidRPr="00974E47">
              <w:rPr>
                <w:rFonts w:ascii="Arial Narrow" w:eastAsia="Times New Roman" w:hAnsi="Arial Narrow"/>
                <w:kern w:val="0"/>
                <w:sz w:val="20"/>
                <w:szCs w:val="20"/>
                <w:lang w:eastAsia="en-AU"/>
                <w14:ligatures w14:val="none"/>
              </w:rPr>
              <w:t>abiraterone, degarelix, abiraterone &amp; methylprednisolone combination product </w:t>
            </w:r>
          </w:p>
        </w:tc>
      </w:tr>
      <w:tr w:rsidR="00245C12" w:rsidRPr="00974E47" w14:paraId="4589AAC6" w14:textId="77777777" w:rsidTr="000B6844">
        <w:trPr>
          <w:trHeight w:hRule="exact" w:val="319"/>
        </w:trPr>
        <w:tc>
          <w:tcPr>
            <w:tcW w:w="426" w:type="dxa"/>
          </w:tcPr>
          <w:p w14:paraId="4DD327F7" w14:textId="340DBC45"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10</w:t>
            </w:r>
          </w:p>
        </w:tc>
        <w:tc>
          <w:tcPr>
            <w:tcW w:w="8646" w:type="dxa"/>
            <w:hideMark/>
          </w:tcPr>
          <w:p w14:paraId="765C792A" w14:textId="1996EB72"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Endocrine therapy for prostate cancer – anti-androgens: </w:t>
            </w:r>
            <w:r w:rsidRPr="00974E47">
              <w:rPr>
                <w:rFonts w:ascii="Arial Narrow" w:eastAsia="Times New Roman" w:hAnsi="Arial Narrow"/>
                <w:kern w:val="0"/>
                <w:sz w:val="20"/>
                <w:szCs w:val="20"/>
                <w:lang w:eastAsia="en-AU"/>
                <w14:ligatures w14:val="none"/>
              </w:rPr>
              <w:t>enzalutamide*, apalutamide, darolutamide, cyproterone </w:t>
            </w:r>
          </w:p>
          <w:p w14:paraId="54A12808" w14:textId="77777777"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74E47" w14:paraId="3C96EE1E" w14:textId="77777777" w:rsidTr="000B6844">
        <w:trPr>
          <w:trHeight w:hRule="exact" w:val="569"/>
        </w:trPr>
        <w:tc>
          <w:tcPr>
            <w:tcW w:w="426" w:type="dxa"/>
          </w:tcPr>
          <w:p w14:paraId="73E57348" w14:textId="2AFFFA11"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lastRenderedPageBreak/>
              <w:t>11</w:t>
            </w:r>
          </w:p>
        </w:tc>
        <w:tc>
          <w:tcPr>
            <w:tcW w:w="8646" w:type="dxa"/>
            <w:hideMark/>
          </w:tcPr>
          <w:p w14:paraId="5C09F5B1" w14:textId="66AF7341" w:rsidR="00245C12" w:rsidRDefault="00245C12" w:rsidP="00785A2D">
            <w:pPr>
              <w:spacing w:after="120"/>
              <w:ind w:left="-57"/>
              <w:textAlignment w:val="baseline"/>
              <w:rPr>
                <w:rFonts w:ascii="Arial Narrow" w:eastAsia="Times New Roman" w:hAnsi="Arial Narrow"/>
                <w:kern w:val="0"/>
                <w:sz w:val="20"/>
                <w:szCs w:val="20"/>
                <w:lang w:eastAsia="en-AU"/>
                <w14:ligatures w14:val="none"/>
              </w:rPr>
            </w:pPr>
            <w:r w:rsidRPr="00974E47">
              <w:rPr>
                <w:rFonts w:ascii="Arial Narrow" w:eastAsia="Times New Roman" w:hAnsi="Arial Narrow"/>
                <w:b/>
                <w:bCs/>
                <w:i/>
                <w:iCs/>
                <w:kern w:val="0"/>
                <w:sz w:val="20"/>
                <w:szCs w:val="20"/>
                <w:lang w:eastAsia="en-AU"/>
                <w14:ligatures w14:val="none"/>
              </w:rPr>
              <w:t xml:space="preserve">Gonadrotropin releasing hormone analogues: </w:t>
            </w:r>
            <w:r w:rsidRPr="00974E47">
              <w:rPr>
                <w:rFonts w:ascii="Arial Narrow" w:eastAsia="Times New Roman" w:hAnsi="Arial Narrow"/>
                <w:kern w:val="0"/>
                <w:sz w:val="20"/>
                <w:szCs w:val="20"/>
                <w:lang w:eastAsia="en-AU"/>
                <w14:ligatures w14:val="none"/>
              </w:rPr>
              <w:t>goserelin implant (both strengths), leuprorelin, goserelin &amp; bicalutamide, leuprorelin &amp; bicalutamide, triptorelin </w:t>
            </w:r>
          </w:p>
          <w:p w14:paraId="052376F3" w14:textId="77777777"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74E47" w14:paraId="1129611C" w14:textId="77777777" w:rsidTr="000B6844">
        <w:trPr>
          <w:trHeight w:hRule="exact" w:val="563"/>
        </w:trPr>
        <w:tc>
          <w:tcPr>
            <w:tcW w:w="426" w:type="dxa"/>
          </w:tcPr>
          <w:p w14:paraId="22C0F7FC" w14:textId="7A18087F"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12</w:t>
            </w:r>
          </w:p>
        </w:tc>
        <w:tc>
          <w:tcPr>
            <w:tcW w:w="8646" w:type="dxa"/>
            <w:hideMark/>
          </w:tcPr>
          <w:p w14:paraId="5D06033F" w14:textId="29EDCC3D" w:rsidR="00245C12" w:rsidRDefault="00245C12" w:rsidP="00785A2D">
            <w:pPr>
              <w:spacing w:after="120"/>
              <w:ind w:left="-57"/>
              <w:textAlignment w:val="baseline"/>
              <w:rPr>
                <w:rFonts w:ascii="Arial Narrow" w:eastAsia="Times New Roman" w:hAnsi="Arial Narrow"/>
                <w:kern w:val="0"/>
                <w:sz w:val="20"/>
                <w:szCs w:val="20"/>
                <w:lang w:eastAsia="en-AU"/>
                <w14:ligatures w14:val="none"/>
              </w:rPr>
            </w:pPr>
            <w:r w:rsidRPr="00974E47">
              <w:rPr>
                <w:rFonts w:ascii="Arial Narrow" w:eastAsia="Times New Roman" w:hAnsi="Arial Narrow"/>
                <w:b/>
                <w:bCs/>
                <w:i/>
                <w:iCs/>
                <w:kern w:val="0"/>
                <w:sz w:val="20"/>
                <w:szCs w:val="20"/>
                <w:lang w:eastAsia="en-AU"/>
                <w14:ligatures w14:val="none"/>
              </w:rPr>
              <w:t>Other oncology medicines:</w:t>
            </w:r>
            <w:r w:rsidRPr="00974E47">
              <w:rPr>
                <w:rFonts w:ascii="Arial Narrow" w:eastAsia="Times New Roman" w:hAnsi="Arial Narrow"/>
                <w:kern w:val="0"/>
                <w:sz w:val="20"/>
                <w:szCs w:val="20"/>
                <w:lang w:eastAsia="en-AU"/>
                <w14:ligatures w14:val="none"/>
              </w:rPr>
              <w:t xml:space="preserve"> medroxyprogesterone, fulvestrant, exemestane, hydroxycarbamide (hydroxyurea), mercaptopurine</w:t>
            </w:r>
          </w:p>
          <w:p w14:paraId="2DA0E978" w14:textId="3E4D3CCF"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74E47" w14:paraId="007A7179" w14:textId="77777777" w:rsidTr="000B6844">
        <w:trPr>
          <w:trHeight w:hRule="exact" w:val="287"/>
        </w:trPr>
        <w:tc>
          <w:tcPr>
            <w:tcW w:w="426" w:type="dxa"/>
          </w:tcPr>
          <w:p w14:paraId="3032972D" w14:textId="49E3E914" w:rsidR="00245C12" w:rsidRPr="00245C12" w:rsidRDefault="00D46E1F"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13</w:t>
            </w:r>
          </w:p>
        </w:tc>
        <w:tc>
          <w:tcPr>
            <w:tcW w:w="8646" w:type="dxa"/>
            <w:hideMark/>
          </w:tcPr>
          <w:p w14:paraId="59A2D1FB" w14:textId="74EC818B"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Tyrosine kinase inhibitors: </w:t>
            </w:r>
            <w:r w:rsidRPr="00974E47">
              <w:rPr>
                <w:rFonts w:ascii="Arial Narrow" w:eastAsia="Times New Roman" w:hAnsi="Arial Narrow"/>
                <w:kern w:val="0"/>
                <w:sz w:val="20"/>
                <w:szCs w:val="20"/>
                <w:lang w:eastAsia="en-AU"/>
                <w14:ligatures w14:val="none"/>
              </w:rPr>
              <w:t>dasatinib, imatinib, nilotinib, ponatinib, gilteritinib </w:t>
            </w:r>
          </w:p>
          <w:p w14:paraId="565E734F" w14:textId="77777777"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245C12" w:rsidRPr="00974E47" w14:paraId="4AAB69EE" w14:textId="77777777" w:rsidTr="000B6844">
        <w:trPr>
          <w:trHeight w:hRule="exact" w:val="309"/>
        </w:trPr>
        <w:tc>
          <w:tcPr>
            <w:tcW w:w="426" w:type="dxa"/>
          </w:tcPr>
          <w:p w14:paraId="12B0767E" w14:textId="3F968401" w:rsidR="00245C12" w:rsidRPr="00245C12" w:rsidRDefault="00BC5128"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14</w:t>
            </w:r>
          </w:p>
        </w:tc>
        <w:tc>
          <w:tcPr>
            <w:tcW w:w="8646" w:type="dxa"/>
            <w:hideMark/>
          </w:tcPr>
          <w:p w14:paraId="55F24770" w14:textId="26D69F78"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Bruton’s tyrosine kinase inhibitors: </w:t>
            </w:r>
            <w:r w:rsidRPr="00974E47">
              <w:rPr>
                <w:rFonts w:ascii="Arial Narrow" w:eastAsia="Times New Roman" w:hAnsi="Arial Narrow"/>
                <w:kern w:val="0"/>
                <w:sz w:val="20"/>
                <w:szCs w:val="20"/>
                <w:lang w:eastAsia="en-AU"/>
                <w14:ligatures w14:val="none"/>
              </w:rPr>
              <w:t>acalabrutinib, ibrutinib, zanubrutinib </w:t>
            </w:r>
          </w:p>
        </w:tc>
      </w:tr>
      <w:tr w:rsidR="00245C12" w:rsidRPr="00974E47" w14:paraId="350DCD81" w14:textId="77777777" w:rsidTr="000B6844">
        <w:trPr>
          <w:trHeight w:hRule="exact" w:val="285"/>
        </w:trPr>
        <w:tc>
          <w:tcPr>
            <w:tcW w:w="426" w:type="dxa"/>
          </w:tcPr>
          <w:p w14:paraId="62985029" w14:textId="6706DE45" w:rsidR="00245C12" w:rsidRPr="00245C12" w:rsidRDefault="00BC5128" w:rsidP="00C512C5">
            <w:pPr>
              <w:spacing w:after="120"/>
              <w:textAlignment w:val="baseline"/>
              <w:rPr>
                <w:rFonts w:ascii="Arial Narrow" w:eastAsia="Times New Roman" w:hAnsi="Arial Narrow"/>
                <w:kern w:val="0"/>
                <w:sz w:val="20"/>
                <w:szCs w:val="20"/>
                <w:lang w:eastAsia="en-AU"/>
                <w14:ligatures w14:val="none"/>
              </w:rPr>
            </w:pPr>
            <w:r>
              <w:rPr>
                <w:rFonts w:ascii="Arial Narrow" w:eastAsia="Times New Roman" w:hAnsi="Arial Narrow"/>
                <w:kern w:val="0"/>
                <w:sz w:val="20"/>
                <w:szCs w:val="20"/>
                <w:lang w:eastAsia="en-AU"/>
                <w14:ligatures w14:val="none"/>
              </w:rPr>
              <w:t>15</w:t>
            </w:r>
          </w:p>
        </w:tc>
        <w:tc>
          <w:tcPr>
            <w:tcW w:w="8646" w:type="dxa"/>
            <w:hideMark/>
          </w:tcPr>
          <w:p w14:paraId="33CF5C1F" w14:textId="2C2A01EB" w:rsidR="00245C12" w:rsidRPr="00974E47" w:rsidRDefault="00245C12" w:rsidP="00785A2D">
            <w:pPr>
              <w:spacing w:after="120"/>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Phosphatidylinositol-3-kinase (Pi3K) inhibitors: </w:t>
            </w:r>
            <w:r w:rsidRPr="00974E47">
              <w:rPr>
                <w:rFonts w:ascii="Arial Narrow" w:eastAsia="Times New Roman" w:hAnsi="Arial Narrow"/>
                <w:kern w:val="0"/>
                <w:sz w:val="20"/>
                <w:szCs w:val="20"/>
                <w:lang w:eastAsia="en-AU"/>
                <w14:ligatures w14:val="none"/>
              </w:rPr>
              <w:t>idelalisib </w:t>
            </w:r>
          </w:p>
        </w:tc>
      </w:tr>
    </w:tbl>
    <w:p w14:paraId="6D91A933" w14:textId="4EC8EF11" w:rsidR="00974E47" w:rsidRPr="000B6844" w:rsidRDefault="00974E47" w:rsidP="000A584D">
      <w:pPr>
        <w:spacing w:after="0" w:line="240" w:lineRule="auto"/>
        <w:textAlignment w:val="baseline"/>
        <w:rPr>
          <w:rFonts w:ascii="Arial Narrow" w:eastAsia="Times New Roman" w:hAnsi="Arial Narrow" w:cs="Calibri"/>
          <w:kern w:val="0"/>
          <w:sz w:val="18"/>
          <w:szCs w:val="18"/>
          <w:lang w:eastAsia="en-AU"/>
          <w14:ligatures w14:val="none"/>
        </w:rPr>
      </w:pPr>
      <w:r w:rsidRPr="000B6844">
        <w:rPr>
          <w:rFonts w:ascii="Arial Narrow" w:eastAsia="Times New Roman" w:hAnsi="Arial Narrow" w:cs="Calibri"/>
          <w:kern w:val="0"/>
          <w:sz w:val="18"/>
          <w:szCs w:val="18"/>
          <w:lang w:eastAsia="en-AU"/>
          <w14:ligatures w14:val="none"/>
        </w:rPr>
        <w:t>*include a Caution in the restriction to comply with any state or territory restrictions</w:t>
      </w:r>
      <w:r w:rsidR="00721820" w:rsidRPr="000B6844">
        <w:rPr>
          <w:rFonts w:ascii="Arial Narrow" w:eastAsia="Times New Roman" w:hAnsi="Arial Narrow" w:cs="Calibri"/>
          <w:kern w:val="0"/>
          <w:sz w:val="18"/>
          <w:szCs w:val="18"/>
          <w:lang w:eastAsia="en-AU"/>
          <w14:ligatures w14:val="none"/>
        </w:rPr>
        <w:t>; CDK</w:t>
      </w:r>
      <w:r w:rsidR="000B6844">
        <w:rPr>
          <w:rFonts w:ascii="Arial Narrow" w:eastAsia="Times New Roman" w:hAnsi="Arial Narrow" w:cs="Calibri"/>
          <w:kern w:val="0"/>
          <w:sz w:val="18"/>
          <w:szCs w:val="18"/>
          <w:lang w:eastAsia="en-AU"/>
          <w14:ligatures w14:val="none"/>
        </w:rPr>
        <w:t>:</w:t>
      </w:r>
      <w:r w:rsidR="00D0611C" w:rsidRPr="000B6844">
        <w:rPr>
          <w:rFonts w:ascii="Arial Narrow" w:eastAsia="Times New Roman" w:hAnsi="Arial Narrow" w:cs="Calibri"/>
          <w:kern w:val="0"/>
          <w:sz w:val="18"/>
          <w:szCs w:val="18"/>
          <w:lang w:eastAsia="en-AU"/>
          <w14:ligatures w14:val="none"/>
        </w:rPr>
        <w:t xml:space="preserve"> Cyclin Dependent Kinase; EGFR</w:t>
      </w:r>
      <w:r w:rsidR="000B6844">
        <w:rPr>
          <w:rFonts w:ascii="Arial Narrow" w:eastAsia="Times New Roman" w:hAnsi="Arial Narrow" w:cs="Calibri"/>
          <w:kern w:val="0"/>
          <w:sz w:val="18"/>
          <w:szCs w:val="18"/>
          <w:lang w:eastAsia="en-AU"/>
          <w14:ligatures w14:val="none"/>
        </w:rPr>
        <w:t xml:space="preserve">: </w:t>
      </w:r>
      <w:r w:rsidR="00D0611C" w:rsidRPr="000B6844">
        <w:rPr>
          <w:rFonts w:ascii="Arial Narrow" w:eastAsia="Times New Roman" w:hAnsi="Arial Narrow" w:cs="Calibri"/>
          <w:kern w:val="0"/>
          <w:sz w:val="18"/>
          <w:szCs w:val="18"/>
          <w:lang w:eastAsia="en-AU"/>
          <w14:ligatures w14:val="none"/>
        </w:rPr>
        <w:t xml:space="preserve"> Epidermal Growth Factor Receptor; PARP</w:t>
      </w:r>
      <w:r w:rsidR="000B6844">
        <w:rPr>
          <w:rFonts w:ascii="Arial Narrow" w:eastAsia="Times New Roman" w:hAnsi="Arial Narrow" w:cs="Calibri"/>
          <w:kern w:val="0"/>
          <w:sz w:val="18"/>
          <w:szCs w:val="18"/>
          <w:lang w:eastAsia="en-AU"/>
          <w14:ligatures w14:val="none"/>
        </w:rPr>
        <w:t>:</w:t>
      </w:r>
      <w:r w:rsidR="00D0611C" w:rsidRPr="000B6844">
        <w:rPr>
          <w:rFonts w:ascii="Arial Narrow" w:eastAsia="Times New Roman" w:hAnsi="Arial Narrow" w:cs="Calibri"/>
          <w:kern w:val="0"/>
          <w:sz w:val="18"/>
          <w:szCs w:val="18"/>
          <w:lang w:eastAsia="en-AU"/>
          <w14:ligatures w14:val="none"/>
        </w:rPr>
        <w:t xml:space="preserve"> Poly ADP-Ribose Polymerase; ALK</w:t>
      </w:r>
      <w:r w:rsidR="000B6844">
        <w:rPr>
          <w:rFonts w:ascii="Arial Narrow" w:eastAsia="Times New Roman" w:hAnsi="Arial Narrow" w:cs="Calibri"/>
          <w:kern w:val="0"/>
          <w:sz w:val="18"/>
          <w:szCs w:val="18"/>
          <w:lang w:eastAsia="en-AU"/>
          <w14:ligatures w14:val="none"/>
        </w:rPr>
        <w:t>:</w:t>
      </w:r>
      <w:r w:rsidR="00D0611C" w:rsidRPr="000B6844">
        <w:rPr>
          <w:rFonts w:ascii="Arial Narrow" w:eastAsia="Times New Roman" w:hAnsi="Arial Narrow" w:cs="Calibri"/>
          <w:kern w:val="0"/>
          <w:sz w:val="18"/>
          <w:szCs w:val="18"/>
          <w:lang w:eastAsia="en-AU"/>
          <w14:ligatures w14:val="none"/>
        </w:rPr>
        <w:t xml:space="preserve"> Anaplastic Lymphoma Kinase; BRAF</w:t>
      </w:r>
      <w:r w:rsidR="000B6844">
        <w:rPr>
          <w:rFonts w:ascii="Arial Narrow" w:eastAsia="Times New Roman" w:hAnsi="Arial Narrow" w:cs="Calibri"/>
          <w:kern w:val="0"/>
          <w:sz w:val="18"/>
          <w:szCs w:val="18"/>
          <w:lang w:eastAsia="en-AU"/>
          <w14:ligatures w14:val="none"/>
        </w:rPr>
        <w:t xml:space="preserve">: </w:t>
      </w:r>
      <w:r w:rsidR="00D0611C" w:rsidRPr="000B6844">
        <w:rPr>
          <w:rFonts w:ascii="Arial Narrow" w:eastAsia="Times New Roman" w:hAnsi="Arial Narrow" w:cs="Calibri"/>
          <w:kern w:val="0"/>
          <w:sz w:val="18"/>
          <w:szCs w:val="18"/>
          <w:lang w:eastAsia="en-AU"/>
          <w14:ligatures w14:val="none"/>
        </w:rPr>
        <w:t xml:space="preserve"> B-Raf proto-oncogene; MEK</w:t>
      </w:r>
      <w:r w:rsidR="000B6844">
        <w:rPr>
          <w:rFonts w:ascii="Arial Narrow" w:eastAsia="Times New Roman" w:hAnsi="Arial Narrow" w:cs="Calibri"/>
          <w:kern w:val="0"/>
          <w:sz w:val="18"/>
          <w:szCs w:val="18"/>
          <w:lang w:eastAsia="en-AU"/>
          <w14:ligatures w14:val="none"/>
        </w:rPr>
        <w:t>:</w:t>
      </w:r>
      <w:r w:rsidR="00D0611C" w:rsidRPr="000B6844">
        <w:rPr>
          <w:rFonts w:ascii="Arial Narrow" w:eastAsia="Times New Roman" w:hAnsi="Arial Narrow" w:cs="Calibri"/>
          <w:kern w:val="0"/>
          <w:sz w:val="18"/>
          <w:szCs w:val="18"/>
          <w:lang w:eastAsia="en-AU"/>
          <w14:ligatures w14:val="none"/>
        </w:rPr>
        <w:t xml:space="preserve"> Mitogen-activated Extracellular signal-regulated Kinase </w:t>
      </w:r>
    </w:p>
    <w:p w14:paraId="7C09B5C1" w14:textId="77777777" w:rsidR="00FE7210" w:rsidRDefault="00FE7210" w:rsidP="000A584D">
      <w:pPr>
        <w:spacing w:after="0" w:line="240" w:lineRule="auto"/>
        <w:textAlignment w:val="baseline"/>
        <w:rPr>
          <w:rFonts w:ascii="Arial Narrow" w:eastAsia="Times New Roman" w:hAnsi="Arial Narrow" w:cs="Calibri"/>
          <w:kern w:val="0"/>
          <w:sz w:val="20"/>
          <w:szCs w:val="20"/>
          <w:lang w:eastAsia="en-AU"/>
          <w14:ligatures w14:val="none"/>
        </w:rPr>
      </w:pPr>
    </w:p>
    <w:p w14:paraId="24742547" w14:textId="242CD6A4" w:rsidR="00FE7210" w:rsidRPr="00FE7210" w:rsidRDefault="00FE7210" w:rsidP="00FE7210">
      <w:pPr>
        <w:spacing w:after="0" w:line="240" w:lineRule="auto"/>
        <w:textAlignment w:val="baseline"/>
        <w:rPr>
          <w:rFonts w:ascii="Arial Narrow" w:eastAsia="Times New Roman" w:hAnsi="Arial Narrow" w:cs="Calibri"/>
          <w:b/>
          <w:bCs/>
          <w:kern w:val="0"/>
          <w:sz w:val="20"/>
          <w:szCs w:val="20"/>
          <w:lang w:eastAsia="en-AU"/>
          <w14:ligatures w14:val="none"/>
        </w:rPr>
      </w:pPr>
      <w:r w:rsidRPr="00FE7210">
        <w:rPr>
          <w:rFonts w:ascii="Arial Narrow" w:eastAsia="Times New Roman" w:hAnsi="Arial Narrow" w:cs="Calibri"/>
          <w:b/>
          <w:bCs/>
          <w:kern w:val="0"/>
          <w:sz w:val="20"/>
          <w:szCs w:val="20"/>
          <w:lang w:eastAsia="en-AU"/>
          <w14:ligatures w14:val="none"/>
        </w:rPr>
        <w:t xml:space="preserve">Table </w:t>
      </w:r>
      <w:r>
        <w:rPr>
          <w:rFonts w:ascii="Arial Narrow" w:eastAsia="Times New Roman" w:hAnsi="Arial Narrow" w:cs="Calibri"/>
          <w:b/>
          <w:bCs/>
          <w:kern w:val="0"/>
          <w:sz w:val="20"/>
          <w:szCs w:val="20"/>
          <w:lang w:eastAsia="en-AU"/>
          <w14:ligatures w14:val="none"/>
        </w:rPr>
        <w:t>2</w:t>
      </w:r>
      <w:r w:rsidRPr="00FE7210">
        <w:rPr>
          <w:rFonts w:ascii="Arial Narrow" w:eastAsia="Times New Roman" w:hAnsi="Arial Narrow" w:cs="Calibri"/>
          <w:b/>
          <w:bCs/>
          <w:kern w:val="0"/>
          <w:sz w:val="20"/>
          <w:szCs w:val="20"/>
          <w:lang w:eastAsia="en-AU"/>
          <w14:ligatures w14:val="none"/>
        </w:rPr>
        <w:t xml:space="preserve"> – </w:t>
      </w:r>
      <w:r w:rsidR="00F27495">
        <w:rPr>
          <w:rFonts w:ascii="Arial Narrow" w:eastAsia="Times New Roman" w:hAnsi="Arial Narrow" w:cs="Calibri"/>
          <w:b/>
          <w:bCs/>
          <w:kern w:val="0"/>
          <w:sz w:val="20"/>
          <w:szCs w:val="20"/>
          <w:lang w:eastAsia="en-AU"/>
          <w14:ligatures w14:val="none"/>
        </w:rPr>
        <w:t xml:space="preserve">PBS </w:t>
      </w:r>
      <w:r w:rsidR="002E046E">
        <w:rPr>
          <w:rFonts w:ascii="Arial Narrow" w:eastAsia="Times New Roman" w:hAnsi="Arial Narrow" w:cs="Calibri"/>
          <w:b/>
          <w:bCs/>
          <w:kern w:val="0"/>
          <w:sz w:val="20"/>
          <w:szCs w:val="20"/>
          <w:lang w:eastAsia="en-AU"/>
          <w14:ligatures w14:val="none"/>
        </w:rPr>
        <w:t xml:space="preserve">General Schedule </w:t>
      </w:r>
      <w:r w:rsidRPr="00974E47">
        <w:rPr>
          <w:rFonts w:ascii="Arial Narrow" w:eastAsia="Times New Roman" w:hAnsi="Arial Narrow" w:cs="Calibri"/>
          <w:b/>
          <w:bCs/>
          <w:kern w:val="0"/>
          <w:sz w:val="20"/>
          <w:szCs w:val="20"/>
          <w:lang w:eastAsia="en-AU"/>
          <w14:ligatures w14:val="none"/>
        </w:rPr>
        <w:t xml:space="preserve">oncology or haematology medicines </w:t>
      </w:r>
      <w:r w:rsidRPr="00FE7210">
        <w:rPr>
          <w:rFonts w:ascii="Arial Narrow" w:eastAsia="Times New Roman" w:hAnsi="Arial Narrow" w:cs="Calibri"/>
          <w:b/>
          <w:bCs/>
          <w:kern w:val="0"/>
          <w:sz w:val="20"/>
          <w:szCs w:val="20"/>
          <w:lang w:eastAsia="en-AU"/>
          <w14:ligatures w14:val="none"/>
        </w:rPr>
        <w:t>which the PBAC did not support the addition of nurse practitioners as eligible prescribers</w:t>
      </w:r>
    </w:p>
    <w:tbl>
      <w:tblPr>
        <w:tblW w:w="9072" w:type="dxa"/>
        <w:tblInd w:w="-5" w:type="dxa"/>
        <w:tblLook w:val="04A0" w:firstRow="1" w:lastRow="0" w:firstColumn="1" w:lastColumn="0" w:noHBand="0" w:noVBand="1"/>
      </w:tblPr>
      <w:tblGrid>
        <w:gridCol w:w="308"/>
        <w:gridCol w:w="2405"/>
        <w:gridCol w:w="6359"/>
      </w:tblGrid>
      <w:tr w:rsidR="00FE7210" w:rsidRPr="00FE7210" w14:paraId="6F3F5EED" w14:textId="77777777" w:rsidTr="000B6844">
        <w:trPr>
          <w:trHeight w:val="251"/>
          <w:tblHeader/>
        </w:trPr>
        <w:tc>
          <w:tcPr>
            <w:tcW w:w="2713" w:type="dxa"/>
            <w:gridSpan w:val="2"/>
            <w:tcBorders>
              <w:top w:val="single" w:sz="4" w:space="0" w:color="auto"/>
              <w:left w:val="single" w:sz="4" w:space="0" w:color="auto"/>
              <w:bottom w:val="single" w:sz="4" w:space="0" w:color="auto"/>
              <w:right w:val="single" w:sz="4" w:space="0" w:color="auto"/>
            </w:tcBorders>
            <w:hideMark/>
          </w:tcPr>
          <w:p w14:paraId="16C6D143" w14:textId="7EF42105" w:rsidR="00FE7210" w:rsidRPr="00311F5B" w:rsidRDefault="00FE7210" w:rsidP="00FE7210">
            <w:pPr>
              <w:spacing w:after="0" w:line="240" w:lineRule="auto"/>
              <w:textAlignment w:val="baseline"/>
              <w:rPr>
                <w:rFonts w:ascii="Arial Narrow" w:eastAsia="Times New Roman" w:hAnsi="Arial Narrow" w:cs="Calibri"/>
                <w:b/>
                <w:bCs/>
                <w:i/>
                <w:iCs/>
                <w:kern w:val="0"/>
                <w:sz w:val="20"/>
                <w:szCs w:val="20"/>
                <w:lang w:eastAsia="en-AU"/>
                <w14:ligatures w14:val="none"/>
              </w:rPr>
            </w:pPr>
            <w:r w:rsidRPr="00FE7210">
              <w:rPr>
                <w:rFonts w:ascii="Arial Narrow" w:eastAsia="Times New Roman" w:hAnsi="Arial Narrow" w:cs="Calibri"/>
                <w:b/>
                <w:bCs/>
                <w:i/>
                <w:iCs/>
                <w:kern w:val="0"/>
                <w:sz w:val="20"/>
                <w:szCs w:val="20"/>
                <w:lang w:eastAsia="en-AU"/>
                <w14:ligatures w14:val="none"/>
              </w:rPr>
              <w:t>D</w:t>
            </w:r>
            <w:r w:rsidRPr="00311F5B">
              <w:rPr>
                <w:rFonts w:ascii="Arial Narrow" w:eastAsia="Times New Roman" w:hAnsi="Arial Narrow" w:cs="Calibri"/>
                <w:b/>
                <w:bCs/>
                <w:i/>
                <w:iCs/>
                <w:kern w:val="0"/>
                <w:sz w:val="20"/>
                <w:szCs w:val="20"/>
                <w:lang w:eastAsia="en-AU"/>
                <w14:ligatures w14:val="none"/>
              </w:rPr>
              <w:t xml:space="preserve">rug </w:t>
            </w:r>
          </w:p>
        </w:tc>
        <w:tc>
          <w:tcPr>
            <w:tcW w:w="6359" w:type="dxa"/>
            <w:tcBorders>
              <w:top w:val="single" w:sz="4" w:space="0" w:color="auto"/>
              <w:left w:val="single" w:sz="4" w:space="0" w:color="auto"/>
              <w:bottom w:val="single" w:sz="4" w:space="0" w:color="auto"/>
              <w:right w:val="single" w:sz="4" w:space="0" w:color="auto"/>
            </w:tcBorders>
            <w:hideMark/>
          </w:tcPr>
          <w:p w14:paraId="6456C138" w14:textId="77777777" w:rsidR="00FE7210" w:rsidRPr="00FE7210" w:rsidRDefault="00FE7210" w:rsidP="00FE7210">
            <w:pPr>
              <w:spacing w:after="0" w:line="240" w:lineRule="auto"/>
              <w:textAlignment w:val="baseline"/>
              <w:rPr>
                <w:rFonts w:ascii="Arial Narrow" w:eastAsia="Times New Roman" w:hAnsi="Arial Narrow" w:cs="Calibri"/>
                <w:b/>
                <w:bCs/>
                <w:kern w:val="0"/>
                <w:sz w:val="20"/>
                <w:szCs w:val="20"/>
                <w:lang w:eastAsia="en-AU"/>
                <w14:ligatures w14:val="none"/>
              </w:rPr>
            </w:pPr>
            <w:r w:rsidRPr="00FE7210">
              <w:rPr>
                <w:rFonts w:ascii="Arial Narrow" w:eastAsia="Times New Roman" w:hAnsi="Arial Narrow" w:cs="Calibri"/>
                <w:b/>
                <w:bCs/>
                <w:kern w:val="0"/>
                <w:sz w:val="20"/>
                <w:szCs w:val="20"/>
                <w:lang w:eastAsia="en-AU"/>
                <w14:ligatures w14:val="none"/>
              </w:rPr>
              <w:t xml:space="preserve">Rationale </w:t>
            </w:r>
          </w:p>
        </w:tc>
      </w:tr>
      <w:tr w:rsidR="00FE7210" w:rsidRPr="00FE7210" w14:paraId="3F2363C8" w14:textId="77777777" w:rsidTr="000B6844">
        <w:trPr>
          <w:trHeight w:val="297"/>
        </w:trPr>
        <w:tc>
          <w:tcPr>
            <w:tcW w:w="308" w:type="dxa"/>
            <w:tcBorders>
              <w:top w:val="single" w:sz="4" w:space="0" w:color="auto"/>
              <w:left w:val="single" w:sz="4" w:space="0" w:color="auto"/>
              <w:bottom w:val="single" w:sz="4" w:space="0" w:color="auto"/>
              <w:right w:val="single" w:sz="4" w:space="0" w:color="auto"/>
            </w:tcBorders>
            <w:hideMark/>
          </w:tcPr>
          <w:p w14:paraId="6D29A547" w14:textId="77777777" w:rsidR="00FE7210" w:rsidRPr="00FE7210" w:rsidRDefault="00FE7210" w:rsidP="00991110">
            <w:pPr>
              <w:spacing w:after="120" w:line="240" w:lineRule="auto"/>
              <w:ind w:left="720" w:hanging="720"/>
              <w:textAlignment w:val="baseline"/>
              <w:rPr>
                <w:rFonts w:ascii="Arial Narrow" w:eastAsia="Times New Roman" w:hAnsi="Arial Narrow" w:cs="Calibri"/>
                <w:kern w:val="0"/>
                <w:sz w:val="20"/>
                <w:szCs w:val="20"/>
                <w:lang w:eastAsia="en-AU"/>
                <w14:ligatures w14:val="none"/>
              </w:rPr>
            </w:pPr>
            <w:r w:rsidRPr="00FE7210">
              <w:rPr>
                <w:rFonts w:ascii="Arial Narrow" w:eastAsia="Times New Roman" w:hAnsi="Arial Narrow" w:cs="Calibri"/>
                <w:kern w:val="0"/>
                <w:sz w:val="20"/>
                <w:szCs w:val="20"/>
                <w:lang w:eastAsia="en-AU"/>
                <w14:ligatures w14:val="none"/>
              </w:rPr>
              <w:t>1</w:t>
            </w:r>
          </w:p>
        </w:tc>
        <w:tc>
          <w:tcPr>
            <w:tcW w:w="2405" w:type="dxa"/>
            <w:tcBorders>
              <w:top w:val="single" w:sz="4" w:space="0" w:color="auto"/>
              <w:left w:val="single" w:sz="4" w:space="0" w:color="auto"/>
              <w:bottom w:val="single" w:sz="4" w:space="0" w:color="auto"/>
              <w:right w:val="single" w:sz="4" w:space="0" w:color="auto"/>
            </w:tcBorders>
            <w:hideMark/>
          </w:tcPr>
          <w:p w14:paraId="5D2E3E9A" w14:textId="21402042" w:rsidR="00FE7210" w:rsidRPr="00311F5B" w:rsidRDefault="00FE7210" w:rsidP="00991110">
            <w:pPr>
              <w:spacing w:after="120" w:line="240" w:lineRule="auto"/>
              <w:ind w:left="720" w:hanging="720"/>
              <w:textAlignment w:val="baseline"/>
              <w:rPr>
                <w:rFonts w:ascii="Arial Narrow" w:eastAsia="Times New Roman" w:hAnsi="Arial Narrow" w:cs="Calibri"/>
                <w:b/>
                <w:bCs/>
                <w:kern w:val="0"/>
                <w:sz w:val="20"/>
                <w:szCs w:val="20"/>
                <w:lang w:eastAsia="en-AU"/>
                <w14:ligatures w14:val="none"/>
              </w:rPr>
            </w:pPr>
            <w:r w:rsidRPr="00FE7210">
              <w:rPr>
                <w:rFonts w:ascii="Arial Narrow" w:eastAsia="Times New Roman" w:hAnsi="Arial Narrow" w:cs="Calibri"/>
                <w:b/>
                <w:bCs/>
                <w:i/>
                <w:iCs/>
                <w:kern w:val="0"/>
                <w:sz w:val="20"/>
                <w:szCs w:val="20"/>
                <w:lang w:eastAsia="en-AU"/>
                <w14:ligatures w14:val="none"/>
              </w:rPr>
              <w:t xml:space="preserve">mycobacterium bovis BCG </w:t>
            </w:r>
          </w:p>
        </w:tc>
        <w:tc>
          <w:tcPr>
            <w:tcW w:w="6359" w:type="dxa"/>
            <w:tcBorders>
              <w:top w:val="single" w:sz="4" w:space="0" w:color="auto"/>
              <w:left w:val="single" w:sz="4" w:space="0" w:color="auto"/>
              <w:bottom w:val="single" w:sz="4" w:space="0" w:color="auto"/>
              <w:right w:val="single" w:sz="4" w:space="0" w:color="auto"/>
            </w:tcBorders>
            <w:hideMark/>
          </w:tcPr>
          <w:p w14:paraId="1C63E3B5" w14:textId="5B85CB6B" w:rsidR="00FE7210" w:rsidRPr="00FE7210" w:rsidRDefault="00FE7210" w:rsidP="00991110">
            <w:pPr>
              <w:spacing w:after="120" w:line="240" w:lineRule="auto"/>
              <w:ind w:left="16" w:hanging="16"/>
              <w:textAlignment w:val="baseline"/>
              <w:rPr>
                <w:rFonts w:ascii="Arial Narrow" w:eastAsia="Times New Roman" w:hAnsi="Arial Narrow" w:cs="Calibri"/>
                <w:kern w:val="0"/>
                <w:sz w:val="20"/>
                <w:szCs w:val="20"/>
                <w:lang w:eastAsia="en-AU"/>
                <w14:ligatures w14:val="none"/>
              </w:rPr>
            </w:pPr>
            <w:r w:rsidRPr="00FE7210">
              <w:rPr>
                <w:rFonts w:ascii="Arial Narrow" w:eastAsia="Times New Roman" w:hAnsi="Arial Narrow" w:cs="Calibri"/>
                <w:kern w:val="0"/>
                <w:sz w:val="20"/>
                <w:szCs w:val="20"/>
                <w:lang w:eastAsia="en-AU"/>
                <w14:ligatures w14:val="none"/>
              </w:rPr>
              <w:t>Principl</w:t>
            </w:r>
            <w:r>
              <w:rPr>
                <w:rFonts w:ascii="Arial Narrow" w:eastAsia="Times New Roman" w:hAnsi="Arial Narrow" w:cs="Calibri"/>
                <w:kern w:val="0"/>
                <w:sz w:val="20"/>
                <w:szCs w:val="20"/>
                <w:lang w:eastAsia="en-AU"/>
                <w14:ligatures w14:val="none"/>
              </w:rPr>
              <w:t>e 3</w:t>
            </w:r>
            <w:r w:rsidRPr="00FE7210">
              <w:rPr>
                <w:rFonts w:ascii="Arial Narrow" w:eastAsia="Times New Roman" w:hAnsi="Arial Narrow" w:cs="Calibri"/>
                <w:kern w:val="0"/>
                <w:sz w:val="20"/>
                <w:szCs w:val="20"/>
                <w:lang w:eastAsia="en-AU"/>
                <w14:ligatures w14:val="none"/>
              </w:rPr>
              <w:t xml:space="preserve"> (</w:t>
            </w:r>
            <w:r>
              <w:rPr>
                <w:rFonts w:ascii="Arial Narrow" w:eastAsia="Times New Roman" w:hAnsi="Arial Narrow" w:cs="Calibri"/>
                <w:kern w:val="0"/>
                <w:sz w:val="20"/>
                <w:szCs w:val="20"/>
                <w:lang w:eastAsia="en-AU"/>
                <w14:ligatures w14:val="none"/>
              </w:rPr>
              <w:t>m</w:t>
            </w:r>
            <w:r w:rsidRPr="00FE7210">
              <w:rPr>
                <w:rFonts w:ascii="Arial Narrow" w:eastAsia="Times New Roman" w:hAnsi="Arial Narrow" w:cs="Calibri"/>
                <w:kern w:val="0"/>
                <w:sz w:val="20"/>
                <w:szCs w:val="20"/>
                <w:lang w:eastAsia="en-AU"/>
                <w14:ligatures w14:val="none"/>
              </w:rPr>
              <w:t>edicine specific considerations</w:t>
            </w:r>
            <w:r>
              <w:rPr>
                <w:rFonts w:ascii="Arial Narrow" w:eastAsia="Times New Roman" w:hAnsi="Arial Narrow" w:cs="Calibri"/>
                <w:kern w:val="0"/>
                <w:sz w:val="20"/>
                <w:szCs w:val="20"/>
                <w:lang w:eastAsia="en-AU"/>
                <w14:ligatures w14:val="none"/>
              </w:rPr>
              <w:t>): Potential for difficult/incorrect administration resulting in serious complications</w:t>
            </w:r>
          </w:p>
        </w:tc>
      </w:tr>
      <w:tr w:rsidR="00FE7210" w:rsidRPr="00FE7210" w14:paraId="39004D21" w14:textId="77777777" w:rsidTr="000B6844">
        <w:trPr>
          <w:trHeight w:val="259"/>
        </w:trPr>
        <w:tc>
          <w:tcPr>
            <w:tcW w:w="308" w:type="dxa"/>
            <w:tcBorders>
              <w:top w:val="single" w:sz="4" w:space="0" w:color="auto"/>
              <w:left w:val="single" w:sz="4" w:space="0" w:color="auto"/>
              <w:bottom w:val="single" w:sz="4" w:space="0" w:color="auto"/>
              <w:right w:val="single" w:sz="4" w:space="0" w:color="auto"/>
            </w:tcBorders>
            <w:hideMark/>
          </w:tcPr>
          <w:p w14:paraId="4BB7BF01" w14:textId="77777777" w:rsidR="00FE7210" w:rsidRPr="00FE7210" w:rsidRDefault="00FE7210" w:rsidP="00991110">
            <w:pPr>
              <w:spacing w:after="120" w:line="240" w:lineRule="auto"/>
              <w:ind w:left="720" w:hanging="720"/>
              <w:textAlignment w:val="baseline"/>
              <w:rPr>
                <w:rFonts w:ascii="Arial Narrow" w:eastAsia="Times New Roman" w:hAnsi="Arial Narrow" w:cs="Calibri"/>
                <w:kern w:val="0"/>
                <w:sz w:val="20"/>
                <w:szCs w:val="20"/>
                <w:lang w:eastAsia="en-AU"/>
                <w14:ligatures w14:val="none"/>
              </w:rPr>
            </w:pPr>
            <w:r w:rsidRPr="00FE7210">
              <w:rPr>
                <w:rFonts w:ascii="Arial Narrow" w:eastAsia="Times New Roman" w:hAnsi="Arial Narrow" w:cs="Calibri"/>
                <w:kern w:val="0"/>
                <w:sz w:val="20"/>
                <w:szCs w:val="20"/>
                <w:lang w:eastAsia="en-AU"/>
                <w14:ligatures w14:val="none"/>
              </w:rPr>
              <w:t>2</w:t>
            </w:r>
          </w:p>
        </w:tc>
        <w:tc>
          <w:tcPr>
            <w:tcW w:w="2405" w:type="dxa"/>
            <w:tcBorders>
              <w:top w:val="single" w:sz="4" w:space="0" w:color="auto"/>
              <w:left w:val="single" w:sz="4" w:space="0" w:color="auto"/>
              <w:bottom w:val="single" w:sz="4" w:space="0" w:color="auto"/>
              <w:right w:val="single" w:sz="4" w:space="0" w:color="auto"/>
            </w:tcBorders>
            <w:hideMark/>
          </w:tcPr>
          <w:p w14:paraId="09E02CAE" w14:textId="7D8DAD40" w:rsidR="00FE7210" w:rsidRPr="00311F5B" w:rsidRDefault="00FE7210" w:rsidP="00991110">
            <w:pPr>
              <w:spacing w:after="120" w:line="240" w:lineRule="auto"/>
              <w:ind w:left="720" w:hanging="720"/>
              <w:textAlignment w:val="baseline"/>
              <w:rPr>
                <w:rFonts w:ascii="Arial Narrow" w:eastAsia="Times New Roman" w:hAnsi="Arial Narrow" w:cs="Calibri"/>
                <w:b/>
                <w:bCs/>
                <w:i/>
                <w:iCs/>
                <w:kern w:val="0"/>
                <w:sz w:val="20"/>
                <w:szCs w:val="20"/>
                <w:lang w:eastAsia="en-AU"/>
                <w14:ligatures w14:val="none"/>
              </w:rPr>
            </w:pPr>
            <w:r w:rsidRPr="00311F5B">
              <w:rPr>
                <w:rFonts w:ascii="Arial Narrow" w:eastAsia="Times New Roman" w:hAnsi="Arial Narrow"/>
                <w:b/>
                <w:bCs/>
                <w:i/>
                <w:iCs/>
                <w:kern w:val="0"/>
                <w:sz w:val="20"/>
                <w:szCs w:val="20"/>
                <w:lang w:eastAsia="en-AU"/>
                <w14:ligatures w14:val="none"/>
              </w:rPr>
              <w:t>venetoclax </w:t>
            </w:r>
          </w:p>
        </w:tc>
        <w:tc>
          <w:tcPr>
            <w:tcW w:w="6359" w:type="dxa"/>
            <w:tcBorders>
              <w:top w:val="single" w:sz="4" w:space="0" w:color="auto"/>
              <w:left w:val="single" w:sz="4" w:space="0" w:color="auto"/>
              <w:bottom w:val="single" w:sz="4" w:space="0" w:color="auto"/>
              <w:right w:val="single" w:sz="4" w:space="0" w:color="auto"/>
            </w:tcBorders>
            <w:hideMark/>
          </w:tcPr>
          <w:p w14:paraId="39FCF99A" w14:textId="0B1F693C" w:rsidR="00FE7210" w:rsidRPr="00FE7210" w:rsidRDefault="00FE7210" w:rsidP="00991110">
            <w:pPr>
              <w:spacing w:after="120" w:line="240" w:lineRule="auto"/>
              <w:textAlignment w:val="baseline"/>
              <w:rPr>
                <w:rFonts w:ascii="Arial Narrow" w:eastAsia="Times New Roman" w:hAnsi="Arial Narrow" w:cs="Calibri"/>
                <w:kern w:val="0"/>
                <w:sz w:val="20"/>
                <w:szCs w:val="20"/>
                <w:lang w:eastAsia="en-AU"/>
                <w14:ligatures w14:val="none"/>
              </w:rPr>
            </w:pPr>
            <w:r w:rsidRPr="00FE7210">
              <w:rPr>
                <w:rFonts w:ascii="Arial Narrow" w:eastAsia="Times New Roman" w:hAnsi="Arial Narrow" w:cs="Calibri"/>
                <w:kern w:val="0"/>
                <w:sz w:val="20"/>
                <w:szCs w:val="20"/>
                <w:lang w:eastAsia="en-AU"/>
                <w14:ligatures w14:val="none"/>
              </w:rPr>
              <w:t>Principl</w:t>
            </w:r>
            <w:r>
              <w:rPr>
                <w:rFonts w:ascii="Arial Narrow" w:eastAsia="Times New Roman" w:hAnsi="Arial Narrow" w:cs="Calibri"/>
                <w:kern w:val="0"/>
                <w:sz w:val="20"/>
                <w:szCs w:val="20"/>
                <w:lang w:eastAsia="en-AU"/>
                <w14:ligatures w14:val="none"/>
              </w:rPr>
              <w:t>e 3</w:t>
            </w:r>
            <w:r w:rsidRPr="00FE7210">
              <w:rPr>
                <w:rFonts w:ascii="Arial Narrow" w:eastAsia="Times New Roman" w:hAnsi="Arial Narrow" w:cs="Calibri"/>
                <w:kern w:val="0"/>
                <w:sz w:val="20"/>
                <w:szCs w:val="20"/>
                <w:lang w:eastAsia="en-AU"/>
                <w14:ligatures w14:val="none"/>
              </w:rPr>
              <w:t xml:space="preserve"> (</w:t>
            </w:r>
            <w:r>
              <w:rPr>
                <w:rFonts w:ascii="Arial Narrow" w:eastAsia="Times New Roman" w:hAnsi="Arial Narrow" w:cs="Calibri"/>
                <w:kern w:val="0"/>
                <w:sz w:val="20"/>
                <w:szCs w:val="20"/>
                <w:lang w:eastAsia="en-AU"/>
                <w14:ligatures w14:val="none"/>
              </w:rPr>
              <w:t>m</w:t>
            </w:r>
            <w:r w:rsidRPr="00FE7210">
              <w:rPr>
                <w:rFonts w:ascii="Arial Narrow" w:eastAsia="Times New Roman" w:hAnsi="Arial Narrow" w:cs="Calibri"/>
                <w:kern w:val="0"/>
                <w:sz w:val="20"/>
                <w:szCs w:val="20"/>
                <w:lang w:eastAsia="en-AU"/>
                <w14:ligatures w14:val="none"/>
              </w:rPr>
              <w:t>edicine specific considerations</w:t>
            </w:r>
            <w:r>
              <w:rPr>
                <w:rFonts w:ascii="Arial Narrow" w:eastAsia="Times New Roman" w:hAnsi="Arial Narrow" w:cs="Calibri"/>
                <w:kern w:val="0"/>
                <w:sz w:val="20"/>
                <w:szCs w:val="20"/>
                <w:lang w:eastAsia="en-AU"/>
                <w14:ligatures w14:val="none"/>
              </w:rPr>
              <w:t>): Difficult dose titration with high risk of toxicity</w:t>
            </w:r>
          </w:p>
        </w:tc>
      </w:tr>
    </w:tbl>
    <w:p w14:paraId="0270820F" w14:textId="777E949C" w:rsidR="00FE7210" w:rsidRPr="000B6844" w:rsidRDefault="000B6844" w:rsidP="000A584D">
      <w:pPr>
        <w:spacing w:after="0" w:line="240" w:lineRule="auto"/>
        <w:textAlignment w:val="baseline"/>
        <w:rPr>
          <w:rFonts w:ascii="Arial Narrow" w:eastAsia="Times New Roman" w:hAnsi="Arial Narrow" w:cs="Calibri"/>
          <w:kern w:val="0"/>
          <w:sz w:val="18"/>
          <w:szCs w:val="18"/>
          <w:lang w:eastAsia="en-AU"/>
          <w14:ligatures w14:val="none"/>
        </w:rPr>
      </w:pPr>
      <w:r w:rsidRPr="000B6844">
        <w:rPr>
          <w:rFonts w:ascii="Arial Narrow" w:eastAsia="Times New Roman" w:hAnsi="Arial Narrow" w:cs="Calibri"/>
          <w:kern w:val="0"/>
          <w:sz w:val="18"/>
          <w:szCs w:val="18"/>
          <w:lang w:eastAsia="en-AU"/>
          <w14:ligatures w14:val="none"/>
        </w:rPr>
        <w:t>BCG</w:t>
      </w:r>
      <w:r>
        <w:rPr>
          <w:rFonts w:ascii="Arial Narrow" w:eastAsia="Times New Roman" w:hAnsi="Arial Narrow" w:cs="Calibri"/>
          <w:kern w:val="0"/>
          <w:sz w:val="18"/>
          <w:szCs w:val="18"/>
          <w:lang w:eastAsia="en-AU"/>
          <w14:ligatures w14:val="none"/>
        </w:rPr>
        <w:t xml:space="preserve">: </w:t>
      </w:r>
      <w:r w:rsidRPr="000B6844">
        <w:rPr>
          <w:rFonts w:ascii="Arial Narrow" w:eastAsia="Times New Roman" w:hAnsi="Arial Narrow" w:cs="Calibri"/>
          <w:kern w:val="0"/>
          <w:sz w:val="18"/>
          <w:szCs w:val="18"/>
          <w:lang w:eastAsia="en-AU"/>
          <w14:ligatures w14:val="none"/>
        </w:rPr>
        <w:t>Bacillus Calmette-Guérin</w:t>
      </w:r>
    </w:p>
    <w:p w14:paraId="1292BC6C" w14:textId="77777777" w:rsidR="000B6844" w:rsidRPr="000B6844" w:rsidRDefault="000B6844" w:rsidP="000A584D">
      <w:pPr>
        <w:spacing w:after="0" w:line="240" w:lineRule="auto"/>
        <w:textAlignment w:val="baseline"/>
        <w:rPr>
          <w:rFonts w:ascii="Arial Narrow" w:eastAsia="Times New Roman" w:hAnsi="Arial Narrow" w:cs="Calibri"/>
          <w:kern w:val="0"/>
          <w:lang w:eastAsia="en-AU"/>
          <w14:ligatures w14:val="none"/>
        </w:rPr>
      </w:pPr>
    </w:p>
    <w:p w14:paraId="457FC845" w14:textId="3B510B5C" w:rsidR="00413E6D" w:rsidRPr="00413E6D" w:rsidRDefault="00413E6D" w:rsidP="00413E6D">
      <w:pPr>
        <w:spacing w:after="0" w:line="240" w:lineRule="auto"/>
        <w:jc w:val="both"/>
        <w:textAlignment w:val="baseline"/>
        <w:rPr>
          <w:rFonts w:ascii="Calibri" w:eastAsia="Times New Roman" w:hAnsi="Calibri" w:cs="Calibri"/>
          <w:kern w:val="0"/>
          <w:lang w:eastAsia="en-AU"/>
          <w14:ligatures w14:val="none"/>
        </w:rPr>
      </w:pPr>
      <w:r w:rsidRPr="00413E6D">
        <w:rPr>
          <w:rFonts w:ascii="Calibri" w:eastAsia="Times New Roman" w:hAnsi="Calibri" w:cs="Calibri"/>
          <w:kern w:val="0"/>
          <w:lang w:eastAsia="en-AU"/>
          <w14:ligatures w14:val="none"/>
        </w:rPr>
        <w:t xml:space="preserve">For most </w:t>
      </w:r>
      <w:r w:rsidR="00311F5B">
        <w:rPr>
          <w:rFonts w:ascii="Calibri" w:eastAsia="Times New Roman" w:hAnsi="Calibri" w:cs="Calibri"/>
          <w:kern w:val="0"/>
          <w:lang w:eastAsia="en-AU"/>
          <w14:ligatures w14:val="none"/>
        </w:rPr>
        <w:t>S</w:t>
      </w:r>
      <w:r w:rsidRPr="00413E6D">
        <w:rPr>
          <w:rFonts w:ascii="Calibri" w:eastAsia="Times New Roman" w:hAnsi="Calibri" w:cs="Calibri"/>
          <w:kern w:val="0"/>
          <w:lang w:eastAsia="en-AU"/>
          <w14:ligatures w14:val="none"/>
        </w:rPr>
        <w:t xml:space="preserve">100 HSD medicines that were cited by stakeholders, the PBAC supported nurse practitioners </w:t>
      </w:r>
      <w:r w:rsidR="00A354BE" w:rsidRPr="00991110">
        <w:rPr>
          <w:rFonts w:ascii="Calibri" w:eastAsia="Times New Roman" w:hAnsi="Calibri" w:cs="Calibri"/>
          <w:kern w:val="0"/>
          <w:lang w:eastAsia="en-AU"/>
          <w14:ligatures w14:val="none"/>
        </w:rPr>
        <w:t>prescribing</w:t>
      </w:r>
      <w:r w:rsidR="00A354BE">
        <w:rPr>
          <w:rFonts w:ascii="Calibri" w:eastAsia="Times New Roman" w:hAnsi="Calibri" w:cs="Calibri"/>
          <w:kern w:val="0"/>
          <w:lang w:eastAsia="en-AU"/>
          <w14:ligatures w14:val="none"/>
        </w:rPr>
        <w:t xml:space="preserve"> </w:t>
      </w:r>
      <w:r w:rsidRPr="00413E6D">
        <w:rPr>
          <w:rFonts w:ascii="Calibri" w:eastAsia="Times New Roman" w:hAnsi="Calibri" w:cs="Calibri"/>
          <w:kern w:val="0"/>
          <w:lang w:eastAsia="en-AU"/>
          <w14:ligatures w14:val="none"/>
        </w:rPr>
        <w:t xml:space="preserve">continuing treatment where there is agreement from the treating specialist medical practitioner. The PBAC acknowledged that in practice, it is likely that nurse practitioners would already be sharing patient care with medical practitioners, in the context of public hospital outpatient clinics or private hospitals. The PBAC considered it would be appropriate to require nurse practitioners to have agreement from the medical specialist to prescribe continuing treatment with </w:t>
      </w:r>
      <w:r w:rsidR="00311F5B">
        <w:rPr>
          <w:rFonts w:ascii="Calibri" w:eastAsia="Times New Roman" w:hAnsi="Calibri" w:cs="Calibri"/>
          <w:kern w:val="0"/>
          <w:lang w:eastAsia="en-AU"/>
          <w14:ligatures w14:val="none"/>
        </w:rPr>
        <w:t>S</w:t>
      </w:r>
      <w:r w:rsidRPr="00413E6D">
        <w:rPr>
          <w:rFonts w:ascii="Calibri" w:eastAsia="Times New Roman" w:hAnsi="Calibri" w:cs="Calibri"/>
          <w:kern w:val="0"/>
          <w:lang w:eastAsia="en-AU"/>
          <w14:ligatures w14:val="none"/>
        </w:rPr>
        <w:t>100 HSD</w:t>
      </w:r>
      <w:r w:rsidR="00311F5B">
        <w:rPr>
          <w:rFonts w:ascii="Calibri" w:eastAsia="Times New Roman" w:hAnsi="Calibri" w:cs="Calibri"/>
          <w:kern w:val="0"/>
          <w:lang w:eastAsia="en-AU"/>
          <w14:ligatures w14:val="none"/>
        </w:rPr>
        <w:t xml:space="preserve"> medicines</w:t>
      </w:r>
      <w:r w:rsidRPr="00413E6D">
        <w:rPr>
          <w:rFonts w:ascii="Calibri" w:eastAsia="Times New Roman" w:hAnsi="Calibri" w:cs="Calibri"/>
          <w:kern w:val="0"/>
          <w:lang w:eastAsia="en-AU"/>
          <w14:ligatures w14:val="none"/>
        </w:rPr>
        <w:t xml:space="preserve"> for consistency with existing requirements on non-specialist medical practitioners. In addition, </w:t>
      </w:r>
      <w:bookmarkStart w:id="0" w:name="_Hlk204012431"/>
      <w:r w:rsidRPr="00413E6D">
        <w:rPr>
          <w:rFonts w:ascii="Calibri" w:eastAsia="Times New Roman" w:hAnsi="Calibri" w:cs="Calibri"/>
          <w:kern w:val="0"/>
          <w:lang w:eastAsia="en-AU"/>
          <w14:ligatures w14:val="none"/>
        </w:rPr>
        <w:t xml:space="preserve">the PBAC was supportive of nurse practitioners prescribing iron chelating medicines in the context of </w:t>
      </w:r>
      <w:r w:rsidRPr="00991110">
        <w:rPr>
          <w:rFonts w:ascii="Calibri" w:eastAsia="Times New Roman" w:hAnsi="Calibri" w:cs="Calibri"/>
          <w:kern w:val="0"/>
          <w:lang w:eastAsia="en-AU"/>
          <w14:ligatures w14:val="none"/>
        </w:rPr>
        <w:t>initial</w:t>
      </w:r>
      <w:r w:rsidR="00991110" w:rsidRPr="00991110">
        <w:rPr>
          <w:rFonts w:ascii="Calibri" w:eastAsia="Times New Roman" w:hAnsi="Calibri" w:cs="Calibri"/>
          <w:kern w:val="0"/>
          <w:lang w:eastAsia="en-AU"/>
          <w14:ligatures w14:val="none"/>
        </w:rPr>
        <w:t xml:space="preserve"> </w:t>
      </w:r>
      <w:r w:rsidRPr="00991110">
        <w:rPr>
          <w:rFonts w:ascii="Calibri" w:eastAsia="Times New Roman" w:hAnsi="Calibri" w:cs="Calibri"/>
          <w:kern w:val="0"/>
          <w:lang w:eastAsia="en-AU"/>
          <w14:ligatures w14:val="none"/>
        </w:rPr>
        <w:t>or continuing</w:t>
      </w:r>
      <w:r w:rsidRPr="00413E6D">
        <w:rPr>
          <w:rFonts w:ascii="Calibri" w:eastAsia="Times New Roman" w:hAnsi="Calibri" w:cs="Calibri"/>
          <w:kern w:val="0"/>
          <w:lang w:eastAsia="en-AU"/>
          <w14:ligatures w14:val="none"/>
        </w:rPr>
        <w:t xml:space="preserve"> treatment where the patient’s care is shared with a medical practitioner</w:t>
      </w:r>
      <w:bookmarkEnd w:id="0"/>
      <w:r w:rsidRPr="00413E6D">
        <w:rPr>
          <w:rFonts w:ascii="Calibri" w:eastAsia="Times New Roman" w:hAnsi="Calibri" w:cs="Calibri"/>
          <w:kern w:val="0"/>
          <w:lang w:eastAsia="en-AU"/>
          <w14:ligatures w14:val="none"/>
        </w:rPr>
        <w:t xml:space="preserve">: </w:t>
      </w:r>
    </w:p>
    <w:p w14:paraId="5232C74C" w14:textId="77777777" w:rsidR="00413E6D" w:rsidRPr="00413E6D" w:rsidRDefault="00413E6D" w:rsidP="00311F5B">
      <w:pPr>
        <w:numPr>
          <w:ilvl w:val="0"/>
          <w:numId w:val="26"/>
        </w:numPr>
        <w:spacing w:after="0" w:line="240" w:lineRule="auto"/>
        <w:ind w:left="567"/>
        <w:jc w:val="both"/>
        <w:textAlignment w:val="baseline"/>
        <w:rPr>
          <w:rFonts w:ascii="Calibri" w:eastAsia="Times New Roman" w:hAnsi="Calibri" w:cs="Calibri"/>
          <w:kern w:val="0"/>
          <w:lang w:eastAsia="en-AU"/>
          <w14:ligatures w14:val="none"/>
        </w:rPr>
      </w:pPr>
      <w:r w:rsidRPr="00413E6D">
        <w:rPr>
          <w:rFonts w:ascii="Calibri" w:eastAsia="Times New Roman" w:hAnsi="Calibri" w:cs="Calibri"/>
          <w:kern w:val="0"/>
          <w:lang w:eastAsia="en-AU"/>
          <w14:ligatures w14:val="none"/>
        </w:rPr>
        <w:t xml:space="preserve">deferasirox tablets, </w:t>
      </w:r>
    </w:p>
    <w:p w14:paraId="01148C59" w14:textId="77777777" w:rsidR="00413E6D" w:rsidRPr="00413E6D" w:rsidRDefault="00413E6D" w:rsidP="00311F5B">
      <w:pPr>
        <w:numPr>
          <w:ilvl w:val="0"/>
          <w:numId w:val="26"/>
        </w:numPr>
        <w:spacing w:after="0" w:line="240" w:lineRule="auto"/>
        <w:ind w:left="567"/>
        <w:jc w:val="both"/>
        <w:textAlignment w:val="baseline"/>
        <w:rPr>
          <w:rFonts w:ascii="Calibri" w:eastAsia="Times New Roman" w:hAnsi="Calibri" w:cs="Calibri"/>
          <w:kern w:val="0"/>
          <w:lang w:eastAsia="en-AU"/>
          <w14:ligatures w14:val="none"/>
        </w:rPr>
      </w:pPr>
      <w:r w:rsidRPr="00413E6D">
        <w:rPr>
          <w:rFonts w:ascii="Calibri" w:eastAsia="Times New Roman" w:hAnsi="Calibri" w:cs="Calibri"/>
          <w:kern w:val="0"/>
          <w:lang w:eastAsia="en-AU"/>
          <w14:ligatures w14:val="none"/>
        </w:rPr>
        <w:t xml:space="preserve">deferiprone tablets/oral liquid, </w:t>
      </w:r>
    </w:p>
    <w:p w14:paraId="0C58EEBA" w14:textId="77777777" w:rsidR="00413E6D" w:rsidRPr="00413E6D" w:rsidRDefault="00413E6D" w:rsidP="00311F5B">
      <w:pPr>
        <w:numPr>
          <w:ilvl w:val="0"/>
          <w:numId w:val="26"/>
        </w:numPr>
        <w:spacing w:after="0" w:line="240" w:lineRule="auto"/>
        <w:ind w:left="567"/>
        <w:jc w:val="both"/>
        <w:textAlignment w:val="baseline"/>
        <w:rPr>
          <w:rFonts w:ascii="Calibri" w:eastAsia="Times New Roman" w:hAnsi="Calibri" w:cs="Calibri"/>
          <w:kern w:val="0"/>
          <w:lang w:eastAsia="en-AU"/>
          <w14:ligatures w14:val="none"/>
        </w:rPr>
      </w:pPr>
      <w:r w:rsidRPr="00413E6D">
        <w:rPr>
          <w:rFonts w:ascii="Calibri" w:eastAsia="Times New Roman" w:hAnsi="Calibri" w:cs="Calibri"/>
          <w:kern w:val="0"/>
          <w:lang w:eastAsia="en-AU"/>
          <w14:ligatures w14:val="none"/>
        </w:rPr>
        <w:t xml:space="preserve">desferrioxamine injection. </w:t>
      </w:r>
    </w:p>
    <w:p w14:paraId="79BDA67F" w14:textId="04DAF44C" w:rsidR="00AA0FB6" w:rsidRDefault="00AA0FB6" w:rsidP="00974E47">
      <w:pPr>
        <w:spacing w:after="0" w:line="240" w:lineRule="auto"/>
        <w:jc w:val="both"/>
        <w:textAlignment w:val="baseline"/>
        <w:rPr>
          <w:rFonts w:ascii="Calibri" w:eastAsia="Times New Roman" w:hAnsi="Calibri" w:cs="Calibri"/>
          <w:kern w:val="0"/>
          <w:lang w:eastAsia="en-AU"/>
          <w14:ligatures w14:val="none"/>
        </w:rPr>
      </w:pPr>
    </w:p>
    <w:p w14:paraId="244624BB" w14:textId="78F5C065" w:rsidR="00FF5423" w:rsidRPr="00FF5423" w:rsidRDefault="00FF5423" w:rsidP="00FF5423">
      <w:pPr>
        <w:spacing w:after="0" w:line="240" w:lineRule="auto"/>
        <w:jc w:val="both"/>
        <w:textAlignment w:val="baseline"/>
        <w:rPr>
          <w:rFonts w:ascii="Calibri" w:eastAsia="Times New Roman" w:hAnsi="Calibri" w:cs="Calibri"/>
          <w:kern w:val="0"/>
          <w:lang w:eastAsia="en-AU"/>
          <w14:ligatures w14:val="none"/>
        </w:rPr>
      </w:pPr>
      <w:r w:rsidRPr="00FF5423">
        <w:rPr>
          <w:rFonts w:ascii="Calibri" w:eastAsia="Times New Roman" w:hAnsi="Calibri" w:cs="Calibri"/>
          <w:kern w:val="0"/>
          <w:lang w:eastAsia="en-AU"/>
          <w14:ligatures w14:val="none"/>
        </w:rPr>
        <w:t xml:space="preserve">The </w:t>
      </w:r>
      <w:r w:rsidR="00311F5B">
        <w:rPr>
          <w:rFonts w:ascii="Calibri" w:eastAsia="Times New Roman" w:hAnsi="Calibri" w:cs="Calibri"/>
          <w:kern w:val="0"/>
          <w:lang w:eastAsia="en-AU"/>
          <w14:ligatures w14:val="none"/>
        </w:rPr>
        <w:t>S</w:t>
      </w:r>
      <w:r w:rsidRPr="00FF5423">
        <w:rPr>
          <w:rFonts w:ascii="Calibri" w:eastAsia="Times New Roman" w:hAnsi="Calibri" w:cs="Calibri"/>
          <w:kern w:val="0"/>
          <w:lang w:eastAsia="en-AU"/>
          <w14:ligatures w14:val="none"/>
        </w:rPr>
        <w:t xml:space="preserve">100 HSD medicines </w:t>
      </w:r>
      <w:r w:rsidR="00BC5128">
        <w:rPr>
          <w:rFonts w:ascii="Calibri" w:eastAsia="Times New Roman" w:hAnsi="Calibri" w:cs="Calibri"/>
          <w:kern w:val="0"/>
          <w:lang w:eastAsia="en-AU"/>
          <w14:ligatures w14:val="none"/>
        </w:rPr>
        <w:t>that PBAC recommended as being suitable for prescribing by nurse practitioners (under certain conditions)</w:t>
      </w:r>
      <w:r w:rsidRPr="00FF5423">
        <w:rPr>
          <w:rFonts w:ascii="Calibri" w:eastAsia="Times New Roman" w:hAnsi="Calibri" w:cs="Calibri"/>
          <w:kern w:val="0"/>
          <w:lang w:eastAsia="en-AU"/>
          <w14:ligatures w14:val="none"/>
        </w:rPr>
        <w:t xml:space="preserve"> are outlined in Table </w:t>
      </w:r>
      <w:r w:rsidR="00BC5128">
        <w:rPr>
          <w:rFonts w:ascii="Calibri" w:eastAsia="Times New Roman" w:hAnsi="Calibri" w:cs="Calibri"/>
          <w:kern w:val="0"/>
          <w:lang w:eastAsia="en-AU"/>
          <w14:ligatures w14:val="none"/>
        </w:rPr>
        <w:t>3</w:t>
      </w:r>
      <w:r w:rsidR="00BC5128" w:rsidRPr="00FF5423">
        <w:rPr>
          <w:rFonts w:ascii="Calibri" w:eastAsia="Times New Roman" w:hAnsi="Calibri" w:cs="Calibri"/>
          <w:kern w:val="0"/>
          <w:lang w:eastAsia="en-AU"/>
          <w14:ligatures w14:val="none"/>
        </w:rPr>
        <w:t xml:space="preserve"> </w:t>
      </w:r>
      <w:r w:rsidRPr="00FF5423">
        <w:rPr>
          <w:rFonts w:ascii="Calibri" w:eastAsia="Times New Roman" w:hAnsi="Calibri" w:cs="Calibri"/>
          <w:kern w:val="0"/>
          <w:lang w:eastAsia="en-AU"/>
          <w14:ligatures w14:val="none"/>
        </w:rPr>
        <w:t>below:</w:t>
      </w:r>
    </w:p>
    <w:p w14:paraId="2122EFB2" w14:textId="77777777" w:rsidR="00FF5423" w:rsidRDefault="00FF5423" w:rsidP="00974E47">
      <w:pPr>
        <w:spacing w:after="0" w:line="240" w:lineRule="auto"/>
        <w:jc w:val="both"/>
        <w:textAlignment w:val="baseline"/>
        <w:rPr>
          <w:rFonts w:ascii="Calibri" w:eastAsia="Times New Roman" w:hAnsi="Calibri" w:cs="Calibri"/>
          <w:kern w:val="0"/>
          <w:lang w:eastAsia="en-AU"/>
          <w14:ligatures w14:val="none"/>
        </w:rPr>
      </w:pPr>
    </w:p>
    <w:p w14:paraId="4BAFF3F5" w14:textId="25ACB3B7" w:rsidR="00974E47" w:rsidRPr="00974E47" w:rsidRDefault="00BC5128" w:rsidP="00991110">
      <w:pPr>
        <w:spacing w:after="120" w:line="240" w:lineRule="auto"/>
        <w:jc w:val="both"/>
        <w:textAlignment w:val="baseline"/>
        <w:rPr>
          <w:rFonts w:ascii="Arial Narrow" w:eastAsia="Times New Roman" w:hAnsi="Arial Narrow" w:cs="Calibri"/>
          <w:b/>
          <w:bCs/>
          <w:kern w:val="0"/>
          <w:sz w:val="20"/>
          <w:szCs w:val="20"/>
          <w:lang w:eastAsia="en-AU"/>
          <w14:ligatures w14:val="none"/>
        </w:rPr>
      </w:pPr>
      <w:r w:rsidRPr="00BC5128">
        <w:rPr>
          <w:rFonts w:ascii="Arial Narrow" w:eastAsia="Times New Roman" w:hAnsi="Arial Narrow" w:cs="Calibri"/>
          <w:b/>
          <w:bCs/>
          <w:kern w:val="0"/>
          <w:sz w:val="20"/>
          <w:szCs w:val="20"/>
          <w:lang w:eastAsia="en-AU"/>
          <w14:ligatures w14:val="none"/>
        </w:rPr>
        <w:t xml:space="preserve">Table </w:t>
      </w:r>
      <w:r>
        <w:rPr>
          <w:rFonts w:ascii="Arial Narrow" w:eastAsia="Times New Roman" w:hAnsi="Arial Narrow" w:cs="Calibri"/>
          <w:b/>
          <w:bCs/>
          <w:kern w:val="0"/>
          <w:sz w:val="20"/>
          <w:szCs w:val="20"/>
          <w:lang w:eastAsia="en-AU"/>
          <w14:ligatures w14:val="none"/>
        </w:rPr>
        <w:t>3</w:t>
      </w:r>
      <w:r w:rsidRPr="00BC5128">
        <w:rPr>
          <w:rFonts w:ascii="Arial Narrow" w:eastAsia="Times New Roman" w:hAnsi="Arial Narrow" w:cs="Calibri"/>
          <w:b/>
          <w:bCs/>
          <w:kern w:val="0"/>
          <w:sz w:val="20"/>
          <w:szCs w:val="20"/>
          <w:lang w:eastAsia="en-AU"/>
          <w14:ligatures w14:val="none"/>
        </w:rPr>
        <w:t xml:space="preserve"> – </w:t>
      </w:r>
      <w:r w:rsidR="00D0611C">
        <w:rPr>
          <w:rFonts w:ascii="Arial Narrow" w:eastAsia="Times New Roman" w:hAnsi="Arial Narrow" w:cs="Calibri"/>
          <w:b/>
          <w:bCs/>
          <w:kern w:val="0"/>
          <w:sz w:val="20"/>
          <w:szCs w:val="20"/>
          <w:lang w:eastAsia="en-AU"/>
          <w14:ligatures w14:val="none"/>
        </w:rPr>
        <w:t>S</w:t>
      </w:r>
      <w:r w:rsidRPr="00BC5128">
        <w:rPr>
          <w:rFonts w:ascii="Arial Narrow" w:eastAsia="Times New Roman" w:hAnsi="Arial Narrow" w:cs="Calibri"/>
          <w:b/>
          <w:bCs/>
          <w:kern w:val="0"/>
          <w:sz w:val="20"/>
          <w:szCs w:val="20"/>
          <w:lang w:eastAsia="en-AU"/>
          <w14:ligatures w14:val="none"/>
        </w:rPr>
        <w:t>100 HSD (Public &amp; Private hospital and CA) medicines for which PBAC recommended changes to include nurse practitioners as eligible prescribers under certain conditions</w:t>
      </w:r>
      <w:r w:rsidRPr="00BC5128" w:rsidDel="00BC5128">
        <w:rPr>
          <w:rFonts w:ascii="Arial Narrow" w:eastAsia="Times New Roman" w:hAnsi="Arial Narrow" w:cs="Calibri"/>
          <w:b/>
          <w:bCs/>
          <w:kern w:val="0"/>
          <w:sz w:val="20"/>
          <w:szCs w:val="20"/>
          <w:lang w:eastAsia="en-AU"/>
          <w14:ligatures w14:val="none"/>
        </w:rPr>
        <w:t xml:space="preserve"> </w:t>
      </w:r>
    </w:p>
    <w:tbl>
      <w:tblPr>
        <w:tblW w:w="900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
        <w:gridCol w:w="8724"/>
      </w:tblGrid>
      <w:tr w:rsidR="00974E47" w:rsidRPr="00974E47" w14:paraId="79D3175A" w14:textId="77777777" w:rsidTr="00974E47">
        <w:trPr>
          <w:trHeight w:val="300"/>
        </w:trPr>
        <w:tc>
          <w:tcPr>
            <w:tcW w:w="900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EE34F" w14:textId="7ED05DA3" w:rsidR="00974E47" w:rsidRPr="00974E47" w:rsidRDefault="00974E47" w:rsidP="00785A2D">
            <w:pPr>
              <w:spacing w:after="0" w:line="240" w:lineRule="auto"/>
              <w:ind w:left="57"/>
              <w:textAlignment w:val="baseline"/>
              <w:divId w:val="1685211194"/>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Disease area:</w:t>
            </w:r>
            <w:r w:rsidRPr="00974E47">
              <w:rPr>
                <w:rFonts w:ascii="Arial Narrow" w:eastAsia="Times New Roman" w:hAnsi="Arial Narrow"/>
                <w:b/>
                <w:bCs/>
                <w:kern w:val="0"/>
                <w:sz w:val="20"/>
                <w:szCs w:val="20"/>
                <w:lang w:eastAsia="en-AU"/>
                <w14:ligatures w14:val="none"/>
              </w:rPr>
              <w:t xml:space="preserve"> </w:t>
            </w:r>
            <w:r w:rsidRPr="00974E47">
              <w:rPr>
                <w:rFonts w:ascii="Arial Narrow" w:eastAsia="Times New Roman" w:hAnsi="Arial Narrow"/>
                <w:kern w:val="0"/>
                <w:sz w:val="20"/>
                <w:szCs w:val="20"/>
                <w:lang w:eastAsia="en-AU"/>
                <w14:ligatures w14:val="none"/>
              </w:rPr>
              <w:t>drug(s) </w:t>
            </w:r>
          </w:p>
        </w:tc>
      </w:tr>
      <w:tr w:rsidR="00974E47" w:rsidRPr="00974E47" w14:paraId="075C21FF" w14:textId="77777777" w:rsidTr="00974E47">
        <w:trPr>
          <w:trHeight w:val="300"/>
        </w:trPr>
        <w:tc>
          <w:tcPr>
            <w:tcW w:w="900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33C6BD"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kern w:val="0"/>
                <w:sz w:val="20"/>
                <w:szCs w:val="20"/>
                <w:lang w:eastAsia="en-AU"/>
                <w14:ligatures w14:val="none"/>
              </w:rPr>
              <w:t>Continue therapy only with agreement from the treating specialist medical practitioner: </w:t>
            </w:r>
            <w:r w:rsidRPr="00974E47">
              <w:rPr>
                <w:rFonts w:ascii="Arial Narrow" w:eastAsia="Times New Roman" w:hAnsi="Arial Narrow"/>
                <w:kern w:val="0"/>
                <w:sz w:val="20"/>
                <w:szCs w:val="20"/>
                <w:lang w:eastAsia="en-AU"/>
                <w14:ligatures w14:val="none"/>
              </w:rPr>
              <w:t> </w:t>
            </w:r>
          </w:p>
        </w:tc>
      </w:tr>
      <w:tr w:rsidR="00974E47" w:rsidRPr="00974E47" w14:paraId="10FD1474"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7490E53D"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1 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75B73870"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Neutropenia:</w:t>
            </w:r>
            <w:r w:rsidRPr="00974E47">
              <w:rPr>
                <w:rFonts w:ascii="Arial Narrow" w:eastAsia="Times New Roman" w:hAnsi="Arial Narrow"/>
                <w:kern w:val="0"/>
                <w:sz w:val="20"/>
                <w:szCs w:val="20"/>
                <w:lang w:eastAsia="en-AU"/>
                <w14:ligatures w14:val="none"/>
              </w:rPr>
              <w:t xml:space="preserve"> filgrastim, pegfilgrastim </w:t>
            </w:r>
          </w:p>
        </w:tc>
      </w:tr>
      <w:tr w:rsidR="00974E47" w:rsidRPr="00974E47" w14:paraId="0387684A"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5806720B"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2 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0A51E9EA" w14:textId="27B42DB9"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Neuroendocrine cancer</w:t>
            </w:r>
            <w:r w:rsidRPr="00974E47">
              <w:rPr>
                <w:rFonts w:ascii="Arial Narrow" w:eastAsia="Times New Roman" w:hAnsi="Arial Narrow"/>
                <w:kern w:val="0"/>
                <w:sz w:val="20"/>
                <w:szCs w:val="20"/>
                <w:lang w:eastAsia="en-AU"/>
                <w14:ligatures w14:val="none"/>
              </w:rPr>
              <w:t xml:space="preserve">: </w:t>
            </w:r>
            <w:r w:rsidR="00F532CF">
              <w:rPr>
                <w:rFonts w:ascii="Arial Narrow" w:eastAsia="Times New Roman" w:hAnsi="Arial Narrow"/>
                <w:kern w:val="0"/>
                <w:sz w:val="20"/>
                <w:szCs w:val="20"/>
                <w:lang w:eastAsia="en-AU"/>
                <w14:ligatures w14:val="none"/>
              </w:rPr>
              <w:t xml:space="preserve">lanreotide </w:t>
            </w:r>
            <w:r w:rsidR="000A4941" w:rsidRPr="000A4941">
              <w:rPr>
                <w:rFonts w:ascii="Arial Narrow" w:eastAsia="Times New Roman" w:hAnsi="Arial Narrow"/>
                <w:kern w:val="0"/>
                <w:sz w:val="20"/>
                <w:szCs w:val="20"/>
                <w:lang w:eastAsia="en-AU"/>
                <w14:ligatures w14:val="none"/>
              </w:rPr>
              <w:t>(</w:t>
            </w:r>
            <w:r w:rsidR="00D0611C">
              <w:rPr>
                <w:rFonts w:ascii="Arial Narrow" w:eastAsia="Times New Roman" w:hAnsi="Arial Narrow"/>
                <w:kern w:val="0"/>
                <w:sz w:val="20"/>
                <w:szCs w:val="20"/>
                <w:lang w:eastAsia="en-AU"/>
                <w14:ligatures w14:val="none"/>
              </w:rPr>
              <w:t>S</w:t>
            </w:r>
            <w:r w:rsidR="00293A90" w:rsidRPr="000A4941">
              <w:rPr>
                <w:rFonts w:ascii="Arial Narrow" w:eastAsia="Times New Roman" w:hAnsi="Arial Narrow"/>
                <w:kern w:val="0"/>
                <w:sz w:val="20"/>
                <w:szCs w:val="20"/>
                <w:lang w:eastAsia="en-AU"/>
                <w14:ligatures w14:val="none"/>
              </w:rPr>
              <w:t xml:space="preserve">100 </w:t>
            </w:r>
            <w:r w:rsidR="000A4941" w:rsidRPr="000A4941">
              <w:rPr>
                <w:rFonts w:ascii="Arial Narrow" w:eastAsia="Times New Roman" w:hAnsi="Arial Narrow"/>
                <w:kern w:val="0"/>
                <w:sz w:val="20"/>
                <w:szCs w:val="20"/>
                <w:lang w:eastAsia="en-AU"/>
                <w14:ligatures w14:val="none"/>
              </w:rPr>
              <w:t>HSD Public &amp; Private Hospital and CA listings), octreotide (</w:t>
            </w:r>
            <w:r w:rsidR="00D0611C">
              <w:rPr>
                <w:rFonts w:ascii="Arial Narrow" w:eastAsia="Times New Roman" w:hAnsi="Arial Narrow"/>
                <w:kern w:val="0"/>
                <w:sz w:val="20"/>
                <w:szCs w:val="20"/>
                <w:lang w:eastAsia="en-AU"/>
                <w14:ligatures w14:val="none"/>
              </w:rPr>
              <w:t>S</w:t>
            </w:r>
            <w:r w:rsidR="00293A90" w:rsidRPr="000A4941">
              <w:rPr>
                <w:rFonts w:ascii="Arial Narrow" w:eastAsia="Times New Roman" w:hAnsi="Arial Narrow"/>
                <w:kern w:val="0"/>
                <w:sz w:val="20"/>
                <w:szCs w:val="20"/>
                <w:lang w:eastAsia="en-AU"/>
                <w14:ligatures w14:val="none"/>
              </w:rPr>
              <w:t xml:space="preserve">100 </w:t>
            </w:r>
            <w:r w:rsidR="000A4941" w:rsidRPr="000A4941">
              <w:rPr>
                <w:rFonts w:ascii="Arial Narrow" w:eastAsia="Times New Roman" w:hAnsi="Arial Narrow"/>
                <w:kern w:val="0"/>
                <w:sz w:val="20"/>
                <w:szCs w:val="20"/>
                <w:lang w:eastAsia="en-AU"/>
                <w14:ligatures w14:val="none"/>
              </w:rPr>
              <w:t>HSD Public &amp; Private and CA listings)</w:t>
            </w:r>
          </w:p>
        </w:tc>
      </w:tr>
      <w:tr w:rsidR="00974E47" w:rsidRPr="00974E47" w14:paraId="3EAA27DA"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7CB88DC9"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3 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4F244CFB"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Acute myeloid leukaemia:</w:t>
            </w:r>
            <w:r w:rsidRPr="00974E47">
              <w:rPr>
                <w:rFonts w:ascii="Arial Narrow" w:eastAsia="Times New Roman" w:hAnsi="Arial Narrow"/>
                <w:kern w:val="0"/>
                <w:sz w:val="20"/>
                <w:szCs w:val="20"/>
                <w:lang w:eastAsia="en-AU"/>
                <w14:ligatures w14:val="none"/>
              </w:rPr>
              <w:t xml:space="preserve"> midostaurin </w:t>
            </w:r>
          </w:p>
        </w:tc>
      </w:tr>
      <w:tr w:rsidR="00974E47" w:rsidRPr="00974E47" w14:paraId="792D6315"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20C7BAE7"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4 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2959E831"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Breast cancer:</w:t>
            </w:r>
            <w:r w:rsidRPr="00974E47">
              <w:rPr>
                <w:rFonts w:ascii="Arial Narrow" w:eastAsia="Times New Roman" w:hAnsi="Arial Narrow"/>
                <w:kern w:val="0"/>
                <w:sz w:val="20"/>
                <w:szCs w:val="20"/>
                <w:lang w:eastAsia="en-AU"/>
                <w14:ligatures w14:val="none"/>
              </w:rPr>
              <w:t xml:space="preserve"> zoledronic acid 4 mg/5 mL injection, 5</w:t>
            </w:r>
            <w:r w:rsidRPr="00974E47">
              <w:rPr>
                <w:rFonts w:ascii="Arial" w:eastAsia="Times New Roman" w:hAnsi="Arial" w:cs="Arial"/>
                <w:kern w:val="0"/>
                <w:sz w:val="20"/>
                <w:szCs w:val="20"/>
                <w:lang w:eastAsia="en-AU"/>
                <w14:ligatures w14:val="none"/>
              </w:rPr>
              <w:t> </w:t>
            </w:r>
            <w:r w:rsidRPr="00974E47">
              <w:rPr>
                <w:rFonts w:ascii="Arial Narrow" w:eastAsia="Times New Roman" w:hAnsi="Arial Narrow"/>
                <w:kern w:val="0"/>
                <w:sz w:val="20"/>
                <w:szCs w:val="20"/>
                <w:lang w:eastAsia="en-AU"/>
                <w14:ligatures w14:val="none"/>
              </w:rPr>
              <w:t>mL vial </w:t>
            </w:r>
          </w:p>
        </w:tc>
      </w:tr>
      <w:tr w:rsidR="00974E47" w:rsidRPr="00974E47" w14:paraId="4C8D4EA4"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5D3F212D"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lastRenderedPageBreak/>
              <w:t>5 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59E8A1A0" w14:textId="11336E85"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Psychosis:</w:t>
            </w:r>
            <w:r w:rsidRPr="00974E47">
              <w:rPr>
                <w:rFonts w:ascii="Arial Narrow" w:eastAsia="Times New Roman" w:hAnsi="Arial Narrow"/>
                <w:kern w:val="0"/>
                <w:sz w:val="20"/>
                <w:szCs w:val="20"/>
                <w:lang w:eastAsia="en-AU"/>
                <w14:ligatures w14:val="none"/>
              </w:rPr>
              <w:t xml:space="preserve"> clozapine (</w:t>
            </w:r>
            <w:r w:rsidR="00991110">
              <w:rPr>
                <w:rFonts w:ascii="Arial Narrow" w:eastAsia="Times New Roman" w:hAnsi="Arial Narrow"/>
                <w:kern w:val="0"/>
                <w:sz w:val="20"/>
                <w:szCs w:val="20"/>
                <w:lang w:eastAsia="en-AU"/>
                <w14:ligatures w14:val="none"/>
              </w:rPr>
              <w:t>S</w:t>
            </w:r>
            <w:r w:rsidR="00293A90" w:rsidRPr="00974E47">
              <w:rPr>
                <w:rFonts w:ascii="Arial Narrow" w:eastAsia="Times New Roman" w:hAnsi="Arial Narrow"/>
                <w:kern w:val="0"/>
                <w:sz w:val="20"/>
                <w:szCs w:val="20"/>
                <w:lang w:eastAsia="en-AU"/>
                <w14:ligatures w14:val="none"/>
              </w:rPr>
              <w:t xml:space="preserve">100 </w:t>
            </w:r>
            <w:r w:rsidRPr="00974E47">
              <w:rPr>
                <w:rFonts w:ascii="Arial Narrow" w:eastAsia="Times New Roman" w:hAnsi="Arial Narrow"/>
                <w:kern w:val="0"/>
                <w:sz w:val="20"/>
                <w:szCs w:val="20"/>
                <w:lang w:eastAsia="en-AU"/>
                <w14:ligatures w14:val="none"/>
              </w:rPr>
              <w:t>CA listings only – Continuing treatment) </w:t>
            </w:r>
          </w:p>
        </w:tc>
      </w:tr>
      <w:tr w:rsidR="00974E47" w:rsidRPr="00974E47" w14:paraId="25881224"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640EC969"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6 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2651A733"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Cystic fibrosis:</w:t>
            </w:r>
            <w:r w:rsidRPr="00974E47">
              <w:rPr>
                <w:rFonts w:ascii="Arial Narrow" w:eastAsia="Times New Roman" w:hAnsi="Arial Narrow"/>
                <w:kern w:val="0"/>
                <w:sz w:val="20"/>
                <w:szCs w:val="20"/>
                <w:lang w:eastAsia="en-AU"/>
                <w14:ligatures w14:val="none"/>
              </w:rPr>
              <w:t xml:space="preserve"> dornase alfa, mannitol </w:t>
            </w:r>
          </w:p>
        </w:tc>
      </w:tr>
      <w:tr w:rsidR="00974E47" w:rsidRPr="00974E47" w14:paraId="74385BA7"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702CB4E9"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7 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7E253392"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Cystic fibrosis (CFTR modulators): </w:t>
            </w:r>
            <w:r w:rsidRPr="00974E47">
              <w:rPr>
                <w:rFonts w:ascii="Arial Narrow" w:eastAsia="Times New Roman" w:hAnsi="Arial Narrow"/>
                <w:kern w:val="0"/>
                <w:sz w:val="20"/>
                <w:szCs w:val="20"/>
                <w:lang w:eastAsia="en-AU"/>
                <w14:ligatures w14:val="none"/>
              </w:rPr>
              <w:t>ivacaftor, lumacaftor, elexacaftor, tezacaftor, combinations </w:t>
            </w:r>
          </w:p>
        </w:tc>
      </w:tr>
      <w:tr w:rsidR="00974E47" w:rsidRPr="00974E47" w14:paraId="44065C82"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3120FA00"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8 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59238DDE"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Transplant rejection:</w:t>
            </w:r>
            <w:r w:rsidRPr="00974E47">
              <w:rPr>
                <w:rFonts w:ascii="Arial Narrow" w:eastAsia="Times New Roman" w:hAnsi="Arial Narrow"/>
                <w:kern w:val="0"/>
                <w:sz w:val="20"/>
                <w:szCs w:val="20"/>
                <w:lang w:eastAsia="en-AU"/>
                <w14:ligatures w14:val="none"/>
              </w:rPr>
              <w:t xml:space="preserve"> mycophenolate   </w:t>
            </w:r>
          </w:p>
        </w:tc>
      </w:tr>
      <w:tr w:rsidR="00974E47" w:rsidRPr="00974E47" w14:paraId="73A696A0"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4317BF6B"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9 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01173DB2"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Transplant rejection (mTOR inhibitors): </w:t>
            </w:r>
            <w:r w:rsidRPr="00974E47">
              <w:rPr>
                <w:rFonts w:ascii="Arial Narrow" w:eastAsia="Times New Roman" w:hAnsi="Arial Narrow"/>
                <w:kern w:val="0"/>
                <w:sz w:val="20"/>
                <w:szCs w:val="20"/>
                <w:lang w:eastAsia="en-AU"/>
                <w14:ligatures w14:val="none"/>
              </w:rPr>
              <w:t>everolimus, sirolimus </w:t>
            </w:r>
          </w:p>
        </w:tc>
      </w:tr>
      <w:tr w:rsidR="00974E47" w:rsidRPr="00974E47" w14:paraId="3FA119E3"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58ED6479"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18"/>
                <w:szCs w:val="18"/>
                <w:lang w:eastAsia="en-AU"/>
                <w14:ligatures w14:val="none"/>
              </w:rPr>
              <w:t>10 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26344E00"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Transplant rejection (calcineurin inhibitors): </w:t>
            </w:r>
            <w:r w:rsidRPr="00974E47">
              <w:rPr>
                <w:rFonts w:ascii="Arial Narrow" w:eastAsia="Times New Roman" w:hAnsi="Arial Narrow"/>
                <w:kern w:val="0"/>
                <w:sz w:val="20"/>
                <w:szCs w:val="20"/>
                <w:lang w:eastAsia="en-AU"/>
                <w14:ligatures w14:val="none"/>
              </w:rPr>
              <w:t>ciclosporin, tacrolimus </w:t>
            </w:r>
          </w:p>
        </w:tc>
      </w:tr>
      <w:tr w:rsidR="00974E47" w:rsidRPr="00974E47" w14:paraId="3D905764"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226AE2AC"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18"/>
                <w:szCs w:val="18"/>
                <w:lang w:eastAsia="en-AU"/>
                <w14:ligatures w14:val="none"/>
              </w:rPr>
              <w:t>11 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7986A5B7"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Cytomegalovirus (CMV) infection in transplants:</w:t>
            </w:r>
            <w:r w:rsidRPr="00974E47">
              <w:rPr>
                <w:rFonts w:ascii="Arial Narrow" w:eastAsia="Times New Roman" w:hAnsi="Arial Narrow"/>
                <w:kern w:val="0"/>
                <w:sz w:val="20"/>
                <w:szCs w:val="20"/>
                <w:lang w:eastAsia="en-AU"/>
                <w14:ligatures w14:val="none"/>
              </w:rPr>
              <w:t xml:space="preserve"> valganciclovir </w:t>
            </w:r>
          </w:p>
        </w:tc>
      </w:tr>
      <w:tr w:rsidR="00974E47" w:rsidRPr="00974E47" w14:paraId="62D16F54" w14:textId="77777777" w:rsidTr="00974E47">
        <w:trPr>
          <w:trHeight w:val="300"/>
        </w:trPr>
        <w:tc>
          <w:tcPr>
            <w:tcW w:w="900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755F2F" w14:textId="77777777" w:rsidR="00974E47" w:rsidRPr="00974E47" w:rsidRDefault="00974E47" w:rsidP="00974E47">
            <w:pPr>
              <w:spacing w:after="0" w:line="240" w:lineRule="auto"/>
              <w:textAlignment w:val="baseline"/>
              <w:rPr>
                <w:rFonts w:eastAsia="Times New Roman"/>
                <w:kern w:val="0"/>
                <w:lang w:eastAsia="en-AU"/>
                <w14:ligatures w14:val="none"/>
              </w:rPr>
            </w:pPr>
            <w:r w:rsidRPr="00974E47">
              <w:rPr>
                <w:rFonts w:ascii="Arial Narrow" w:eastAsia="Times New Roman" w:hAnsi="Arial Narrow"/>
                <w:kern w:val="0"/>
                <w:sz w:val="20"/>
                <w:szCs w:val="20"/>
                <w:lang w:eastAsia="en-AU"/>
                <w14:ligatures w14:val="none"/>
              </w:rPr>
              <w:t> </w:t>
            </w:r>
          </w:p>
        </w:tc>
      </w:tr>
      <w:tr w:rsidR="00974E47" w:rsidRPr="00974E47" w14:paraId="44C7D8C7" w14:textId="77777777" w:rsidTr="00974E47">
        <w:trPr>
          <w:trHeight w:val="300"/>
        </w:trPr>
        <w:tc>
          <w:tcPr>
            <w:tcW w:w="900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A8E0E1" w14:textId="36E4E1AE"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kern w:val="0"/>
                <w:sz w:val="20"/>
                <w:szCs w:val="20"/>
                <w:lang w:eastAsia="en-AU"/>
                <w14:ligatures w14:val="none"/>
              </w:rPr>
              <w:t>Initiate and/or continue therapy where patient care is shared with a medical practitioner</w:t>
            </w:r>
            <w:r w:rsidR="00FC22B8">
              <w:rPr>
                <w:rFonts w:ascii="Arial Narrow" w:eastAsia="Times New Roman" w:hAnsi="Arial Narrow"/>
                <w:b/>
                <w:bCs/>
                <w:kern w:val="0"/>
                <w:sz w:val="20"/>
                <w:szCs w:val="20"/>
                <w:lang w:eastAsia="en-AU"/>
                <w14:ligatures w14:val="none"/>
              </w:rPr>
              <w:t>:</w:t>
            </w:r>
            <w:r w:rsidRPr="00974E47">
              <w:rPr>
                <w:rFonts w:ascii="Arial Narrow" w:eastAsia="Times New Roman" w:hAnsi="Arial Narrow"/>
                <w:kern w:val="0"/>
                <w:sz w:val="20"/>
                <w:szCs w:val="20"/>
                <w:lang w:eastAsia="en-AU"/>
                <w14:ligatures w14:val="none"/>
              </w:rPr>
              <w:t> </w:t>
            </w:r>
          </w:p>
        </w:tc>
      </w:tr>
      <w:tr w:rsidR="00974E47" w:rsidRPr="00974E47" w14:paraId="2C20E060" w14:textId="77777777" w:rsidTr="00974E47">
        <w:trPr>
          <w:trHeight w:val="300"/>
        </w:trPr>
        <w:tc>
          <w:tcPr>
            <w:tcW w:w="284" w:type="dxa"/>
            <w:tcBorders>
              <w:top w:val="single" w:sz="6" w:space="0" w:color="auto"/>
              <w:left w:val="single" w:sz="6" w:space="0" w:color="auto"/>
              <w:bottom w:val="single" w:sz="6" w:space="0" w:color="auto"/>
              <w:right w:val="single" w:sz="6" w:space="0" w:color="auto"/>
            </w:tcBorders>
            <w:shd w:val="clear" w:color="auto" w:fill="auto"/>
            <w:hideMark/>
          </w:tcPr>
          <w:p w14:paraId="41D4173F"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kern w:val="0"/>
                <w:sz w:val="18"/>
                <w:szCs w:val="18"/>
                <w:lang w:eastAsia="en-AU"/>
                <w14:ligatures w14:val="none"/>
              </w:rPr>
              <w:t>12 </w:t>
            </w:r>
          </w:p>
        </w:tc>
        <w:tc>
          <w:tcPr>
            <w:tcW w:w="8724" w:type="dxa"/>
            <w:tcBorders>
              <w:top w:val="single" w:sz="6" w:space="0" w:color="auto"/>
              <w:left w:val="single" w:sz="6" w:space="0" w:color="auto"/>
              <w:bottom w:val="single" w:sz="6" w:space="0" w:color="auto"/>
              <w:right w:val="single" w:sz="6" w:space="0" w:color="auto"/>
            </w:tcBorders>
            <w:shd w:val="clear" w:color="auto" w:fill="auto"/>
            <w:hideMark/>
          </w:tcPr>
          <w:p w14:paraId="008C9446" w14:textId="77777777" w:rsidR="00974E47" w:rsidRPr="00974E47" w:rsidRDefault="00974E47" w:rsidP="00785A2D">
            <w:pPr>
              <w:spacing w:after="0" w:line="240" w:lineRule="auto"/>
              <w:ind w:left="57"/>
              <w:textAlignment w:val="baseline"/>
              <w:rPr>
                <w:rFonts w:eastAsia="Times New Roman"/>
                <w:kern w:val="0"/>
                <w:lang w:eastAsia="en-AU"/>
                <w14:ligatures w14:val="none"/>
              </w:rPr>
            </w:pPr>
            <w:r w:rsidRPr="00974E47">
              <w:rPr>
                <w:rFonts w:ascii="Arial Narrow" w:eastAsia="Times New Roman" w:hAnsi="Arial Narrow"/>
                <w:b/>
                <w:bCs/>
                <w:i/>
                <w:iCs/>
                <w:kern w:val="0"/>
                <w:sz w:val="20"/>
                <w:szCs w:val="20"/>
                <w:lang w:eastAsia="en-AU"/>
                <w14:ligatures w14:val="none"/>
              </w:rPr>
              <w:t xml:space="preserve">Iron chelating agents: </w:t>
            </w:r>
            <w:r w:rsidRPr="00974E47">
              <w:rPr>
                <w:rFonts w:ascii="Arial Narrow" w:eastAsia="Times New Roman" w:hAnsi="Arial Narrow"/>
                <w:kern w:val="0"/>
                <w:sz w:val="20"/>
                <w:szCs w:val="20"/>
                <w:lang w:eastAsia="en-AU"/>
                <w14:ligatures w14:val="none"/>
              </w:rPr>
              <w:t>deferasirox, deferiprone, desferrioxamine</w:t>
            </w:r>
            <w:r w:rsidRPr="00974E47">
              <w:rPr>
                <w:rFonts w:ascii="Arial Narrow" w:eastAsia="Times New Roman" w:hAnsi="Arial Narrow"/>
                <w:b/>
                <w:bCs/>
                <w:i/>
                <w:iCs/>
                <w:kern w:val="0"/>
                <w:sz w:val="20"/>
                <w:szCs w:val="20"/>
                <w:lang w:eastAsia="en-AU"/>
                <w14:ligatures w14:val="none"/>
              </w:rPr>
              <w:t> </w:t>
            </w:r>
            <w:r w:rsidRPr="00974E47">
              <w:rPr>
                <w:rFonts w:ascii="Arial Narrow" w:eastAsia="Times New Roman" w:hAnsi="Arial Narrow"/>
                <w:kern w:val="0"/>
                <w:sz w:val="20"/>
                <w:szCs w:val="20"/>
                <w:lang w:eastAsia="en-AU"/>
                <w14:ligatures w14:val="none"/>
              </w:rPr>
              <w:t> </w:t>
            </w:r>
          </w:p>
        </w:tc>
      </w:tr>
    </w:tbl>
    <w:p w14:paraId="044C9D65" w14:textId="74F21C9F" w:rsidR="00974E47" w:rsidRDefault="00D0611C" w:rsidP="00974E47">
      <w:pPr>
        <w:spacing w:after="0" w:line="240" w:lineRule="auto"/>
        <w:jc w:val="both"/>
        <w:textAlignment w:val="baseline"/>
        <w:rPr>
          <w:rFonts w:ascii="Arial Narrow" w:eastAsia="Times New Roman" w:hAnsi="Arial Narrow" w:cs="Calibri"/>
          <w:kern w:val="0"/>
          <w:sz w:val="18"/>
          <w:szCs w:val="18"/>
          <w:lang w:eastAsia="en-AU"/>
          <w14:ligatures w14:val="none"/>
        </w:rPr>
      </w:pPr>
      <w:r>
        <w:rPr>
          <w:rFonts w:ascii="Arial Narrow" w:eastAsia="Times New Roman" w:hAnsi="Arial Narrow" w:cs="Calibri"/>
          <w:kern w:val="0"/>
          <w:sz w:val="18"/>
          <w:szCs w:val="18"/>
          <w:lang w:eastAsia="en-AU"/>
          <w14:ligatures w14:val="none"/>
        </w:rPr>
        <w:t>S</w:t>
      </w:r>
      <w:r w:rsidR="00293A90" w:rsidRPr="00974E47">
        <w:rPr>
          <w:rFonts w:ascii="Arial Narrow" w:eastAsia="Times New Roman" w:hAnsi="Arial Narrow" w:cs="Calibri"/>
          <w:kern w:val="0"/>
          <w:sz w:val="18"/>
          <w:szCs w:val="18"/>
          <w:lang w:eastAsia="en-AU"/>
          <w14:ligatures w14:val="none"/>
        </w:rPr>
        <w:t>100</w:t>
      </w:r>
      <w:r w:rsidR="00974E47" w:rsidRPr="00974E47">
        <w:rPr>
          <w:rFonts w:ascii="Arial Narrow" w:eastAsia="Times New Roman" w:hAnsi="Arial Narrow" w:cs="Calibri"/>
          <w:kern w:val="0"/>
          <w:sz w:val="18"/>
          <w:szCs w:val="18"/>
          <w:lang w:eastAsia="en-AU"/>
          <w14:ligatures w14:val="none"/>
        </w:rPr>
        <w:t>: Section 100, CA: Community Access, HSD: Highly Specialised Drugs</w:t>
      </w:r>
      <w:r>
        <w:rPr>
          <w:rFonts w:ascii="Arial Narrow" w:eastAsia="Times New Roman" w:hAnsi="Arial Narrow" w:cs="Calibri"/>
          <w:kern w:val="0"/>
          <w:sz w:val="18"/>
          <w:szCs w:val="18"/>
          <w:lang w:eastAsia="en-AU"/>
          <w14:ligatures w14:val="none"/>
        </w:rPr>
        <w:t>; CFTR</w:t>
      </w:r>
      <w:r w:rsidR="000B6844">
        <w:rPr>
          <w:rFonts w:ascii="Arial Narrow" w:eastAsia="Times New Roman" w:hAnsi="Arial Narrow" w:cs="Calibri"/>
          <w:kern w:val="0"/>
          <w:sz w:val="18"/>
          <w:szCs w:val="18"/>
          <w:lang w:eastAsia="en-AU"/>
          <w14:ligatures w14:val="none"/>
        </w:rPr>
        <w:t>:</w:t>
      </w:r>
      <w:r>
        <w:rPr>
          <w:rFonts w:ascii="Arial Narrow" w:eastAsia="Times New Roman" w:hAnsi="Arial Narrow" w:cs="Calibri"/>
          <w:kern w:val="0"/>
          <w:sz w:val="18"/>
          <w:szCs w:val="18"/>
          <w:lang w:eastAsia="en-AU"/>
          <w14:ligatures w14:val="none"/>
        </w:rPr>
        <w:t xml:space="preserve"> C</w:t>
      </w:r>
      <w:r w:rsidRPr="00D0611C">
        <w:rPr>
          <w:rFonts w:ascii="Arial Narrow" w:eastAsia="Times New Roman" w:hAnsi="Arial Narrow" w:cs="Calibri"/>
          <w:kern w:val="0"/>
          <w:sz w:val="18"/>
          <w:szCs w:val="18"/>
          <w:lang w:eastAsia="en-AU"/>
          <w14:ligatures w14:val="none"/>
        </w:rPr>
        <w:t xml:space="preserve">ystic </w:t>
      </w:r>
      <w:r>
        <w:rPr>
          <w:rFonts w:ascii="Arial Narrow" w:eastAsia="Times New Roman" w:hAnsi="Arial Narrow" w:cs="Calibri"/>
          <w:kern w:val="0"/>
          <w:sz w:val="18"/>
          <w:szCs w:val="18"/>
          <w:lang w:eastAsia="en-AU"/>
          <w14:ligatures w14:val="none"/>
        </w:rPr>
        <w:t>F</w:t>
      </w:r>
      <w:r w:rsidRPr="00D0611C">
        <w:rPr>
          <w:rFonts w:ascii="Arial Narrow" w:eastAsia="Times New Roman" w:hAnsi="Arial Narrow" w:cs="Calibri"/>
          <w:kern w:val="0"/>
          <w:sz w:val="18"/>
          <w:szCs w:val="18"/>
          <w:lang w:eastAsia="en-AU"/>
          <w14:ligatures w14:val="none"/>
        </w:rPr>
        <w:t xml:space="preserve">ibrosis </w:t>
      </w:r>
      <w:r>
        <w:rPr>
          <w:rFonts w:ascii="Arial Narrow" w:eastAsia="Times New Roman" w:hAnsi="Arial Narrow" w:cs="Calibri"/>
          <w:kern w:val="0"/>
          <w:sz w:val="18"/>
          <w:szCs w:val="18"/>
          <w:lang w:eastAsia="en-AU"/>
          <w14:ligatures w14:val="none"/>
        </w:rPr>
        <w:t>T</w:t>
      </w:r>
      <w:r w:rsidRPr="00D0611C">
        <w:rPr>
          <w:rFonts w:ascii="Arial Narrow" w:eastAsia="Times New Roman" w:hAnsi="Arial Narrow" w:cs="Calibri"/>
          <w:kern w:val="0"/>
          <w:sz w:val="18"/>
          <w:szCs w:val="18"/>
          <w:lang w:eastAsia="en-AU"/>
          <w14:ligatures w14:val="none"/>
        </w:rPr>
        <w:t xml:space="preserve">ransmembrane conductance </w:t>
      </w:r>
      <w:r>
        <w:rPr>
          <w:rFonts w:ascii="Arial Narrow" w:eastAsia="Times New Roman" w:hAnsi="Arial Narrow" w:cs="Calibri"/>
          <w:kern w:val="0"/>
          <w:sz w:val="18"/>
          <w:szCs w:val="18"/>
          <w:lang w:eastAsia="en-AU"/>
          <w14:ligatures w14:val="none"/>
        </w:rPr>
        <w:t>R</w:t>
      </w:r>
      <w:r w:rsidRPr="00D0611C">
        <w:rPr>
          <w:rFonts w:ascii="Arial Narrow" w:eastAsia="Times New Roman" w:hAnsi="Arial Narrow" w:cs="Calibri"/>
          <w:kern w:val="0"/>
          <w:sz w:val="18"/>
          <w:szCs w:val="18"/>
          <w:lang w:eastAsia="en-AU"/>
          <w14:ligatures w14:val="none"/>
        </w:rPr>
        <w:t>egulator</w:t>
      </w:r>
      <w:r>
        <w:rPr>
          <w:rFonts w:ascii="Arial Narrow" w:eastAsia="Times New Roman" w:hAnsi="Arial Narrow" w:cs="Calibri"/>
          <w:kern w:val="0"/>
          <w:sz w:val="18"/>
          <w:szCs w:val="18"/>
          <w:lang w:eastAsia="en-AU"/>
          <w14:ligatures w14:val="none"/>
        </w:rPr>
        <w:t>; mTOR</w:t>
      </w:r>
      <w:r w:rsidR="000B6844">
        <w:rPr>
          <w:rFonts w:ascii="Arial Narrow" w:eastAsia="Times New Roman" w:hAnsi="Arial Narrow" w:cs="Calibri"/>
          <w:kern w:val="0"/>
          <w:sz w:val="18"/>
          <w:szCs w:val="18"/>
          <w:lang w:eastAsia="en-AU"/>
          <w14:ligatures w14:val="none"/>
        </w:rPr>
        <w:t xml:space="preserve">: </w:t>
      </w:r>
      <w:r w:rsidR="00EB28B4" w:rsidRPr="00EB28B4">
        <w:rPr>
          <w:rFonts w:ascii="Arial Narrow" w:eastAsia="Times New Roman" w:hAnsi="Arial Narrow" w:cs="Calibri"/>
          <w:kern w:val="0"/>
          <w:sz w:val="18"/>
          <w:szCs w:val="18"/>
          <w:lang w:eastAsia="en-AU"/>
          <w14:ligatures w14:val="none"/>
        </w:rPr>
        <w:t xml:space="preserve">mammalian </w:t>
      </w:r>
      <w:r w:rsidR="00EB28B4">
        <w:rPr>
          <w:rFonts w:ascii="Arial Narrow" w:eastAsia="Times New Roman" w:hAnsi="Arial Narrow" w:cs="Calibri"/>
          <w:kern w:val="0"/>
          <w:sz w:val="18"/>
          <w:szCs w:val="18"/>
          <w:lang w:eastAsia="en-AU"/>
          <w14:ligatures w14:val="none"/>
        </w:rPr>
        <w:t>T</w:t>
      </w:r>
      <w:r w:rsidR="00EB28B4" w:rsidRPr="00EB28B4">
        <w:rPr>
          <w:rFonts w:ascii="Arial Narrow" w:eastAsia="Times New Roman" w:hAnsi="Arial Narrow" w:cs="Calibri"/>
          <w:kern w:val="0"/>
          <w:sz w:val="18"/>
          <w:szCs w:val="18"/>
          <w:lang w:eastAsia="en-AU"/>
          <w14:ligatures w14:val="none"/>
        </w:rPr>
        <w:t xml:space="preserve">arget of </w:t>
      </w:r>
      <w:r w:rsidR="00EB28B4">
        <w:rPr>
          <w:rFonts w:ascii="Arial Narrow" w:eastAsia="Times New Roman" w:hAnsi="Arial Narrow" w:cs="Calibri"/>
          <w:kern w:val="0"/>
          <w:sz w:val="18"/>
          <w:szCs w:val="18"/>
          <w:lang w:eastAsia="en-AU"/>
          <w14:ligatures w14:val="none"/>
        </w:rPr>
        <w:t>R</w:t>
      </w:r>
      <w:r w:rsidR="00EB28B4" w:rsidRPr="00EB28B4">
        <w:rPr>
          <w:rFonts w:ascii="Arial Narrow" w:eastAsia="Times New Roman" w:hAnsi="Arial Narrow" w:cs="Calibri"/>
          <w:kern w:val="0"/>
          <w:sz w:val="18"/>
          <w:szCs w:val="18"/>
          <w:lang w:eastAsia="en-AU"/>
          <w14:ligatures w14:val="none"/>
        </w:rPr>
        <w:t>apamycin</w:t>
      </w:r>
    </w:p>
    <w:p w14:paraId="22F0A410" w14:textId="77777777" w:rsidR="00974E47" w:rsidRDefault="00974E47" w:rsidP="00974E47">
      <w:pPr>
        <w:spacing w:after="0" w:line="240" w:lineRule="auto"/>
        <w:jc w:val="both"/>
        <w:textAlignment w:val="baseline"/>
        <w:rPr>
          <w:rFonts w:ascii="Calibri" w:eastAsia="Times New Roman" w:hAnsi="Calibri" w:cs="Calibri"/>
          <w:kern w:val="0"/>
          <w:lang w:eastAsia="en-AU"/>
          <w14:ligatures w14:val="none"/>
        </w:rPr>
      </w:pPr>
    </w:p>
    <w:p w14:paraId="435FEDDA" w14:textId="2B566C99" w:rsidR="007A2444" w:rsidRPr="007A2444" w:rsidRDefault="00A354BE" w:rsidP="007A2444">
      <w:pPr>
        <w:spacing w:after="0" w:line="240" w:lineRule="auto"/>
        <w:jc w:val="both"/>
        <w:textAlignment w:val="baseline"/>
        <w:rPr>
          <w:rFonts w:ascii="Calibri" w:eastAsia="Times New Roman" w:hAnsi="Calibri" w:cs="Calibri"/>
          <w:kern w:val="0"/>
          <w:lang w:eastAsia="en-AU"/>
          <w14:ligatures w14:val="none"/>
        </w:rPr>
      </w:pPr>
      <w:bookmarkStart w:id="1" w:name="_Hlk205811805"/>
      <w:r>
        <w:rPr>
          <w:rFonts w:ascii="Calibri" w:eastAsia="Times New Roman" w:hAnsi="Calibri" w:cs="Calibri"/>
          <w:kern w:val="0"/>
          <w:lang w:eastAsia="en-AU"/>
          <w14:ligatures w14:val="none"/>
        </w:rPr>
        <w:t>T</w:t>
      </w:r>
      <w:r w:rsidR="00311F5B">
        <w:rPr>
          <w:rFonts w:ascii="Calibri" w:eastAsia="Times New Roman" w:hAnsi="Calibri" w:cs="Calibri"/>
          <w:kern w:val="0"/>
          <w:lang w:eastAsia="en-AU"/>
          <w14:ligatures w14:val="none"/>
        </w:rPr>
        <w:t xml:space="preserve">he </w:t>
      </w:r>
      <w:r w:rsidR="007A2444" w:rsidRPr="007A2444">
        <w:rPr>
          <w:rFonts w:ascii="Calibri" w:eastAsia="Times New Roman" w:hAnsi="Calibri" w:cs="Calibri"/>
          <w:kern w:val="0"/>
          <w:lang w:eastAsia="en-AU"/>
          <w14:ligatures w14:val="none"/>
        </w:rPr>
        <w:t xml:space="preserve">PBAC was not supportive of nurse practitioner prescribing </w:t>
      </w:r>
      <w:r>
        <w:rPr>
          <w:rFonts w:ascii="Calibri" w:eastAsia="Times New Roman" w:hAnsi="Calibri" w:cs="Calibri"/>
          <w:kern w:val="0"/>
          <w:lang w:eastAsia="en-AU"/>
          <w14:ligatures w14:val="none"/>
        </w:rPr>
        <w:t>for some of the</w:t>
      </w:r>
      <w:r w:rsidRPr="007A2444">
        <w:rPr>
          <w:rFonts w:ascii="Calibri" w:eastAsia="Times New Roman" w:hAnsi="Calibri" w:cs="Calibri"/>
          <w:kern w:val="0"/>
          <w:lang w:eastAsia="en-AU"/>
          <w14:ligatures w14:val="none"/>
        </w:rPr>
        <w:t xml:space="preserve"> identified </w:t>
      </w:r>
      <w:r>
        <w:rPr>
          <w:rFonts w:ascii="Calibri" w:eastAsia="Times New Roman" w:hAnsi="Calibri" w:cs="Calibri"/>
          <w:kern w:val="0"/>
          <w:lang w:eastAsia="en-AU"/>
          <w14:ligatures w14:val="none"/>
        </w:rPr>
        <w:t>S</w:t>
      </w:r>
      <w:r w:rsidRPr="007A2444">
        <w:rPr>
          <w:rFonts w:ascii="Calibri" w:eastAsia="Times New Roman" w:hAnsi="Calibri" w:cs="Calibri"/>
          <w:kern w:val="0"/>
          <w:lang w:eastAsia="en-AU"/>
          <w14:ligatures w14:val="none"/>
        </w:rPr>
        <w:t xml:space="preserve">100 HSD </w:t>
      </w:r>
      <w:r>
        <w:rPr>
          <w:rFonts w:ascii="Calibri" w:eastAsia="Times New Roman" w:hAnsi="Calibri" w:cs="Calibri"/>
          <w:kern w:val="0"/>
          <w:lang w:eastAsia="en-AU"/>
          <w14:ligatures w14:val="none"/>
        </w:rPr>
        <w:t>medicines</w:t>
      </w:r>
      <w:r w:rsidRPr="007A2444">
        <w:rPr>
          <w:rFonts w:ascii="Calibri" w:eastAsia="Times New Roman" w:hAnsi="Calibri" w:cs="Calibri"/>
          <w:kern w:val="0"/>
          <w:lang w:eastAsia="en-AU"/>
          <w14:ligatures w14:val="none"/>
        </w:rPr>
        <w:t xml:space="preserve"> </w:t>
      </w:r>
      <w:r w:rsidR="00E6733B">
        <w:rPr>
          <w:rFonts w:ascii="Calibri" w:eastAsia="Times New Roman" w:hAnsi="Calibri" w:cs="Calibri"/>
          <w:kern w:val="0"/>
          <w:lang w:eastAsia="en-AU"/>
          <w14:ligatures w14:val="none"/>
        </w:rPr>
        <w:t>(</w:t>
      </w:r>
      <w:r w:rsidRPr="00991110">
        <w:rPr>
          <w:rFonts w:ascii="Calibri" w:eastAsia="Times New Roman" w:hAnsi="Calibri" w:cs="Calibri"/>
          <w:kern w:val="0"/>
          <w:lang w:eastAsia="en-AU"/>
          <w14:ligatures w14:val="none"/>
        </w:rPr>
        <w:t>refer</w:t>
      </w:r>
      <w:r>
        <w:rPr>
          <w:rFonts w:ascii="Calibri" w:eastAsia="Times New Roman" w:hAnsi="Calibri" w:cs="Calibri"/>
          <w:kern w:val="0"/>
          <w:lang w:eastAsia="en-AU"/>
          <w14:ligatures w14:val="none"/>
        </w:rPr>
        <w:t xml:space="preserve"> </w:t>
      </w:r>
      <w:r w:rsidR="007A2444" w:rsidRPr="007A2444">
        <w:rPr>
          <w:rFonts w:ascii="Calibri" w:eastAsia="Times New Roman" w:hAnsi="Calibri" w:cs="Calibri"/>
          <w:kern w:val="0"/>
          <w:lang w:eastAsia="en-AU"/>
          <w14:ligatures w14:val="none"/>
        </w:rPr>
        <w:t xml:space="preserve">Table </w:t>
      </w:r>
      <w:r w:rsidR="00E6733B">
        <w:rPr>
          <w:rFonts w:ascii="Calibri" w:eastAsia="Times New Roman" w:hAnsi="Calibri" w:cs="Calibri"/>
          <w:kern w:val="0"/>
          <w:lang w:eastAsia="en-AU"/>
          <w14:ligatures w14:val="none"/>
        </w:rPr>
        <w:t>4)</w:t>
      </w:r>
      <w:r w:rsidR="007A2444" w:rsidRPr="007A2444">
        <w:rPr>
          <w:rFonts w:ascii="Calibri" w:eastAsia="Times New Roman" w:hAnsi="Calibri" w:cs="Calibri"/>
          <w:kern w:val="0"/>
          <w:lang w:eastAsia="en-AU"/>
          <w14:ligatures w14:val="none"/>
        </w:rPr>
        <w:t xml:space="preserve">. </w:t>
      </w:r>
      <w:bookmarkEnd w:id="1"/>
      <w:r w:rsidR="007A2444" w:rsidRPr="007A2444">
        <w:rPr>
          <w:rFonts w:ascii="Calibri" w:eastAsia="Times New Roman" w:hAnsi="Calibri" w:cs="Calibri"/>
          <w:kern w:val="0"/>
          <w:lang w:eastAsia="en-AU"/>
          <w14:ligatures w14:val="none"/>
        </w:rPr>
        <w:t>Th</w:t>
      </w:r>
      <w:r>
        <w:rPr>
          <w:rFonts w:ascii="Calibri" w:eastAsia="Times New Roman" w:hAnsi="Calibri" w:cs="Calibri"/>
          <w:kern w:val="0"/>
          <w:lang w:eastAsia="en-AU"/>
          <w14:ligatures w14:val="none"/>
        </w:rPr>
        <w:t xml:space="preserve">is </w:t>
      </w:r>
      <w:r w:rsidR="007A2444" w:rsidRPr="007A2444">
        <w:rPr>
          <w:rFonts w:ascii="Calibri" w:eastAsia="Times New Roman" w:hAnsi="Calibri" w:cs="Calibri"/>
          <w:kern w:val="0"/>
          <w:lang w:eastAsia="en-AU"/>
          <w14:ligatures w14:val="none"/>
        </w:rPr>
        <w:t>include</w:t>
      </w:r>
      <w:r w:rsidR="00CD7DF8" w:rsidRPr="00991110">
        <w:rPr>
          <w:rFonts w:ascii="Calibri" w:eastAsia="Times New Roman" w:hAnsi="Calibri" w:cs="Calibri"/>
          <w:kern w:val="0"/>
          <w:lang w:eastAsia="en-AU"/>
          <w14:ligatures w14:val="none"/>
        </w:rPr>
        <w:t>s</w:t>
      </w:r>
      <w:r w:rsidR="007A2444" w:rsidRPr="007A2444">
        <w:rPr>
          <w:rFonts w:ascii="Calibri" w:eastAsia="Times New Roman" w:hAnsi="Calibri" w:cs="Calibri"/>
          <w:kern w:val="0"/>
          <w:lang w:eastAsia="en-AU"/>
          <w14:ligatures w14:val="none"/>
        </w:rPr>
        <w:t xml:space="preserve"> medicines where </w:t>
      </w:r>
      <w:r w:rsidR="00991110">
        <w:rPr>
          <w:rFonts w:ascii="Calibri" w:eastAsia="Times New Roman" w:hAnsi="Calibri" w:cs="Calibri"/>
          <w:kern w:val="0"/>
          <w:lang w:eastAsia="en-AU"/>
          <w14:ligatures w14:val="none"/>
        </w:rPr>
        <w:t xml:space="preserve">existing </w:t>
      </w:r>
      <w:r w:rsidR="007A2444" w:rsidRPr="007A2444">
        <w:rPr>
          <w:rFonts w:ascii="Calibri" w:eastAsia="Times New Roman" w:hAnsi="Calibri" w:cs="Calibri"/>
          <w:kern w:val="0"/>
          <w:lang w:eastAsia="en-AU"/>
          <w14:ligatures w14:val="none"/>
        </w:rPr>
        <w:t xml:space="preserve">PBS restrictions limit prescribing to specialist medical practitioners only, and medicines with dual </w:t>
      </w:r>
      <w:r w:rsidR="00311F5B">
        <w:rPr>
          <w:rFonts w:ascii="Calibri" w:eastAsia="Times New Roman" w:hAnsi="Calibri" w:cs="Calibri"/>
          <w:kern w:val="0"/>
          <w:lang w:eastAsia="en-AU"/>
          <w14:ligatures w14:val="none"/>
        </w:rPr>
        <w:t>S</w:t>
      </w:r>
      <w:r w:rsidR="007A2444" w:rsidRPr="007A2444">
        <w:rPr>
          <w:rFonts w:ascii="Calibri" w:eastAsia="Times New Roman" w:hAnsi="Calibri" w:cs="Calibri"/>
          <w:kern w:val="0"/>
          <w:lang w:eastAsia="en-AU"/>
          <w14:ligatures w14:val="none"/>
        </w:rPr>
        <w:t xml:space="preserve">100 HSD and General Schedule listings, where the General Schedule listing(s) already permit nurse practitioners to prescribe as continuing/maintenance therapy (i.e. sevelamer, lanthanum, sucroferric oxyhydroxide). The PBAC noted thalidomide and its analogues have </w:t>
      </w:r>
      <w:r w:rsidR="00BC5128">
        <w:rPr>
          <w:rFonts w:ascii="Calibri" w:eastAsia="Times New Roman" w:hAnsi="Calibri" w:cs="Calibri"/>
          <w:kern w:val="0"/>
          <w:lang w:eastAsia="en-AU"/>
          <w14:ligatures w14:val="none"/>
        </w:rPr>
        <w:t xml:space="preserve">further </w:t>
      </w:r>
      <w:r w:rsidR="007A2444" w:rsidRPr="007A2444">
        <w:rPr>
          <w:rFonts w:ascii="Calibri" w:eastAsia="Times New Roman" w:hAnsi="Calibri" w:cs="Calibri"/>
          <w:kern w:val="0"/>
          <w:lang w:eastAsia="en-AU"/>
          <w14:ligatures w14:val="none"/>
        </w:rPr>
        <w:t xml:space="preserve">state/territory restrictions on prescriber types owing to the teratogenicity of these drugs. </w:t>
      </w:r>
    </w:p>
    <w:p w14:paraId="19E47E07" w14:textId="77777777" w:rsidR="006214AA" w:rsidRDefault="006214AA" w:rsidP="00974E47">
      <w:pPr>
        <w:spacing w:after="0" w:line="240" w:lineRule="auto"/>
        <w:jc w:val="both"/>
        <w:textAlignment w:val="baseline"/>
        <w:rPr>
          <w:rFonts w:ascii="Calibri" w:eastAsia="Times New Roman" w:hAnsi="Calibri" w:cs="Calibri"/>
          <w:kern w:val="0"/>
          <w:lang w:eastAsia="en-AU"/>
          <w14:ligatures w14:val="none"/>
        </w:rPr>
      </w:pPr>
    </w:p>
    <w:p w14:paraId="3ABF3028" w14:textId="0F8E281F" w:rsidR="00401DEB" w:rsidRPr="00401DEB" w:rsidRDefault="00401DEB" w:rsidP="00991110">
      <w:pPr>
        <w:spacing w:after="120" w:line="240" w:lineRule="auto"/>
        <w:jc w:val="both"/>
        <w:rPr>
          <w:rFonts w:ascii="Arial Narrow" w:eastAsia="Calibri" w:hAnsi="Arial Narrow"/>
          <w:b/>
          <w:bCs/>
          <w:snapToGrid w:val="0"/>
          <w:kern w:val="0"/>
          <w:sz w:val="20"/>
          <w:szCs w:val="20"/>
          <w:lang w:eastAsia="en-AU"/>
          <w14:ligatures w14:val="none"/>
        </w:rPr>
      </w:pPr>
      <w:r w:rsidRPr="00401DEB">
        <w:rPr>
          <w:rFonts w:ascii="Arial Narrow" w:eastAsia="Calibri" w:hAnsi="Arial Narrow"/>
          <w:b/>
          <w:bCs/>
          <w:snapToGrid w:val="0"/>
          <w:kern w:val="0"/>
          <w:sz w:val="20"/>
          <w:szCs w:val="20"/>
          <w:lang w:eastAsia="en-AU"/>
          <w14:ligatures w14:val="none"/>
        </w:rPr>
        <w:t xml:space="preserve">Table </w:t>
      </w:r>
      <w:r w:rsidR="0016365D">
        <w:rPr>
          <w:rFonts w:ascii="Arial Narrow" w:eastAsia="Calibri" w:hAnsi="Arial Narrow"/>
          <w:b/>
          <w:bCs/>
          <w:snapToGrid w:val="0"/>
          <w:kern w:val="0"/>
          <w:sz w:val="20"/>
          <w:szCs w:val="20"/>
          <w:lang w:eastAsia="en-AU"/>
          <w14:ligatures w14:val="none"/>
        </w:rPr>
        <w:t>4</w:t>
      </w:r>
      <w:r w:rsidR="0016365D" w:rsidRPr="00401DEB">
        <w:rPr>
          <w:rFonts w:ascii="Arial Narrow" w:eastAsia="Calibri" w:hAnsi="Arial Narrow"/>
          <w:b/>
          <w:bCs/>
          <w:snapToGrid w:val="0"/>
          <w:kern w:val="0"/>
          <w:sz w:val="20"/>
          <w:szCs w:val="20"/>
          <w:lang w:eastAsia="en-AU"/>
          <w14:ligatures w14:val="none"/>
        </w:rPr>
        <w:t xml:space="preserve"> </w:t>
      </w:r>
      <w:r w:rsidRPr="00401DEB">
        <w:rPr>
          <w:rFonts w:ascii="Arial Narrow" w:eastAsia="Calibri" w:hAnsi="Arial Narrow"/>
          <w:b/>
          <w:bCs/>
          <w:snapToGrid w:val="0"/>
          <w:kern w:val="0"/>
          <w:sz w:val="20"/>
          <w:szCs w:val="20"/>
          <w:lang w:eastAsia="en-AU"/>
          <w14:ligatures w14:val="none"/>
        </w:rPr>
        <w:t xml:space="preserve">– S100 HSD </w:t>
      </w:r>
      <w:r w:rsidR="00EB5426">
        <w:rPr>
          <w:rFonts w:ascii="Arial Narrow" w:eastAsia="Calibri" w:hAnsi="Arial Narrow"/>
          <w:b/>
          <w:bCs/>
          <w:snapToGrid w:val="0"/>
          <w:kern w:val="0"/>
          <w:sz w:val="20"/>
          <w:szCs w:val="20"/>
          <w:lang w:eastAsia="en-AU"/>
          <w14:ligatures w14:val="none"/>
        </w:rPr>
        <w:t>medicines</w:t>
      </w:r>
      <w:r w:rsidR="00EB5426" w:rsidRPr="00401DEB">
        <w:rPr>
          <w:rFonts w:ascii="Arial Narrow" w:eastAsia="Calibri" w:hAnsi="Arial Narrow"/>
          <w:b/>
          <w:bCs/>
          <w:snapToGrid w:val="0"/>
          <w:kern w:val="0"/>
          <w:sz w:val="20"/>
          <w:szCs w:val="20"/>
          <w:lang w:eastAsia="en-AU"/>
          <w14:ligatures w14:val="none"/>
        </w:rPr>
        <w:t xml:space="preserve"> </w:t>
      </w:r>
      <w:r w:rsidRPr="00401DEB">
        <w:rPr>
          <w:rFonts w:ascii="Arial Narrow" w:eastAsia="Calibri" w:hAnsi="Arial Narrow"/>
          <w:b/>
          <w:bCs/>
          <w:snapToGrid w:val="0"/>
          <w:kern w:val="0"/>
          <w:sz w:val="20"/>
          <w:szCs w:val="20"/>
          <w:lang w:eastAsia="en-AU"/>
          <w14:ligatures w14:val="none"/>
        </w:rPr>
        <w:t>which the PBAC did not support the addition of nurse practitioners as eligible prescribers:</w:t>
      </w:r>
    </w:p>
    <w:tbl>
      <w:tblPr>
        <w:tblStyle w:val="TableGrid31"/>
        <w:tblW w:w="9072" w:type="dxa"/>
        <w:tblInd w:w="-5" w:type="dxa"/>
        <w:tblLook w:val="04A0" w:firstRow="1" w:lastRow="0" w:firstColumn="1" w:lastColumn="0" w:noHBand="0" w:noVBand="1"/>
      </w:tblPr>
      <w:tblGrid>
        <w:gridCol w:w="308"/>
        <w:gridCol w:w="3236"/>
        <w:gridCol w:w="5528"/>
      </w:tblGrid>
      <w:tr w:rsidR="00401DEB" w:rsidRPr="00401DEB" w14:paraId="11640969" w14:textId="77777777" w:rsidTr="00991110">
        <w:trPr>
          <w:trHeight w:val="251"/>
          <w:tblHeader/>
        </w:trPr>
        <w:tc>
          <w:tcPr>
            <w:tcW w:w="3544" w:type="dxa"/>
            <w:gridSpan w:val="2"/>
          </w:tcPr>
          <w:p w14:paraId="53A7540F" w14:textId="32D3C767"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b/>
                <w:bCs/>
                <w:i/>
                <w:iCs/>
                <w:sz w:val="20"/>
                <w:szCs w:val="20"/>
              </w:rPr>
              <w:t>Disease area:</w:t>
            </w:r>
            <w:r w:rsidRPr="00401DEB">
              <w:rPr>
                <w:rFonts w:ascii="Arial Narrow" w:hAnsi="Arial Narrow" w:cs="Arial"/>
                <w:b/>
                <w:bCs/>
                <w:sz w:val="20"/>
                <w:szCs w:val="20"/>
              </w:rPr>
              <w:t xml:space="preserve"> </w:t>
            </w:r>
            <w:r w:rsidRPr="00401DEB">
              <w:rPr>
                <w:rFonts w:ascii="Arial Narrow" w:hAnsi="Arial Narrow" w:cs="Arial"/>
                <w:sz w:val="20"/>
                <w:szCs w:val="20"/>
              </w:rPr>
              <w:t>drug(s)</w:t>
            </w:r>
          </w:p>
        </w:tc>
        <w:tc>
          <w:tcPr>
            <w:tcW w:w="5528" w:type="dxa"/>
          </w:tcPr>
          <w:p w14:paraId="5550A202" w14:textId="77777777" w:rsidR="00401DEB" w:rsidRPr="00401DEB" w:rsidRDefault="00401DEB" w:rsidP="00401DEB">
            <w:pPr>
              <w:spacing w:after="120" w:line="240" w:lineRule="auto"/>
              <w:rPr>
                <w:rFonts w:ascii="Arial Narrow" w:hAnsi="Arial Narrow" w:cs="Arial"/>
                <w:b/>
                <w:bCs/>
                <w:sz w:val="20"/>
                <w:szCs w:val="20"/>
              </w:rPr>
            </w:pPr>
            <w:r w:rsidRPr="00401DEB">
              <w:rPr>
                <w:rFonts w:ascii="Arial Narrow" w:hAnsi="Arial Narrow" w:cs="Arial"/>
                <w:b/>
                <w:bCs/>
                <w:sz w:val="20"/>
                <w:szCs w:val="20"/>
              </w:rPr>
              <w:t xml:space="preserve">Rationale </w:t>
            </w:r>
          </w:p>
        </w:tc>
      </w:tr>
      <w:tr w:rsidR="00401DEB" w:rsidRPr="00401DEB" w14:paraId="7D40803C" w14:textId="77777777" w:rsidTr="00991110">
        <w:trPr>
          <w:trHeight w:val="580"/>
        </w:trPr>
        <w:tc>
          <w:tcPr>
            <w:tcW w:w="308" w:type="dxa"/>
          </w:tcPr>
          <w:p w14:paraId="45C9BD16" w14:textId="77777777"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1</w:t>
            </w:r>
          </w:p>
        </w:tc>
        <w:tc>
          <w:tcPr>
            <w:tcW w:w="3236" w:type="dxa"/>
          </w:tcPr>
          <w:p w14:paraId="6767DAD1" w14:textId="77777777" w:rsidR="00401DEB" w:rsidRPr="00401DEB" w:rsidRDefault="00401DEB" w:rsidP="00401DEB">
            <w:pPr>
              <w:spacing w:after="120" w:line="240" w:lineRule="auto"/>
              <w:rPr>
                <w:rFonts w:ascii="Arial Narrow" w:hAnsi="Arial Narrow" w:cs="Arial"/>
                <w:b/>
                <w:bCs/>
                <w:i/>
                <w:iCs/>
                <w:sz w:val="20"/>
                <w:szCs w:val="20"/>
              </w:rPr>
            </w:pPr>
            <w:r w:rsidRPr="00401DEB">
              <w:rPr>
                <w:rFonts w:ascii="Arial Narrow" w:hAnsi="Arial Narrow" w:cs="Arial"/>
                <w:b/>
                <w:bCs/>
                <w:i/>
                <w:iCs/>
                <w:sz w:val="20"/>
                <w:szCs w:val="20"/>
              </w:rPr>
              <w:t xml:space="preserve">Multiple myeloma medicines: </w:t>
            </w:r>
          </w:p>
          <w:p w14:paraId="16427E5D" w14:textId="3B0F0CB5" w:rsidR="00401DEB" w:rsidRPr="00401DEB" w:rsidRDefault="00401DEB" w:rsidP="0016365D">
            <w:pPr>
              <w:spacing w:after="120" w:line="240" w:lineRule="auto"/>
              <w:rPr>
                <w:rFonts w:ascii="Arial Narrow" w:hAnsi="Arial Narrow" w:cs="Arial"/>
                <w:sz w:val="20"/>
                <w:szCs w:val="20"/>
              </w:rPr>
            </w:pPr>
            <w:r w:rsidRPr="00401DEB">
              <w:rPr>
                <w:rFonts w:ascii="Arial Narrow" w:hAnsi="Arial Narrow" w:cs="Arial"/>
                <w:sz w:val="20"/>
                <w:szCs w:val="20"/>
              </w:rPr>
              <w:t>lenalidomide, thalidomide, pomalidomide</w:t>
            </w:r>
          </w:p>
        </w:tc>
        <w:tc>
          <w:tcPr>
            <w:tcW w:w="5528" w:type="dxa"/>
          </w:tcPr>
          <w:p w14:paraId="532CC6A5" w14:textId="52F00BDE" w:rsidR="00BC5128" w:rsidRDefault="00401DEB" w:rsidP="00BC5128">
            <w:pPr>
              <w:spacing w:after="120" w:line="240" w:lineRule="auto"/>
              <w:rPr>
                <w:rFonts w:ascii="Arial Narrow" w:hAnsi="Arial Narrow" w:cs="Arial"/>
                <w:sz w:val="20"/>
                <w:szCs w:val="20"/>
              </w:rPr>
            </w:pPr>
            <w:r w:rsidRPr="00401DEB">
              <w:rPr>
                <w:rFonts w:ascii="Arial Narrow" w:hAnsi="Arial Narrow" w:cs="Arial"/>
                <w:sz w:val="20"/>
                <w:szCs w:val="20"/>
              </w:rPr>
              <w:t>Principle</w:t>
            </w:r>
            <w:r w:rsidR="00BC5128">
              <w:rPr>
                <w:rFonts w:ascii="Arial Narrow" w:hAnsi="Arial Narrow" w:cs="Arial"/>
                <w:sz w:val="20"/>
                <w:szCs w:val="20"/>
              </w:rPr>
              <w:t xml:space="preserve"> 1</w:t>
            </w:r>
            <w:r w:rsidRPr="00401DEB">
              <w:rPr>
                <w:rFonts w:ascii="Arial Narrow" w:hAnsi="Arial Narrow" w:cs="Arial"/>
                <w:sz w:val="20"/>
                <w:szCs w:val="20"/>
              </w:rPr>
              <w:t>:</w:t>
            </w:r>
            <w:r w:rsidR="00BC5128">
              <w:rPr>
                <w:rFonts w:ascii="Arial Narrow" w:hAnsi="Arial Narrow" w:cs="Arial"/>
                <w:sz w:val="20"/>
                <w:szCs w:val="20"/>
              </w:rPr>
              <w:t xml:space="preserve"> S</w:t>
            </w:r>
            <w:r w:rsidRPr="00401DEB">
              <w:rPr>
                <w:rFonts w:ascii="Arial Narrow" w:hAnsi="Arial Narrow" w:cs="Arial"/>
                <w:sz w:val="20"/>
                <w:szCs w:val="20"/>
              </w:rPr>
              <w:t xml:space="preserve">tate/territory legislation considerations </w:t>
            </w:r>
          </w:p>
          <w:p w14:paraId="3DDA5D77" w14:textId="06EE28E3" w:rsidR="00401DEB" w:rsidRPr="00401DEB" w:rsidRDefault="00BC5128" w:rsidP="00401DEB">
            <w:pPr>
              <w:spacing w:after="120" w:line="240" w:lineRule="auto"/>
              <w:rPr>
                <w:rFonts w:ascii="Arial Narrow" w:hAnsi="Arial Narrow" w:cs="Arial"/>
                <w:sz w:val="20"/>
                <w:szCs w:val="20"/>
              </w:rPr>
            </w:pPr>
            <w:r>
              <w:rPr>
                <w:rFonts w:ascii="Arial Narrow" w:hAnsi="Arial Narrow" w:cs="Arial"/>
                <w:sz w:val="20"/>
                <w:szCs w:val="20"/>
              </w:rPr>
              <w:t>Principle 4:</w:t>
            </w:r>
            <w:r w:rsidR="0016365D">
              <w:rPr>
                <w:rFonts w:ascii="Arial Narrow" w:hAnsi="Arial Narrow" w:cs="Arial"/>
                <w:sz w:val="20"/>
                <w:szCs w:val="20"/>
              </w:rPr>
              <w:t xml:space="preserve"> </w:t>
            </w:r>
            <w:r w:rsidR="00401DEB" w:rsidRPr="00401DEB">
              <w:rPr>
                <w:rFonts w:ascii="Arial Narrow" w:hAnsi="Arial Narrow" w:cs="Arial"/>
                <w:sz w:val="20"/>
                <w:szCs w:val="20"/>
              </w:rPr>
              <w:t xml:space="preserve">Complex condition </w:t>
            </w:r>
            <w:r>
              <w:rPr>
                <w:rFonts w:ascii="Arial Narrow" w:hAnsi="Arial Narrow" w:cs="Arial"/>
                <w:sz w:val="20"/>
                <w:szCs w:val="20"/>
              </w:rPr>
              <w:t>where specialists are likely to diagnose/oversee treatment.</w:t>
            </w:r>
          </w:p>
        </w:tc>
      </w:tr>
      <w:tr w:rsidR="00401DEB" w:rsidRPr="00401DEB" w14:paraId="2F13B9D6" w14:textId="77777777" w:rsidTr="00991110">
        <w:trPr>
          <w:trHeight w:val="259"/>
        </w:trPr>
        <w:tc>
          <w:tcPr>
            <w:tcW w:w="308" w:type="dxa"/>
          </w:tcPr>
          <w:p w14:paraId="2E846E1E" w14:textId="77777777"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2</w:t>
            </w:r>
          </w:p>
        </w:tc>
        <w:tc>
          <w:tcPr>
            <w:tcW w:w="3236" w:type="dxa"/>
          </w:tcPr>
          <w:p w14:paraId="2981332A" w14:textId="77777777" w:rsidR="00401DEB" w:rsidRPr="00401DEB" w:rsidRDefault="00401DEB" w:rsidP="00401DEB">
            <w:pPr>
              <w:spacing w:after="120" w:line="240" w:lineRule="auto"/>
              <w:rPr>
                <w:rFonts w:ascii="Arial Narrow" w:hAnsi="Arial Narrow" w:cs="Arial"/>
                <w:b/>
                <w:bCs/>
                <w:i/>
                <w:iCs/>
                <w:sz w:val="20"/>
                <w:szCs w:val="20"/>
              </w:rPr>
            </w:pPr>
            <w:r w:rsidRPr="00401DEB">
              <w:rPr>
                <w:rFonts w:ascii="Arial Narrow" w:hAnsi="Arial Narrow" w:cs="Arial"/>
                <w:b/>
                <w:bCs/>
                <w:i/>
                <w:iCs/>
                <w:sz w:val="20"/>
                <w:szCs w:val="20"/>
              </w:rPr>
              <w:t>Biologics for severe asthma:</w:t>
            </w:r>
          </w:p>
          <w:p w14:paraId="707E0A35" w14:textId="1323A79D"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benralizumab,</w:t>
            </w:r>
            <w:r w:rsidR="0016365D">
              <w:rPr>
                <w:rFonts w:ascii="Arial Narrow" w:hAnsi="Arial Narrow" w:cs="Arial"/>
                <w:sz w:val="20"/>
                <w:szCs w:val="20"/>
              </w:rPr>
              <w:t xml:space="preserve"> </w:t>
            </w:r>
            <w:r w:rsidRPr="00401DEB">
              <w:rPr>
                <w:rFonts w:ascii="Arial Narrow" w:hAnsi="Arial Narrow" w:cs="Arial"/>
                <w:sz w:val="20"/>
                <w:szCs w:val="20"/>
              </w:rPr>
              <w:t>dupilumab,</w:t>
            </w:r>
            <w:r w:rsidR="0016365D">
              <w:rPr>
                <w:rFonts w:ascii="Arial Narrow" w:hAnsi="Arial Narrow" w:cs="Arial"/>
                <w:sz w:val="20"/>
                <w:szCs w:val="20"/>
              </w:rPr>
              <w:t xml:space="preserve"> </w:t>
            </w:r>
            <w:r w:rsidRPr="00401DEB">
              <w:rPr>
                <w:rFonts w:ascii="Arial Narrow" w:hAnsi="Arial Narrow" w:cs="Arial"/>
                <w:sz w:val="20"/>
                <w:szCs w:val="20"/>
              </w:rPr>
              <w:t>mepolizumab,</w:t>
            </w:r>
            <w:r w:rsidR="0016365D">
              <w:rPr>
                <w:rFonts w:ascii="Arial Narrow" w:hAnsi="Arial Narrow" w:cs="Arial"/>
                <w:sz w:val="20"/>
                <w:szCs w:val="20"/>
              </w:rPr>
              <w:t xml:space="preserve"> </w:t>
            </w:r>
            <w:r w:rsidRPr="00401DEB">
              <w:rPr>
                <w:rFonts w:ascii="Arial Narrow" w:hAnsi="Arial Narrow" w:cs="Arial"/>
                <w:sz w:val="20"/>
                <w:szCs w:val="20"/>
              </w:rPr>
              <w:t>omalizumab</w:t>
            </w:r>
          </w:p>
        </w:tc>
        <w:tc>
          <w:tcPr>
            <w:tcW w:w="5528" w:type="dxa"/>
          </w:tcPr>
          <w:p w14:paraId="5FCA1003" w14:textId="291E81DC"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Prescribing is currently limited to specialist medical practitioners only</w:t>
            </w:r>
          </w:p>
          <w:p w14:paraId="3883B06B" w14:textId="62E4AB15" w:rsidR="00401DEB" w:rsidRPr="00401DEB" w:rsidRDefault="00401DEB" w:rsidP="0016365D">
            <w:pPr>
              <w:spacing w:after="120" w:line="240" w:lineRule="auto"/>
              <w:rPr>
                <w:rFonts w:ascii="Arial Narrow" w:eastAsia="Times New Roman" w:hAnsi="Arial Narrow" w:cs="Arial"/>
                <w:kern w:val="0"/>
                <w:sz w:val="20"/>
                <w:szCs w:val="20"/>
                <w:lang w:eastAsia="en-AU"/>
                <w14:ligatures w14:val="none"/>
              </w:rPr>
            </w:pPr>
            <w:r w:rsidRPr="00401DEB">
              <w:rPr>
                <w:rFonts w:ascii="Arial Narrow" w:hAnsi="Arial Narrow" w:cs="Arial"/>
                <w:sz w:val="20"/>
                <w:szCs w:val="20"/>
              </w:rPr>
              <w:t>Principle</w:t>
            </w:r>
            <w:r w:rsidR="0016365D">
              <w:rPr>
                <w:rFonts w:ascii="Arial Narrow" w:hAnsi="Arial Narrow" w:cs="Arial"/>
                <w:sz w:val="20"/>
                <w:szCs w:val="20"/>
              </w:rPr>
              <w:t xml:space="preserve"> </w:t>
            </w:r>
            <w:r w:rsidRPr="00401DEB">
              <w:rPr>
                <w:rFonts w:ascii="Arial Narrow" w:eastAsia="Times New Roman" w:hAnsi="Arial Narrow" w:cs="Arial"/>
                <w:kern w:val="0"/>
                <w:sz w:val="20"/>
                <w:szCs w:val="20"/>
                <w:lang w:eastAsia="en-AU"/>
                <w14:ligatures w14:val="none"/>
              </w:rPr>
              <w:t>4</w:t>
            </w:r>
            <w:r w:rsidR="0016365D">
              <w:rPr>
                <w:rFonts w:ascii="Arial Narrow" w:eastAsia="Times New Roman" w:hAnsi="Arial Narrow" w:cs="Arial"/>
                <w:kern w:val="0"/>
                <w:sz w:val="20"/>
                <w:szCs w:val="20"/>
                <w:lang w:eastAsia="en-AU"/>
                <w14:ligatures w14:val="none"/>
              </w:rPr>
              <w:t>:</w:t>
            </w:r>
            <w:r w:rsidR="0016365D" w:rsidRPr="00401DEB">
              <w:rPr>
                <w:rFonts w:ascii="Arial Narrow" w:eastAsia="Times New Roman" w:hAnsi="Arial Narrow" w:cs="Arial"/>
                <w:kern w:val="0"/>
                <w:sz w:val="20"/>
                <w:szCs w:val="20"/>
                <w:lang w:eastAsia="en-AU"/>
                <w14:ligatures w14:val="none"/>
              </w:rPr>
              <w:t xml:space="preserve"> </w:t>
            </w:r>
            <w:r w:rsidR="0016365D" w:rsidRPr="00401DEB">
              <w:rPr>
                <w:rFonts w:ascii="Arial Narrow" w:hAnsi="Arial Narrow" w:cs="Arial"/>
                <w:sz w:val="20"/>
                <w:szCs w:val="20"/>
              </w:rPr>
              <w:t xml:space="preserve">Complex condition </w:t>
            </w:r>
            <w:r w:rsidR="0016365D">
              <w:rPr>
                <w:rFonts w:ascii="Arial Narrow" w:hAnsi="Arial Narrow" w:cs="Arial"/>
                <w:sz w:val="20"/>
                <w:szCs w:val="20"/>
              </w:rPr>
              <w:t>where specialists are likely to diagnose/oversee treatment.</w:t>
            </w:r>
          </w:p>
        </w:tc>
      </w:tr>
      <w:tr w:rsidR="00401DEB" w:rsidRPr="00401DEB" w14:paraId="0B2D19C9" w14:textId="77777777" w:rsidTr="00991110">
        <w:trPr>
          <w:trHeight w:val="271"/>
        </w:trPr>
        <w:tc>
          <w:tcPr>
            <w:tcW w:w="308" w:type="dxa"/>
          </w:tcPr>
          <w:p w14:paraId="22CD0CBA" w14:textId="77777777"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3</w:t>
            </w:r>
          </w:p>
        </w:tc>
        <w:tc>
          <w:tcPr>
            <w:tcW w:w="3236" w:type="dxa"/>
          </w:tcPr>
          <w:p w14:paraId="2F6E0813" w14:textId="77777777" w:rsidR="00401DEB" w:rsidRPr="00401DEB" w:rsidRDefault="00401DEB" w:rsidP="00401DEB">
            <w:pPr>
              <w:spacing w:after="120" w:line="240" w:lineRule="auto"/>
              <w:rPr>
                <w:rFonts w:ascii="Arial Narrow" w:hAnsi="Arial Narrow" w:cs="Arial"/>
                <w:b/>
                <w:bCs/>
                <w:i/>
                <w:iCs/>
                <w:sz w:val="20"/>
                <w:szCs w:val="20"/>
              </w:rPr>
            </w:pPr>
            <w:r w:rsidRPr="00401DEB">
              <w:rPr>
                <w:rFonts w:ascii="Arial Narrow" w:hAnsi="Arial Narrow" w:cs="Arial"/>
                <w:b/>
                <w:bCs/>
                <w:i/>
                <w:iCs/>
                <w:sz w:val="20"/>
                <w:szCs w:val="20"/>
              </w:rPr>
              <w:t>Schizophrenia:</w:t>
            </w:r>
          </w:p>
          <w:p w14:paraId="2B3885D7" w14:textId="594F5D2B"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clozapine (Initial treatment</w:t>
            </w:r>
            <w:r w:rsidR="0016365D">
              <w:rPr>
                <w:rFonts w:ascii="Arial Narrow" w:hAnsi="Arial Narrow" w:cs="Arial"/>
                <w:sz w:val="20"/>
                <w:szCs w:val="20"/>
              </w:rPr>
              <w:t xml:space="preserve"> listing</w:t>
            </w:r>
            <w:r w:rsidRPr="00401DEB">
              <w:rPr>
                <w:rFonts w:ascii="Arial Narrow" w:hAnsi="Arial Narrow" w:cs="Arial"/>
                <w:sz w:val="20"/>
                <w:szCs w:val="20"/>
              </w:rPr>
              <w:t>)</w:t>
            </w:r>
          </w:p>
        </w:tc>
        <w:tc>
          <w:tcPr>
            <w:tcW w:w="5528" w:type="dxa"/>
          </w:tcPr>
          <w:p w14:paraId="0A88EA90" w14:textId="3F8F28AB" w:rsidR="00401DEB" w:rsidRPr="00401DEB" w:rsidRDefault="0016365D" w:rsidP="00401DEB">
            <w:pPr>
              <w:spacing w:after="120" w:line="240" w:lineRule="auto"/>
              <w:rPr>
                <w:rFonts w:ascii="Arial Narrow" w:hAnsi="Arial Narrow" w:cs="Arial"/>
                <w:sz w:val="20"/>
                <w:szCs w:val="20"/>
              </w:rPr>
            </w:pPr>
            <w:r>
              <w:rPr>
                <w:rFonts w:ascii="Arial Narrow" w:hAnsi="Arial Narrow" w:cs="Arial"/>
                <w:sz w:val="20"/>
                <w:szCs w:val="20"/>
              </w:rPr>
              <w:t>PBAC recommended nurse practitioners should be eligible to continue treatment only (see Table 3).</w:t>
            </w:r>
          </w:p>
          <w:p w14:paraId="7617D401" w14:textId="40B4CAFA" w:rsidR="00401DEB" w:rsidRPr="00401DEB" w:rsidRDefault="0016365D" w:rsidP="00401DEB">
            <w:pPr>
              <w:spacing w:after="120" w:line="240" w:lineRule="auto"/>
              <w:rPr>
                <w:rFonts w:ascii="Arial Narrow" w:hAnsi="Arial Narrow" w:cs="Arial"/>
                <w:sz w:val="20"/>
                <w:szCs w:val="20"/>
              </w:rPr>
            </w:pPr>
            <w:r w:rsidRPr="00401DEB">
              <w:rPr>
                <w:rFonts w:ascii="Arial Narrow" w:hAnsi="Arial Narrow" w:cs="Arial"/>
                <w:sz w:val="20"/>
                <w:szCs w:val="20"/>
              </w:rPr>
              <w:t>Principle</w:t>
            </w:r>
            <w:r>
              <w:rPr>
                <w:rFonts w:ascii="Arial Narrow" w:hAnsi="Arial Narrow" w:cs="Arial"/>
                <w:sz w:val="20"/>
                <w:szCs w:val="20"/>
              </w:rPr>
              <w:t xml:space="preserve"> </w:t>
            </w:r>
            <w:r w:rsidRPr="00401DEB">
              <w:rPr>
                <w:rFonts w:ascii="Arial Narrow" w:eastAsia="Times New Roman" w:hAnsi="Arial Narrow" w:cs="Arial"/>
                <w:kern w:val="0"/>
                <w:sz w:val="20"/>
                <w:szCs w:val="20"/>
                <w:lang w:eastAsia="en-AU"/>
                <w14:ligatures w14:val="none"/>
              </w:rPr>
              <w:t>4</w:t>
            </w:r>
            <w:r>
              <w:rPr>
                <w:rFonts w:ascii="Arial Narrow" w:eastAsia="Times New Roman" w:hAnsi="Arial Narrow" w:cs="Arial"/>
                <w:kern w:val="0"/>
                <w:sz w:val="20"/>
                <w:szCs w:val="20"/>
                <w:lang w:eastAsia="en-AU"/>
                <w14:ligatures w14:val="none"/>
              </w:rPr>
              <w:t>:</w:t>
            </w:r>
            <w:r w:rsidRPr="00401DEB">
              <w:rPr>
                <w:rFonts w:ascii="Arial Narrow" w:eastAsia="Times New Roman" w:hAnsi="Arial Narrow" w:cs="Arial"/>
                <w:kern w:val="0"/>
                <w:sz w:val="20"/>
                <w:szCs w:val="20"/>
                <w:lang w:eastAsia="en-AU"/>
                <w14:ligatures w14:val="none"/>
              </w:rPr>
              <w:t xml:space="preserve"> </w:t>
            </w:r>
            <w:r w:rsidRPr="00401DEB">
              <w:rPr>
                <w:rFonts w:ascii="Arial Narrow" w:hAnsi="Arial Narrow" w:cs="Arial"/>
                <w:sz w:val="20"/>
                <w:szCs w:val="20"/>
              </w:rPr>
              <w:t xml:space="preserve">Complex condition </w:t>
            </w:r>
            <w:r>
              <w:rPr>
                <w:rFonts w:ascii="Arial Narrow" w:hAnsi="Arial Narrow" w:cs="Arial"/>
                <w:sz w:val="20"/>
                <w:szCs w:val="20"/>
              </w:rPr>
              <w:t>where specialists are likely to diagnose/oversee treatment.</w:t>
            </w:r>
          </w:p>
        </w:tc>
      </w:tr>
      <w:tr w:rsidR="00401DEB" w:rsidRPr="00401DEB" w14:paraId="43207826" w14:textId="77777777" w:rsidTr="00991110">
        <w:trPr>
          <w:trHeight w:val="275"/>
        </w:trPr>
        <w:tc>
          <w:tcPr>
            <w:tcW w:w="308" w:type="dxa"/>
          </w:tcPr>
          <w:p w14:paraId="5C42EB64" w14:textId="77777777"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4</w:t>
            </w:r>
          </w:p>
        </w:tc>
        <w:tc>
          <w:tcPr>
            <w:tcW w:w="3236" w:type="dxa"/>
          </w:tcPr>
          <w:p w14:paraId="0E4D3E16" w14:textId="77777777" w:rsidR="00401DEB" w:rsidRPr="00401DEB" w:rsidRDefault="00401DEB" w:rsidP="00401DEB">
            <w:pPr>
              <w:spacing w:after="120" w:line="240" w:lineRule="auto"/>
              <w:rPr>
                <w:rFonts w:ascii="Arial Narrow" w:hAnsi="Arial Narrow" w:cs="Arial"/>
                <w:b/>
                <w:bCs/>
                <w:i/>
                <w:iCs/>
                <w:sz w:val="20"/>
                <w:szCs w:val="20"/>
              </w:rPr>
            </w:pPr>
            <w:r w:rsidRPr="00401DEB">
              <w:rPr>
                <w:rFonts w:ascii="Arial Narrow" w:hAnsi="Arial Narrow" w:cs="Arial"/>
                <w:b/>
                <w:bCs/>
                <w:i/>
                <w:iCs/>
                <w:sz w:val="20"/>
                <w:szCs w:val="20"/>
              </w:rPr>
              <w:t>Conditions arising from chronic kidney disease:</w:t>
            </w:r>
          </w:p>
          <w:p w14:paraId="459D8494" w14:textId="68DC02AC" w:rsidR="0016365D"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 xml:space="preserve">cinacalcet </w:t>
            </w:r>
          </w:p>
          <w:p w14:paraId="68A7DF3E" w14:textId="70ECBE82" w:rsidR="00401DEB" w:rsidRPr="00401DEB" w:rsidRDefault="00401DEB" w:rsidP="00401DEB">
            <w:pPr>
              <w:spacing w:after="120" w:line="240" w:lineRule="auto"/>
              <w:rPr>
                <w:rFonts w:ascii="Arial Narrow" w:eastAsia="Times New Roman" w:hAnsi="Arial Narrow" w:cs="Arial"/>
                <w:kern w:val="0"/>
                <w:sz w:val="20"/>
                <w:szCs w:val="20"/>
                <w:lang w:eastAsia="en-AU"/>
                <w14:ligatures w14:val="none"/>
              </w:rPr>
            </w:pPr>
            <w:r w:rsidRPr="00401DEB">
              <w:rPr>
                <w:rFonts w:ascii="Arial Narrow" w:hAnsi="Arial Narrow" w:cs="Arial"/>
                <w:sz w:val="20"/>
                <w:szCs w:val="20"/>
              </w:rPr>
              <w:t>lanthanum</w:t>
            </w:r>
            <w:r w:rsidR="0016365D">
              <w:rPr>
                <w:rFonts w:ascii="Arial Narrow" w:hAnsi="Arial Narrow" w:cs="Arial"/>
                <w:sz w:val="20"/>
                <w:szCs w:val="20"/>
              </w:rPr>
              <w:t xml:space="preserve">, </w:t>
            </w:r>
            <w:r w:rsidRPr="00401DEB">
              <w:rPr>
                <w:rFonts w:ascii="Arial Narrow" w:hAnsi="Arial Narrow" w:cs="Arial"/>
                <w:sz w:val="20"/>
                <w:szCs w:val="20"/>
              </w:rPr>
              <w:t>sevelamer</w:t>
            </w:r>
            <w:r w:rsidR="0016365D">
              <w:rPr>
                <w:rFonts w:ascii="Arial Narrow" w:hAnsi="Arial Narrow" w:cs="Arial"/>
                <w:sz w:val="20"/>
                <w:szCs w:val="20"/>
              </w:rPr>
              <w:t>,</w:t>
            </w:r>
            <w:r w:rsidR="0016365D">
              <w:rPr>
                <w:rFonts w:ascii="Arial Narrow" w:eastAsia="Times New Roman" w:hAnsi="Arial Narrow" w:cs="Arial"/>
                <w:kern w:val="0"/>
                <w:sz w:val="20"/>
                <w:szCs w:val="20"/>
                <w:lang w:eastAsia="en-AU"/>
                <w14:ligatures w14:val="none"/>
              </w:rPr>
              <w:t xml:space="preserve"> </w:t>
            </w:r>
            <w:r w:rsidRPr="00401DEB">
              <w:rPr>
                <w:rFonts w:ascii="Arial Narrow" w:eastAsia="Times New Roman" w:hAnsi="Arial Narrow" w:cs="Arial"/>
                <w:kern w:val="0"/>
                <w:sz w:val="20"/>
                <w:szCs w:val="20"/>
                <w:lang w:eastAsia="en-AU"/>
                <w14:ligatures w14:val="none"/>
              </w:rPr>
              <w:t>sucroferric oxyhydroxide</w:t>
            </w:r>
          </w:p>
        </w:tc>
        <w:tc>
          <w:tcPr>
            <w:tcW w:w="5528" w:type="dxa"/>
          </w:tcPr>
          <w:p w14:paraId="580F56B4" w14:textId="7C14F470" w:rsidR="00401DEB" w:rsidRPr="00401DEB" w:rsidRDefault="0016365D" w:rsidP="00401DEB">
            <w:pPr>
              <w:spacing w:after="120" w:line="240" w:lineRule="auto"/>
              <w:rPr>
                <w:rFonts w:ascii="Arial Narrow" w:hAnsi="Arial Narrow" w:cs="Arial"/>
                <w:sz w:val="20"/>
                <w:szCs w:val="20"/>
              </w:rPr>
            </w:pPr>
            <w:r>
              <w:rPr>
                <w:rFonts w:ascii="Arial Narrow" w:hAnsi="Arial Narrow" w:cs="Arial"/>
                <w:sz w:val="20"/>
                <w:szCs w:val="20"/>
              </w:rPr>
              <w:t>Nurse practitioners can already continue treatment of these medicines (under separate PBS listings).</w:t>
            </w:r>
            <w:r w:rsidR="00401DEB" w:rsidRPr="00401DEB">
              <w:rPr>
                <w:rFonts w:ascii="Arial Narrow" w:hAnsi="Arial Narrow" w:cs="Arial"/>
                <w:sz w:val="20"/>
                <w:szCs w:val="20"/>
              </w:rPr>
              <w:t xml:space="preserve"> </w:t>
            </w:r>
          </w:p>
          <w:p w14:paraId="021A399A" w14:textId="160DB831" w:rsidR="00401DEB" w:rsidRPr="00401DEB" w:rsidRDefault="0016365D" w:rsidP="00401DEB">
            <w:pPr>
              <w:spacing w:after="120" w:line="240" w:lineRule="auto"/>
              <w:rPr>
                <w:rFonts w:ascii="Arial Narrow" w:hAnsi="Arial Narrow" w:cs="Arial"/>
                <w:sz w:val="20"/>
                <w:szCs w:val="20"/>
              </w:rPr>
            </w:pPr>
            <w:r w:rsidRPr="00401DEB">
              <w:rPr>
                <w:rFonts w:ascii="Arial Narrow" w:hAnsi="Arial Narrow" w:cs="Arial"/>
                <w:sz w:val="20"/>
                <w:szCs w:val="20"/>
              </w:rPr>
              <w:t>Principle</w:t>
            </w:r>
            <w:r>
              <w:rPr>
                <w:rFonts w:ascii="Arial Narrow" w:hAnsi="Arial Narrow" w:cs="Arial"/>
                <w:sz w:val="20"/>
                <w:szCs w:val="20"/>
              </w:rPr>
              <w:t xml:space="preserve"> </w:t>
            </w:r>
            <w:r w:rsidRPr="00401DEB">
              <w:rPr>
                <w:rFonts w:ascii="Arial Narrow" w:eastAsia="Times New Roman" w:hAnsi="Arial Narrow" w:cs="Arial"/>
                <w:kern w:val="0"/>
                <w:sz w:val="20"/>
                <w:szCs w:val="20"/>
                <w:lang w:eastAsia="en-AU"/>
                <w14:ligatures w14:val="none"/>
              </w:rPr>
              <w:t>4</w:t>
            </w:r>
            <w:r>
              <w:rPr>
                <w:rFonts w:ascii="Arial Narrow" w:eastAsia="Times New Roman" w:hAnsi="Arial Narrow" w:cs="Arial"/>
                <w:kern w:val="0"/>
                <w:sz w:val="20"/>
                <w:szCs w:val="20"/>
                <w:lang w:eastAsia="en-AU"/>
                <w14:ligatures w14:val="none"/>
              </w:rPr>
              <w:t>:</w:t>
            </w:r>
            <w:r w:rsidRPr="00401DEB">
              <w:rPr>
                <w:rFonts w:ascii="Arial Narrow" w:eastAsia="Times New Roman" w:hAnsi="Arial Narrow" w:cs="Arial"/>
                <w:kern w:val="0"/>
                <w:sz w:val="20"/>
                <w:szCs w:val="20"/>
                <w:lang w:eastAsia="en-AU"/>
                <w14:ligatures w14:val="none"/>
              </w:rPr>
              <w:t xml:space="preserve"> </w:t>
            </w:r>
            <w:r w:rsidRPr="00401DEB">
              <w:rPr>
                <w:rFonts w:ascii="Arial Narrow" w:hAnsi="Arial Narrow" w:cs="Arial"/>
                <w:sz w:val="20"/>
                <w:szCs w:val="20"/>
              </w:rPr>
              <w:t xml:space="preserve">Complex condition </w:t>
            </w:r>
            <w:r>
              <w:rPr>
                <w:rFonts w:ascii="Arial Narrow" w:hAnsi="Arial Narrow" w:cs="Arial"/>
                <w:sz w:val="20"/>
                <w:szCs w:val="20"/>
              </w:rPr>
              <w:t>where specialists are likely to diagnose/oversee treatment.</w:t>
            </w:r>
          </w:p>
        </w:tc>
      </w:tr>
      <w:tr w:rsidR="00401DEB" w:rsidRPr="00401DEB" w14:paraId="4A9C81C4" w14:textId="77777777" w:rsidTr="00991110">
        <w:trPr>
          <w:trHeight w:val="283"/>
        </w:trPr>
        <w:tc>
          <w:tcPr>
            <w:tcW w:w="308" w:type="dxa"/>
          </w:tcPr>
          <w:p w14:paraId="4FAE3448" w14:textId="77777777"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5</w:t>
            </w:r>
          </w:p>
        </w:tc>
        <w:tc>
          <w:tcPr>
            <w:tcW w:w="3236" w:type="dxa"/>
          </w:tcPr>
          <w:p w14:paraId="69187CE7" w14:textId="77777777" w:rsidR="00401DEB" w:rsidRPr="00401DEB" w:rsidRDefault="00401DEB" w:rsidP="00401DEB">
            <w:pPr>
              <w:spacing w:after="120" w:line="240" w:lineRule="auto"/>
              <w:rPr>
                <w:rFonts w:ascii="Arial Narrow" w:hAnsi="Arial Narrow" w:cs="Arial"/>
                <w:b/>
                <w:bCs/>
                <w:i/>
                <w:iCs/>
                <w:sz w:val="20"/>
                <w:szCs w:val="20"/>
              </w:rPr>
            </w:pPr>
            <w:r w:rsidRPr="00401DEB">
              <w:rPr>
                <w:rFonts w:ascii="Arial Narrow" w:hAnsi="Arial Narrow" w:cs="Arial"/>
                <w:b/>
                <w:bCs/>
                <w:i/>
                <w:iCs/>
                <w:sz w:val="20"/>
                <w:szCs w:val="20"/>
              </w:rPr>
              <w:t>Multiple sclerosis:</w:t>
            </w:r>
          </w:p>
          <w:p w14:paraId="30F5BDA6" w14:textId="1DE71A3D"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alemtuzumab</w:t>
            </w:r>
            <w:r w:rsidR="0016365D">
              <w:rPr>
                <w:rFonts w:ascii="Arial Narrow" w:hAnsi="Arial Narrow" w:cs="Arial"/>
                <w:sz w:val="20"/>
                <w:szCs w:val="20"/>
              </w:rPr>
              <w:t xml:space="preserve">, </w:t>
            </w:r>
            <w:r w:rsidRPr="00401DEB">
              <w:rPr>
                <w:rFonts w:ascii="Arial Narrow" w:hAnsi="Arial Narrow" w:cs="Arial"/>
                <w:sz w:val="20"/>
                <w:szCs w:val="20"/>
              </w:rPr>
              <w:t>natalizumab</w:t>
            </w:r>
            <w:r w:rsidR="0016365D">
              <w:rPr>
                <w:rFonts w:ascii="Arial Narrow" w:hAnsi="Arial Narrow" w:cs="Arial"/>
                <w:sz w:val="20"/>
                <w:szCs w:val="20"/>
              </w:rPr>
              <w:t>,</w:t>
            </w:r>
            <w:r w:rsidR="0016365D">
              <w:rPr>
                <w:rFonts w:ascii="Arial Narrow" w:eastAsia="Times New Roman" w:hAnsi="Arial Narrow" w:cs="Arial"/>
                <w:kern w:val="0"/>
                <w:sz w:val="20"/>
                <w:szCs w:val="20"/>
                <w:lang w:eastAsia="en-AU"/>
                <w14:ligatures w14:val="none"/>
              </w:rPr>
              <w:t xml:space="preserve"> </w:t>
            </w:r>
            <w:r w:rsidRPr="00401DEB">
              <w:rPr>
                <w:rFonts w:ascii="Arial Narrow" w:eastAsia="Times New Roman" w:hAnsi="Arial Narrow" w:cs="Arial"/>
                <w:kern w:val="0"/>
                <w:sz w:val="20"/>
                <w:szCs w:val="20"/>
                <w:lang w:eastAsia="en-AU"/>
                <w14:ligatures w14:val="none"/>
              </w:rPr>
              <w:t>ocrelizumab</w:t>
            </w:r>
          </w:p>
        </w:tc>
        <w:tc>
          <w:tcPr>
            <w:tcW w:w="5528" w:type="dxa"/>
          </w:tcPr>
          <w:p w14:paraId="6E6ADBD0" w14:textId="4FEE72B6"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Prescribing is currently limited to neurologists.</w:t>
            </w:r>
          </w:p>
          <w:p w14:paraId="14959C5E" w14:textId="1CB8DB4D" w:rsidR="00401DEB" w:rsidRPr="00401DEB" w:rsidRDefault="0016365D" w:rsidP="00401DEB">
            <w:pPr>
              <w:spacing w:after="120" w:line="240" w:lineRule="auto"/>
              <w:rPr>
                <w:rFonts w:ascii="Arial Narrow" w:eastAsia="Times New Roman" w:hAnsi="Arial Narrow" w:cs="Arial"/>
                <w:kern w:val="0"/>
                <w:sz w:val="20"/>
                <w:szCs w:val="20"/>
                <w:lang w:eastAsia="en-AU"/>
                <w14:ligatures w14:val="none"/>
              </w:rPr>
            </w:pPr>
            <w:r w:rsidRPr="00401DEB">
              <w:rPr>
                <w:rFonts w:ascii="Arial Narrow" w:hAnsi="Arial Narrow" w:cs="Arial"/>
                <w:sz w:val="20"/>
                <w:szCs w:val="20"/>
              </w:rPr>
              <w:t>Principle</w:t>
            </w:r>
            <w:r>
              <w:rPr>
                <w:rFonts w:ascii="Arial Narrow" w:hAnsi="Arial Narrow" w:cs="Arial"/>
                <w:sz w:val="20"/>
                <w:szCs w:val="20"/>
              </w:rPr>
              <w:t xml:space="preserve"> </w:t>
            </w:r>
            <w:r w:rsidRPr="00401DEB">
              <w:rPr>
                <w:rFonts w:ascii="Arial Narrow" w:eastAsia="Times New Roman" w:hAnsi="Arial Narrow" w:cs="Arial"/>
                <w:kern w:val="0"/>
                <w:sz w:val="20"/>
                <w:szCs w:val="20"/>
                <w:lang w:eastAsia="en-AU"/>
                <w14:ligatures w14:val="none"/>
              </w:rPr>
              <w:t>4</w:t>
            </w:r>
            <w:r>
              <w:rPr>
                <w:rFonts w:ascii="Arial Narrow" w:eastAsia="Times New Roman" w:hAnsi="Arial Narrow" w:cs="Arial"/>
                <w:kern w:val="0"/>
                <w:sz w:val="20"/>
                <w:szCs w:val="20"/>
                <w:lang w:eastAsia="en-AU"/>
                <w14:ligatures w14:val="none"/>
              </w:rPr>
              <w:t>:</w:t>
            </w:r>
            <w:r w:rsidRPr="00401DEB">
              <w:rPr>
                <w:rFonts w:ascii="Arial Narrow" w:eastAsia="Times New Roman" w:hAnsi="Arial Narrow" w:cs="Arial"/>
                <w:kern w:val="0"/>
                <w:sz w:val="20"/>
                <w:szCs w:val="20"/>
                <w:lang w:eastAsia="en-AU"/>
                <w14:ligatures w14:val="none"/>
              </w:rPr>
              <w:t xml:space="preserve"> </w:t>
            </w:r>
            <w:r w:rsidRPr="00401DEB">
              <w:rPr>
                <w:rFonts w:ascii="Arial Narrow" w:hAnsi="Arial Narrow" w:cs="Arial"/>
                <w:sz w:val="20"/>
                <w:szCs w:val="20"/>
              </w:rPr>
              <w:t xml:space="preserve">Complex condition </w:t>
            </w:r>
            <w:r>
              <w:rPr>
                <w:rFonts w:ascii="Arial Narrow" w:hAnsi="Arial Narrow" w:cs="Arial"/>
                <w:sz w:val="20"/>
                <w:szCs w:val="20"/>
              </w:rPr>
              <w:t>where specialists are likely to diagnose/oversee treatment.</w:t>
            </w:r>
          </w:p>
        </w:tc>
      </w:tr>
      <w:tr w:rsidR="00401DEB" w:rsidRPr="00401DEB" w14:paraId="21B20E95" w14:textId="77777777" w:rsidTr="00991110">
        <w:trPr>
          <w:trHeight w:val="283"/>
        </w:trPr>
        <w:tc>
          <w:tcPr>
            <w:tcW w:w="308" w:type="dxa"/>
          </w:tcPr>
          <w:p w14:paraId="712B0ED9" w14:textId="77777777"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lastRenderedPageBreak/>
              <w:t>6</w:t>
            </w:r>
          </w:p>
        </w:tc>
        <w:tc>
          <w:tcPr>
            <w:tcW w:w="3236" w:type="dxa"/>
          </w:tcPr>
          <w:p w14:paraId="1BE58216" w14:textId="77777777" w:rsidR="00401DEB" w:rsidRPr="00401DEB" w:rsidRDefault="00401DEB" w:rsidP="00401DEB">
            <w:pPr>
              <w:spacing w:after="120" w:line="240" w:lineRule="auto"/>
              <w:rPr>
                <w:rFonts w:ascii="Arial Narrow" w:hAnsi="Arial Narrow" w:cs="Arial"/>
                <w:b/>
                <w:bCs/>
                <w:i/>
                <w:iCs/>
                <w:sz w:val="20"/>
                <w:szCs w:val="20"/>
              </w:rPr>
            </w:pPr>
            <w:r w:rsidRPr="00401DEB">
              <w:rPr>
                <w:rFonts w:ascii="Arial Narrow" w:hAnsi="Arial Narrow" w:cs="Arial"/>
                <w:b/>
                <w:bCs/>
                <w:i/>
                <w:iCs/>
                <w:sz w:val="20"/>
                <w:szCs w:val="20"/>
              </w:rPr>
              <w:t>Severe active rheumatoid arthritis:</w:t>
            </w:r>
          </w:p>
          <w:p w14:paraId="4EBC4528" w14:textId="77777777"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rituximab</w:t>
            </w:r>
          </w:p>
        </w:tc>
        <w:tc>
          <w:tcPr>
            <w:tcW w:w="5528" w:type="dxa"/>
          </w:tcPr>
          <w:p w14:paraId="097BCB0A" w14:textId="6B22BDEE" w:rsidR="00401DEB" w:rsidRPr="00401DEB" w:rsidRDefault="00401DEB" w:rsidP="00401DEB">
            <w:pPr>
              <w:spacing w:after="120" w:line="240" w:lineRule="auto"/>
              <w:rPr>
                <w:rFonts w:ascii="Arial Narrow" w:hAnsi="Arial Narrow" w:cs="Arial"/>
                <w:sz w:val="20"/>
                <w:szCs w:val="20"/>
              </w:rPr>
            </w:pPr>
            <w:r w:rsidRPr="00401DEB">
              <w:rPr>
                <w:rFonts w:ascii="Arial Narrow" w:hAnsi="Arial Narrow" w:cs="Arial"/>
                <w:sz w:val="20"/>
                <w:szCs w:val="20"/>
              </w:rPr>
              <w:t>For consistency with other biological treatments where prescribing is limited to medical specialists</w:t>
            </w:r>
            <w:r w:rsidR="0016365D">
              <w:rPr>
                <w:rFonts w:ascii="Arial Narrow" w:hAnsi="Arial Narrow" w:cs="Arial"/>
                <w:sz w:val="20"/>
                <w:szCs w:val="20"/>
              </w:rPr>
              <w:t>.</w:t>
            </w:r>
          </w:p>
          <w:p w14:paraId="5821BF3B" w14:textId="001DA7E4" w:rsidR="00401DEB" w:rsidRPr="00401DEB" w:rsidRDefault="0016365D" w:rsidP="00401DEB">
            <w:pPr>
              <w:spacing w:after="120" w:line="240" w:lineRule="auto"/>
              <w:rPr>
                <w:rFonts w:ascii="Arial Narrow" w:eastAsia="Times New Roman" w:hAnsi="Arial Narrow" w:cs="Arial"/>
                <w:kern w:val="0"/>
                <w:sz w:val="20"/>
                <w:szCs w:val="20"/>
                <w:lang w:eastAsia="en-AU"/>
                <w14:ligatures w14:val="none"/>
              </w:rPr>
            </w:pPr>
            <w:r w:rsidRPr="00401DEB">
              <w:rPr>
                <w:rFonts w:ascii="Arial Narrow" w:hAnsi="Arial Narrow" w:cs="Arial"/>
                <w:sz w:val="20"/>
                <w:szCs w:val="20"/>
              </w:rPr>
              <w:t>Principle</w:t>
            </w:r>
            <w:r>
              <w:rPr>
                <w:rFonts w:ascii="Arial Narrow" w:hAnsi="Arial Narrow" w:cs="Arial"/>
                <w:sz w:val="20"/>
                <w:szCs w:val="20"/>
              </w:rPr>
              <w:t xml:space="preserve"> </w:t>
            </w:r>
            <w:r w:rsidRPr="00401DEB">
              <w:rPr>
                <w:rFonts w:ascii="Arial Narrow" w:eastAsia="Times New Roman" w:hAnsi="Arial Narrow" w:cs="Arial"/>
                <w:kern w:val="0"/>
                <w:sz w:val="20"/>
                <w:szCs w:val="20"/>
                <w:lang w:eastAsia="en-AU"/>
                <w14:ligatures w14:val="none"/>
              </w:rPr>
              <w:t>4</w:t>
            </w:r>
            <w:r>
              <w:rPr>
                <w:rFonts w:ascii="Arial Narrow" w:eastAsia="Times New Roman" w:hAnsi="Arial Narrow" w:cs="Arial"/>
                <w:kern w:val="0"/>
                <w:sz w:val="20"/>
                <w:szCs w:val="20"/>
                <w:lang w:eastAsia="en-AU"/>
                <w14:ligatures w14:val="none"/>
              </w:rPr>
              <w:t>:</w:t>
            </w:r>
            <w:r w:rsidRPr="00401DEB">
              <w:rPr>
                <w:rFonts w:ascii="Arial Narrow" w:eastAsia="Times New Roman" w:hAnsi="Arial Narrow" w:cs="Arial"/>
                <w:kern w:val="0"/>
                <w:sz w:val="20"/>
                <w:szCs w:val="20"/>
                <w:lang w:eastAsia="en-AU"/>
                <w14:ligatures w14:val="none"/>
              </w:rPr>
              <w:t xml:space="preserve"> </w:t>
            </w:r>
            <w:r w:rsidRPr="00401DEB">
              <w:rPr>
                <w:rFonts w:ascii="Arial Narrow" w:hAnsi="Arial Narrow" w:cs="Arial"/>
                <w:sz w:val="20"/>
                <w:szCs w:val="20"/>
              </w:rPr>
              <w:t xml:space="preserve">Complex condition </w:t>
            </w:r>
            <w:r>
              <w:rPr>
                <w:rFonts w:ascii="Arial Narrow" w:hAnsi="Arial Narrow" w:cs="Arial"/>
                <w:sz w:val="20"/>
                <w:szCs w:val="20"/>
              </w:rPr>
              <w:t>where specialists are likely to diagnose/oversee treatment.</w:t>
            </w:r>
          </w:p>
        </w:tc>
      </w:tr>
    </w:tbl>
    <w:p w14:paraId="2EB7935E" w14:textId="77777777" w:rsidR="006214AA" w:rsidRPr="006214AA" w:rsidRDefault="006214AA" w:rsidP="006214AA">
      <w:pPr>
        <w:spacing w:after="0" w:line="240" w:lineRule="auto"/>
        <w:jc w:val="both"/>
        <w:textAlignment w:val="baseline"/>
        <w:rPr>
          <w:rFonts w:ascii="Calibri" w:eastAsia="Times New Roman" w:hAnsi="Calibri" w:cs="Calibri"/>
          <w:kern w:val="0"/>
          <w:lang w:eastAsia="en-AU"/>
          <w14:ligatures w14:val="none"/>
        </w:rPr>
      </w:pPr>
    </w:p>
    <w:p w14:paraId="0E8F5DD2" w14:textId="1BC8A6CC" w:rsidR="004113A3" w:rsidRPr="004113A3" w:rsidRDefault="004B1F3E" w:rsidP="004B1F3E">
      <w:pPr>
        <w:spacing w:after="0" w:line="240" w:lineRule="auto"/>
        <w:jc w:val="both"/>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In addition to the above recommendations, t</w:t>
      </w:r>
      <w:r w:rsidR="004113A3" w:rsidRPr="004113A3">
        <w:rPr>
          <w:rFonts w:ascii="Calibri" w:eastAsia="Times New Roman" w:hAnsi="Calibri" w:cs="Calibri"/>
          <w:kern w:val="0"/>
          <w:lang w:eastAsia="en-AU"/>
          <w14:ligatures w14:val="none"/>
        </w:rPr>
        <w:t>he PBAC considered the Department’s request to</w:t>
      </w:r>
      <w:r w:rsidR="004113A3" w:rsidRPr="004113A3">
        <w:rPr>
          <w:rFonts w:ascii="Calibri" w:eastAsia="Times New Roman" w:hAnsi="Calibri" w:cs="Calibri"/>
          <w:b/>
          <w:bCs/>
          <w:kern w:val="0"/>
          <w:lang w:eastAsia="en-AU"/>
          <w14:ligatures w14:val="none"/>
        </w:rPr>
        <w:t xml:space="preserve"> </w:t>
      </w:r>
      <w:r w:rsidR="004113A3" w:rsidRPr="004113A3">
        <w:rPr>
          <w:rFonts w:ascii="Calibri" w:eastAsia="Times New Roman" w:hAnsi="Calibri" w:cs="Calibri"/>
          <w:kern w:val="0"/>
          <w:lang w:eastAsia="en-AU"/>
          <w14:ligatures w14:val="none"/>
        </w:rPr>
        <w:t>review the nurse practitioner prescribing ‘Continuing therapy only’ (CTO) requirements that apply to recently (1 March 2025) PBS listed:</w:t>
      </w:r>
    </w:p>
    <w:p w14:paraId="2D0EECC0" w14:textId="77777777" w:rsidR="004113A3" w:rsidRPr="004113A3" w:rsidRDefault="004113A3" w:rsidP="00B402D9">
      <w:pPr>
        <w:numPr>
          <w:ilvl w:val="0"/>
          <w:numId w:val="27"/>
        </w:numPr>
        <w:spacing w:after="0" w:line="240" w:lineRule="auto"/>
        <w:ind w:left="426" w:hanging="284"/>
        <w:jc w:val="both"/>
        <w:textAlignment w:val="baseline"/>
        <w:rPr>
          <w:rFonts w:ascii="Calibri" w:eastAsia="Times New Roman" w:hAnsi="Calibri" w:cs="Calibri"/>
          <w:kern w:val="0"/>
          <w:lang w:eastAsia="en-AU"/>
          <w14:ligatures w14:val="none"/>
        </w:rPr>
      </w:pPr>
      <w:r w:rsidRPr="004113A3">
        <w:rPr>
          <w:rFonts w:ascii="Calibri" w:eastAsia="Times New Roman" w:hAnsi="Calibri" w:cs="Calibri"/>
          <w:kern w:val="0"/>
          <w:lang w:eastAsia="en-AU"/>
          <w14:ligatures w14:val="none"/>
        </w:rPr>
        <w:t>estradiol 0.06% (750 microgram/actuation) gel, 64 actuations (Estrogel®)</w:t>
      </w:r>
    </w:p>
    <w:p w14:paraId="309D42B7" w14:textId="77777777" w:rsidR="004113A3" w:rsidRPr="004113A3" w:rsidRDefault="004113A3" w:rsidP="00B402D9">
      <w:pPr>
        <w:numPr>
          <w:ilvl w:val="0"/>
          <w:numId w:val="27"/>
        </w:numPr>
        <w:spacing w:after="0" w:line="240" w:lineRule="auto"/>
        <w:ind w:left="426" w:hanging="284"/>
        <w:jc w:val="both"/>
        <w:textAlignment w:val="baseline"/>
        <w:rPr>
          <w:rFonts w:ascii="Calibri" w:eastAsia="Times New Roman" w:hAnsi="Calibri" w:cs="Calibri"/>
          <w:kern w:val="0"/>
          <w:lang w:eastAsia="en-AU"/>
          <w14:ligatures w14:val="none"/>
        </w:rPr>
      </w:pPr>
      <w:r w:rsidRPr="004113A3">
        <w:rPr>
          <w:rFonts w:ascii="Calibri" w:eastAsia="Times New Roman" w:hAnsi="Calibri" w:cs="Calibri"/>
          <w:kern w:val="0"/>
          <w:lang w:eastAsia="en-AU"/>
          <w14:ligatures w14:val="none"/>
        </w:rPr>
        <w:t>progesterone 100 mg capsule, 30 (Prometrium®)</w:t>
      </w:r>
    </w:p>
    <w:p w14:paraId="1C152C77" w14:textId="02284817" w:rsidR="004113A3" w:rsidRDefault="004113A3" w:rsidP="00B402D9">
      <w:pPr>
        <w:numPr>
          <w:ilvl w:val="0"/>
          <w:numId w:val="27"/>
        </w:numPr>
        <w:spacing w:after="0" w:line="240" w:lineRule="auto"/>
        <w:ind w:left="426" w:hanging="284"/>
        <w:jc w:val="both"/>
        <w:textAlignment w:val="baseline"/>
        <w:rPr>
          <w:rFonts w:ascii="Calibri" w:eastAsia="Times New Roman" w:hAnsi="Calibri" w:cs="Calibri"/>
          <w:kern w:val="0"/>
          <w:lang w:eastAsia="en-AU"/>
          <w14:ligatures w14:val="none"/>
        </w:rPr>
      </w:pPr>
      <w:r w:rsidRPr="004113A3">
        <w:rPr>
          <w:rFonts w:ascii="Calibri" w:eastAsia="Times New Roman" w:hAnsi="Calibri" w:cs="Calibri"/>
          <w:kern w:val="0"/>
          <w:lang w:eastAsia="en-AU"/>
          <w14:ligatures w14:val="none"/>
        </w:rPr>
        <w:t>progesterone 100 mg capsule [30] (&amp;) estradiol 0.06% (750 microgram/actuation) gel [64</w:t>
      </w:r>
      <w:r w:rsidR="003E556A">
        <w:rPr>
          <w:rFonts w:ascii="Calibri" w:eastAsia="Times New Roman" w:hAnsi="Calibri" w:cs="Calibri"/>
          <w:kern w:val="0"/>
          <w:lang w:eastAsia="en-AU"/>
          <w14:ligatures w14:val="none"/>
        </w:rPr>
        <w:t> </w:t>
      </w:r>
      <w:r w:rsidRPr="004113A3">
        <w:rPr>
          <w:rFonts w:ascii="Calibri" w:eastAsia="Times New Roman" w:hAnsi="Calibri" w:cs="Calibri"/>
          <w:kern w:val="0"/>
          <w:lang w:eastAsia="en-AU"/>
          <w14:ligatures w14:val="none"/>
        </w:rPr>
        <w:t>actuations], 1 pack (Estrogel Pro®)</w:t>
      </w:r>
    </w:p>
    <w:p w14:paraId="633D5F60" w14:textId="77777777" w:rsidR="00B402D9" w:rsidRPr="004113A3" w:rsidRDefault="00B402D9" w:rsidP="00B402D9">
      <w:pPr>
        <w:spacing w:after="0" w:line="240" w:lineRule="auto"/>
        <w:ind w:left="142"/>
        <w:jc w:val="both"/>
        <w:textAlignment w:val="baseline"/>
        <w:rPr>
          <w:rFonts w:ascii="Calibri" w:eastAsia="Times New Roman" w:hAnsi="Calibri" w:cs="Calibri"/>
          <w:kern w:val="0"/>
          <w:lang w:eastAsia="en-AU"/>
          <w14:ligatures w14:val="none"/>
        </w:rPr>
      </w:pPr>
    </w:p>
    <w:p w14:paraId="295ED088" w14:textId="6AA24A59" w:rsidR="00B617F4" w:rsidRDefault="00B617F4" w:rsidP="004113A3">
      <w:pPr>
        <w:spacing w:after="0" w:line="240" w:lineRule="auto"/>
        <w:jc w:val="both"/>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T</w:t>
      </w:r>
      <w:r w:rsidRPr="00B617F4">
        <w:rPr>
          <w:rFonts w:ascii="Calibri" w:eastAsia="Times New Roman" w:hAnsi="Calibri" w:cs="Calibri"/>
          <w:kern w:val="0"/>
          <w:lang w:eastAsia="en-AU"/>
          <w14:ligatures w14:val="none"/>
        </w:rPr>
        <w:t xml:space="preserve">he PBAC recommended removal of the CTO note for </w:t>
      </w:r>
      <w:r>
        <w:rPr>
          <w:rFonts w:ascii="Calibri" w:eastAsia="Times New Roman" w:hAnsi="Calibri" w:cs="Calibri"/>
          <w:kern w:val="0"/>
          <w:lang w:eastAsia="en-AU"/>
          <w14:ligatures w14:val="none"/>
        </w:rPr>
        <w:t>these three medicines, for</w:t>
      </w:r>
      <w:r w:rsidRPr="00B617F4">
        <w:rPr>
          <w:rFonts w:ascii="Calibri" w:eastAsia="Times New Roman" w:hAnsi="Calibri" w:cs="Calibri"/>
          <w:kern w:val="0"/>
          <w:lang w:eastAsia="en-AU"/>
          <w14:ligatures w14:val="none"/>
        </w:rPr>
        <w:t xml:space="preserve"> consistency with its November 2024 consideration of listings with a nurse-practitioner </w:t>
      </w:r>
      <w:r>
        <w:rPr>
          <w:rFonts w:ascii="Calibri" w:eastAsia="Times New Roman" w:hAnsi="Calibri" w:cs="Calibri"/>
          <w:kern w:val="0"/>
          <w:lang w:eastAsia="en-AU"/>
          <w14:ligatures w14:val="none"/>
        </w:rPr>
        <w:t xml:space="preserve">CTO </w:t>
      </w:r>
      <w:r w:rsidRPr="00B617F4">
        <w:rPr>
          <w:rFonts w:ascii="Calibri" w:eastAsia="Times New Roman" w:hAnsi="Calibri" w:cs="Calibri"/>
          <w:kern w:val="0"/>
          <w:lang w:eastAsia="en-AU"/>
          <w14:ligatures w14:val="none"/>
        </w:rPr>
        <w:t>note</w:t>
      </w:r>
      <w:r>
        <w:rPr>
          <w:rFonts w:ascii="Calibri" w:eastAsia="Times New Roman" w:hAnsi="Calibri" w:cs="Calibri"/>
          <w:kern w:val="0"/>
          <w:lang w:eastAsia="en-AU"/>
          <w14:ligatures w14:val="none"/>
        </w:rPr>
        <w:t>.</w:t>
      </w:r>
    </w:p>
    <w:p w14:paraId="6553C016" w14:textId="77777777" w:rsidR="00B402D9" w:rsidRDefault="00B402D9" w:rsidP="004113A3">
      <w:pPr>
        <w:spacing w:after="0" w:line="240" w:lineRule="auto"/>
        <w:jc w:val="both"/>
        <w:textAlignment w:val="baseline"/>
        <w:rPr>
          <w:rFonts w:ascii="Calibri" w:eastAsia="Times New Roman" w:hAnsi="Calibri" w:cs="Calibri"/>
          <w:kern w:val="0"/>
          <w:lang w:eastAsia="en-AU"/>
          <w14:ligatures w14:val="none"/>
        </w:rPr>
      </w:pPr>
    </w:p>
    <w:p w14:paraId="7F0A5DF6" w14:textId="11AF23D2" w:rsidR="007D1CA2" w:rsidRDefault="004113A3" w:rsidP="004113A3">
      <w:pPr>
        <w:spacing w:after="0" w:line="240" w:lineRule="auto"/>
        <w:jc w:val="both"/>
        <w:textAlignment w:val="baseline"/>
        <w:rPr>
          <w:rFonts w:ascii="Calibri" w:eastAsia="Times New Roman" w:hAnsi="Calibri" w:cs="Calibri"/>
          <w:kern w:val="0"/>
          <w:lang w:eastAsia="en-AU"/>
          <w14:ligatures w14:val="none"/>
        </w:rPr>
      </w:pPr>
      <w:r w:rsidRPr="004113A3">
        <w:rPr>
          <w:rFonts w:ascii="Calibri" w:eastAsia="Times New Roman" w:hAnsi="Calibri" w:cs="Calibri"/>
          <w:kern w:val="0"/>
          <w:lang w:eastAsia="en-AU"/>
          <w14:ligatures w14:val="none"/>
        </w:rPr>
        <w:t xml:space="preserve">The PBAC noted that this was the last tranche of medicines </w:t>
      </w:r>
      <w:r w:rsidR="00B617F4">
        <w:rPr>
          <w:rFonts w:ascii="Calibri" w:eastAsia="Times New Roman" w:hAnsi="Calibri" w:cs="Calibri"/>
          <w:kern w:val="0"/>
          <w:lang w:eastAsia="en-AU"/>
          <w14:ligatures w14:val="none"/>
        </w:rPr>
        <w:t>being considered through the PBS</w:t>
      </w:r>
      <w:r w:rsidRPr="004113A3">
        <w:rPr>
          <w:rFonts w:ascii="Calibri" w:eastAsia="Times New Roman" w:hAnsi="Calibri" w:cs="Calibri"/>
          <w:kern w:val="0"/>
          <w:lang w:eastAsia="en-AU"/>
          <w14:ligatures w14:val="none"/>
        </w:rPr>
        <w:t xml:space="preserve"> review. Whilst the PBAC recommendations to date have been made in the context of current experience and evidence, it noted that evidence will continue to evolve over time. The PBAC expressed its willingness to consider future requests to amend the eligible prescriber types, which according to the current PBAC submission guidelines would usually follow the format of a Category 4 submission. </w:t>
      </w:r>
    </w:p>
    <w:p w14:paraId="05B48B9F" w14:textId="1C3E9E35" w:rsidR="00E6733B" w:rsidRPr="003A270E" w:rsidRDefault="00E6733B" w:rsidP="00E6733B">
      <w:pPr>
        <w:spacing w:before="100" w:beforeAutospacing="1" w:after="100" w:afterAutospacing="1" w:line="240" w:lineRule="auto"/>
        <w:outlineLvl w:val="1"/>
        <w:rPr>
          <w:rFonts w:ascii="Arial" w:eastAsia="Times New Roman" w:hAnsi="Arial"/>
          <w:b/>
          <w:bCs/>
          <w:color w:val="008080"/>
          <w:kern w:val="0"/>
          <w:sz w:val="32"/>
          <w:szCs w:val="36"/>
          <w:lang w:eastAsia="en-AU"/>
          <w14:ligatures w14:val="none"/>
        </w:rPr>
      </w:pPr>
      <w:r>
        <w:rPr>
          <w:rFonts w:ascii="Arial" w:eastAsia="Times New Roman" w:hAnsi="Arial"/>
          <w:b/>
          <w:bCs/>
          <w:color w:val="008080"/>
          <w:kern w:val="0"/>
          <w:sz w:val="32"/>
          <w:szCs w:val="36"/>
          <w:lang w:eastAsia="en-AU"/>
          <w14:ligatures w14:val="none"/>
        </w:rPr>
        <w:t>Implementation</w:t>
      </w:r>
    </w:p>
    <w:p w14:paraId="3B9DCDA0" w14:textId="17EE5CE3" w:rsidR="00E6733B" w:rsidRDefault="00E6733B" w:rsidP="00E6733B">
      <w:pPr>
        <w:spacing w:after="0" w:line="240" w:lineRule="auto"/>
        <w:jc w:val="both"/>
        <w:textAlignment w:val="baseline"/>
        <w:rPr>
          <w:rFonts w:ascii="Calibri" w:eastAsia="Times New Roman" w:hAnsi="Calibri" w:cs="Calibri"/>
          <w:kern w:val="0"/>
          <w:lang w:eastAsia="en-AU"/>
          <w14:ligatures w14:val="none"/>
        </w:rPr>
      </w:pPr>
      <w:r w:rsidRPr="00E6733B">
        <w:rPr>
          <w:rFonts w:ascii="Calibri" w:eastAsia="Aptos" w:hAnsi="Calibri" w:cs="Calibri"/>
          <w:kern w:val="0"/>
        </w:rPr>
        <w:t xml:space="preserve">The PBAC’s recommendations are expected to be implemented in </w:t>
      </w:r>
      <w:r w:rsidR="00D2131D">
        <w:rPr>
          <w:rFonts w:ascii="Calibri" w:eastAsia="Aptos" w:hAnsi="Calibri" w:cs="Calibri"/>
          <w:kern w:val="0"/>
        </w:rPr>
        <w:t>due course</w:t>
      </w:r>
      <w:r w:rsidRPr="00E6733B">
        <w:rPr>
          <w:rFonts w:ascii="Calibri" w:eastAsia="Aptos" w:hAnsi="Calibri" w:cs="Calibri"/>
          <w:kern w:val="0"/>
        </w:rPr>
        <w:t xml:space="preserve"> as part of routine monthly changes to the PBS schedule. The PBAC’s recommendations applied to PBS listings as </w:t>
      </w:r>
      <w:r w:rsidR="00A354BE" w:rsidRPr="00991110">
        <w:rPr>
          <w:rFonts w:ascii="Calibri" w:eastAsia="Aptos" w:hAnsi="Calibri" w:cs="Calibri"/>
          <w:kern w:val="0"/>
        </w:rPr>
        <w:t xml:space="preserve">of 1 </w:t>
      </w:r>
      <w:r>
        <w:rPr>
          <w:rFonts w:ascii="Calibri" w:eastAsia="Aptos" w:hAnsi="Calibri" w:cs="Calibri"/>
          <w:kern w:val="0"/>
        </w:rPr>
        <w:t>July</w:t>
      </w:r>
      <w:r w:rsidRPr="00E6733B">
        <w:rPr>
          <w:rFonts w:ascii="Calibri" w:eastAsia="Aptos" w:hAnsi="Calibri" w:cs="Calibri"/>
          <w:kern w:val="0"/>
        </w:rPr>
        <w:t xml:space="preserve"> 2025</w:t>
      </w:r>
      <w:r w:rsidR="00A354BE" w:rsidRPr="00A354BE">
        <w:rPr>
          <w:rFonts w:ascii="Calibri" w:eastAsia="Aptos" w:hAnsi="Calibri" w:cs="Calibri"/>
          <w:kern w:val="0"/>
        </w:rPr>
        <w:t>. Some m</w:t>
      </w:r>
      <w:r w:rsidRPr="00A354BE">
        <w:rPr>
          <w:rFonts w:ascii="Calibri" w:eastAsia="Aptos" w:hAnsi="Calibri" w:cs="Calibri"/>
          <w:kern w:val="0"/>
        </w:rPr>
        <w:t>edicines are listed</w:t>
      </w:r>
      <w:r w:rsidRPr="00E6733B">
        <w:rPr>
          <w:rFonts w:ascii="Calibri" w:eastAsia="Aptos" w:hAnsi="Calibri" w:cs="Calibri"/>
          <w:kern w:val="0"/>
        </w:rPr>
        <w:t xml:space="preserve"> in more than one section of the Schedule or for more than one indication. PBS listings for the same medicine may have different conditions for prescribing. Medicines listed on the PBS are updated monthly and PBS prescribers should check the schedule regularly to ensure they prescribe in accordance with any restrictions specified in a listing. More information can be found by visiting ‘</w:t>
      </w:r>
      <w:hyperlink r:id="rId7" w:history="1">
        <w:r w:rsidRPr="006C13CF">
          <w:rPr>
            <w:rStyle w:val="Hyperlink"/>
            <w:rFonts w:ascii="Calibri" w:eastAsia="Aptos" w:hAnsi="Calibri" w:cs="Calibri"/>
            <w:kern w:val="0"/>
          </w:rPr>
          <w:t>Review of PBS items for prescribing by nurse practitioners and endorsed midwives</w:t>
        </w:r>
      </w:hyperlink>
      <w:r w:rsidRPr="00E6733B">
        <w:rPr>
          <w:rFonts w:ascii="Calibri" w:eastAsia="Aptos" w:hAnsi="Calibri" w:cs="Calibri"/>
          <w:kern w:val="0"/>
        </w:rPr>
        <w:t>‘ on the PBS website.</w:t>
      </w:r>
    </w:p>
    <w:sectPr w:rsidR="00E6733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B323" w14:textId="77777777" w:rsidR="00E26876" w:rsidRDefault="00E26876" w:rsidP="00653896">
      <w:pPr>
        <w:spacing w:after="0" w:line="240" w:lineRule="auto"/>
      </w:pPr>
      <w:r>
        <w:separator/>
      </w:r>
    </w:p>
  </w:endnote>
  <w:endnote w:type="continuationSeparator" w:id="0">
    <w:p w14:paraId="79C52429" w14:textId="77777777" w:rsidR="00E26876" w:rsidRDefault="00E26876" w:rsidP="0065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9744" w14:textId="7DA131F1" w:rsidR="00CD7DF8" w:rsidRDefault="00CD7DF8">
    <w:pPr>
      <w:pStyle w:val="Footer"/>
    </w:pPr>
    <w:r>
      <w:rPr>
        <w:noProof/>
      </w:rPr>
      <mc:AlternateContent>
        <mc:Choice Requires="wps">
          <w:drawing>
            <wp:anchor distT="0" distB="0" distL="0" distR="0" simplePos="0" relativeHeight="251662336" behindDoc="0" locked="0" layoutInCell="1" allowOverlap="1" wp14:anchorId="2C05E7C2" wp14:editId="7787C539">
              <wp:simplePos x="635" y="635"/>
              <wp:positionH relativeFrom="page">
                <wp:align>center</wp:align>
              </wp:positionH>
              <wp:positionV relativeFrom="page">
                <wp:align>bottom</wp:align>
              </wp:positionV>
              <wp:extent cx="551815" cy="391160"/>
              <wp:effectExtent l="0" t="0" r="635" b="0"/>
              <wp:wrapNone/>
              <wp:docPr id="2399264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1E7B4D" w14:textId="3D6D0686"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5E7C2"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51E7B4D" w14:textId="3D6D0686"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4DE3" w14:textId="364FE265" w:rsidR="00653896" w:rsidRDefault="00CD7DF8">
    <w:pPr>
      <w:pStyle w:val="Footer"/>
      <w:jc w:val="center"/>
    </w:pPr>
    <w:r>
      <w:rPr>
        <w:noProof/>
      </w:rPr>
      <mc:AlternateContent>
        <mc:Choice Requires="wps">
          <w:drawing>
            <wp:anchor distT="0" distB="0" distL="0" distR="0" simplePos="0" relativeHeight="251663360" behindDoc="0" locked="0" layoutInCell="1" allowOverlap="1" wp14:anchorId="31AD0646" wp14:editId="673E2E48">
              <wp:simplePos x="914400" y="9896475"/>
              <wp:positionH relativeFrom="page">
                <wp:align>center</wp:align>
              </wp:positionH>
              <wp:positionV relativeFrom="page">
                <wp:align>bottom</wp:align>
              </wp:positionV>
              <wp:extent cx="551815" cy="391160"/>
              <wp:effectExtent l="0" t="0" r="635" b="0"/>
              <wp:wrapNone/>
              <wp:docPr id="4605457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E90F042" w14:textId="095DDCA9"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D064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2E90F042" w14:textId="095DDCA9"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v:textbox>
              <w10:wrap anchorx="page" anchory="page"/>
            </v:shape>
          </w:pict>
        </mc:Fallback>
      </mc:AlternateContent>
    </w:r>
    <w:sdt>
      <w:sdtPr>
        <w:id w:val="1751380851"/>
        <w:docPartObj>
          <w:docPartGallery w:val="Page Numbers (Bottom of Page)"/>
          <w:docPartUnique/>
        </w:docPartObj>
      </w:sdtPr>
      <w:sdtEndPr>
        <w:rPr>
          <w:noProof/>
        </w:rPr>
      </w:sdtEndPr>
      <w:sdtContent>
        <w:r w:rsidR="00653896">
          <w:fldChar w:fldCharType="begin"/>
        </w:r>
        <w:r w:rsidR="00653896">
          <w:instrText xml:space="preserve"> PAGE   \* MERGEFORMAT </w:instrText>
        </w:r>
        <w:r w:rsidR="00653896">
          <w:fldChar w:fldCharType="separate"/>
        </w:r>
        <w:r w:rsidR="00653896">
          <w:rPr>
            <w:noProof/>
          </w:rPr>
          <w:t>2</w:t>
        </w:r>
        <w:r w:rsidR="00653896">
          <w:rPr>
            <w:noProof/>
          </w:rPr>
          <w:fldChar w:fldCharType="end"/>
        </w:r>
      </w:sdtContent>
    </w:sdt>
  </w:p>
  <w:p w14:paraId="7346FC00" w14:textId="77777777" w:rsidR="00653896" w:rsidRDefault="00653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AD93" w14:textId="65914C3F" w:rsidR="00CD7DF8" w:rsidRDefault="00CD7DF8">
    <w:pPr>
      <w:pStyle w:val="Footer"/>
    </w:pPr>
    <w:r>
      <w:rPr>
        <w:noProof/>
      </w:rPr>
      <mc:AlternateContent>
        <mc:Choice Requires="wps">
          <w:drawing>
            <wp:anchor distT="0" distB="0" distL="0" distR="0" simplePos="0" relativeHeight="251661312" behindDoc="0" locked="0" layoutInCell="1" allowOverlap="1" wp14:anchorId="1226F9E9" wp14:editId="2E73299F">
              <wp:simplePos x="635" y="635"/>
              <wp:positionH relativeFrom="page">
                <wp:align>center</wp:align>
              </wp:positionH>
              <wp:positionV relativeFrom="page">
                <wp:align>bottom</wp:align>
              </wp:positionV>
              <wp:extent cx="551815" cy="391160"/>
              <wp:effectExtent l="0" t="0" r="635" b="0"/>
              <wp:wrapNone/>
              <wp:docPr id="6596972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CF4137" w14:textId="5E05C0E2"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6F9E9"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44CF4137" w14:textId="5E05C0E2"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C21B" w14:textId="77777777" w:rsidR="00E26876" w:rsidRDefault="00E26876" w:rsidP="00653896">
      <w:pPr>
        <w:spacing w:after="0" w:line="240" w:lineRule="auto"/>
      </w:pPr>
      <w:r>
        <w:separator/>
      </w:r>
    </w:p>
  </w:footnote>
  <w:footnote w:type="continuationSeparator" w:id="0">
    <w:p w14:paraId="511C4376" w14:textId="77777777" w:rsidR="00E26876" w:rsidRDefault="00E26876" w:rsidP="00653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326" w14:textId="6E8275B0" w:rsidR="00CD7DF8" w:rsidRDefault="00CD7DF8">
    <w:pPr>
      <w:pStyle w:val="Header"/>
    </w:pPr>
    <w:r>
      <w:rPr>
        <w:noProof/>
      </w:rPr>
      <mc:AlternateContent>
        <mc:Choice Requires="wps">
          <w:drawing>
            <wp:anchor distT="0" distB="0" distL="0" distR="0" simplePos="0" relativeHeight="251659264" behindDoc="0" locked="0" layoutInCell="1" allowOverlap="1" wp14:anchorId="1DE9CD10" wp14:editId="25C06D82">
              <wp:simplePos x="635" y="635"/>
              <wp:positionH relativeFrom="page">
                <wp:align>center</wp:align>
              </wp:positionH>
              <wp:positionV relativeFrom="page">
                <wp:align>top</wp:align>
              </wp:positionV>
              <wp:extent cx="551815" cy="391160"/>
              <wp:effectExtent l="0" t="0" r="635" b="8890"/>
              <wp:wrapNone/>
              <wp:docPr id="7312941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EB134DA" w14:textId="4F457266"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9CD10"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EB134DA" w14:textId="4F457266"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4DBA" w14:textId="481509B4" w:rsidR="000104C6" w:rsidRDefault="00CD7DF8">
    <w:pPr>
      <w:pStyle w:val="Header"/>
    </w:pPr>
    <w:r>
      <w:rPr>
        <w:noProof/>
      </w:rPr>
      <mc:AlternateContent>
        <mc:Choice Requires="wps">
          <w:drawing>
            <wp:anchor distT="0" distB="0" distL="0" distR="0" simplePos="0" relativeHeight="251660288" behindDoc="0" locked="0" layoutInCell="1" allowOverlap="1" wp14:anchorId="6A221DB2" wp14:editId="6D92075F">
              <wp:simplePos x="914400" y="447675"/>
              <wp:positionH relativeFrom="page">
                <wp:align>center</wp:align>
              </wp:positionH>
              <wp:positionV relativeFrom="page">
                <wp:align>top</wp:align>
              </wp:positionV>
              <wp:extent cx="551815" cy="391160"/>
              <wp:effectExtent l="0" t="0" r="635" b="8890"/>
              <wp:wrapNone/>
              <wp:docPr id="18200348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929AB8E" w14:textId="0EA73DCE"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21DB2"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929AB8E" w14:textId="0EA73DCE"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v:textbox>
              <w10:wrap anchorx="page" anchory="page"/>
            </v:shape>
          </w:pict>
        </mc:Fallback>
      </mc:AlternateContent>
    </w:r>
    <w:r w:rsidR="00F76E59">
      <w:rPr>
        <w:noProof/>
      </w:rPr>
      <w:drawing>
        <wp:inline distT="0" distB="0" distL="0" distR="0" wp14:anchorId="2C287DD6" wp14:editId="1FA67616">
          <wp:extent cx="4298868" cy="854710"/>
          <wp:effectExtent l="0" t="0" r="6985" b="2540"/>
          <wp:docPr id="1868467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9788" cy="882728"/>
                  </a:xfrm>
                  <a:prstGeom prst="rect">
                    <a:avLst/>
                  </a:prstGeom>
                  <a:noFill/>
                </pic:spPr>
              </pic:pic>
            </a:graphicData>
          </a:graphic>
        </wp:inline>
      </w:drawing>
    </w:r>
  </w:p>
  <w:p w14:paraId="65855CC3" w14:textId="46A77435" w:rsidR="000104C6" w:rsidRDefault="00AA0FB6">
    <w:pPr>
      <w:pStyle w:val="Header"/>
    </w:pPr>
    <w:r w:rsidRPr="00934D0C">
      <w:rPr>
        <w:rFonts w:ascii="Calibri" w:eastAsia="Calibri" w:hAnsi="Calibri"/>
        <w:noProof/>
        <w:kern w:val="0"/>
        <w:sz w:val="22"/>
        <w:szCs w:val="22"/>
        <w14:ligatures w14:val="none"/>
      </w:rPr>
      <w:drawing>
        <wp:inline distT="0" distB="0" distL="0" distR="0" wp14:anchorId="2121EF52" wp14:editId="171DAF67">
          <wp:extent cx="5731510" cy="130810"/>
          <wp:effectExtent l="0" t="0" r="2540" b="2540"/>
          <wp:docPr id="1046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816" name=""/>
                  <pic:cNvPicPr/>
                </pic:nvPicPr>
                <pic:blipFill>
                  <a:blip r:embed="rId2"/>
                  <a:stretch>
                    <a:fillRect/>
                  </a:stretch>
                </pic:blipFill>
                <pic:spPr>
                  <a:xfrm>
                    <a:off x="0" y="0"/>
                    <a:ext cx="5731510" cy="1308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B914" w14:textId="3ADA01FE" w:rsidR="00CD7DF8" w:rsidRDefault="00CD7DF8">
    <w:pPr>
      <w:pStyle w:val="Header"/>
    </w:pPr>
    <w:r>
      <w:rPr>
        <w:noProof/>
      </w:rPr>
      <mc:AlternateContent>
        <mc:Choice Requires="wps">
          <w:drawing>
            <wp:anchor distT="0" distB="0" distL="0" distR="0" simplePos="0" relativeHeight="251658240" behindDoc="0" locked="0" layoutInCell="1" allowOverlap="1" wp14:anchorId="588B2E9C" wp14:editId="551C4598">
              <wp:simplePos x="635" y="635"/>
              <wp:positionH relativeFrom="page">
                <wp:align>center</wp:align>
              </wp:positionH>
              <wp:positionV relativeFrom="page">
                <wp:align>top</wp:align>
              </wp:positionV>
              <wp:extent cx="551815" cy="391160"/>
              <wp:effectExtent l="0" t="0" r="635" b="8890"/>
              <wp:wrapNone/>
              <wp:docPr id="21317113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2E0D504" w14:textId="2658AE88"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B2E9C"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22E0D504" w14:textId="2658AE88" w:rsidR="00CD7DF8" w:rsidRPr="00CD7DF8" w:rsidRDefault="00CD7DF8" w:rsidP="00CD7DF8">
                    <w:pPr>
                      <w:spacing w:after="0"/>
                      <w:rPr>
                        <w:rFonts w:ascii="Calibri" w:eastAsia="Calibri" w:hAnsi="Calibri" w:cs="Calibri"/>
                        <w:noProof/>
                        <w:color w:val="FF0000"/>
                      </w:rPr>
                    </w:pPr>
                    <w:r w:rsidRPr="00CD7DF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126"/>
    <w:multiLevelType w:val="multilevel"/>
    <w:tmpl w:val="98A6AB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E12D3"/>
    <w:multiLevelType w:val="multilevel"/>
    <w:tmpl w:val="99221C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D39B5"/>
    <w:multiLevelType w:val="multilevel"/>
    <w:tmpl w:val="3702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F51A5"/>
    <w:multiLevelType w:val="multilevel"/>
    <w:tmpl w:val="BBE005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829CA"/>
    <w:multiLevelType w:val="multilevel"/>
    <w:tmpl w:val="C39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C127D"/>
    <w:multiLevelType w:val="multilevel"/>
    <w:tmpl w:val="0E86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D3547"/>
    <w:multiLevelType w:val="multilevel"/>
    <w:tmpl w:val="567C58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34AD0"/>
    <w:multiLevelType w:val="multilevel"/>
    <w:tmpl w:val="BD061A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3D6AAF"/>
    <w:multiLevelType w:val="multilevel"/>
    <w:tmpl w:val="1136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563167"/>
    <w:multiLevelType w:val="multilevel"/>
    <w:tmpl w:val="E8A2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C7C52"/>
    <w:multiLevelType w:val="multilevel"/>
    <w:tmpl w:val="309E6D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8F59B5"/>
    <w:multiLevelType w:val="multilevel"/>
    <w:tmpl w:val="72CA4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723B3"/>
    <w:multiLevelType w:val="multilevel"/>
    <w:tmpl w:val="6528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866898"/>
    <w:multiLevelType w:val="multilevel"/>
    <w:tmpl w:val="A72A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A343A5"/>
    <w:multiLevelType w:val="hybridMultilevel"/>
    <w:tmpl w:val="B25890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AFD0449"/>
    <w:multiLevelType w:val="multilevel"/>
    <w:tmpl w:val="031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31354"/>
    <w:multiLevelType w:val="multilevel"/>
    <w:tmpl w:val="53CE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B17E87"/>
    <w:multiLevelType w:val="multilevel"/>
    <w:tmpl w:val="87D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9675CB"/>
    <w:multiLevelType w:val="multilevel"/>
    <w:tmpl w:val="8360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3143AE"/>
    <w:multiLevelType w:val="hybridMultilevel"/>
    <w:tmpl w:val="731691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D483D48"/>
    <w:multiLevelType w:val="multilevel"/>
    <w:tmpl w:val="42F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E12D79"/>
    <w:multiLevelType w:val="multilevel"/>
    <w:tmpl w:val="63E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1465DE"/>
    <w:multiLevelType w:val="multilevel"/>
    <w:tmpl w:val="9B7EDA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1317E5"/>
    <w:multiLevelType w:val="multilevel"/>
    <w:tmpl w:val="BCD8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E0795A"/>
    <w:multiLevelType w:val="multilevel"/>
    <w:tmpl w:val="7F36B9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61EF6"/>
    <w:multiLevelType w:val="multilevel"/>
    <w:tmpl w:val="F7EE1B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CA73AA"/>
    <w:multiLevelType w:val="multilevel"/>
    <w:tmpl w:val="FE8853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4015553">
    <w:abstractNumId w:val="26"/>
  </w:num>
  <w:num w:numId="2" w16cid:durableId="1200823248">
    <w:abstractNumId w:val="10"/>
  </w:num>
  <w:num w:numId="3" w16cid:durableId="1837724794">
    <w:abstractNumId w:val="8"/>
  </w:num>
  <w:num w:numId="4" w16cid:durableId="1950745743">
    <w:abstractNumId w:val="18"/>
  </w:num>
  <w:num w:numId="5" w16cid:durableId="565183723">
    <w:abstractNumId w:val="21"/>
  </w:num>
  <w:num w:numId="6" w16cid:durableId="230191762">
    <w:abstractNumId w:val="15"/>
  </w:num>
  <w:num w:numId="7" w16cid:durableId="1028262646">
    <w:abstractNumId w:val="9"/>
  </w:num>
  <w:num w:numId="8" w16cid:durableId="569972109">
    <w:abstractNumId w:val="20"/>
  </w:num>
  <w:num w:numId="9" w16cid:durableId="588932320">
    <w:abstractNumId w:val="23"/>
  </w:num>
  <w:num w:numId="10" w16cid:durableId="1485777883">
    <w:abstractNumId w:val="12"/>
  </w:num>
  <w:num w:numId="11" w16cid:durableId="910576275">
    <w:abstractNumId w:val="3"/>
  </w:num>
  <w:num w:numId="12" w16cid:durableId="1363704258">
    <w:abstractNumId w:val="25"/>
  </w:num>
  <w:num w:numId="13" w16cid:durableId="350762078">
    <w:abstractNumId w:val="11"/>
  </w:num>
  <w:num w:numId="14" w16cid:durableId="74280123">
    <w:abstractNumId w:val="7"/>
  </w:num>
  <w:num w:numId="15" w16cid:durableId="1847553096">
    <w:abstractNumId w:val="6"/>
  </w:num>
  <w:num w:numId="16" w16cid:durableId="1163164158">
    <w:abstractNumId w:val="5"/>
  </w:num>
  <w:num w:numId="17" w16cid:durableId="1309826204">
    <w:abstractNumId w:val="17"/>
  </w:num>
  <w:num w:numId="18" w16cid:durableId="1037243393">
    <w:abstractNumId w:val="13"/>
  </w:num>
  <w:num w:numId="19" w16cid:durableId="1035546402">
    <w:abstractNumId w:val="1"/>
  </w:num>
  <w:num w:numId="20" w16cid:durableId="2141871641">
    <w:abstractNumId w:val="22"/>
  </w:num>
  <w:num w:numId="21" w16cid:durableId="1133714650">
    <w:abstractNumId w:val="0"/>
  </w:num>
  <w:num w:numId="22" w16cid:durableId="1635675669">
    <w:abstractNumId w:val="24"/>
  </w:num>
  <w:num w:numId="23" w16cid:durableId="1388990492">
    <w:abstractNumId w:val="2"/>
  </w:num>
  <w:num w:numId="24" w16cid:durableId="1433278079">
    <w:abstractNumId w:val="4"/>
  </w:num>
  <w:num w:numId="25" w16cid:durableId="2066417118">
    <w:abstractNumId w:val="16"/>
  </w:num>
  <w:num w:numId="26" w16cid:durableId="1956643177">
    <w:abstractNumId w:val="14"/>
  </w:num>
  <w:num w:numId="27" w16cid:durableId="13796268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47"/>
    <w:rsid w:val="000104C6"/>
    <w:rsid w:val="00021478"/>
    <w:rsid w:val="000261D4"/>
    <w:rsid w:val="00047727"/>
    <w:rsid w:val="00054219"/>
    <w:rsid w:val="000A4941"/>
    <w:rsid w:val="000A584D"/>
    <w:rsid w:val="000B6844"/>
    <w:rsid w:val="000D05E8"/>
    <w:rsid w:val="000D3310"/>
    <w:rsid w:val="000E4D47"/>
    <w:rsid w:val="00112304"/>
    <w:rsid w:val="0014707E"/>
    <w:rsid w:val="0016365D"/>
    <w:rsid w:val="001B0683"/>
    <w:rsid w:val="001D6476"/>
    <w:rsid w:val="002001EB"/>
    <w:rsid w:val="00214243"/>
    <w:rsid w:val="00245C12"/>
    <w:rsid w:val="002461C1"/>
    <w:rsid w:val="00257286"/>
    <w:rsid w:val="00280050"/>
    <w:rsid w:val="00293A90"/>
    <w:rsid w:val="002A207B"/>
    <w:rsid w:val="002D1CA5"/>
    <w:rsid w:val="002E046E"/>
    <w:rsid w:val="00311F5B"/>
    <w:rsid w:val="00330164"/>
    <w:rsid w:val="0037682E"/>
    <w:rsid w:val="003A270E"/>
    <w:rsid w:val="003C2170"/>
    <w:rsid w:val="003C5A88"/>
    <w:rsid w:val="003E556A"/>
    <w:rsid w:val="00401DEB"/>
    <w:rsid w:val="004113A3"/>
    <w:rsid w:val="00413E6D"/>
    <w:rsid w:val="00422253"/>
    <w:rsid w:val="00487F28"/>
    <w:rsid w:val="004B1F3E"/>
    <w:rsid w:val="004E7C9D"/>
    <w:rsid w:val="00501786"/>
    <w:rsid w:val="00542231"/>
    <w:rsid w:val="00564AD7"/>
    <w:rsid w:val="00565DEB"/>
    <w:rsid w:val="0056623D"/>
    <w:rsid w:val="005C617E"/>
    <w:rsid w:val="005E3128"/>
    <w:rsid w:val="006018E3"/>
    <w:rsid w:val="006214AA"/>
    <w:rsid w:val="00653896"/>
    <w:rsid w:val="00667F9D"/>
    <w:rsid w:val="00677D24"/>
    <w:rsid w:val="006812B5"/>
    <w:rsid w:val="006C13CF"/>
    <w:rsid w:val="006C5700"/>
    <w:rsid w:val="006C6CEF"/>
    <w:rsid w:val="006D408A"/>
    <w:rsid w:val="006E0B6E"/>
    <w:rsid w:val="006E619A"/>
    <w:rsid w:val="006F4D06"/>
    <w:rsid w:val="00721820"/>
    <w:rsid w:val="0075356B"/>
    <w:rsid w:val="00785A2D"/>
    <w:rsid w:val="007A2444"/>
    <w:rsid w:val="007C648E"/>
    <w:rsid w:val="007D1CA2"/>
    <w:rsid w:val="007D5CC8"/>
    <w:rsid w:val="007D686B"/>
    <w:rsid w:val="007E7BA9"/>
    <w:rsid w:val="008514E8"/>
    <w:rsid w:val="00892D43"/>
    <w:rsid w:val="008B6513"/>
    <w:rsid w:val="009047B8"/>
    <w:rsid w:val="00934D0C"/>
    <w:rsid w:val="00952505"/>
    <w:rsid w:val="009743FD"/>
    <w:rsid w:val="00974E47"/>
    <w:rsid w:val="009834A8"/>
    <w:rsid w:val="00991110"/>
    <w:rsid w:val="009A1FFE"/>
    <w:rsid w:val="009D4323"/>
    <w:rsid w:val="00A10721"/>
    <w:rsid w:val="00A354BE"/>
    <w:rsid w:val="00A4071F"/>
    <w:rsid w:val="00A471BE"/>
    <w:rsid w:val="00A62277"/>
    <w:rsid w:val="00A67813"/>
    <w:rsid w:val="00A81A8D"/>
    <w:rsid w:val="00A90AAA"/>
    <w:rsid w:val="00A914EB"/>
    <w:rsid w:val="00AA0FB6"/>
    <w:rsid w:val="00B402D9"/>
    <w:rsid w:val="00B617F4"/>
    <w:rsid w:val="00B83AB2"/>
    <w:rsid w:val="00BB542C"/>
    <w:rsid w:val="00BC5128"/>
    <w:rsid w:val="00C478F2"/>
    <w:rsid w:val="00C512C5"/>
    <w:rsid w:val="00C97285"/>
    <w:rsid w:val="00CA0F20"/>
    <w:rsid w:val="00CB773B"/>
    <w:rsid w:val="00CD7DF8"/>
    <w:rsid w:val="00D0611C"/>
    <w:rsid w:val="00D2131D"/>
    <w:rsid w:val="00D46E1F"/>
    <w:rsid w:val="00D5797F"/>
    <w:rsid w:val="00D744A6"/>
    <w:rsid w:val="00D779A7"/>
    <w:rsid w:val="00DB23AD"/>
    <w:rsid w:val="00DC2362"/>
    <w:rsid w:val="00DE0D70"/>
    <w:rsid w:val="00E0430A"/>
    <w:rsid w:val="00E219C5"/>
    <w:rsid w:val="00E26876"/>
    <w:rsid w:val="00E51105"/>
    <w:rsid w:val="00E6733B"/>
    <w:rsid w:val="00EB28B4"/>
    <w:rsid w:val="00EB5426"/>
    <w:rsid w:val="00F14D6C"/>
    <w:rsid w:val="00F27495"/>
    <w:rsid w:val="00F532CF"/>
    <w:rsid w:val="00F60808"/>
    <w:rsid w:val="00F76E59"/>
    <w:rsid w:val="00F82DD8"/>
    <w:rsid w:val="00FB7055"/>
    <w:rsid w:val="00FC22B8"/>
    <w:rsid w:val="00FE7210"/>
    <w:rsid w:val="00FF5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C02E"/>
  <w15:chartTrackingRefBased/>
  <w15:docId w15:val="{2550AEC0-EC9A-4D0C-BF26-206B04B1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E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4E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4E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4E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74E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74E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4E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4E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4E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E4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74E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74E4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74E4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74E4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74E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4E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4E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4E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4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E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E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4E47"/>
    <w:pPr>
      <w:spacing w:before="160"/>
      <w:jc w:val="center"/>
    </w:pPr>
    <w:rPr>
      <w:i/>
      <w:iCs/>
      <w:color w:val="404040" w:themeColor="text1" w:themeTint="BF"/>
    </w:rPr>
  </w:style>
  <w:style w:type="character" w:customStyle="1" w:styleId="QuoteChar">
    <w:name w:val="Quote Char"/>
    <w:basedOn w:val="DefaultParagraphFont"/>
    <w:link w:val="Quote"/>
    <w:uiPriority w:val="29"/>
    <w:rsid w:val="00974E47"/>
    <w:rPr>
      <w:i/>
      <w:iCs/>
      <w:color w:val="404040" w:themeColor="text1" w:themeTint="BF"/>
    </w:rPr>
  </w:style>
  <w:style w:type="paragraph" w:styleId="ListParagraph">
    <w:name w:val="List Paragraph"/>
    <w:basedOn w:val="Normal"/>
    <w:uiPriority w:val="34"/>
    <w:qFormat/>
    <w:rsid w:val="00974E47"/>
    <w:pPr>
      <w:ind w:left="720"/>
      <w:contextualSpacing/>
    </w:pPr>
  </w:style>
  <w:style w:type="character" w:styleId="IntenseEmphasis">
    <w:name w:val="Intense Emphasis"/>
    <w:basedOn w:val="DefaultParagraphFont"/>
    <w:uiPriority w:val="21"/>
    <w:qFormat/>
    <w:rsid w:val="00974E47"/>
    <w:rPr>
      <w:i/>
      <w:iCs/>
      <w:color w:val="2E74B5" w:themeColor="accent1" w:themeShade="BF"/>
    </w:rPr>
  </w:style>
  <w:style w:type="paragraph" w:styleId="IntenseQuote">
    <w:name w:val="Intense Quote"/>
    <w:basedOn w:val="Normal"/>
    <w:next w:val="Normal"/>
    <w:link w:val="IntenseQuoteChar"/>
    <w:uiPriority w:val="30"/>
    <w:qFormat/>
    <w:rsid w:val="00974E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4E47"/>
    <w:rPr>
      <w:i/>
      <w:iCs/>
      <w:color w:val="2E74B5" w:themeColor="accent1" w:themeShade="BF"/>
    </w:rPr>
  </w:style>
  <w:style w:type="character" w:styleId="IntenseReference">
    <w:name w:val="Intense Reference"/>
    <w:basedOn w:val="DefaultParagraphFont"/>
    <w:uiPriority w:val="32"/>
    <w:qFormat/>
    <w:rsid w:val="00974E47"/>
    <w:rPr>
      <w:b/>
      <w:bCs/>
      <w:smallCaps/>
      <w:color w:val="2E74B5" w:themeColor="accent1" w:themeShade="BF"/>
      <w:spacing w:val="5"/>
    </w:rPr>
  </w:style>
  <w:style w:type="table" w:styleId="TableGrid">
    <w:name w:val="Table Grid"/>
    <w:basedOn w:val="TableNormal"/>
    <w:uiPriority w:val="39"/>
    <w:rsid w:val="0097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96"/>
  </w:style>
  <w:style w:type="paragraph" w:styleId="Footer">
    <w:name w:val="footer"/>
    <w:basedOn w:val="Normal"/>
    <w:link w:val="FooterChar"/>
    <w:uiPriority w:val="99"/>
    <w:unhideWhenUsed/>
    <w:rsid w:val="00653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96"/>
  </w:style>
  <w:style w:type="paragraph" w:styleId="CommentText">
    <w:name w:val="annotation text"/>
    <w:basedOn w:val="Normal"/>
    <w:link w:val="CommentTextChar"/>
    <w:uiPriority w:val="99"/>
    <w:unhideWhenUsed/>
    <w:rsid w:val="00413E6D"/>
    <w:pPr>
      <w:spacing w:line="240" w:lineRule="auto"/>
    </w:pPr>
    <w:rPr>
      <w:sz w:val="20"/>
      <w:szCs w:val="20"/>
    </w:rPr>
  </w:style>
  <w:style w:type="character" w:customStyle="1" w:styleId="CommentTextChar">
    <w:name w:val="Comment Text Char"/>
    <w:basedOn w:val="DefaultParagraphFont"/>
    <w:link w:val="CommentText"/>
    <w:uiPriority w:val="99"/>
    <w:rsid w:val="00413E6D"/>
    <w:rPr>
      <w:sz w:val="20"/>
      <w:szCs w:val="20"/>
    </w:rPr>
  </w:style>
  <w:style w:type="character" w:styleId="CommentReference">
    <w:name w:val="annotation reference"/>
    <w:aliases w:val="Table Title"/>
    <w:basedOn w:val="DefaultParagraphFont"/>
    <w:uiPriority w:val="99"/>
    <w:qFormat/>
    <w:rsid w:val="00413E6D"/>
    <w:rPr>
      <w:sz w:val="16"/>
      <w:szCs w:val="16"/>
    </w:rPr>
  </w:style>
  <w:style w:type="table" w:customStyle="1" w:styleId="TableGrid3">
    <w:name w:val="Table Grid3"/>
    <w:basedOn w:val="TableNormal"/>
    <w:next w:val="TableGrid"/>
    <w:uiPriority w:val="39"/>
    <w:rsid w:val="00B83AB2"/>
    <w:rPr>
      <w:rFonts w:ascii="Calibri" w:eastAsia="Apto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01DEB"/>
    <w:rPr>
      <w:rFonts w:ascii="Calibri" w:eastAsia="Apto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5DEB"/>
    <w:pPr>
      <w:spacing w:after="0" w:line="240" w:lineRule="auto"/>
    </w:pPr>
  </w:style>
  <w:style w:type="character" w:styleId="Hyperlink">
    <w:name w:val="Hyperlink"/>
    <w:basedOn w:val="DefaultParagraphFont"/>
    <w:uiPriority w:val="99"/>
    <w:unhideWhenUsed/>
    <w:rsid w:val="006C13CF"/>
    <w:rPr>
      <w:color w:val="0563C1" w:themeColor="hyperlink"/>
      <w:u w:val="single"/>
    </w:rPr>
  </w:style>
  <w:style w:type="character" w:styleId="UnresolvedMention">
    <w:name w:val="Unresolved Mention"/>
    <w:basedOn w:val="DefaultParagraphFont"/>
    <w:uiPriority w:val="99"/>
    <w:semiHidden/>
    <w:unhideWhenUsed/>
    <w:rsid w:val="006C13C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542C"/>
    <w:rPr>
      <w:b/>
      <w:bCs/>
    </w:rPr>
  </w:style>
  <w:style w:type="character" w:customStyle="1" w:styleId="CommentSubjectChar">
    <w:name w:val="Comment Subject Char"/>
    <w:basedOn w:val="CommentTextChar"/>
    <w:link w:val="CommentSubject"/>
    <w:uiPriority w:val="99"/>
    <w:semiHidden/>
    <w:rsid w:val="00BB5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63994">
      <w:bodyDiv w:val="1"/>
      <w:marLeft w:val="0"/>
      <w:marRight w:val="0"/>
      <w:marTop w:val="0"/>
      <w:marBottom w:val="0"/>
      <w:divBdr>
        <w:top w:val="none" w:sz="0" w:space="0" w:color="auto"/>
        <w:left w:val="none" w:sz="0" w:space="0" w:color="auto"/>
        <w:bottom w:val="none" w:sz="0" w:space="0" w:color="auto"/>
        <w:right w:val="none" w:sz="0" w:space="0" w:color="auto"/>
      </w:divBdr>
      <w:divsChild>
        <w:div w:id="2135908396">
          <w:marLeft w:val="0"/>
          <w:marRight w:val="0"/>
          <w:marTop w:val="0"/>
          <w:marBottom w:val="0"/>
          <w:divBdr>
            <w:top w:val="none" w:sz="0" w:space="0" w:color="auto"/>
            <w:left w:val="none" w:sz="0" w:space="0" w:color="auto"/>
            <w:bottom w:val="none" w:sz="0" w:space="0" w:color="auto"/>
            <w:right w:val="none" w:sz="0" w:space="0" w:color="auto"/>
          </w:divBdr>
        </w:div>
        <w:div w:id="259486186">
          <w:marLeft w:val="0"/>
          <w:marRight w:val="0"/>
          <w:marTop w:val="0"/>
          <w:marBottom w:val="0"/>
          <w:divBdr>
            <w:top w:val="none" w:sz="0" w:space="0" w:color="auto"/>
            <w:left w:val="none" w:sz="0" w:space="0" w:color="auto"/>
            <w:bottom w:val="none" w:sz="0" w:space="0" w:color="auto"/>
            <w:right w:val="none" w:sz="0" w:space="0" w:color="auto"/>
          </w:divBdr>
        </w:div>
        <w:div w:id="2109690845">
          <w:marLeft w:val="-75"/>
          <w:marRight w:val="0"/>
          <w:marTop w:val="30"/>
          <w:marBottom w:val="30"/>
          <w:divBdr>
            <w:top w:val="none" w:sz="0" w:space="0" w:color="auto"/>
            <w:left w:val="none" w:sz="0" w:space="0" w:color="auto"/>
            <w:bottom w:val="none" w:sz="0" w:space="0" w:color="auto"/>
            <w:right w:val="none" w:sz="0" w:space="0" w:color="auto"/>
          </w:divBdr>
          <w:divsChild>
            <w:div w:id="1883515959">
              <w:marLeft w:val="0"/>
              <w:marRight w:val="0"/>
              <w:marTop w:val="0"/>
              <w:marBottom w:val="0"/>
              <w:divBdr>
                <w:top w:val="none" w:sz="0" w:space="0" w:color="auto"/>
                <w:left w:val="none" w:sz="0" w:space="0" w:color="auto"/>
                <w:bottom w:val="none" w:sz="0" w:space="0" w:color="auto"/>
                <w:right w:val="none" w:sz="0" w:space="0" w:color="auto"/>
              </w:divBdr>
              <w:divsChild>
                <w:div w:id="1288195410">
                  <w:marLeft w:val="0"/>
                  <w:marRight w:val="0"/>
                  <w:marTop w:val="0"/>
                  <w:marBottom w:val="0"/>
                  <w:divBdr>
                    <w:top w:val="none" w:sz="0" w:space="0" w:color="auto"/>
                    <w:left w:val="none" w:sz="0" w:space="0" w:color="auto"/>
                    <w:bottom w:val="none" w:sz="0" w:space="0" w:color="auto"/>
                    <w:right w:val="none" w:sz="0" w:space="0" w:color="auto"/>
                  </w:divBdr>
                </w:div>
              </w:divsChild>
            </w:div>
            <w:div w:id="1600213083">
              <w:marLeft w:val="0"/>
              <w:marRight w:val="0"/>
              <w:marTop w:val="0"/>
              <w:marBottom w:val="0"/>
              <w:divBdr>
                <w:top w:val="none" w:sz="0" w:space="0" w:color="auto"/>
                <w:left w:val="none" w:sz="0" w:space="0" w:color="auto"/>
                <w:bottom w:val="none" w:sz="0" w:space="0" w:color="auto"/>
                <w:right w:val="none" w:sz="0" w:space="0" w:color="auto"/>
              </w:divBdr>
              <w:divsChild>
                <w:div w:id="1289897554">
                  <w:marLeft w:val="0"/>
                  <w:marRight w:val="0"/>
                  <w:marTop w:val="0"/>
                  <w:marBottom w:val="0"/>
                  <w:divBdr>
                    <w:top w:val="none" w:sz="0" w:space="0" w:color="auto"/>
                    <w:left w:val="none" w:sz="0" w:space="0" w:color="auto"/>
                    <w:bottom w:val="none" w:sz="0" w:space="0" w:color="auto"/>
                    <w:right w:val="none" w:sz="0" w:space="0" w:color="auto"/>
                  </w:divBdr>
                </w:div>
              </w:divsChild>
            </w:div>
            <w:div w:id="329915637">
              <w:marLeft w:val="0"/>
              <w:marRight w:val="0"/>
              <w:marTop w:val="0"/>
              <w:marBottom w:val="0"/>
              <w:divBdr>
                <w:top w:val="none" w:sz="0" w:space="0" w:color="auto"/>
                <w:left w:val="none" w:sz="0" w:space="0" w:color="auto"/>
                <w:bottom w:val="none" w:sz="0" w:space="0" w:color="auto"/>
                <w:right w:val="none" w:sz="0" w:space="0" w:color="auto"/>
              </w:divBdr>
              <w:divsChild>
                <w:div w:id="1677416962">
                  <w:marLeft w:val="0"/>
                  <w:marRight w:val="0"/>
                  <w:marTop w:val="0"/>
                  <w:marBottom w:val="0"/>
                  <w:divBdr>
                    <w:top w:val="none" w:sz="0" w:space="0" w:color="auto"/>
                    <w:left w:val="none" w:sz="0" w:space="0" w:color="auto"/>
                    <w:bottom w:val="none" w:sz="0" w:space="0" w:color="auto"/>
                    <w:right w:val="none" w:sz="0" w:space="0" w:color="auto"/>
                  </w:divBdr>
                </w:div>
              </w:divsChild>
            </w:div>
            <w:div w:id="1884323234">
              <w:marLeft w:val="0"/>
              <w:marRight w:val="0"/>
              <w:marTop w:val="0"/>
              <w:marBottom w:val="0"/>
              <w:divBdr>
                <w:top w:val="none" w:sz="0" w:space="0" w:color="auto"/>
                <w:left w:val="none" w:sz="0" w:space="0" w:color="auto"/>
                <w:bottom w:val="none" w:sz="0" w:space="0" w:color="auto"/>
                <w:right w:val="none" w:sz="0" w:space="0" w:color="auto"/>
              </w:divBdr>
              <w:divsChild>
                <w:div w:id="2242347">
                  <w:marLeft w:val="0"/>
                  <w:marRight w:val="0"/>
                  <w:marTop w:val="0"/>
                  <w:marBottom w:val="0"/>
                  <w:divBdr>
                    <w:top w:val="none" w:sz="0" w:space="0" w:color="auto"/>
                    <w:left w:val="none" w:sz="0" w:space="0" w:color="auto"/>
                    <w:bottom w:val="none" w:sz="0" w:space="0" w:color="auto"/>
                    <w:right w:val="none" w:sz="0" w:space="0" w:color="auto"/>
                  </w:divBdr>
                </w:div>
                <w:div w:id="2092042330">
                  <w:marLeft w:val="0"/>
                  <w:marRight w:val="0"/>
                  <w:marTop w:val="0"/>
                  <w:marBottom w:val="0"/>
                  <w:divBdr>
                    <w:top w:val="none" w:sz="0" w:space="0" w:color="auto"/>
                    <w:left w:val="none" w:sz="0" w:space="0" w:color="auto"/>
                    <w:bottom w:val="none" w:sz="0" w:space="0" w:color="auto"/>
                    <w:right w:val="none" w:sz="0" w:space="0" w:color="auto"/>
                  </w:divBdr>
                </w:div>
              </w:divsChild>
            </w:div>
            <w:div w:id="633144389">
              <w:marLeft w:val="0"/>
              <w:marRight w:val="0"/>
              <w:marTop w:val="0"/>
              <w:marBottom w:val="0"/>
              <w:divBdr>
                <w:top w:val="none" w:sz="0" w:space="0" w:color="auto"/>
                <w:left w:val="none" w:sz="0" w:space="0" w:color="auto"/>
                <w:bottom w:val="none" w:sz="0" w:space="0" w:color="auto"/>
                <w:right w:val="none" w:sz="0" w:space="0" w:color="auto"/>
              </w:divBdr>
              <w:divsChild>
                <w:div w:id="1650746369">
                  <w:marLeft w:val="0"/>
                  <w:marRight w:val="0"/>
                  <w:marTop w:val="0"/>
                  <w:marBottom w:val="0"/>
                  <w:divBdr>
                    <w:top w:val="none" w:sz="0" w:space="0" w:color="auto"/>
                    <w:left w:val="none" w:sz="0" w:space="0" w:color="auto"/>
                    <w:bottom w:val="none" w:sz="0" w:space="0" w:color="auto"/>
                    <w:right w:val="none" w:sz="0" w:space="0" w:color="auto"/>
                  </w:divBdr>
                </w:div>
              </w:divsChild>
            </w:div>
            <w:div w:id="1619603234">
              <w:marLeft w:val="0"/>
              <w:marRight w:val="0"/>
              <w:marTop w:val="0"/>
              <w:marBottom w:val="0"/>
              <w:divBdr>
                <w:top w:val="none" w:sz="0" w:space="0" w:color="auto"/>
                <w:left w:val="none" w:sz="0" w:space="0" w:color="auto"/>
                <w:bottom w:val="none" w:sz="0" w:space="0" w:color="auto"/>
                <w:right w:val="none" w:sz="0" w:space="0" w:color="auto"/>
              </w:divBdr>
              <w:divsChild>
                <w:div w:id="1464545303">
                  <w:marLeft w:val="0"/>
                  <w:marRight w:val="0"/>
                  <w:marTop w:val="0"/>
                  <w:marBottom w:val="0"/>
                  <w:divBdr>
                    <w:top w:val="none" w:sz="0" w:space="0" w:color="auto"/>
                    <w:left w:val="none" w:sz="0" w:space="0" w:color="auto"/>
                    <w:bottom w:val="none" w:sz="0" w:space="0" w:color="auto"/>
                    <w:right w:val="none" w:sz="0" w:space="0" w:color="auto"/>
                  </w:divBdr>
                </w:div>
                <w:div w:id="1720979299">
                  <w:marLeft w:val="0"/>
                  <w:marRight w:val="0"/>
                  <w:marTop w:val="0"/>
                  <w:marBottom w:val="0"/>
                  <w:divBdr>
                    <w:top w:val="none" w:sz="0" w:space="0" w:color="auto"/>
                    <w:left w:val="none" w:sz="0" w:space="0" w:color="auto"/>
                    <w:bottom w:val="none" w:sz="0" w:space="0" w:color="auto"/>
                    <w:right w:val="none" w:sz="0" w:space="0" w:color="auto"/>
                  </w:divBdr>
                </w:div>
              </w:divsChild>
            </w:div>
            <w:div w:id="414863442">
              <w:marLeft w:val="0"/>
              <w:marRight w:val="0"/>
              <w:marTop w:val="0"/>
              <w:marBottom w:val="0"/>
              <w:divBdr>
                <w:top w:val="none" w:sz="0" w:space="0" w:color="auto"/>
                <w:left w:val="none" w:sz="0" w:space="0" w:color="auto"/>
                <w:bottom w:val="none" w:sz="0" w:space="0" w:color="auto"/>
                <w:right w:val="none" w:sz="0" w:space="0" w:color="auto"/>
              </w:divBdr>
              <w:divsChild>
                <w:div w:id="1410230860">
                  <w:marLeft w:val="0"/>
                  <w:marRight w:val="0"/>
                  <w:marTop w:val="0"/>
                  <w:marBottom w:val="0"/>
                  <w:divBdr>
                    <w:top w:val="none" w:sz="0" w:space="0" w:color="auto"/>
                    <w:left w:val="none" w:sz="0" w:space="0" w:color="auto"/>
                    <w:bottom w:val="none" w:sz="0" w:space="0" w:color="auto"/>
                    <w:right w:val="none" w:sz="0" w:space="0" w:color="auto"/>
                  </w:divBdr>
                </w:div>
              </w:divsChild>
            </w:div>
            <w:div w:id="996112882">
              <w:marLeft w:val="0"/>
              <w:marRight w:val="0"/>
              <w:marTop w:val="0"/>
              <w:marBottom w:val="0"/>
              <w:divBdr>
                <w:top w:val="none" w:sz="0" w:space="0" w:color="auto"/>
                <w:left w:val="none" w:sz="0" w:space="0" w:color="auto"/>
                <w:bottom w:val="none" w:sz="0" w:space="0" w:color="auto"/>
                <w:right w:val="none" w:sz="0" w:space="0" w:color="auto"/>
              </w:divBdr>
              <w:divsChild>
                <w:div w:id="1827940831">
                  <w:marLeft w:val="0"/>
                  <w:marRight w:val="0"/>
                  <w:marTop w:val="0"/>
                  <w:marBottom w:val="0"/>
                  <w:divBdr>
                    <w:top w:val="none" w:sz="0" w:space="0" w:color="auto"/>
                    <w:left w:val="none" w:sz="0" w:space="0" w:color="auto"/>
                    <w:bottom w:val="none" w:sz="0" w:space="0" w:color="auto"/>
                    <w:right w:val="none" w:sz="0" w:space="0" w:color="auto"/>
                  </w:divBdr>
                </w:div>
                <w:div w:id="1503349356">
                  <w:marLeft w:val="0"/>
                  <w:marRight w:val="0"/>
                  <w:marTop w:val="0"/>
                  <w:marBottom w:val="0"/>
                  <w:divBdr>
                    <w:top w:val="none" w:sz="0" w:space="0" w:color="auto"/>
                    <w:left w:val="none" w:sz="0" w:space="0" w:color="auto"/>
                    <w:bottom w:val="none" w:sz="0" w:space="0" w:color="auto"/>
                    <w:right w:val="none" w:sz="0" w:space="0" w:color="auto"/>
                  </w:divBdr>
                </w:div>
              </w:divsChild>
            </w:div>
            <w:div w:id="1310090142">
              <w:marLeft w:val="0"/>
              <w:marRight w:val="0"/>
              <w:marTop w:val="0"/>
              <w:marBottom w:val="0"/>
              <w:divBdr>
                <w:top w:val="none" w:sz="0" w:space="0" w:color="auto"/>
                <w:left w:val="none" w:sz="0" w:space="0" w:color="auto"/>
                <w:bottom w:val="none" w:sz="0" w:space="0" w:color="auto"/>
                <w:right w:val="none" w:sz="0" w:space="0" w:color="auto"/>
              </w:divBdr>
              <w:divsChild>
                <w:div w:id="1413310700">
                  <w:marLeft w:val="0"/>
                  <w:marRight w:val="0"/>
                  <w:marTop w:val="0"/>
                  <w:marBottom w:val="0"/>
                  <w:divBdr>
                    <w:top w:val="none" w:sz="0" w:space="0" w:color="auto"/>
                    <w:left w:val="none" w:sz="0" w:space="0" w:color="auto"/>
                    <w:bottom w:val="none" w:sz="0" w:space="0" w:color="auto"/>
                    <w:right w:val="none" w:sz="0" w:space="0" w:color="auto"/>
                  </w:divBdr>
                </w:div>
              </w:divsChild>
            </w:div>
            <w:div w:id="2119177035">
              <w:marLeft w:val="0"/>
              <w:marRight w:val="0"/>
              <w:marTop w:val="0"/>
              <w:marBottom w:val="0"/>
              <w:divBdr>
                <w:top w:val="none" w:sz="0" w:space="0" w:color="auto"/>
                <w:left w:val="none" w:sz="0" w:space="0" w:color="auto"/>
                <w:bottom w:val="none" w:sz="0" w:space="0" w:color="auto"/>
                <w:right w:val="none" w:sz="0" w:space="0" w:color="auto"/>
              </w:divBdr>
              <w:divsChild>
                <w:div w:id="1217820417">
                  <w:marLeft w:val="0"/>
                  <w:marRight w:val="0"/>
                  <w:marTop w:val="0"/>
                  <w:marBottom w:val="0"/>
                  <w:divBdr>
                    <w:top w:val="none" w:sz="0" w:space="0" w:color="auto"/>
                    <w:left w:val="none" w:sz="0" w:space="0" w:color="auto"/>
                    <w:bottom w:val="none" w:sz="0" w:space="0" w:color="auto"/>
                    <w:right w:val="none" w:sz="0" w:space="0" w:color="auto"/>
                  </w:divBdr>
                </w:div>
              </w:divsChild>
            </w:div>
            <w:div w:id="1017536724">
              <w:marLeft w:val="0"/>
              <w:marRight w:val="0"/>
              <w:marTop w:val="0"/>
              <w:marBottom w:val="0"/>
              <w:divBdr>
                <w:top w:val="none" w:sz="0" w:space="0" w:color="auto"/>
                <w:left w:val="none" w:sz="0" w:space="0" w:color="auto"/>
                <w:bottom w:val="none" w:sz="0" w:space="0" w:color="auto"/>
                <w:right w:val="none" w:sz="0" w:space="0" w:color="auto"/>
              </w:divBdr>
              <w:divsChild>
                <w:div w:id="586697905">
                  <w:marLeft w:val="0"/>
                  <w:marRight w:val="0"/>
                  <w:marTop w:val="0"/>
                  <w:marBottom w:val="0"/>
                  <w:divBdr>
                    <w:top w:val="none" w:sz="0" w:space="0" w:color="auto"/>
                    <w:left w:val="none" w:sz="0" w:space="0" w:color="auto"/>
                    <w:bottom w:val="none" w:sz="0" w:space="0" w:color="auto"/>
                    <w:right w:val="none" w:sz="0" w:space="0" w:color="auto"/>
                  </w:divBdr>
                </w:div>
              </w:divsChild>
            </w:div>
            <w:div w:id="224141818">
              <w:marLeft w:val="0"/>
              <w:marRight w:val="0"/>
              <w:marTop w:val="0"/>
              <w:marBottom w:val="0"/>
              <w:divBdr>
                <w:top w:val="none" w:sz="0" w:space="0" w:color="auto"/>
                <w:left w:val="none" w:sz="0" w:space="0" w:color="auto"/>
                <w:bottom w:val="none" w:sz="0" w:space="0" w:color="auto"/>
                <w:right w:val="none" w:sz="0" w:space="0" w:color="auto"/>
              </w:divBdr>
              <w:divsChild>
                <w:div w:id="1329603139">
                  <w:marLeft w:val="0"/>
                  <w:marRight w:val="0"/>
                  <w:marTop w:val="0"/>
                  <w:marBottom w:val="0"/>
                  <w:divBdr>
                    <w:top w:val="none" w:sz="0" w:space="0" w:color="auto"/>
                    <w:left w:val="none" w:sz="0" w:space="0" w:color="auto"/>
                    <w:bottom w:val="none" w:sz="0" w:space="0" w:color="auto"/>
                    <w:right w:val="none" w:sz="0" w:space="0" w:color="auto"/>
                  </w:divBdr>
                </w:div>
                <w:div w:id="2089841719">
                  <w:marLeft w:val="0"/>
                  <w:marRight w:val="0"/>
                  <w:marTop w:val="0"/>
                  <w:marBottom w:val="0"/>
                  <w:divBdr>
                    <w:top w:val="none" w:sz="0" w:space="0" w:color="auto"/>
                    <w:left w:val="none" w:sz="0" w:space="0" w:color="auto"/>
                    <w:bottom w:val="none" w:sz="0" w:space="0" w:color="auto"/>
                    <w:right w:val="none" w:sz="0" w:space="0" w:color="auto"/>
                  </w:divBdr>
                </w:div>
              </w:divsChild>
            </w:div>
            <w:div w:id="1393381435">
              <w:marLeft w:val="0"/>
              <w:marRight w:val="0"/>
              <w:marTop w:val="0"/>
              <w:marBottom w:val="0"/>
              <w:divBdr>
                <w:top w:val="none" w:sz="0" w:space="0" w:color="auto"/>
                <w:left w:val="none" w:sz="0" w:space="0" w:color="auto"/>
                <w:bottom w:val="none" w:sz="0" w:space="0" w:color="auto"/>
                <w:right w:val="none" w:sz="0" w:space="0" w:color="auto"/>
              </w:divBdr>
              <w:divsChild>
                <w:div w:id="410397811">
                  <w:marLeft w:val="0"/>
                  <w:marRight w:val="0"/>
                  <w:marTop w:val="0"/>
                  <w:marBottom w:val="0"/>
                  <w:divBdr>
                    <w:top w:val="none" w:sz="0" w:space="0" w:color="auto"/>
                    <w:left w:val="none" w:sz="0" w:space="0" w:color="auto"/>
                    <w:bottom w:val="none" w:sz="0" w:space="0" w:color="auto"/>
                    <w:right w:val="none" w:sz="0" w:space="0" w:color="auto"/>
                  </w:divBdr>
                </w:div>
              </w:divsChild>
            </w:div>
            <w:div w:id="608395452">
              <w:marLeft w:val="0"/>
              <w:marRight w:val="0"/>
              <w:marTop w:val="0"/>
              <w:marBottom w:val="0"/>
              <w:divBdr>
                <w:top w:val="none" w:sz="0" w:space="0" w:color="auto"/>
                <w:left w:val="none" w:sz="0" w:space="0" w:color="auto"/>
                <w:bottom w:val="none" w:sz="0" w:space="0" w:color="auto"/>
                <w:right w:val="none" w:sz="0" w:space="0" w:color="auto"/>
              </w:divBdr>
              <w:divsChild>
                <w:div w:id="280304676">
                  <w:marLeft w:val="0"/>
                  <w:marRight w:val="0"/>
                  <w:marTop w:val="0"/>
                  <w:marBottom w:val="0"/>
                  <w:divBdr>
                    <w:top w:val="none" w:sz="0" w:space="0" w:color="auto"/>
                    <w:left w:val="none" w:sz="0" w:space="0" w:color="auto"/>
                    <w:bottom w:val="none" w:sz="0" w:space="0" w:color="auto"/>
                    <w:right w:val="none" w:sz="0" w:space="0" w:color="auto"/>
                  </w:divBdr>
                </w:div>
                <w:div w:id="488713196">
                  <w:marLeft w:val="0"/>
                  <w:marRight w:val="0"/>
                  <w:marTop w:val="0"/>
                  <w:marBottom w:val="0"/>
                  <w:divBdr>
                    <w:top w:val="none" w:sz="0" w:space="0" w:color="auto"/>
                    <w:left w:val="none" w:sz="0" w:space="0" w:color="auto"/>
                    <w:bottom w:val="none" w:sz="0" w:space="0" w:color="auto"/>
                    <w:right w:val="none" w:sz="0" w:space="0" w:color="auto"/>
                  </w:divBdr>
                </w:div>
              </w:divsChild>
            </w:div>
            <w:div w:id="1597327126">
              <w:marLeft w:val="0"/>
              <w:marRight w:val="0"/>
              <w:marTop w:val="0"/>
              <w:marBottom w:val="0"/>
              <w:divBdr>
                <w:top w:val="none" w:sz="0" w:space="0" w:color="auto"/>
                <w:left w:val="none" w:sz="0" w:space="0" w:color="auto"/>
                <w:bottom w:val="none" w:sz="0" w:space="0" w:color="auto"/>
                <w:right w:val="none" w:sz="0" w:space="0" w:color="auto"/>
              </w:divBdr>
              <w:divsChild>
                <w:div w:id="1071121474">
                  <w:marLeft w:val="0"/>
                  <w:marRight w:val="0"/>
                  <w:marTop w:val="0"/>
                  <w:marBottom w:val="0"/>
                  <w:divBdr>
                    <w:top w:val="none" w:sz="0" w:space="0" w:color="auto"/>
                    <w:left w:val="none" w:sz="0" w:space="0" w:color="auto"/>
                    <w:bottom w:val="none" w:sz="0" w:space="0" w:color="auto"/>
                    <w:right w:val="none" w:sz="0" w:space="0" w:color="auto"/>
                  </w:divBdr>
                </w:div>
              </w:divsChild>
            </w:div>
            <w:div w:id="587082761">
              <w:marLeft w:val="0"/>
              <w:marRight w:val="0"/>
              <w:marTop w:val="0"/>
              <w:marBottom w:val="0"/>
              <w:divBdr>
                <w:top w:val="none" w:sz="0" w:space="0" w:color="auto"/>
                <w:left w:val="none" w:sz="0" w:space="0" w:color="auto"/>
                <w:bottom w:val="none" w:sz="0" w:space="0" w:color="auto"/>
                <w:right w:val="none" w:sz="0" w:space="0" w:color="auto"/>
              </w:divBdr>
              <w:divsChild>
                <w:div w:id="793522003">
                  <w:marLeft w:val="0"/>
                  <w:marRight w:val="0"/>
                  <w:marTop w:val="0"/>
                  <w:marBottom w:val="0"/>
                  <w:divBdr>
                    <w:top w:val="none" w:sz="0" w:space="0" w:color="auto"/>
                    <w:left w:val="none" w:sz="0" w:space="0" w:color="auto"/>
                    <w:bottom w:val="none" w:sz="0" w:space="0" w:color="auto"/>
                    <w:right w:val="none" w:sz="0" w:space="0" w:color="auto"/>
                  </w:divBdr>
                </w:div>
                <w:div w:id="202981001">
                  <w:marLeft w:val="0"/>
                  <w:marRight w:val="0"/>
                  <w:marTop w:val="0"/>
                  <w:marBottom w:val="0"/>
                  <w:divBdr>
                    <w:top w:val="none" w:sz="0" w:space="0" w:color="auto"/>
                    <w:left w:val="none" w:sz="0" w:space="0" w:color="auto"/>
                    <w:bottom w:val="none" w:sz="0" w:space="0" w:color="auto"/>
                    <w:right w:val="none" w:sz="0" w:space="0" w:color="auto"/>
                  </w:divBdr>
                </w:div>
              </w:divsChild>
            </w:div>
            <w:div w:id="953177340">
              <w:marLeft w:val="0"/>
              <w:marRight w:val="0"/>
              <w:marTop w:val="0"/>
              <w:marBottom w:val="0"/>
              <w:divBdr>
                <w:top w:val="none" w:sz="0" w:space="0" w:color="auto"/>
                <w:left w:val="none" w:sz="0" w:space="0" w:color="auto"/>
                <w:bottom w:val="none" w:sz="0" w:space="0" w:color="auto"/>
                <w:right w:val="none" w:sz="0" w:space="0" w:color="auto"/>
              </w:divBdr>
              <w:divsChild>
                <w:div w:id="1518351452">
                  <w:marLeft w:val="0"/>
                  <w:marRight w:val="0"/>
                  <w:marTop w:val="0"/>
                  <w:marBottom w:val="0"/>
                  <w:divBdr>
                    <w:top w:val="none" w:sz="0" w:space="0" w:color="auto"/>
                    <w:left w:val="none" w:sz="0" w:space="0" w:color="auto"/>
                    <w:bottom w:val="none" w:sz="0" w:space="0" w:color="auto"/>
                    <w:right w:val="none" w:sz="0" w:space="0" w:color="auto"/>
                  </w:divBdr>
                </w:div>
              </w:divsChild>
            </w:div>
            <w:div w:id="766536725">
              <w:marLeft w:val="0"/>
              <w:marRight w:val="0"/>
              <w:marTop w:val="0"/>
              <w:marBottom w:val="0"/>
              <w:divBdr>
                <w:top w:val="none" w:sz="0" w:space="0" w:color="auto"/>
                <w:left w:val="none" w:sz="0" w:space="0" w:color="auto"/>
                <w:bottom w:val="none" w:sz="0" w:space="0" w:color="auto"/>
                <w:right w:val="none" w:sz="0" w:space="0" w:color="auto"/>
              </w:divBdr>
              <w:divsChild>
                <w:div w:id="2012487967">
                  <w:marLeft w:val="0"/>
                  <w:marRight w:val="0"/>
                  <w:marTop w:val="0"/>
                  <w:marBottom w:val="0"/>
                  <w:divBdr>
                    <w:top w:val="none" w:sz="0" w:space="0" w:color="auto"/>
                    <w:left w:val="none" w:sz="0" w:space="0" w:color="auto"/>
                    <w:bottom w:val="none" w:sz="0" w:space="0" w:color="auto"/>
                    <w:right w:val="none" w:sz="0" w:space="0" w:color="auto"/>
                  </w:divBdr>
                </w:div>
              </w:divsChild>
            </w:div>
            <w:div w:id="1770657638">
              <w:marLeft w:val="0"/>
              <w:marRight w:val="0"/>
              <w:marTop w:val="0"/>
              <w:marBottom w:val="0"/>
              <w:divBdr>
                <w:top w:val="none" w:sz="0" w:space="0" w:color="auto"/>
                <w:left w:val="none" w:sz="0" w:space="0" w:color="auto"/>
                <w:bottom w:val="none" w:sz="0" w:space="0" w:color="auto"/>
                <w:right w:val="none" w:sz="0" w:space="0" w:color="auto"/>
              </w:divBdr>
              <w:divsChild>
                <w:div w:id="433474274">
                  <w:marLeft w:val="0"/>
                  <w:marRight w:val="0"/>
                  <w:marTop w:val="0"/>
                  <w:marBottom w:val="0"/>
                  <w:divBdr>
                    <w:top w:val="none" w:sz="0" w:space="0" w:color="auto"/>
                    <w:left w:val="none" w:sz="0" w:space="0" w:color="auto"/>
                    <w:bottom w:val="none" w:sz="0" w:space="0" w:color="auto"/>
                    <w:right w:val="none" w:sz="0" w:space="0" w:color="auto"/>
                  </w:divBdr>
                </w:div>
              </w:divsChild>
            </w:div>
            <w:div w:id="1248658887">
              <w:marLeft w:val="0"/>
              <w:marRight w:val="0"/>
              <w:marTop w:val="0"/>
              <w:marBottom w:val="0"/>
              <w:divBdr>
                <w:top w:val="none" w:sz="0" w:space="0" w:color="auto"/>
                <w:left w:val="none" w:sz="0" w:space="0" w:color="auto"/>
                <w:bottom w:val="none" w:sz="0" w:space="0" w:color="auto"/>
                <w:right w:val="none" w:sz="0" w:space="0" w:color="auto"/>
              </w:divBdr>
              <w:divsChild>
                <w:div w:id="1086265754">
                  <w:marLeft w:val="0"/>
                  <w:marRight w:val="0"/>
                  <w:marTop w:val="0"/>
                  <w:marBottom w:val="0"/>
                  <w:divBdr>
                    <w:top w:val="none" w:sz="0" w:space="0" w:color="auto"/>
                    <w:left w:val="none" w:sz="0" w:space="0" w:color="auto"/>
                    <w:bottom w:val="none" w:sz="0" w:space="0" w:color="auto"/>
                    <w:right w:val="none" w:sz="0" w:space="0" w:color="auto"/>
                  </w:divBdr>
                </w:div>
              </w:divsChild>
            </w:div>
            <w:div w:id="385878456">
              <w:marLeft w:val="0"/>
              <w:marRight w:val="0"/>
              <w:marTop w:val="0"/>
              <w:marBottom w:val="0"/>
              <w:divBdr>
                <w:top w:val="none" w:sz="0" w:space="0" w:color="auto"/>
                <w:left w:val="none" w:sz="0" w:space="0" w:color="auto"/>
                <w:bottom w:val="none" w:sz="0" w:space="0" w:color="auto"/>
                <w:right w:val="none" w:sz="0" w:space="0" w:color="auto"/>
              </w:divBdr>
              <w:divsChild>
                <w:div w:id="1013263407">
                  <w:marLeft w:val="0"/>
                  <w:marRight w:val="0"/>
                  <w:marTop w:val="0"/>
                  <w:marBottom w:val="0"/>
                  <w:divBdr>
                    <w:top w:val="none" w:sz="0" w:space="0" w:color="auto"/>
                    <w:left w:val="none" w:sz="0" w:space="0" w:color="auto"/>
                    <w:bottom w:val="none" w:sz="0" w:space="0" w:color="auto"/>
                    <w:right w:val="none" w:sz="0" w:space="0" w:color="auto"/>
                  </w:divBdr>
                </w:div>
              </w:divsChild>
            </w:div>
            <w:div w:id="1663122756">
              <w:marLeft w:val="0"/>
              <w:marRight w:val="0"/>
              <w:marTop w:val="0"/>
              <w:marBottom w:val="0"/>
              <w:divBdr>
                <w:top w:val="none" w:sz="0" w:space="0" w:color="auto"/>
                <w:left w:val="none" w:sz="0" w:space="0" w:color="auto"/>
                <w:bottom w:val="none" w:sz="0" w:space="0" w:color="auto"/>
                <w:right w:val="none" w:sz="0" w:space="0" w:color="auto"/>
              </w:divBdr>
              <w:divsChild>
                <w:div w:id="1597863528">
                  <w:marLeft w:val="0"/>
                  <w:marRight w:val="0"/>
                  <w:marTop w:val="0"/>
                  <w:marBottom w:val="0"/>
                  <w:divBdr>
                    <w:top w:val="none" w:sz="0" w:space="0" w:color="auto"/>
                    <w:left w:val="none" w:sz="0" w:space="0" w:color="auto"/>
                    <w:bottom w:val="none" w:sz="0" w:space="0" w:color="auto"/>
                    <w:right w:val="none" w:sz="0" w:space="0" w:color="auto"/>
                  </w:divBdr>
                </w:div>
                <w:div w:id="472790489">
                  <w:marLeft w:val="0"/>
                  <w:marRight w:val="0"/>
                  <w:marTop w:val="0"/>
                  <w:marBottom w:val="0"/>
                  <w:divBdr>
                    <w:top w:val="none" w:sz="0" w:space="0" w:color="auto"/>
                    <w:left w:val="none" w:sz="0" w:space="0" w:color="auto"/>
                    <w:bottom w:val="none" w:sz="0" w:space="0" w:color="auto"/>
                    <w:right w:val="none" w:sz="0" w:space="0" w:color="auto"/>
                  </w:divBdr>
                </w:div>
              </w:divsChild>
            </w:div>
            <w:div w:id="177158898">
              <w:marLeft w:val="0"/>
              <w:marRight w:val="0"/>
              <w:marTop w:val="0"/>
              <w:marBottom w:val="0"/>
              <w:divBdr>
                <w:top w:val="none" w:sz="0" w:space="0" w:color="auto"/>
                <w:left w:val="none" w:sz="0" w:space="0" w:color="auto"/>
                <w:bottom w:val="none" w:sz="0" w:space="0" w:color="auto"/>
                <w:right w:val="none" w:sz="0" w:space="0" w:color="auto"/>
              </w:divBdr>
              <w:divsChild>
                <w:div w:id="1775904160">
                  <w:marLeft w:val="0"/>
                  <w:marRight w:val="0"/>
                  <w:marTop w:val="0"/>
                  <w:marBottom w:val="0"/>
                  <w:divBdr>
                    <w:top w:val="none" w:sz="0" w:space="0" w:color="auto"/>
                    <w:left w:val="none" w:sz="0" w:space="0" w:color="auto"/>
                    <w:bottom w:val="none" w:sz="0" w:space="0" w:color="auto"/>
                    <w:right w:val="none" w:sz="0" w:space="0" w:color="auto"/>
                  </w:divBdr>
                </w:div>
              </w:divsChild>
            </w:div>
            <w:div w:id="1102453102">
              <w:marLeft w:val="0"/>
              <w:marRight w:val="0"/>
              <w:marTop w:val="0"/>
              <w:marBottom w:val="0"/>
              <w:divBdr>
                <w:top w:val="none" w:sz="0" w:space="0" w:color="auto"/>
                <w:left w:val="none" w:sz="0" w:space="0" w:color="auto"/>
                <w:bottom w:val="none" w:sz="0" w:space="0" w:color="auto"/>
                <w:right w:val="none" w:sz="0" w:space="0" w:color="auto"/>
              </w:divBdr>
              <w:divsChild>
                <w:div w:id="1865433897">
                  <w:marLeft w:val="0"/>
                  <w:marRight w:val="0"/>
                  <w:marTop w:val="0"/>
                  <w:marBottom w:val="0"/>
                  <w:divBdr>
                    <w:top w:val="none" w:sz="0" w:space="0" w:color="auto"/>
                    <w:left w:val="none" w:sz="0" w:space="0" w:color="auto"/>
                    <w:bottom w:val="none" w:sz="0" w:space="0" w:color="auto"/>
                    <w:right w:val="none" w:sz="0" w:space="0" w:color="auto"/>
                  </w:divBdr>
                </w:div>
                <w:div w:id="198862033">
                  <w:marLeft w:val="0"/>
                  <w:marRight w:val="0"/>
                  <w:marTop w:val="0"/>
                  <w:marBottom w:val="0"/>
                  <w:divBdr>
                    <w:top w:val="none" w:sz="0" w:space="0" w:color="auto"/>
                    <w:left w:val="none" w:sz="0" w:space="0" w:color="auto"/>
                    <w:bottom w:val="none" w:sz="0" w:space="0" w:color="auto"/>
                    <w:right w:val="none" w:sz="0" w:space="0" w:color="auto"/>
                  </w:divBdr>
                </w:div>
              </w:divsChild>
            </w:div>
            <w:div w:id="1544638851">
              <w:marLeft w:val="0"/>
              <w:marRight w:val="0"/>
              <w:marTop w:val="0"/>
              <w:marBottom w:val="0"/>
              <w:divBdr>
                <w:top w:val="none" w:sz="0" w:space="0" w:color="auto"/>
                <w:left w:val="none" w:sz="0" w:space="0" w:color="auto"/>
                <w:bottom w:val="none" w:sz="0" w:space="0" w:color="auto"/>
                <w:right w:val="none" w:sz="0" w:space="0" w:color="auto"/>
              </w:divBdr>
              <w:divsChild>
                <w:div w:id="512649749">
                  <w:marLeft w:val="0"/>
                  <w:marRight w:val="0"/>
                  <w:marTop w:val="0"/>
                  <w:marBottom w:val="0"/>
                  <w:divBdr>
                    <w:top w:val="none" w:sz="0" w:space="0" w:color="auto"/>
                    <w:left w:val="none" w:sz="0" w:space="0" w:color="auto"/>
                    <w:bottom w:val="none" w:sz="0" w:space="0" w:color="auto"/>
                    <w:right w:val="none" w:sz="0" w:space="0" w:color="auto"/>
                  </w:divBdr>
                </w:div>
              </w:divsChild>
            </w:div>
            <w:div w:id="1264652427">
              <w:marLeft w:val="0"/>
              <w:marRight w:val="0"/>
              <w:marTop w:val="0"/>
              <w:marBottom w:val="0"/>
              <w:divBdr>
                <w:top w:val="none" w:sz="0" w:space="0" w:color="auto"/>
                <w:left w:val="none" w:sz="0" w:space="0" w:color="auto"/>
                <w:bottom w:val="none" w:sz="0" w:space="0" w:color="auto"/>
                <w:right w:val="none" w:sz="0" w:space="0" w:color="auto"/>
              </w:divBdr>
              <w:divsChild>
                <w:div w:id="580872146">
                  <w:marLeft w:val="0"/>
                  <w:marRight w:val="0"/>
                  <w:marTop w:val="0"/>
                  <w:marBottom w:val="0"/>
                  <w:divBdr>
                    <w:top w:val="none" w:sz="0" w:space="0" w:color="auto"/>
                    <w:left w:val="none" w:sz="0" w:space="0" w:color="auto"/>
                    <w:bottom w:val="none" w:sz="0" w:space="0" w:color="auto"/>
                    <w:right w:val="none" w:sz="0" w:space="0" w:color="auto"/>
                  </w:divBdr>
                </w:div>
                <w:div w:id="2011060028">
                  <w:marLeft w:val="0"/>
                  <w:marRight w:val="0"/>
                  <w:marTop w:val="0"/>
                  <w:marBottom w:val="0"/>
                  <w:divBdr>
                    <w:top w:val="none" w:sz="0" w:space="0" w:color="auto"/>
                    <w:left w:val="none" w:sz="0" w:space="0" w:color="auto"/>
                    <w:bottom w:val="none" w:sz="0" w:space="0" w:color="auto"/>
                    <w:right w:val="none" w:sz="0" w:space="0" w:color="auto"/>
                  </w:divBdr>
                </w:div>
              </w:divsChild>
            </w:div>
            <w:div w:id="260140800">
              <w:marLeft w:val="0"/>
              <w:marRight w:val="0"/>
              <w:marTop w:val="0"/>
              <w:marBottom w:val="0"/>
              <w:divBdr>
                <w:top w:val="none" w:sz="0" w:space="0" w:color="auto"/>
                <w:left w:val="none" w:sz="0" w:space="0" w:color="auto"/>
                <w:bottom w:val="none" w:sz="0" w:space="0" w:color="auto"/>
                <w:right w:val="none" w:sz="0" w:space="0" w:color="auto"/>
              </w:divBdr>
              <w:divsChild>
                <w:div w:id="860895073">
                  <w:marLeft w:val="0"/>
                  <w:marRight w:val="0"/>
                  <w:marTop w:val="0"/>
                  <w:marBottom w:val="0"/>
                  <w:divBdr>
                    <w:top w:val="none" w:sz="0" w:space="0" w:color="auto"/>
                    <w:left w:val="none" w:sz="0" w:space="0" w:color="auto"/>
                    <w:bottom w:val="none" w:sz="0" w:space="0" w:color="auto"/>
                    <w:right w:val="none" w:sz="0" w:space="0" w:color="auto"/>
                  </w:divBdr>
                </w:div>
              </w:divsChild>
            </w:div>
            <w:div w:id="385186858">
              <w:marLeft w:val="0"/>
              <w:marRight w:val="0"/>
              <w:marTop w:val="0"/>
              <w:marBottom w:val="0"/>
              <w:divBdr>
                <w:top w:val="none" w:sz="0" w:space="0" w:color="auto"/>
                <w:left w:val="none" w:sz="0" w:space="0" w:color="auto"/>
                <w:bottom w:val="none" w:sz="0" w:space="0" w:color="auto"/>
                <w:right w:val="none" w:sz="0" w:space="0" w:color="auto"/>
              </w:divBdr>
              <w:divsChild>
                <w:div w:id="224071200">
                  <w:marLeft w:val="0"/>
                  <w:marRight w:val="0"/>
                  <w:marTop w:val="0"/>
                  <w:marBottom w:val="0"/>
                  <w:divBdr>
                    <w:top w:val="none" w:sz="0" w:space="0" w:color="auto"/>
                    <w:left w:val="none" w:sz="0" w:space="0" w:color="auto"/>
                    <w:bottom w:val="none" w:sz="0" w:space="0" w:color="auto"/>
                    <w:right w:val="none" w:sz="0" w:space="0" w:color="auto"/>
                  </w:divBdr>
                </w:div>
                <w:div w:id="1577595978">
                  <w:marLeft w:val="0"/>
                  <w:marRight w:val="0"/>
                  <w:marTop w:val="0"/>
                  <w:marBottom w:val="0"/>
                  <w:divBdr>
                    <w:top w:val="none" w:sz="0" w:space="0" w:color="auto"/>
                    <w:left w:val="none" w:sz="0" w:space="0" w:color="auto"/>
                    <w:bottom w:val="none" w:sz="0" w:space="0" w:color="auto"/>
                    <w:right w:val="none" w:sz="0" w:space="0" w:color="auto"/>
                  </w:divBdr>
                </w:div>
              </w:divsChild>
            </w:div>
            <w:div w:id="1350714930">
              <w:marLeft w:val="0"/>
              <w:marRight w:val="0"/>
              <w:marTop w:val="0"/>
              <w:marBottom w:val="0"/>
              <w:divBdr>
                <w:top w:val="none" w:sz="0" w:space="0" w:color="auto"/>
                <w:left w:val="none" w:sz="0" w:space="0" w:color="auto"/>
                <w:bottom w:val="none" w:sz="0" w:space="0" w:color="auto"/>
                <w:right w:val="none" w:sz="0" w:space="0" w:color="auto"/>
              </w:divBdr>
              <w:divsChild>
                <w:div w:id="1945111818">
                  <w:marLeft w:val="0"/>
                  <w:marRight w:val="0"/>
                  <w:marTop w:val="0"/>
                  <w:marBottom w:val="0"/>
                  <w:divBdr>
                    <w:top w:val="none" w:sz="0" w:space="0" w:color="auto"/>
                    <w:left w:val="none" w:sz="0" w:space="0" w:color="auto"/>
                    <w:bottom w:val="none" w:sz="0" w:space="0" w:color="auto"/>
                    <w:right w:val="none" w:sz="0" w:space="0" w:color="auto"/>
                  </w:divBdr>
                </w:div>
              </w:divsChild>
            </w:div>
            <w:div w:id="1635211119">
              <w:marLeft w:val="0"/>
              <w:marRight w:val="0"/>
              <w:marTop w:val="0"/>
              <w:marBottom w:val="0"/>
              <w:divBdr>
                <w:top w:val="none" w:sz="0" w:space="0" w:color="auto"/>
                <w:left w:val="none" w:sz="0" w:space="0" w:color="auto"/>
                <w:bottom w:val="none" w:sz="0" w:space="0" w:color="auto"/>
                <w:right w:val="none" w:sz="0" w:space="0" w:color="auto"/>
              </w:divBdr>
              <w:divsChild>
                <w:div w:id="385566304">
                  <w:marLeft w:val="0"/>
                  <w:marRight w:val="0"/>
                  <w:marTop w:val="0"/>
                  <w:marBottom w:val="0"/>
                  <w:divBdr>
                    <w:top w:val="none" w:sz="0" w:space="0" w:color="auto"/>
                    <w:left w:val="none" w:sz="0" w:space="0" w:color="auto"/>
                    <w:bottom w:val="none" w:sz="0" w:space="0" w:color="auto"/>
                    <w:right w:val="none" w:sz="0" w:space="0" w:color="auto"/>
                  </w:divBdr>
                </w:div>
                <w:div w:id="2145000012">
                  <w:marLeft w:val="0"/>
                  <w:marRight w:val="0"/>
                  <w:marTop w:val="0"/>
                  <w:marBottom w:val="0"/>
                  <w:divBdr>
                    <w:top w:val="none" w:sz="0" w:space="0" w:color="auto"/>
                    <w:left w:val="none" w:sz="0" w:space="0" w:color="auto"/>
                    <w:bottom w:val="none" w:sz="0" w:space="0" w:color="auto"/>
                    <w:right w:val="none" w:sz="0" w:space="0" w:color="auto"/>
                  </w:divBdr>
                </w:div>
              </w:divsChild>
            </w:div>
            <w:div w:id="281694132">
              <w:marLeft w:val="0"/>
              <w:marRight w:val="0"/>
              <w:marTop w:val="0"/>
              <w:marBottom w:val="0"/>
              <w:divBdr>
                <w:top w:val="none" w:sz="0" w:space="0" w:color="auto"/>
                <w:left w:val="none" w:sz="0" w:space="0" w:color="auto"/>
                <w:bottom w:val="none" w:sz="0" w:space="0" w:color="auto"/>
                <w:right w:val="none" w:sz="0" w:space="0" w:color="auto"/>
              </w:divBdr>
              <w:divsChild>
                <w:div w:id="1378509374">
                  <w:marLeft w:val="0"/>
                  <w:marRight w:val="0"/>
                  <w:marTop w:val="0"/>
                  <w:marBottom w:val="0"/>
                  <w:divBdr>
                    <w:top w:val="none" w:sz="0" w:space="0" w:color="auto"/>
                    <w:left w:val="none" w:sz="0" w:space="0" w:color="auto"/>
                    <w:bottom w:val="none" w:sz="0" w:space="0" w:color="auto"/>
                    <w:right w:val="none" w:sz="0" w:space="0" w:color="auto"/>
                  </w:divBdr>
                </w:div>
              </w:divsChild>
            </w:div>
            <w:div w:id="1489706946">
              <w:marLeft w:val="0"/>
              <w:marRight w:val="0"/>
              <w:marTop w:val="0"/>
              <w:marBottom w:val="0"/>
              <w:divBdr>
                <w:top w:val="none" w:sz="0" w:space="0" w:color="auto"/>
                <w:left w:val="none" w:sz="0" w:space="0" w:color="auto"/>
                <w:bottom w:val="none" w:sz="0" w:space="0" w:color="auto"/>
                <w:right w:val="none" w:sz="0" w:space="0" w:color="auto"/>
              </w:divBdr>
              <w:divsChild>
                <w:div w:id="1356031345">
                  <w:marLeft w:val="0"/>
                  <w:marRight w:val="0"/>
                  <w:marTop w:val="0"/>
                  <w:marBottom w:val="0"/>
                  <w:divBdr>
                    <w:top w:val="none" w:sz="0" w:space="0" w:color="auto"/>
                    <w:left w:val="none" w:sz="0" w:space="0" w:color="auto"/>
                    <w:bottom w:val="none" w:sz="0" w:space="0" w:color="auto"/>
                    <w:right w:val="none" w:sz="0" w:space="0" w:color="auto"/>
                  </w:divBdr>
                </w:div>
              </w:divsChild>
            </w:div>
            <w:div w:id="1943150158">
              <w:marLeft w:val="0"/>
              <w:marRight w:val="0"/>
              <w:marTop w:val="0"/>
              <w:marBottom w:val="0"/>
              <w:divBdr>
                <w:top w:val="none" w:sz="0" w:space="0" w:color="auto"/>
                <w:left w:val="none" w:sz="0" w:space="0" w:color="auto"/>
                <w:bottom w:val="none" w:sz="0" w:space="0" w:color="auto"/>
                <w:right w:val="none" w:sz="0" w:space="0" w:color="auto"/>
              </w:divBdr>
              <w:divsChild>
                <w:div w:id="1784573769">
                  <w:marLeft w:val="0"/>
                  <w:marRight w:val="0"/>
                  <w:marTop w:val="0"/>
                  <w:marBottom w:val="0"/>
                  <w:divBdr>
                    <w:top w:val="none" w:sz="0" w:space="0" w:color="auto"/>
                    <w:left w:val="none" w:sz="0" w:space="0" w:color="auto"/>
                    <w:bottom w:val="none" w:sz="0" w:space="0" w:color="auto"/>
                    <w:right w:val="none" w:sz="0" w:space="0" w:color="auto"/>
                  </w:divBdr>
                </w:div>
              </w:divsChild>
            </w:div>
            <w:div w:id="128867567">
              <w:marLeft w:val="0"/>
              <w:marRight w:val="0"/>
              <w:marTop w:val="0"/>
              <w:marBottom w:val="0"/>
              <w:divBdr>
                <w:top w:val="none" w:sz="0" w:space="0" w:color="auto"/>
                <w:left w:val="none" w:sz="0" w:space="0" w:color="auto"/>
                <w:bottom w:val="none" w:sz="0" w:space="0" w:color="auto"/>
                <w:right w:val="none" w:sz="0" w:space="0" w:color="auto"/>
              </w:divBdr>
              <w:divsChild>
                <w:div w:id="5974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5861">
          <w:marLeft w:val="0"/>
          <w:marRight w:val="0"/>
          <w:marTop w:val="0"/>
          <w:marBottom w:val="0"/>
          <w:divBdr>
            <w:top w:val="none" w:sz="0" w:space="0" w:color="auto"/>
            <w:left w:val="none" w:sz="0" w:space="0" w:color="auto"/>
            <w:bottom w:val="none" w:sz="0" w:space="0" w:color="auto"/>
            <w:right w:val="none" w:sz="0" w:space="0" w:color="auto"/>
          </w:divBdr>
        </w:div>
        <w:div w:id="703869116">
          <w:marLeft w:val="0"/>
          <w:marRight w:val="0"/>
          <w:marTop w:val="0"/>
          <w:marBottom w:val="0"/>
          <w:divBdr>
            <w:top w:val="none" w:sz="0" w:space="0" w:color="auto"/>
            <w:left w:val="none" w:sz="0" w:space="0" w:color="auto"/>
            <w:bottom w:val="none" w:sz="0" w:space="0" w:color="auto"/>
            <w:right w:val="none" w:sz="0" w:space="0" w:color="auto"/>
          </w:divBdr>
        </w:div>
        <w:div w:id="1102653191">
          <w:marLeft w:val="0"/>
          <w:marRight w:val="0"/>
          <w:marTop w:val="0"/>
          <w:marBottom w:val="0"/>
          <w:divBdr>
            <w:top w:val="none" w:sz="0" w:space="0" w:color="auto"/>
            <w:left w:val="none" w:sz="0" w:space="0" w:color="auto"/>
            <w:bottom w:val="none" w:sz="0" w:space="0" w:color="auto"/>
            <w:right w:val="none" w:sz="0" w:space="0" w:color="auto"/>
          </w:divBdr>
        </w:div>
        <w:div w:id="489752896">
          <w:marLeft w:val="0"/>
          <w:marRight w:val="0"/>
          <w:marTop w:val="0"/>
          <w:marBottom w:val="0"/>
          <w:divBdr>
            <w:top w:val="none" w:sz="0" w:space="0" w:color="auto"/>
            <w:left w:val="none" w:sz="0" w:space="0" w:color="auto"/>
            <w:bottom w:val="none" w:sz="0" w:space="0" w:color="auto"/>
            <w:right w:val="none" w:sz="0" w:space="0" w:color="auto"/>
          </w:divBdr>
        </w:div>
        <w:div w:id="1780564561">
          <w:marLeft w:val="0"/>
          <w:marRight w:val="0"/>
          <w:marTop w:val="0"/>
          <w:marBottom w:val="0"/>
          <w:divBdr>
            <w:top w:val="none" w:sz="0" w:space="0" w:color="auto"/>
            <w:left w:val="none" w:sz="0" w:space="0" w:color="auto"/>
            <w:bottom w:val="none" w:sz="0" w:space="0" w:color="auto"/>
            <w:right w:val="none" w:sz="0" w:space="0" w:color="auto"/>
          </w:divBdr>
        </w:div>
        <w:div w:id="579145537">
          <w:marLeft w:val="0"/>
          <w:marRight w:val="0"/>
          <w:marTop w:val="0"/>
          <w:marBottom w:val="0"/>
          <w:divBdr>
            <w:top w:val="none" w:sz="0" w:space="0" w:color="auto"/>
            <w:left w:val="none" w:sz="0" w:space="0" w:color="auto"/>
            <w:bottom w:val="none" w:sz="0" w:space="0" w:color="auto"/>
            <w:right w:val="none" w:sz="0" w:space="0" w:color="auto"/>
          </w:divBdr>
        </w:div>
        <w:div w:id="884831697">
          <w:marLeft w:val="0"/>
          <w:marRight w:val="0"/>
          <w:marTop w:val="0"/>
          <w:marBottom w:val="0"/>
          <w:divBdr>
            <w:top w:val="none" w:sz="0" w:space="0" w:color="auto"/>
            <w:left w:val="none" w:sz="0" w:space="0" w:color="auto"/>
            <w:bottom w:val="none" w:sz="0" w:space="0" w:color="auto"/>
            <w:right w:val="none" w:sz="0" w:space="0" w:color="auto"/>
          </w:divBdr>
        </w:div>
        <w:div w:id="2002007053">
          <w:marLeft w:val="0"/>
          <w:marRight w:val="0"/>
          <w:marTop w:val="0"/>
          <w:marBottom w:val="0"/>
          <w:divBdr>
            <w:top w:val="none" w:sz="0" w:space="0" w:color="auto"/>
            <w:left w:val="none" w:sz="0" w:space="0" w:color="auto"/>
            <w:bottom w:val="none" w:sz="0" w:space="0" w:color="auto"/>
            <w:right w:val="none" w:sz="0" w:space="0" w:color="auto"/>
          </w:divBdr>
        </w:div>
        <w:div w:id="855848131">
          <w:marLeft w:val="0"/>
          <w:marRight w:val="0"/>
          <w:marTop w:val="0"/>
          <w:marBottom w:val="0"/>
          <w:divBdr>
            <w:top w:val="none" w:sz="0" w:space="0" w:color="auto"/>
            <w:left w:val="none" w:sz="0" w:space="0" w:color="auto"/>
            <w:bottom w:val="none" w:sz="0" w:space="0" w:color="auto"/>
            <w:right w:val="none" w:sz="0" w:space="0" w:color="auto"/>
          </w:divBdr>
        </w:div>
        <w:div w:id="632757190">
          <w:marLeft w:val="0"/>
          <w:marRight w:val="0"/>
          <w:marTop w:val="0"/>
          <w:marBottom w:val="0"/>
          <w:divBdr>
            <w:top w:val="none" w:sz="0" w:space="0" w:color="auto"/>
            <w:left w:val="none" w:sz="0" w:space="0" w:color="auto"/>
            <w:bottom w:val="none" w:sz="0" w:space="0" w:color="auto"/>
            <w:right w:val="none" w:sz="0" w:space="0" w:color="auto"/>
          </w:divBdr>
        </w:div>
        <w:div w:id="638193878">
          <w:marLeft w:val="0"/>
          <w:marRight w:val="0"/>
          <w:marTop w:val="0"/>
          <w:marBottom w:val="0"/>
          <w:divBdr>
            <w:top w:val="none" w:sz="0" w:space="0" w:color="auto"/>
            <w:left w:val="none" w:sz="0" w:space="0" w:color="auto"/>
            <w:bottom w:val="none" w:sz="0" w:space="0" w:color="auto"/>
            <w:right w:val="none" w:sz="0" w:space="0" w:color="auto"/>
          </w:divBdr>
        </w:div>
        <w:div w:id="1621886017">
          <w:marLeft w:val="0"/>
          <w:marRight w:val="0"/>
          <w:marTop w:val="0"/>
          <w:marBottom w:val="0"/>
          <w:divBdr>
            <w:top w:val="none" w:sz="0" w:space="0" w:color="auto"/>
            <w:left w:val="none" w:sz="0" w:space="0" w:color="auto"/>
            <w:bottom w:val="none" w:sz="0" w:space="0" w:color="auto"/>
            <w:right w:val="none" w:sz="0" w:space="0" w:color="auto"/>
          </w:divBdr>
        </w:div>
        <w:div w:id="657853725">
          <w:marLeft w:val="0"/>
          <w:marRight w:val="0"/>
          <w:marTop w:val="0"/>
          <w:marBottom w:val="0"/>
          <w:divBdr>
            <w:top w:val="none" w:sz="0" w:space="0" w:color="auto"/>
            <w:left w:val="none" w:sz="0" w:space="0" w:color="auto"/>
            <w:bottom w:val="none" w:sz="0" w:space="0" w:color="auto"/>
            <w:right w:val="none" w:sz="0" w:space="0" w:color="auto"/>
          </w:divBdr>
        </w:div>
        <w:div w:id="463744007">
          <w:marLeft w:val="0"/>
          <w:marRight w:val="0"/>
          <w:marTop w:val="0"/>
          <w:marBottom w:val="0"/>
          <w:divBdr>
            <w:top w:val="none" w:sz="0" w:space="0" w:color="auto"/>
            <w:left w:val="none" w:sz="0" w:space="0" w:color="auto"/>
            <w:bottom w:val="none" w:sz="0" w:space="0" w:color="auto"/>
            <w:right w:val="none" w:sz="0" w:space="0" w:color="auto"/>
          </w:divBdr>
        </w:div>
        <w:div w:id="1169367156">
          <w:marLeft w:val="0"/>
          <w:marRight w:val="0"/>
          <w:marTop w:val="0"/>
          <w:marBottom w:val="0"/>
          <w:divBdr>
            <w:top w:val="none" w:sz="0" w:space="0" w:color="auto"/>
            <w:left w:val="none" w:sz="0" w:space="0" w:color="auto"/>
            <w:bottom w:val="none" w:sz="0" w:space="0" w:color="auto"/>
            <w:right w:val="none" w:sz="0" w:space="0" w:color="auto"/>
          </w:divBdr>
        </w:div>
        <w:div w:id="1570114796">
          <w:marLeft w:val="0"/>
          <w:marRight w:val="0"/>
          <w:marTop w:val="0"/>
          <w:marBottom w:val="0"/>
          <w:divBdr>
            <w:top w:val="none" w:sz="0" w:space="0" w:color="auto"/>
            <w:left w:val="none" w:sz="0" w:space="0" w:color="auto"/>
            <w:bottom w:val="none" w:sz="0" w:space="0" w:color="auto"/>
            <w:right w:val="none" w:sz="0" w:space="0" w:color="auto"/>
          </w:divBdr>
        </w:div>
        <w:div w:id="247737632">
          <w:marLeft w:val="0"/>
          <w:marRight w:val="0"/>
          <w:marTop w:val="0"/>
          <w:marBottom w:val="0"/>
          <w:divBdr>
            <w:top w:val="none" w:sz="0" w:space="0" w:color="auto"/>
            <w:left w:val="none" w:sz="0" w:space="0" w:color="auto"/>
            <w:bottom w:val="none" w:sz="0" w:space="0" w:color="auto"/>
            <w:right w:val="none" w:sz="0" w:space="0" w:color="auto"/>
          </w:divBdr>
        </w:div>
        <w:div w:id="621228459">
          <w:marLeft w:val="0"/>
          <w:marRight w:val="0"/>
          <w:marTop w:val="0"/>
          <w:marBottom w:val="0"/>
          <w:divBdr>
            <w:top w:val="none" w:sz="0" w:space="0" w:color="auto"/>
            <w:left w:val="none" w:sz="0" w:space="0" w:color="auto"/>
            <w:bottom w:val="none" w:sz="0" w:space="0" w:color="auto"/>
            <w:right w:val="none" w:sz="0" w:space="0" w:color="auto"/>
          </w:divBdr>
        </w:div>
        <w:div w:id="1936013254">
          <w:marLeft w:val="0"/>
          <w:marRight w:val="0"/>
          <w:marTop w:val="0"/>
          <w:marBottom w:val="0"/>
          <w:divBdr>
            <w:top w:val="none" w:sz="0" w:space="0" w:color="auto"/>
            <w:left w:val="none" w:sz="0" w:space="0" w:color="auto"/>
            <w:bottom w:val="none" w:sz="0" w:space="0" w:color="auto"/>
            <w:right w:val="none" w:sz="0" w:space="0" w:color="auto"/>
          </w:divBdr>
        </w:div>
        <w:div w:id="1221402158">
          <w:marLeft w:val="0"/>
          <w:marRight w:val="0"/>
          <w:marTop w:val="0"/>
          <w:marBottom w:val="0"/>
          <w:divBdr>
            <w:top w:val="none" w:sz="0" w:space="0" w:color="auto"/>
            <w:left w:val="none" w:sz="0" w:space="0" w:color="auto"/>
            <w:bottom w:val="none" w:sz="0" w:space="0" w:color="auto"/>
            <w:right w:val="none" w:sz="0" w:space="0" w:color="auto"/>
          </w:divBdr>
        </w:div>
        <w:div w:id="1634486421">
          <w:marLeft w:val="-75"/>
          <w:marRight w:val="0"/>
          <w:marTop w:val="30"/>
          <w:marBottom w:val="30"/>
          <w:divBdr>
            <w:top w:val="none" w:sz="0" w:space="0" w:color="auto"/>
            <w:left w:val="none" w:sz="0" w:space="0" w:color="auto"/>
            <w:bottom w:val="none" w:sz="0" w:space="0" w:color="auto"/>
            <w:right w:val="none" w:sz="0" w:space="0" w:color="auto"/>
          </w:divBdr>
          <w:divsChild>
            <w:div w:id="106125560">
              <w:marLeft w:val="0"/>
              <w:marRight w:val="0"/>
              <w:marTop w:val="0"/>
              <w:marBottom w:val="0"/>
              <w:divBdr>
                <w:top w:val="none" w:sz="0" w:space="0" w:color="auto"/>
                <w:left w:val="none" w:sz="0" w:space="0" w:color="auto"/>
                <w:bottom w:val="none" w:sz="0" w:space="0" w:color="auto"/>
                <w:right w:val="none" w:sz="0" w:space="0" w:color="auto"/>
              </w:divBdr>
              <w:divsChild>
                <w:div w:id="1685211194">
                  <w:marLeft w:val="0"/>
                  <w:marRight w:val="0"/>
                  <w:marTop w:val="0"/>
                  <w:marBottom w:val="0"/>
                  <w:divBdr>
                    <w:top w:val="none" w:sz="0" w:space="0" w:color="auto"/>
                    <w:left w:val="none" w:sz="0" w:space="0" w:color="auto"/>
                    <w:bottom w:val="none" w:sz="0" w:space="0" w:color="auto"/>
                    <w:right w:val="none" w:sz="0" w:space="0" w:color="auto"/>
                  </w:divBdr>
                </w:div>
              </w:divsChild>
            </w:div>
            <w:div w:id="1231229643">
              <w:marLeft w:val="0"/>
              <w:marRight w:val="0"/>
              <w:marTop w:val="0"/>
              <w:marBottom w:val="0"/>
              <w:divBdr>
                <w:top w:val="none" w:sz="0" w:space="0" w:color="auto"/>
                <w:left w:val="none" w:sz="0" w:space="0" w:color="auto"/>
                <w:bottom w:val="none" w:sz="0" w:space="0" w:color="auto"/>
                <w:right w:val="none" w:sz="0" w:space="0" w:color="auto"/>
              </w:divBdr>
              <w:divsChild>
                <w:div w:id="1055087077">
                  <w:marLeft w:val="0"/>
                  <w:marRight w:val="0"/>
                  <w:marTop w:val="0"/>
                  <w:marBottom w:val="0"/>
                  <w:divBdr>
                    <w:top w:val="none" w:sz="0" w:space="0" w:color="auto"/>
                    <w:left w:val="none" w:sz="0" w:space="0" w:color="auto"/>
                    <w:bottom w:val="none" w:sz="0" w:space="0" w:color="auto"/>
                    <w:right w:val="none" w:sz="0" w:space="0" w:color="auto"/>
                  </w:divBdr>
                </w:div>
              </w:divsChild>
            </w:div>
            <w:div w:id="1519195289">
              <w:marLeft w:val="0"/>
              <w:marRight w:val="0"/>
              <w:marTop w:val="0"/>
              <w:marBottom w:val="0"/>
              <w:divBdr>
                <w:top w:val="none" w:sz="0" w:space="0" w:color="auto"/>
                <w:left w:val="none" w:sz="0" w:space="0" w:color="auto"/>
                <w:bottom w:val="none" w:sz="0" w:space="0" w:color="auto"/>
                <w:right w:val="none" w:sz="0" w:space="0" w:color="auto"/>
              </w:divBdr>
              <w:divsChild>
                <w:div w:id="357632693">
                  <w:marLeft w:val="0"/>
                  <w:marRight w:val="0"/>
                  <w:marTop w:val="0"/>
                  <w:marBottom w:val="0"/>
                  <w:divBdr>
                    <w:top w:val="none" w:sz="0" w:space="0" w:color="auto"/>
                    <w:left w:val="none" w:sz="0" w:space="0" w:color="auto"/>
                    <w:bottom w:val="none" w:sz="0" w:space="0" w:color="auto"/>
                    <w:right w:val="none" w:sz="0" w:space="0" w:color="auto"/>
                  </w:divBdr>
                </w:div>
              </w:divsChild>
            </w:div>
            <w:div w:id="667950642">
              <w:marLeft w:val="0"/>
              <w:marRight w:val="0"/>
              <w:marTop w:val="0"/>
              <w:marBottom w:val="0"/>
              <w:divBdr>
                <w:top w:val="none" w:sz="0" w:space="0" w:color="auto"/>
                <w:left w:val="none" w:sz="0" w:space="0" w:color="auto"/>
                <w:bottom w:val="none" w:sz="0" w:space="0" w:color="auto"/>
                <w:right w:val="none" w:sz="0" w:space="0" w:color="auto"/>
              </w:divBdr>
              <w:divsChild>
                <w:div w:id="1149204563">
                  <w:marLeft w:val="0"/>
                  <w:marRight w:val="0"/>
                  <w:marTop w:val="0"/>
                  <w:marBottom w:val="0"/>
                  <w:divBdr>
                    <w:top w:val="none" w:sz="0" w:space="0" w:color="auto"/>
                    <w:left w:val="none" w:sz="0" w:space="0" w:color="auto"/>
                    <w:bottom w:val="none" w:sz="0" w:space="0" w:color="auto"/>
                    <w:right w:val="none" w:sz="0" w:space="0" w:color="auto"/>
                  </w:divBdr>
                </w:div>
              </w:divsChild>
            </w:div>
            <w:div w:id="1645619049">
              <w:marLeft w:val="0"/>
              <w:marRight w:val="0"/>
              <w:marTop w:val="0"/>
              <w:marBottom w:val="0"/>
              <w:divBdr>
                <w:top w:val="none" w:sz="0" w:space="0" w:color="auto"/>
                <w:left w:val="none" w:sz="0" w:space="0" w:color="auto"/>
                <w:bottom w:val="none" w:sz="0" w:space="0" w:color="auto"/>
                <w:right w:val="none" w:sz="0" w:space="0" w:color="auto"/>
              </w:divBdr>
              <w:divsChild>
                <w:div w:id="1769278944">
                  <w:marLeft w:val="0"/>
                  <w:marRight w:val="0"/>
                  <w:marTop w:val="0"/>
                  <w:marBottom w:val="0"/>
                  <w:divBdr>
                    <w:top w:val="none" w:sz="0" w:space="0" w:color="auto"/>
                    <w:left w:val="none" w:sz="0" w:space="0" w:color="auto"/>
                    <w:bottom w:val="none" w:sz="0" w:space="0" w:color="auto"/>
                    <w:right w:val="none" w:sz="0" w:space="0" w:color="auto"/>
                  </w:divBdr>
                </w:div>
              </w:divsChild>
            </w:div>
            <w:div w:id="1734964070">
              <w:marLeft w:val="0"/>
              <w:marRight w:val="0"/>
              <w:marTop w:val="0"/>
              <w:marBottom w:val="0"/>
              <w:divBdr>
                <w:top w:val="none" w:sz="0" w:space="0" w:color="auto"/>
                <w:left w:val="none" w:sz="0" w:space="0" w:color="auto"/>
                <w:bottom w:val="none" w:sz="0" w:space="0" w:color="auto"/>
                <w:right w:val="none" w:sz="0" w:space="0" w:color="auto"/>
              </w:divBdr>
              <w:divsChild>
                <w:div w:id="28917994">
                  <w:marLeft w:val="0"/>
                  <w:marRight w:val="0"/>
                  <w:marTop w:val="0"/>
                  <w:marBottom w:val="0"/>
                  <w:divBdr>
                    <w:top w:val="none" w:sz="0" w:space="0" w:color="auto"/>
                    <w:left w:val="none" w:sz="0" w:space="0" w:color="auto"/>
                    <w:bottom w:val="none" w:sz="0" w:space="0" w:color="auto"/>
                    <w:right w:val="none" w:sz="0" w:space="0" w:color="auto"/>
                  </w:divBdr>
                </w:div>
              </w:divsChild>
            </w:div>
            <w:div w:id="1116216703">
              <w:marLeft w:val="0"/>
              <w:marRight w:val="0"/>
              <w:marTop w:val="0"/>
              <w:marBottom w:val="0"/>
              <w:divBdr>
                <w:top w:val="none" w:sz="0" w:space="0" w:color="auto"/>
                <w:left w:val="none" w:sz="0" w:space="0" w:color="auto"/>
                <w:bottom w:val="none" w:sz="0" w:space="0" w:color="auto"/>
                <w:right w:val="none" w:sz="0" w:space="0" w:color="auto"/>
              </w:divBdr>
              <w:divsChild>
                <w:div w:id="915211246">
                  <w:marLeft w:val="0"/>
                  <w:marRight w:val="0"/>
                  <w:marTop w:val="0"/>
                  <w:marBottom w:val="0"/>
                  <w:divBdr>
                    <w:top w:val="none" w:sz="0" w:space="0" w:color="auto"/>
                    <w:left w:val="none" w:sz="0" w:space="0" w:color="auto"/>
                    <w:bottom w:val="none" w:sz="0" w:space="0" w:color="auto"/>
                    <w:right w:val="none" w:sz="0" w:space="0" w:color="auto"/>
                  </w:divBdr>
                </w:div>
              </w:divsChild>
            </w:div>
            <w:div w:id="1213423925">
              <w:marLeft w:val="0"/>
              <w:marRight w:val="0"/>
              <w:marTop w:val="0"/>
              <w:marBottom w:val="0"/>
              <w:divBdr>
                <w:top w:val="none" w:sz="0" w:space="0" w:color="auto"/>
                <w:left w:val="none" w:sz="0" w:space="0" w:color="auto"/>
                <w:bottom w:val="none" w:sz="0" w:space="0" w:color="auto"/>
                <w:right w:val="none" w:sz="0" w:space="0" w:color="auto"/>
              </w:divBdr>
              <w:divsChild>
                <w:div w:id="307823161">
                  <w:marLeft w:val="0"/>
                  <w:marRight w:val="0"/>
                  <w:marTop w:val="0"/>
                  <w:marBottom w:val="0"/>
                  <w:divBdr>
                    <w:top w:val="none" w:sz="0" w:space="0" w:color="auto"/>
                    <w:left w:val="none" w:sz="0" w:space="0" w:color="auto"/>
                    <w:bottom w:val="none" w:sz="0" w:space="0" w:color="auto"/>
                    <w:right w:val="none" w:sz="0" w:space="0" w:color="auto"/>
                  </w:divBdr>
                </w:div>
              </w:divsChild>
            </w:div>
            <w:div w:id="626009563">
              <w:marLeft w:val="0"/>
              <w:marRight w:val="0"/>
              <w:marTop w:val="0"/>
              <w:marBottom w:val="0"/>
              <w:divBdr>
                <w:top w:val="none" w:sz="0" w:space="0" w:color="auto"/>
                <w:left w:val="none" w:sz="0" w:space="0" w:color="auto"/>
                <w:bottom w:val="none" w:sz="0" w:space="0" w:color="auto"/>
                <w:right w:val="none" w:sz="0" w:space="0" w:color="auto"/>
              </w:divBdr>
              <w:divsChild>
                <w:div w:id="1335375553">
                  <w:marLeft w:val="0"/>
                  <w:marRight w:val="0"/>
                  <w:marTop w:val="0"/>
                  <w:marBottom w:val="0"/>
                  <w:divBdr>
                    <w:top w:val="none" w:sz="0" w:space="0" w:color="auto"/>
                    <w:left w:val="none" w:sz="0" w:space="0" w:color="auto"/>
                    <w:bottom w:val="none" w:sz="0" w:space="0" w:color="auto"/>
                    <w:right w:val="none" w:sz="0" w:space="0" w:color="auto"/>
                  </w:divBdr>
                </w:div>
              </w:divsChild>
            </w:div>
            <w:div w:id="532883517">
              <w:marLeft w:val="0"/>
              <w:marRight w:val="0"/>
              <w:marTop w:val="0"/>
              <w:marBottom w:val="0"/>
              <w:divBdr>
                <w:top w:val="none" w:sz="0" w:space="0" w:color="auto"/>
                <w:left w:val="none" w:sz="0" w:space="0" w:color="auto"/>
                <w:bottom w:val="none" w:sz="0" w:space="0" w:color="auto"/>
                <w:right w:val="none" w:sz="0" w:space="0" w:color="auto"/>
              </w:divBdr>
              <w:divsChild>
                <w:div w:id="1719668664">
                  <w:marLeft w:val="0"/>
                  <w:marRight w:val="0"/>
                  <w:marTop w:val="0"/>
                  <w:marBottom w:val="0"/>
                  <w:divBdr>
                    <w:top w:val="none" w:sz="0" w:space="0" w:color="auto"/>
                    <w:left w:val="none" w:sz="0" w:space="0" w:color="auto"/>
                    <w:bottom w:val="none" w:sz="0" w:space="0" w:color="auto"/>
                    <w:right w:val="none" w:sz="0" w:space="0" w:color="auto"/>
                  </w:divBdr>
                </w:div>
              </w:divsChild>
            </w:div>
            <w:div w:id="618295253">
              <w:marLeft w:val="0"/>
              <w:marRight w:val="0"/>
              <w:marTop w:val="0"/>
              <w:marBottom w:val="0"/>
              <w:divBdr>
                <w:top w:val="none" w:sz="0" w:space="0" w:color="auto"/>
                <w:left w:val="none" w:sz="0" w:space="0" w:color="auto"/>
                <w:bottom w:val="none" w:sz="0" w:space="0" w:color="auto"/>
                <w:right w:val="none" w:sz="0" w:space="0" w:color="auto"/>
              </w:divBdr>
              <w:divsChild>
                <w:div w:id="789905632">
                  <w:marLeft w:val="0"/>
                  <w:marRight w:val="0"/>
                  <w:marTop w:val="0"/>
                  <w:marBottom w:val="0"/>
                  <w:divBdr>
                    <w:top w:val="none" w:sz="0" w:space="0" w:color="auto"/>
                    <w:left w:val="none" w:sz="0" w:space="0" w:color="auto"/>
                    <w:bottom w:val="none" w:sz="0" w:space="0" w:color="auto"/>
                    <w:right w:val="none" w:sz="0" w:space="0" w:color="auto"/>
                  </w:divBdr>
                </w:div>
              </w:divsChild>
            </w:div>
            <w:div w:id="1192913181">
              <w:marLeft w:val="0"/>
              <w:marRight w:val="0"/>
              <w:marTop w:val="0"/>
              <w:marBottom w:val="0"/>
              <w:divBdr>
                <w:top w:val="none" w:sz="0" w:space="0" w:color="auto"/>
                <w:left w:val="none" w:sz="0" w:space="0" w:color="auto"/>
                <w:bottom w:val="none" w:sz="0" w:space="0" w:color="auto"/>
                <w:right w:val="none" w:sz="0" w:space="0" w:color="auto"/>
              </w:divBdr>
              <w:divsChild>
                <w:div w:id="2045132816">
                  <w:marLeft w:val="0"/>
                  <w:marRight w:val="0"/>
                  <w:marTop w:val="0"/>
                  <w:marBottom w:val="0"/>
                  <w:divBdr>
                    <w:top w:val="none" w:sz="0" w:space="0" w:color="auto"/>
                    <w:left w:val="none" w:sz="0" w:space="0" w:color="auto"/>
                    <w:bottom w:val="none" w:sz="0" w:space="0" w:color="auto"/>
                    <w:right w:val="none" w:sz="0" w:space="0" w:color="auto"/>
                  </w:divBdr>
                </w:div>
              </w:divsChild>
            </w:div>
            <w:div w:id="556280665">
              <w:marLeft w:val="0"/>
              <w:marRight w:val="0"/>
              <w:marTop w:val="0"/>
              <w:marBottom w:val="0"/>
              <w:divBdr>
                <w:top w:val="none" w:sz="0" w:space="0" w:color="auto"/>
                <w:left w:val="none" w:sz="0" w:space="0" w:color="auto"/>
                <w:bottom w:val="none" w:sz="0" w:space="0" w:color="auto"/>
                <w:right w:val="none" w:sz="0" w:space="0" w:color="auto"/>
              </w:divBdr>
              <w:divsChild>
                <w:div w:id="808783040">
                  <w:marLeft w:val="0"/>
                  <w:marRight w:val="0"/>
                  <w:marTop w:val="0"/>
                  <w:marBottom w:val="0"/>
                  <w:divBdr>
                    <w:top w:val="none" w:sz="0" w:space="0" w:color="auto"/>
                    <w:left w:val="none" w:sz="0" w:space="0" w:color="auto"/>
                    <w:bottom w:val="none" w:sz="0" w:space="0" w:color="auto"/>
                    <w:right w:val="none" w:sz="0" w:space="0" w:color="auto"/>
                  </w:divBdr>
                </w:div>
              </w:divsChild>
            </w:div>
            <w:div w:id="1433477956">
              <w:marLeft w:val="0"/>
              <w:marRight w:val="0"/>
              <w:marTop w:val="0"/>
              <w:marBottom w:val="0"/>
              <w:divBdr>
                <w:top w:val="none" w:sz="0" w:space="0" w:color="auto"/>
                <w:left w:val="none" w:sz="0" w:space="0" w:color="auto"/>
                <w:bottom w:val="none" w:sz="0" w:space="0" w:color="auto"/>
                <w:right w:val="none" w:sz="0" w:space="0" w:color="auto"/>
              </w:divBdr>
              <w:divsChild>
                <w:div w:id="144513845">
                  <w:marLeft w:val="0"/>
                  <w:marRight w:val="0"/>
                  <w:marTop w:val="0"/>
                  <w:marBottom w:val="0"/>
                  <w:divBdr>
                    <w:top w:val="none" w:sz="0" w:space="0" w:color="auto"/>
                    <w:left w:val="none" w:sz="0" w:space="0" w:color="auto"/>
                    <w:bottom w:val="none" w:sz="0" w:space="0" w:color="auto"/>
                    <w:right w:val="none" w:sz="0" w:space="0" w:color="auto"/>
                  </w:divBdr>
                </w:div>
              </w:divsChild>
            </w:div>
            <w:div w:id="1799060382">
              <w:marLeft w:val="0"/>
              <w:marRight w:val="0"/>
              <w:marTop w:val="0"/>
              <w:marBottom w:val="0"/>
              <w:divBdr>
                <w:top w:val="none" w:sz="0" w:space="0" w:color="auto"/>
                <w:left w:val="none" w:sz="0" w:space="0" w:color="auto"/>
                <w:bottom w:val="none" w:sz="0" w:space="0" w:color="auto"/>
                <w:right w:val="none" w:sz="0" w:space="0" w:color="auto"/>
              </w:divBdr>
              <w:divsChild>
                <w:div w:id="1907257545">
                  <w:marLeft w:val="0"/>
                  <w:marRight w:val="0"/>
                  <w:marTop w:val="0"/>
                  <w:marBottom w:val="0"/>
                  <w:divBdr>
                    <w:top w:val="none" w:sz="0" w:space="0" w:color="auto"/>
                    <w:left w:val="none" w:sz="0" w:space="0" w:color="auto"/>
                    <w:bottom w:val="none" w:sz="0" w:space="0" w:color="auto"/>
                    <w:right w:val="none" w:sz="0" w:space="0" w:color="auto"/>
                  </w:divBdr>
                </w:div>
              </w:divsChild>
            </w:div>
            <w:div w:id="573591586">
              <w:marLeft w:val="0"/>
              <w:marRight w:val="0"/>
              <w:marTop w:val="0"/>
              <w:marBottom w:val="0"/>
              <w:divBdr>
                <w:top w:val="none" w:sz="0" w:space="0" w:color="auto"/>
                <w:left w:val="none" w:sz="0" w:space="0" w:color="auto"/>
                <w:bottom w:val="none" w:sz="0" w:space="0" w:color="auto"/>
                <w:right w:val="none" w:sz="0" w:space="0" w:color="auto"/>
              </w:divBdr>
              <w:divsChild>
                <w:div w:id="2066368895">
                  <w:marLeft w:val="0"/>
                  <w:marRight w:val="0"/>
                  <w:marTop w:val="0"/>
                  <w:marBottom w:val="0"/>
                  <w:divBdr>
                    <w:top w:val="none" w:sz="0" w:space="0" w:color="auto"/>
                    <w:left w:val="none" w:sz="0" w:space="0" w:color="auto"/>
                    <w:bottom w:val="none" w:sz="0" w:space="0" w:color="auto"/>
                    <w:right w:val="none" w:sz="0" w:space="0" w:color="auto"/>
                  </w:divBdr>
                </w:div>
              </w:divsChild>
            </w:div>
            <w:div w:id="2051224752">
              <w:marLeft w:val="0"/>
              <w:marRight w:val="0"/>
              <w:marTop w:val="0"/>
              <w:marBottom w:val="0"/>
              <w:divBdr>
                <w:top w:val="none" w:sz="0" w:space="0" w:color="auto"/>
                <w:left w:val="none" w:sz="0" w:space="0" w:color="auto"/>
                <w:bottom w:val="none" w:sz="0" w:space="0" w:color="auto"/>
                <w:right w:val="none" w:sz="0" w:space="0" w:color="auto"/>
              </w:divBdr>
              <w:divsChild>
                <w:div w:id="1045906126">
                  <w:marLeft w:val="0"/>
                  <w:marRight w:val="0"/>
                  <w:marTop w:val="0"/>
                  <w:marBottom w:val="0"/>
                  <w:divBdr>
                    <w:top w:val="none" w:sz="0" w:space="0" w:color="auto"/>
                    <w:left w:val="none" w:sz="0" w:space="0" w:color="auto"/>
                    <w:bottom w:val="none" w:sz="0" w:space="0" w:color="auto"/>
                    <w:right w:val="none" w:sz="0" w:space="0" w:color="auto"/>
                  </w:divBdr>
                </w:div>
              </w:divsChild>
            </w:div>
            <w:div w:id="1125737729">
              <w:marLeft w:val="0"/>
              <w:marRight w:val="0"/>
              <w:marTop w:val="0"/>
              <w:marBottom w:val="0"/>
              <w:divBdr>
                <w:top w:val="none" w:sz="0" w:space="0" w:color="auto"/>
                <w:left w:val="none" w:sz="0" w:space="0" w:color="auto"/>
                <w:bottom w:val="none" w:sz="0" w:space="0" w:color="auto"/>
                <w:right w:val="none" w:sz="0" w:space="0" w:color="auto"/>
              </w:divBdr>
              <w:divsChild>
                <w:div w:id="1291594183">
                  <w:marLeft w:val="0"/>
                  <w:marRight w:val="0"/>
                  <w:marTop w:val="0"/>
                  <w:marBottom w:val="0"/>
                  <w:divBdr>
                    <w:top w:val="none" w:sz="0" w:space="0" w:color="auto"/>
                    <w:left w:val="none" w:sz="0" w:space="0" w:color="auto"/>
                    <w:bottom w:val="none" w:sz="0" w:space="0" w:color="auto"/>
                    <w:right w:val="none" w:sz="0" w:space="0" w:color="auto"/>
                  </w:divBdr>
                </w:div>
              </w:divsChild>
            </w:div>
            <w:div w:id="600530509">
              <w:marLeft w:val="0"/>
              <w:marRight w:val="0"/>
              <w:marTop w:val="0"/>
              <w:marBottom w:val="0"/>
              <w:divBdr>
                <w:top w:val="none" w:sz="0" w:space="0" w:color="auto"/>
                <w:left w:val="none" w:sz="0" w:space="0" w:color="auto"/>
                <w:bottom w:val="none" w:sz="0" w:space="0" w:color="auto"/>
                <w:right w:val="none" w:sz="0" w:space="0" w:color="auto"/>
              </w:divBdr>
              <w:divsChild>
                <w:div w:id="151024245">
                  <w:marLeft w:val="0"/>
                  <w:marRight w:val="0"/>
                  <w:marTop w:val="0"/>
                  <w:marBottom w:val="0"/>
                  <w:divBdr>
                    <w:top w:val="none" w:sz="0" w:space="0" w:color="auto"/>
                    <w:left w:val="none" w:sz="0" w:space="0" w:color="auto"/>
                    <w:bottom w:val="none" w:sz="0" w:space="0" w:color="auto"/>
                    <w:right w:val="none" w:sz="0" w:space="0" w:color="auto"/>
                  </w:divBdr>
                </w:div>
              </w:divsChild>
            </w:div>
            <w:div w:id="1739134795">
              <w:marLeft w:val="0"/>
              <w:marRight w:val="0"/>
              <w:marTop w:val="0"/>
              <w:marBottom w:val="0"/>
              <w:divBdr>
                <w:top w:val="none" w:sz="0" w:space="0" w:color="auto"/>
                <w:left w:val="none" w:sz="0" w:space="0" w:color="auto"/>
                <w:bottom w:val="none" w:sz="0" w:space="0" w:color="auto"/>
                <w:right w:val="none" w:sz="0" w:space="0" w:color="auto"/>
              </w:divBdr>
              <w:divsChild>
                <w:div w:id="1457791848">
                  <w:marLeft w:val="0"/>
                  <w:marRight w:val="0"/>
                  <w:marTop w:val="0"/>
                  <w:marBottom w:val="0"/>
                  <w:divBdr>
                    <w:top w:val="none" w:sz="0" w:space="0" w:color="auto"/>
                    <w:left w:val="none" w:sz="0" w:space="0" w:color="auto"/>
                    <w:bottom w:val="none" w:sz="0" w:space="0" w:color="auto"/>
                    <w:right w:val="none" w:sz="0" w:space="0" w:color="auto"/>
                  </w:divBdr>
                </w:div>
              </w:divsChild>
            </w:div>
            <w:div w:id="1396587899">
              <w:marLeft w:val="0"/>
              <w:marRight w:val="0"/>
              <w:marTop w:val="0"/>
              <w:marBottom w:val="0"/>
              <w:divBdr>
                <w:top w:val="none" w:sz="0" w:space="0" w:color="auto"/>
                <w:left w:val="none" w:sz="0" w:space="0" w:color="auto"/>
                <w:bottom w:val="none" w:sz="0" w:space="0" w:color="auto"/>
                <w:right w:val="none" w:sz="0" w:space="0" w:color="auto"/>
              </w:divBdr>
              <w:divsChild>
                <w:div w:id="795611443">
                  <w:marLeft w:val="0"/>
                  <w:marRight w:val="0"/>
                  <w:marTop w:val="0"/>
                  <w:marBottom w:val="0"/>
                  <w:divBdr>
                    <w:top w:val="none" w:sz="0" w:space="0" w:color="auto"/>
                    <w:left w:val="none" w:sz="0" w:space="0" w:color="auto"/>
                    <w:bottom w:val="none" w:sz="0" w:space="0" w:color="auto"/>
                    <w:right w:val="none" w:sz="0" w:space="0" w:color="auto"/>
                  </w:divBdr>
                </w:div>
              </w:divsChild>
            </w:div>
            <w:div w:id="787550811">
              <w:marLeft w:val="0"/>
              <w:marRight w:val="0"/>
              <w:marTop w:val="0"/>
              <w:marBottom w:val="0"/>
              <w:divBdr>
                <w:top w:val="none" w:sz="0" w:space="0" w:color="auto"/>
                <w:left w:val="none" w:sz="0" w:space="0" w:color="auto"/>
                <w:bottom w:val="none" w:sz="0" w:space="0" w:color="auto"/>
                <w:right w:val="none" w:sz="0" w:space="0" w:color="auto"/>
              </w:divBdr>
              <w:divsChild>
                <w:div w:id="750203008">
                  <w:marLeft w:val="0"/>
                  <w:marRight w:val="0"/>
                  <w:marTop w:val="0"/>
                  <w:marBottom w:val="0"/>
                  <w:divBdr>
                    <w:top w:val="none" w:sz="0" w:space="0" w:color="auto"/>
                    <w:left w:val="none" w:sz="0" w:space="0" w:color="auto"/>
                    <w:bottom w:val="none" w:sz="0" w:space="0" w:color="auto"/>
                    <w:right w:val="none" w:sz="0" w:space="0" w:color="auto"/>
                  </w:divBdr>
                </w:div>
              </w:divsChild>
            </w:div>
            <w:div w:id="586425941">
              <w:marLeft w:val="0"/>
              <w:marRight w:val="0"/>
              <w:marTop w:val="0"/>
              <w:marBottom w:val="0"/>
              <w:divBdr>
                <w:top w:val="none" w:sz="0" w:space="0" w:color="auto"/>
                <w:left w:val="none" w:sz="0" w:space="0" w:color="auto"/>
                <w:bottom w:val="none" w:sz="0" w:space="0" w:color="auto"/>
                <w:right w:val="none" w:sz="0" w:space="0" w:color="auto"/>
              </w:divBdr>
              <w:divsChild>
                <w:div w:id="1166360214">
                  <w:marLeft w:val="0"/>
                  <w:marRight w:val="0"/>
                  <w:marTop w:val="0"/>
                  <w:marBottom w:val="0"/>
                  <w:divBdr>
                    <w:top w:val="none" w:sz="0" w:space="0" w:color="auto"/>
                    <w:left w:val="none" w:sz="0" w:space="0" w:color="auto"/>
                    <w:bottom w:val="none" w:sz="0" w:space="0" w:color="auto"/>
                    <w:right w:val="none" w:sz="0" w:space="0" w:color="auto"/>
                  </w:divBdr>
                </w:div>
              </w:divsChild>
            </w:div>
            <w:div w:id="655652549">
              <w:marLeft w:val="0"/>
              <w:marRight w:val="0"/>
              <w:marTop w:val="0"/>
              <w:marBottom w:val="0"/>
              <w:divBdr>
                <w:top w:val="none" w:sz="0" w:space="0" w:color="auto"/>
                <w:left w:val="none" w:sz="0" w:space="0" w:color="auto"/>
                <w:bottom w:val="none" w:sz="0" w:space="0" w:color="auto"/>
                <w:right w:val="none" w:sz="0" w:space="0" w:color="auto"/>
              </w:divBdr>
              <w:divsChild>
                <w:div w:id="350764708">
                  <w:marLeft w:val="0"/>
                  <w:marRight w:val="0"/>
                  <w:marTop w:val="0"/>
                  <w:marBottom w:val="0"/>
                  <w:divBdr>
                    <w:top w:val="none" w:sz="0" w:space="0" w:color="auto"/>
                    <w:left w:val="none" w:sz="0" w:space="0" w:color="auto"/>
                    <w:bottom w:val="none" w:sz="0" w:space="0" w:color="auto"/>
                    <w:right w:val="none" w:sz="0" w:space="0" w:color="auto"/>
                  </w:divBdr>
                </w:div>
              </w:divsChild>
            </w:div>
            <w:div w:id="280234123">
              <w:marLeft w:val="0"/>
              <w:marRight w:val="0"/>
              <w:marTop w:val="0"/>
              <w:marBottom w:val="0"/>
              <w:divBdr>
                <w:top w:val="none" w:sz="0" w:space="0" w:color="auto"/>
                <w:left w:val="none" w:sz="0" w:space="0" w:color="auto"/>
                <w:bottom w:val="none" w:sz="0" w:space="0" w:color="auto"/>
                <w:right w:val="none" w:sz="0" w:space="0" w:color="auto"/>
              </w:divBdr>
              <w:divsChild>
                <w:div w:id="2118214370">
                  <w:marLeft w:val="0"/>
                  <w:marRight w:val="0"/>
                  <w:marTop w:val="0"/>
                  <w:marBottom w:val="0"/>
                  <w:divBdr>
                    <w:top w:val="none" w:sz="0" w:space="0" w:color="auto"/>
                    <w:left w:val="none" w:sz="0" w:space="0" w:color="auto"/>
                    <w:bottom w:val="none" w:sz="0" w:space="0" w:color="auto"/>
                    <w:right w:val="none" w:sz="0" w:space="0" w:color="auto"/>
                  </w:divBdr>
                </w:div>
              </w:divsChild>
            </w:div>
            <w:div w:id="518933508">
              <w:marLeft w:val="0"/>
              <w:marRight w:val="0"/>
              <w:marTop w:val="0"/>
              <w:marBottom w:val="0"/>
              <w:divBdr>
                <w:top w:val="none" w:sz="0" w:space="0" w:color="auto"/>
                <w:left w:val="none" w:sz="0" w:space="0" w:color="auto"/>
                <w:bottom w:val="none" w:sz="0" w:space="0" w:color="auto"/>
                <w:right w:val="none" w:sz="0" w:space="0" w:color="auto"/>
              </w:divBdr>
              <w:divsChild>
                <w:div w:id="1267805395">
                  <w:marLeft w:val="0"/>
                  <w:marRight w:val="0"/>
                  <w:marTop w:val="0"/>
                  <w:marBottom w:val="0"/>
                  <w:divBdr>
                    <w:top w:val="none" w:sz="0" w:space="0" w:color="auto"/>
                    <w:left w:val="none" w:sz="0" w:space="0" w:color="auto"/>
                    <w:bottom w:val="none" w:sz="0" w:space="0" w:color="auto"/>
                    <w:right w:val="none" w:sz="0" w:space="0" w:color="auto"/>
                  </w:divBdr>
                </w:div>
              </w:divsChild>
            </w:div>
            <w:div w:id="1440754564">
              <w:marLeft w:val="0"/>
              <w:marRight w:val="0"/>
              <w:marTop w:val="0"/>
              <w:marBottom w:val="0"/>
              <w:divBdr>
                <w:top w:val="none" w:sz="0" w:space="0" w:color="auto"/>
                <w:left w:val="none" w:sz="0" w:space="0" w:color="auto"/>
                <w:bottom w:val="none" w:sz="0" w:space="0" w:color="auto"/>
                <w:right w:val="none" w:sz="0" w:space="0" w:color="auto"/>
              </w:divBdr>
              <w:divsChild>
                <w:div w:id="1159612276">
                  <w:marLeft w:val="0"/>
                  <w:marRight w:val="0"/>
                  <w:marTop w:val="0"/>
                  <w:marBottom w:val="0"/>
                  <w:divBdr>
                    <w:top w:val="none" w:sz="0" w:space="0" w:color="auto"/>
                    <w:left w:val="none" w:sz="0" w:space="0" w:color="auto"/>
                    <w:bottom w:val="none" w:sz="0" w:space="0" w:color="auto"/>
                    <w:right w:val="none" w:sz="0" w:space="0" w:color="auto"/>
                  </w:divBdr>
                </w:div>
              </w:divsChild>
            </w:div>
            <w:div w:id="275910155">
              <w:marLeft w:val="0"/>
              <w:marRight w:val="0"/>
              <w:marTop w:val="0"/>
              <w:marBottom w:val="0"/>
              <w:divBdr>
                <w:top w:val="none" w:sz="0" w:space="0" w:color="auto"/>
                <w:left w:val="none" w:sz="0" w:space="0" w:color="auto"/>
                <w:bottom w:val="none" w:sz="0" w:space="0" w:color="auto"/>
                <w:right w:val="none" w:sz="0" w:space="0" w:color="auto"/>
              </w:divBdr>
              <w:divsChild>
                <w:div w:id="19220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5805">
          <w:marLeft w:val="0"/>
          <w:marRight w:val="0"/>
          <w:marTop w:val="0"/>
          <w:marBottom w:val="0"/>
          <w:divBdr>
            <w:top w:val="none" w:sz="0" w:space="0" w:color="auto"/>
            <w:left w:val="none" w:sz="0" w:space="0" w:color="auto"/>
            <w:bottom w:val="none" w:sz="0" w:space="0" w:color="auto"/>
            <w:right w:val="none" w:sz="0" w:space="0" w:color="auto"/>
          </w:divBdr>
        </w:div>
        <w:div w:id="1117410750">
          <w:marLeft w:val="0"/>
          <w:marRight w:val="0"/>
          <w:marTop w:val="0"/>
          <w:marBottom w:val="0"/>
          <w:divBdr>
            <w:top w:val="none" w:sz="0" w:space="0" w:color="auto"/>
            <w:left w:val="none" w:sz="0" w:space="0" w:color="auto"/>
            <w:bottom w:val="none" w:sz="0" w:space="0" w:color="auto"/>
            <w:right w:val="none" w:sz="0" w:space="0" w:color="auto"/>
          </w:divBdr>
        </w:div>
        <w:div w:id="18360960">
          <w:marLeft w:val="0"/>
          <w:marRight w:val="0"/>
          <w:marTop w:val="0"/>
          <w:marBottom w:val="0"/>
          <w:divBdr>
            <w:top w:val="none" w:sz="0" w:space="0" w:color="auto"/>
            <w:left w:val="none" w:sz="0" w:space="0" w:color="auto"/>
            <w:bottom w:val="none" w:sz="0" w:space="0" w:color="auto"/>
            <w:right w:val="none" w:sz="0" w:space="0" w:color="auto"/>
          </w:divBdr>
        </w:div>
        <w:div w:id="353389862">
          <w:marLeft w:val="-75"/>
          <w:marRight w:val="0"/>
          <w:marTop w:val="30"/>
          <w:marBottom w:val="30"/>
          <w:divBdr>
            <w:top w:val="none" w:sz="0" w:space="0" w:color="auto"/>
            <w:left w:val="none" w:sz="0" w:space="0" w:color="auto"/>
            <w:bottom w:val="none" w:sz="0" w:space="0" w:color="auto"/>
            <w:right w:val="none" w:sz="0" w:space="0" w:color="auto"/>
          </w:divBdr>
          <w:divsChild>
            <w:div w:id="1674796793">
              <w:marLeft w:val="0"/>
              <w:marRight w:val="0"/>
              <w:marTop w:val="0"/>
              <w:marBottom w:val="0"/>
              <w:divBdr>
                <w:top w:val="none" w:sz="0" w:space="0" w:color="auto"/>
                <w:left w:val="none" w:sz="0" w:space="0" w:color="auto"/>
                <w:bottom w:val="none" w:sz="0" w:space="0" w:color="auto"/>
                <w:right w:val="none" w:sz="0" w:space="0" w:color="auto"/>
              </w:divBdr>
              <w:divsChild>
                <w:div w:id="2062946688">
                  <w:marLeft w:val="0"/>
                  <w:marRight w:val="0"/>
                  <w:marTop w:val="0"/>
                  <w:marBottom w:val="0"/>
                  <w:divBdr>
                    <w:top w:val="none" w:sz="0" w:space="0" w:color="auto"/>
                    <w:left w:val="none" w:sz="0" w:space="0" w:color="auto"/>
                    <w:bottom w:val="none" w:sz="0" w:space="0" w:color="auto"/>
                    <w:right w:val="none" w:sz="0" w:space="0" w:color="auto"/>
                  </w:divBdr>
                </w:div>
              </w:divsChild>
            </w:div>
            <w:div w:id="824466518">
              <w:marLeft w:val="0"/>
              <w:marRight w:val="0"/>
              <w:marTop w:val="0"/>
              <w:marBottom w:val="0"/>
              <w:divBdr>
                <w:top w:val="none" w:sz="0" w:space="0" w:color="auto"/>
                <w:left w:val="none" w:sz="0" w:space="0" w:color="auto"/>
                <w:bottom w:val="none" w:sz="0" w:space="0" w:color="auto"/>
                <w:right w:val="none" w:sz="0" w:space="0" w:color="auto"/>
              </w:divBdr>
              <w:divsChild>
                <w:div w:id="263272209">
                  <w:marLeft w:val="0"/>
                  <w:marRight w:val="0"/>
                  <w:marTop w:val="0"/>
                  <w:marBottom w:val="0"/>
                  <w:divBdr>
                    <w:top w:val="none" w:sz="0" w:space="0" w:color="auto"/>
                    <w:left w:val="none" w:sz="0" w:space="0" w:color="auto"/>
                    <w:bottom w:val="none" w:sz="0" w:space="0" w:color="auto"/>
                    <w:right w:val="none" w:sz="0" w:space="0" w:color="auto"/>
                  </w:divBdr>
                </w:div>
              </w:divsChild>
            </w:div>
            <w:div w:id="1412892626">
              <w:marLeft w:val="0"/>
              <w:marRight w:val="0"/>
              <w:marTop w:val="0"/>
              <w:marBottom w:val="0"/>
              <w:divBdr>
                <w:top w:val="none" w:sz="0" w:space="0" w:color="auto"/>
                <w:left w:val="none" w:sz="0" w:space="0" w:color="auto"/>
                <w:bottom w:val="none" w:sz="0" w:space="0" w:color="auto"/>
                <w:right w:val="none" w:sz="0" w:space="0" w:color="auto"/>
              </w:divBdr>
              <w:divsChild>
                <w:div w:id="8143095">
                  <w:marLeft w:val="0"/>
                  <w:marRight w:val="0"/>
                  <w:marTop w:val="0"/>
                  <w:marBottom w:val="0"/>
                  <w:divBdr>
                    <w:top w:val="none" w:sz="0" w:space="0" w:color="auto"/>
                    <w:left w:val="none" w:sz="0" w:space="0" w:color="auto"/>
                    <w:bottom w:val="none" w:sz="0" w:space="0" w:color="auto"/>
                    <w:right w:val="none" w:sz="0" w:space="0" w:color="auto"/>
                  </w:divBdr>
                </w:div>
              </w:divsChild>
            </w:div>
            <w:div w:id="1088700290">
              <w:marLeft w:val="0"/>
              <w:marRight w:val="0"/>
              <w:marTop w:val="0"/>
              <w:marBottom w:val="0"/>
              <w:divBdr>
                <w:top w:val="none" w:sz="0" w:space="0" w:color="auto"/>
                <w:left w:val="none" w:sz="0" w:space="0" w:color="auto"/>
                <w:bottom w:val="none" w:sz="0" w:space="0" w:color="auto"/>
                <w:right w:val="none" w:sz="0" w:space="0" w:color="auto"/>
              </w:divBdr>
              <w:divsChild>
                <w:div w:id="219363809">
                  <w:marLeft w:val="0"/>
                  <w:marRight w:val="0"/>
                  <w:marTop w:val="0"/>
                  <w:marBottom w:val="0"/>
                  <w:divBdr>
                    <w:top w:val="none" w:sz="0" w:space="0" w:color="auto"/>
                    <w:left w:val="none" w:sz="0" w:space="0" w:color="auto"/>
                    <w:bottom w:val="none" w:sz="0" w:space="0" w:color="auto"/>
                    <w:right w:val="none" w:sz="0" w:space="0" w:color="auto"/>
                  </w:divBdr>
                </w:div>
                <w:div w:id="166481660">
                  <w:marLeft w:val="0"/>
                  <w:marRight w:val="0"/>
                  <w:marTop w:val="0"/>
                  <w:marBottom w:val="0"/>
                  <w:divBdr>
                    <w:top w:val="none" w:sz="0" w:space="0" w:color="auto"/>
                    <w:left w:val="none" w:sz="0" w:space="0" w:color="auto"/>
                    <w:bottom w:val="none" w:sz="0" w:space="0" w:color="auto"/>
                    <w:right w:val="none" w:sz="0" w:space="0" w:color="auto"/>
                  </w:divBdr>
                </w:div>
              </w:divsChild>
            </w:div>
            <w:div w:id="531040437">
              <w:marLeft w:val="0"/>
              <w:marRight w:val="0"/>
              <w:marTop w:val="0"/>
              <w:marBottom w:val="0"/>
              <w:divBdr>
                <w:top w:val="none" w:sz="0" w:space="0" w:color="auto"/>
                <w:left w:val="none" w:sz="0" w:space="0" w:color="auto"/>
                <w:bottom w:val="none" w:sz="0" w:space="0" w:color="auto"/>
                <w:right w:val="none" w:sz="0" w:space="0" w:color="auto"/>
              </w:divBdr>
              <w:divsChild>
                <w:div w:id="1994605803">
                  <w:marLeft w:val="0"/>
                  <w:marRight w:val="0"/>
                  <w:marTop w:val="0"/>
                  <w:marBottom w:val="0"/>
                  <w:divBdr>
                    <w:top w:val="none" w:sz="0" w:space="0" w:color="auto"/>
                    <w:left w:val="none" w:sz="0" w:space="0" w:color="auto"/>
                    <w:bottom w:val="none" w:sz="0" w:space="0" w:color="auto"/>
                    <w:right w:val="none" w:sz="0" w:space="0" w:color="auto"/>
                  </w:divBdr>
                </w:div>
                <w:div w:id="162163954">
                  <w:marLeft w:val="0"/>
                  <w:marRight w:val="0"/>
                  <w:marTop w:val="0"/>
                  <w:marBottom w:val="0"/>
                  <w:divBdr>
                    <w:top w:val="none" w:sz="0" w:space="0" w:color="auto"/>
                    <w:left w:val="none" w:sz="0" w:space="0" w:color="auto"/>
                    <w:bottom w:val="none" w:sz="0" w:space="0" w:color="auto"/>
                    <w:right w:val="none" w:sz="0" w:space="0" w:color="auto"/>
                  </w:divBdr>
                </w:div>
                <w:div w:id="565527214">
                  <w:marLeft w:val="0"/>
                  <w:marRight w:val="0"/>
                  <w:marTop w:val="0"/>
                  <w:marBottom w:val="0"/>
                  <w:divBdr>
                    <w:top w:val="none" w:sz="0" w:space="0" w:color="auto"/>
                    <w:left w:val="none" w:sz="0" w:space="0" w:color="auto"/>
                    <w:bottom w:val="none" w:sz="0" w:space="0" w:color="auto"/>
                    <w:right w:val="none" w:sz="0" w:space="0" w:color="auto"/>
                  </w:divBdr>
                </w:div>
                <w:div w:id="550581342">
                  <w:marLeft w:val="0"/>
                  <w:marRight w:val="0"/>
                  <w:marTop w:val="0"/>
                  <w:marBottom w:val="0"/>
                  <w:divBdr>
                    <w:top w:val="none" w:sz="0" w:space="0" w:color="auto"/>
                    <w:left w:val="none" w:sz="0" w:space="0" w:color="auto"/>
                    <w:bottom w:val="none" w:sz="0" w:space="0" w:color="auto"/>
                    <w:right w:val="none" w:sz="0" w:space="0" w:color="auto"/>
                  </w:divBdr>
                </w:div>
                <w:div w:id="9917196">
                  <w:marLeft w:val="0"/>
                  <w:marRight w:val="0"/>
                  <w:marTop w:val="0"/>
                  <w:marBottom w:val="0"/>
                  <w:divBdr>
                    <w:top w:val="none" w:sz="0" w:space="0" w:color="auto"/>
                    <w:left w:val="none" w:sz="0" w:space="0" w:color="auto"/>
                    <w:bottom w:val="none" w:sz="0" w:space="0" w:color="auto"/>
                    <w:right w:val="none" w:sz="0" w:space="0" w:color="auto"/>
                  </w:divBdr>
                </w:div>
                <w:div w:id="594437588">
                  <w:marLeft w:val="0"/>
                  <w:marRight w:val="0"/>
                  <w:marTop w:val="0"/>
                  <w:marBottom w:val="0"/>
                  <w:divBdr>
                    <w:top w:val="none" w:sz="0" w:space="0" w:color="auto"/>
                    <w:left w:val="none" w:sz="0" w:space="0" w:color="auto"/>
                    <w:bottom w:val="none" w:sz="0" w:space="0" w:color="auto"/>
                    <w:right w:val="none" w:sz="0" w:space="0" w:color="auto"/>
                  </w:divBdr>
                </w:div>
              </w:divsChild>
            </w:div>
            <w:div w:id="1924028849">
              <w:marLeft w:val="0"/>
              <w:marRight w:val="0"/>
              <w:marTop w:val="0"/>
              <w:marBottom w:val="0"/>
              <w:divBdr>
                <w:top w:val="none" w:sz="0" w:space="0" w:color="auto"/>
                <w:left w:val="none" w:sz="0" w:space="0" w:color="auto"/>
                <w:bottom w:val="none" w:sz="0" w:space="0" w:color="auto"/>
                <w:right w:val="none" w:sz="0" w:space="0" w:color="auto"/>
              </w:divBdr>
              <w:divsChild>
                <w:div w:id="344019476">
                  <w:marLeft w:val="0"/>
                  <w:marRight w:val="0"/>
                  <w:marTop w:val="0"/>
                  <w:marBottom w:val="0"/>
                  <w:divBdr>
                    <w:top w:val="none" w:sz="0" w:space="0" w:color="auto"/>
                    <w:left w:val="none" w:sz="0" w:space="0" w:color="auto"/>
                    <w:bottom w:val="none" w:sz="0" w:space="0" w:color="auto"/>
                    <w:right w:val="none" w:sz="0" w:space="0" w:color="auto"/>
                  </w:divBdr>
                </w:div>
              </w:divsChild>
            </w:div>
            <w:div w:id="1801066674">
              <w:marLeft w:val="0"/>
              <w:marRight w:val="0"/>
              <w:marTop w:val="0"/>
              <w:marBottom w:val="0"/>
              <w:divBdr>
                <w:top w:val="none" w:sz="0" w:space="0" w:color="auto"/>
                <w:left w:val="none" w:sz="0" w:space="0" w:color="auto"/>
                <w:bottom w:val="none" w:sz="0" w:space="0" w:color="auto"/>
                <w:right w:val="none" w:sz="0" w:space="0" w:color="auto"/>
              </w:divBdr>
              <w:divsChild>
                <w:div w:id="2104182379">
                  <w:marLeft w:val="0"/>
                  <w:marRight w:val="0"/>
                  <w:marTop w:val="0"/>
                  <w:marBottom w:val="0"/>
                  <w:divBdr>
                    <w:top w:val="none" w:sz="0" w:space="0" w:color="auto"/>
                    <w:left w:val="none" w:sz="0" w:space="0" w:color="auto"/>
                    <w:bottom w:val="none" w:sz="0" w:space="0" w:color="auto"/>
                    <w:right w:val="none" w:sz="0" w:space="0" w:color="auto"/>
                  </w:divBdr>
                </w:div>
                <w:div w:id="429738243">
                  <w:marLeft w:val="0"/>
                  <w:marRight w:val="0"/>
                  <w:marTop w:val="0"/>
                  <w:marBottom w:val="0"/>
                  <w:divBdr>
                    <w:top w:val="none" w:sz="0" w:space="0" w:color="auto"/>
                    <w:left w:val="none" w:sz="0" w:space="0" w:color="auto"/>
                    <w:bottom w:val="none" w:sz="0" w:space="0" w:color="auto"/>
                    <w:right w:val="none" w:sz="0" w:space="0" w:color="auto"/>
                  </w:divBdr>
                </w:div>
                <w:div w:id="528034263">
                  <w:marLeft w:val="0"/>
                  <w:marRight w:val="0"/>
                  <w:marTop w:val="0"/>
                  <w:marBottom w:val="0"/>
                  <w:divBdr>
                    <w:top w:val="none" w:sz="0" w:space="0" w:color="auto"/>
                    <w:left w:val="none" w:sz="0" w:space="0" w:color="auto"/>
                    <w:bottom w:val="none" w:sz="0" w:space="0" w:color="auto"/>
                    <w:right w:val="none" w:sz="0" w:space="0" w:color="auto"/>
                  </w:divBdr>
                </w:div>
                <w:div w:id="629096461">
                  <w:marLeft w:val="0"/>
                  <w:marRight w:val="0"/>
                  <w:marTop w:val="0"/>
                  <w:marBottom w:val="0"/>
                  <w:divBdr>
                    <w:top w:val="none" w:sz="0" w:space="0" w:color="auto"/>
                    <w:left w:val="none" w:sz="0" w:space="0" w:color="auto"/>
                    <w:bottom w:val="none" w:sz="0" w:space="0" w:color="auto"/>
                    <w:right w:val="none" w:sz="0" w:space="0" w:color="auto"/>
                  </w:divBdr>
                </w:div>
                <w:div w:id="1445731706">
                  <w:marLeft w:val="0"/>
                  <w:marRight w:val="0"/>
                  <w:marTop w:val="0"/>
                  <w:marBottom w:val="0"/>
                  <w:divBdr>
                    <w:top w:val="none" w:sz="0" w:space="0" w:color="auto"/>
                    <w:left w:val="none" w:sz="0" w:space="0" w:color="auto"/>
                    <w:bottom w:val="none" w:sz="0" w:space="0" w:color="auto"/>
                    <w:right w:val="none" w:sz="0" w:space="0" w:color="auto"/>
                  </w:divBdr>
                </w:div>
              </w:divsChild>
            </w:div>
            <w:div w:id="478036507">
              <w:marLeft w:val="0"/>
              <w:marRight w:val="0"/>
              <w:marTop w:val="0"/>
              <w:marBottom w:val="0"/>
              <w:divBdr>
                <w:top w:val="none" w:sz="0" w:space="0" w:color="auto"/>
                <w:left w:val="none" w:sz="0" w:space="0" w:color="auto"/>
                <w:bottom w:val="none" w:sz="0" w:space="0" w:color="auto"/>
                <w:right w:val="none" w:sz="0" w:space="0" w:color="auto"/>
              </w:divBdr>
              <w:divsChild>
                <w:div w:id="1866093336">
                  <w:marLeft w:val="0"/>
                  <w:marRight w:val="0"/>
                  <w:marTop w:val="0"/>
                  <w:marBottom w:val="0"/>
                  <w:divBdr>
                    <w:top w:val="none" w:sz="0" w:space="0" w:color="auto"/>
                    <w:left w:val="none" w:sz="0" w:space="0" w:color="auto"/>
                    <w:bottom w:val="none" w:sz="0" w:space="0" w:color="auto"/>
                    <w:right w:val="none" w:sz="0" w:space="0" w:color="auto"/>
                  </w:divBdr>
                </w:div>
                <w:div w:id="1652054000">
                  <w:marLeft w:val="0"/>
                  <w:marRight w:val="0"/>
                  <w:marTop w:val="0"/>
                  <w:marBottom w:val="0"/>
                  <w:divBdr>
                    <w:top w:val="none" w:sz="0" w:space="0" w:color="auto"/>
                    <w:left w:val="none" w:sz="0" w:space="0" w:color="auto"/>
                    <w:bottom w:val="none" w:sz="0" w:space="0" w:color="auto"/>
                    <w:right w:val="none" w:sz="0" w:space="0" w:color="auto"/>
                  </w:divBdr>
                </w:div>
                <w:div w:id="699935301">
                  <w:marLeft w:val="0"/>
                  <w:marRight w:val="0"/>
                  <w:marTop w:val="0"/>
                  <w:marBottom w:val="0"/>
                  <w:divBdr>
                    <w:top w:val="none" w:sz="0" w:space="0" w:color="auto"/>
                    <w:left w:val="none" w:sz="0" w:space="0" w:color="auto"/>
                    <w:bottom w:val="none" w:sz="0" w:space="0" w:color="auto"/>
                    <w:right w:val="none" w:sz="0" w:space="0" w:color="auto"/>
                  </w:divBdr>
                </w:div>
                <w:div w:id="509488798">
                  <w:marLeft w:val="0"/>
                  <w:marRight w:val="0"/>
                  <w:marTop w:val="0"/>
                  <w:marBottom w:val="0"/>
                  <w:divBdr>
                    <w:top w:val="none" w:sz="0" w:space="0" w:color="auto"/>
                    <w:left w:val="none" w:sz="0" w:space="0" w:color="auto"/>
                    <w:bottom w:val="none" w:sz="0" w:space="0" w:color="auto"/>
                    <w:right w:val="none" w:sz="0" w:space="0" w:color="auto"/>
                  </w:divBdr>
                </w:div>
                <w:div w:id="1736049972">
                  <w:marLeft w:val="0"/>
                  <w:marRight w:val="0"/>
                  <w:marTop w:val="0"/>
                  <w:marBottom w:val="0"/>
                  <w:divBdr>
                    <w:top w:val="none" w:sz="0" w:space="0" w:color="auto"/>
                    <w:left w:val="none" w:sz="0" w:space="0" w:color="auto"/>
                    <w:bottom w:val="none" w:sz="0" w:space="0" w:color="auto"/>
                    <w:right w:val="none" w:sz="0" w:space="0" w:color="auto"/>
                  </w:divBdr>
                </w:div>
                <w:div w:id="905260872">
                  <w:marLeft w:val="0"/>
                  <w:marRight w:val="0"/>
                  <w:marTop w:val="0"/>
                  <w:marBottom w:val="0"/>
                  <w:divBdr>
                    <w:top w:val="none" w:sz="0" w:space="0" w:color="auto"/>
                    <w:left w:val="none" w:sz="0" w:space="0" w:color="auto"/>
                    <w:bottom w:val="none" w:sz="0" w:space="0" w:color="auto"/>
                    <w:right w:val="none" w:sz="0" w:space="0" w:color="auto"/>
                  </w:divBdr>
                </w:div>
                <w:div w:id="58289774">
                  <w:marLeft w:val="0"/>
                  <w:marRight w:val="0"/>
                  <w:marTop w:val="0"/>
                  <w:marBottom w:val="0"/>
                  <w:divBdr>
                    <w:top w:val="none" w:sz="0" w:space="0" w:color="auto"/>
                    <w:left w:val="none" w:sz="0" w:space="0" w:color="auto"/>
                    <w:bottom w:val="none" w:sz="0" w:space="0" w:color="auto"/>
                    <w:right w:val="none" w:sz="0" w:space="0" w:color="auto"/>
                  </w:divBdr>
                </w:div>
              </w:divsChild>
            </w:div>
            <w:div w:id="295334742">
              <w:marLeft w:val="0"/>
              <w:marRight w:val="0"/>
              <w:marTop w:val="0"/>
              <w:marBottom w:val="0"/>
              <w:divBdr>
                <w:top w:val="none" w:sz="0" w:space="0" w:color="auto"/>
                <w:left w:val="none" w:sz="0" w:space="0" w:color="auto"/>
                <w:bottom w:val="none" w:sz="0" w:space="0" w:color="auto"/>
                <w:right w:val="none" w:sz="0" w:space="0" w:color="auto"/>
              </w:divBdr>
              <w:divsChild>
                <w:div w:id="458836170">
                  <w:marLeft w:val="0"/>
                  <w:marRight w:val="0"/>
                  <w:marTop w:val="0"/>
                  <w:marBottom w:val="0"/>
                  <w:divBdr>
                    <w:top w:val="none" w:sz="0" w:space="0" w:color="auto"/>
                    <w:left w:val="none" w:sz="0" w:space="0" w:color="auto"/>
                    <w:bottom w:val="none" w:sz="0" w:space="0" w:color="auto"/>
                    <w:right w:val="none" w:sz="0" w:space="0" w:color="auto"/>
                  </w:divBdr>
                </w:div>
              </w:divsChild>
            </w:div>
            <w:div w:id="1757895946">
              <w:marLeft w:val="0"/>
              <w:marRight w:val="0"/>
              <w:marTop w:val="0"/>
              <w:marBottom w:val="0"/>
              <w:divBdr>
                <w:top w:val="none" w:sz="0" w:space="0" w:color="auto"/>
                <w:left w:val="none" w:sz="0" w:space="0" w:color="auto"/>
                <w:bottom w:val="none" w:sz="0" w:space="0" w:color="auto"/>
                <w:right w:val="none" w:sz="0" w:space="0" w:color="auto"/>
              </w:divBdr>
              <w:divsChild>
                <w:div w:id="1179737145">
                  <w:marLeft w:val="0"/>
                  <w:marRight w:val="0"/>
                  <w:marTop w:val="0"/>
                  <w:marBottom w:val="0"/>
                  <w:divBdr>
                    <w:top w:val="none" w:sz="0" w:space="0" w:color="auto"/>
                    <w:left w:val="none" w:sz="0" w:space="0" w:color="auto"/>
                    <w:bottom w:val="none" w:sz="0" w:space="0" w:color="auto"/>
                    <w:right w:val="none" w:sz="0" w:space="0" w:color="auto"/>
                  </w:divBdr>
                </w:div>
                <w:div w:id="542139128">
                  <w:marLeft w:val="0"/>
                  <w:marRight w:val="0"/>
                  <w:marTop w:val="0"/>
                  <w:marBottom w:val="0"/>
                  <w:divBdr>
                    <w:top w:val="none" w:sz="0" w:space="0" w:color="auto"/>
                    <w:left w:val="none" w:sz="0" w:space="0" w:color="auto"/>
                    <w:bottom w:val="none" w:sz="0" w:space="0" w:color="auto"/>
                    <w:right w:val="none" w:sz="0" w:space="0" w:color="auto"/>
                  </w:divBdr>
                </w:div>
              </w:divsChild>
            </w:div>
            <w:div w:id="1626689845">
              <w:marLeft w:val="0"/>
              <w:marRight w:val="0"/>
              <w:marTop w:val="0"/>
              <w:marBottom w:val="0"/>
              <w:divBdr>
                <w:top w:val="none" w:sz="0" w:space="0" w:color="auto"/>
                <w:left w:val="none" w:sz="0" w:space="0" w:color="auto"/>
                <w:bottom w:val="none" w:sz="0" w:space="0" w:color="auto"/>
                <w:right w:val="none" w:sz="0" w:space="0" w:color="auto"/>
              </w:divBdr>
              <w:divsChild>
                <w:div w:id="1606385568">
                  <w:marLeft w:val="0"/>
                  <w:marRight w:val="0"/>
                  <w:marTop w:val="0"/>
                  <w:marBottom w:val="0"/>
                  <w:divBdr>
                    <w:top w:val="none" w:sz="0" w:space="0" w:color="auto"/>
                    <w:left w:val="none" w:sz="0" w:space="0" w:color="auto"/>
                    <w:bottom w:val="none" w:sz="0" w:space="0" w:color="auto"/>
                    <w:right w:val="none" w:sz="0" w:space="0" w:color="auto"/>
                  </w:divBdr>
                </w:div>
                <w:div w:id="1304962234">
                  <w:marLeft w:val="0"/>
                  <w:marRight w:val="0"/>
                  <w:marTop w:val="0"/>
                  <w:marBottom w:val="0"/>
                  <w:divBdr>
                    <w:top w:val="none" w:sz="0" w:space="0" w:color="auto"/>
                    <w:left w:val="none" w:sz="0" w:space="0" w:color="auto"/>
                    <w:bottom w:val="none" w:sz="0" w:space="0" w:color="auto"/>
                    <w:right w:val="none" w:sz="0" w:space="0" w:color="auto"/>
                  </w:divBdr>
                </w:div>
                <w:div w:id="198397816">
                  <w:marLeft w:val="0"/>
                  <w:marRight w:val="0"/>
                  <w:marTop w:val="0"/>
                  <w:marBottom w:val="0"/>
                  <w:divBdr>
                    <w:top w:val="none" w:sz="0" w:space="0" w:color="auto"/>
                    <w:left w:val="none" w:sz="0" w:space="0" w:color="auto"/>
                    <w:bottom w:val="none" w:sz="0" w:space="0" w:color="auto"/>
                    <w:right w:val="none" w:sz="0" w:space="0" w:color="auto"/>
                  </w:divBdr>
                </w:div>
                <w:div w:id="1252396042">
                  <w:marLeft w:val="0"/>
                  <w:marRight w:val="0"/>
                  <w:marTop w:val="0"/>
                  <w:marBottom w:val="0"/>
                  <w:divBdr>
                    <w:top w:val="none" w:sz="0" w:space="0" w:color="auto"/>
                    <w:left w:val="none" w:sz="0" w:space="0" w:color="auto"/>
                    <w:bottom w:val="none" w:sz="0" w:space="0" w:color="auto"/>
                    <w:right w:val="none" w:sz="0" w:space="0" w:color="auto"/>
                  </w:divBdr>
                </w:div>
                <w:div w:id="1545018736">
                  <w:marLeft w:val="0"/>
                  <w:marRight w:val="0"/>
                  <w:marTop w:val="0"/>
                  <w:marBottom w:val="0"/>
                  <w:divBdr>
                    <w:top w:val="none" w:sz="0" w:space="0" w:color="auto"/>
                    <w:left w:val="none" w:sz="0" w:space="0" w:color="auto"/>
                    <w:bottom w:val="none" w:sz="0" w:space="0" w:color="auto"/>
                    <w:right w:val="none" w:sz="0" w:space="0" w:color="auto"/>
                  </w:divBdr>
                </w:div>
              </w:divsChild>
            </w:div>
            <w:div w:id="447699230">
              <w:marLeft w:val="0"/>
              <w:marRight w:val="0"/>
              <w:marTop w:val="0"/>
              <w:marBottom w:val="0"/>
              <w:divBdr>
                <w:top w:val="none" w:sz="0" w:space="0" w:color="auto"/>
                <w:left w:val="none" w:sz="0" w:space="0" w:color="auto"/>
                <w:bottom w:val="none" w:sz="0" w:space="0" w:color="auto"/>
                <w:right w:val="none" w:sz="0" w:space="0" w:color="auto"/>
              </w:divBdr>
              <w:divsChild>
                <w:div w:id="1834447103">
                  <w:marLeft w:val="0"/>
                  <w:marRight w:val="0"/>
                  <w:marTop w:val="0"/>
                  <w:marBottom w:val="0"/>
                  <w:divBdr>
                    <w:top w:val="none" w:sz="0" w:space="0" w:color="auto"/>
                    <w:left w:val="none" w:sz="0" w:space="0" w:color="auto"/>
                    <w:bottom w:val="none" w:sz="0" w:space="0" w:color="auto"/>
                    <w:right w:val="none" w:sz="0" w:space="0" w:color="auto"/>
                  </w:divBdr>
                </w:div>
              </w:divsChild>
            </w:div>
            <w:div w:id="1976987931">
              <w:marLeft w:val="0"/>
              <w:marRight w:val="0"/>
              <w:marTop w:val="0"/>
              <w:marBottom w:val="0"/>
              <w:divBdr>
                <w:top w:val="none" w:sz="0" w:space="0" w:color="auto"/>
                <w:left w:val="none" w:sz="0" w:space="0" w:color="auto"/>
                <w:bottom w:val="none" w:sz="0" w:space="0" w:color="auto"/>
                <w:right w:val="none" w:sz="0" w:space="0" w:color="auto"/>
              </w:divBdr>
              <w:divsChild>
                <w:div w:id="2110469661">
                  <w:marLeft w:val="0"/>
                  <w:marRight w:val="0"/>
                  <w:marTop w:val="0"/>
                  <w:marBottom w:val="0"/>
                  <w:divBdr>
                    <w:top w:val="none" w:sz="0" w:space="0" w:color="auto"/>
                    <w:left w:val="none" w:sz="0" w:space="0" w:color="auto"/>
                    <w:bottom w:val="none" w:sz="0" w:space="0" w:color="auto"/>
                    <w:right w:val="none" w:sz="0" w:space="0" w:color="auto"/>
                  </w:divBdr>
                </w:div>
                <w:div w:id="322123233">
                  <w:marLeft w:val="0"/>
                  <w:marRight w:val="0"/>
                  <w:marTop w:val="0"/>
                  <w:marBottom w:val="0"/>
                  <w:divBdr>
                    <w:top w:val="none" w:sz="0" w:space="0" w:color="auto"/>
                    <w:left w:val="none" w:sz="0" w:space="0" w:color="auto"/>
                    <w:bottom w:val="none" w:sz="0" w:space="0" w:color="auto"/>
                    <w:right w:val="none" w:sz="0" w:space="0" w:color="auto"/>
                  </w:divBdr>
                </w:div>
                <w:div w:id="388917410">
                  <w:marLeft w:val="0"/>
                  <w:marRight w:val="0"/>
                  <w:marTop w:val="0"/>
                  <w:marBottom w:val="0"/>
                  <w:divBdr>
                    <w:top w:val="none" w:sz="0" w:space="0" w:color="auto"/>
                    <w:left w:val="none" w:sz="0" w:space="0" w:color="auto"/>
                    <w:bottom w:val="none" w:sz="0" w:space="0" w:color="auto"/>
                    <w:right w:val="none" w:sz="0" w:space="0" w:color="auto"/>
                  </w:divBdr>
                </w:div>
                <w:div w:id="1072893484">
                  <w:marLeft w:val="0"/>
                  <w:marRight w:val="0"/>
                  <w:marTop w:val="0"/>
                  <w:marBottom w:val="0"/>
                  <w:divBdr>
                    <w:top w:val="none" w:sz="0" w:space="0" w:color="auto"/>
                    <w:left w:val="none" w:sz="0" w:space="0" w:color="auto"/>
                    <w:bottom w:val="none" w:sz="0" w:space="0" w:color="auto"/>
                    <w:right w:val="none" w:sz="0" w:space="0" w:color="auto"/>
                  </w:divBdr>
                </w:div>
                <w:div w:id="1156192475">
                  <w:marLeft w:val="0"/>
                  <w:marRight w:val="0"/>
                  <w:marTop w:val="0"/>
                  <w:marBottom w:val="0"/>
                  <w:divBdr>
                    <w:top w:val="none" w:sz="0" w:space="0" w:color="auto"/>
                    <w:left w:val="none" w:sz="0" w:space="0" w:color="auto"/>
                    <w:bottom w:val="none" w:sz="0" w:space="0" w:color="auto"/>
                    <w:right w:val="none" w:sz="0" w:space="0" w:color="auto"/>
                  </w:divBdr>
                </w:div>
                <w:div w:id="120348229">
                  <w:marLeft w:val="0"/>
                  <w:marRight w:val="0"/>
                  <w:marTop w:val="0"/>
                  <w:marBottom w:val="0"/>
                  <w:divBdr>
                    <w:top w:val="none" w:sz="0" w:space="0" w:color="auto"/>
                    <w:left w:val="none" w:sz="0" w:space="0" w:color="auto"/>
                    <w:bottom w:val="none" w:sz="0" w:space="0" w:color="auto"/>
                    <w:right w:val="none" w:sz="0" w:space="0" w:color="auto"/>
                  </w:divBdr>
                </w:div>
                <w:div w:id="574051433">
                  <w:marLeft w:val="0"/>
                  <w:marRight w:val="0"/>
                  <w:marTop w:val="0"/>
                  <w:marBottom w:val="0"/>
                  <w:divBdr>
                    <w:top w:val="none" w:sz="0" w:space="0" w:color="auto"/>
                    <w:left w:val="none" w:sz="0" w:space="0" w:color="auto"/>
                    <w:bottom w:val="none" w:sz="0" w:space="0" w:color="auto"/>
                    <w:right w:val="none" w:sz="0" w:space="0" w:color="auto"/>
                  </w:divBdr>
                </w:div>
                <w:div w:id="1635017594">
                  <w:marLeft w:val="0"/>
                  <w:marRight w:val="0"/>
                  <w:marTop w:val="0"/>
                  <w:marBottom w:val="0"/>
                  <w:divBdr>
                    <w:top w:val="none" w:sz="0" w:space="0" w:color="auto"/>
                    <w:left w:val="none" w:sz="0" w:space="0" w:color="auto"/>
                    <w:bottom w:val="none" w:sz="0" w:space="0" w:color="auto"/>
                    <w:right w:val="none" w:sz="0" w:space="0" w:color="auto"/>
                  </w:divBdr>
                </w:div>
                <w:div w:id="1651863693">
                  <w:marLeft w:val="0"/>
                  <w:marRight w:val="0"/>
                  <w:marTop w:val="0"/>
                  <w:marBottom w:val="0"/>
                  <w:divBdr>
                    <w:top w:val="none" w:sz="0" w:space="0" w:color="auto"/>
                    <w:left w:val="none" w:sz="0" w:space="0" w:color="auto"/>
                    <w:bottom w:val="none" w:sz="0" w:space="0" w:color="auto"/>
                    <w:right w:val="none" w:sz="0" w:space="0" w:color="auto"/>
                  </w:divBdr>
                </w:div>
                <w:div w:id="156962566">
                  <w:marLeft w:val="0"/>
                  <w:marRight w:val="0"/>
                  <w:marTop w:val="0"/>
                  <w:marBottom w:val="0"/>
                  <w:divBdr>
                    <w:top w:val="none" w:sz="0" w:space="0" w:color="auto"/>
                    <w:left w:val="none" w:sz="0" w:space="0" w:color="auto"/>
                    <w:bottom w:val="none" w:sz="0" w:space="0" w:color="auto"/>
                    <w:right w:val="none" w:sz="0" w:space="0" w:color="auto"/>
                  </w:divBdr>
                </w:div>
              </w:divsChild>
            </w:div>
            <w:div w:id="2063819464">
              <w:marLeft w:val="0"/>
              <w:marRight w:val="0"/>
              <w:marTop w:val="0"/>
              <w:marBottom w:val="0"/>
              <w:divBdr>
                <w:top w:val="none" w:sz="0" w:space="0" w:color="auto"/>
                <w:left w:val="none" w:sz="0" w:space="0" w:color="auto"/>
                <w:bottom w:val="none" w:sz="0" w:space="0" w:color="auto"/>
                <w:right w:val="none" w:sz="0" w:space="0" w:color="auto"/>
              </w:divBdr>
              <w:divsChild>
                <w:div w:id="1079403201">
                  <w:marLeft w:val="0"/>
                  <w:marRight w:val="0"/>
                  <w:marTop w:val="0"/>
                  <w:marBottom w:val="0"/>
                  <w:divBdr>
                    <w:top w:val="none" w:sz="0" w:space="0" w:color="auto"/>
                    <w:left w:val="none" w:sz="0" w:space="0" w:color="auto"/>
                    <w:bottom w:val="none" w:sz="0" w:space="0" w:color="auto"/>
                    <w:right w:val="none" w:sz="0" w:space="0" w:color="auto"/>
                  </w:divBdr>
                </w:div>
                <w:div w:id="487982923">
                  <w:marLeft w:val="0"/>
                  <w:marRight w:val="0"/>
                  <w:marTop w:val="0"/>
                  <w:marBottom w:val="0"/>
                  <w:divBdr>
                    <w:top w:val="none" w:sz="0" w:space="0" w:color="auto"/>
                    <w:left w:val="none" w:sz="0" w:space="0" w:color="auto"/>
                    <w:bottom w:val="none" w:sz="0" w:space="0" w:color="auto"/>
                    <w:right w:val="none" w:sz="0" w:space="0" w:color="auto"/>
                  </w:divBdr>
                </w:div>
                <w:div w:id="1267470501">
                  <w:marLeft w:val="0"/>
                  <w:marRight w:val="0"/>
                  <w:marTop w:val="0"/>
                  <w:marBottom w:val="0"/>
                  <w:divBdr>
                    <w:top w:val="none" w:sz="0" w:space="0" w:color="auto"/>
                    <w:left w:val="none" w:sz="0" w:space="0" w:color="auto"/>
                    <w:bottom w:val="none" w:sz="0" w:space="0" w:color="auto"/>
                    <w:right w:val="none" w:sz="0" w:space="0" w:color="auto"/>
                  </w:divBdr>
                </w:div>
                <w:div w:id="364411449">
                  <w:marLeft w:val="0"/>
                  <w:marRight w:val="0"/>
                  <w:marTop w:val="0"/>
                  <w:marBottom w:val="0"/>
                  <w:divBdr>
                    <w:top w:val="none" w:sz="0" w:space="0" w:color="auto"/>
                    <w:left w:val="none" w:sz="0" w:space="0" w:color="auto"/>
                    <w:bottom w:val="none" w:sz="0" w:space="0" w:color="auto"/>
                    <w:right w:val="none" w:sz="0" w:space="0" w:color="auto"/>
                  </w:divBdr>
                </w:div>
                <w:div w:id="299455620">
                  <w:marLeft w:val="0"/>
                  <w:marRight w:val="0"/>
                  <w:marTop w:val="0"/>
                  <w:marBottom w:val="0"/>
                  <w:divBdr>
                    <w:top w:val="none" w:sz="0" w:space="0" w:color="auto"/>
                    <w:left w:val="none" w:sz="0" w:space="0" w:color="auto"/>
                    <w:bottom w:val="none" w:sz="0" w:space="0" w:color="auto"/>
                    <w:right w:val="none" w:sz="0" w:space="0" w:color="auto"/>
                  </w:divBdr>
                </w:div>
                <w:div w:id="2032024857">
                  <w:marLeft w:val="0"/>
                  <w:marRight w:val="0"/>
                  <w:marTop w:val="0"/>
                  <w:marBottom w:val="0"/>
                  <w:divBdr>
                    <w:top w:val="none" w:sz="0" w:space="0" w:color="auto"/>
                    <w:left w:val="none" w:sz="0" w:space="0" w:color="auto"/>
                    <w:bottom w:val="none" w:sz="0" w:space="0" w:color="auto"/>
                    <w:right w:val="none" w:sz="0" w:space="0" w:color="auto"/>
                  </w:divBdr>
                </w:div>
                <w:div w:id="2020623868">
                  <w:marLeft w:val="0"/>
                  <w:marRight w:val="0"/>
                  <w:marTop w:val="0"/>
                  <w:marBottom w:val="0"/>
                  <w:divBdr>
                    <w:top w:val="none" w:sz="0" w:space="0" w:color="auto"/>
                    <w:left w:val="none" w:sz="0" w:space="0" w:color="auto"/>
                    <w:bottom w:val="none" w:sz="0" w:space="0" w:color="auto"/>
                    <w:right w:val="none" w:sz="0" w:space="0" w:color="auto"/>
                  </w:divBdr>
                </w:div>
              </w:divsChild>
            </w:div>
            <w:div w:id="389574101">
              <w:marLeft w:val="0"/>
              <w:marRight w:val="0"/>
              <w:marTop w:val="0"/>
              <w:marBottom w:val="0"/>
              <w:divBdr>
                <w:top w:val="none" w:sz="0" w:space="0" w:color="auto"/>
                <w:left w:val="none" w:sz="0" w:space="0" w:color="auto"/>
                <w:bottom w:val="none" w:sz="0" w:space="0" w:color="auto"/>
                <w:right w:val="none" w:sz="0" w:space="0" w:color="auto"/>
              </w:divBdr>
              <w:divsChild>
                <w:div w:id="1127889241">
                  <w:marLeft w:val="0"/>
                  <w:marRight w:val="0"/>
                  <w:marTop w:val="0"/>
                  <w:marBottom w:val="0"/>
                  <w:divBdr>
                    <w:top w:val="none" w:sz="0" w:space="0" w:color="auto"/>
                    <w:left w:val="none" w:sz="0" w:space="0" w:color="auto"/>
                    <w:bottom w:val="none" w:sz="0" w:space="0" w:color="auto"/>
                    <w:right w:val="none" w:sz="0" w:space="0" w:color="auto"/>
                  </w:divBdr>
                </w:div>
              </w:divsChild>
            </w:div>
            <w:div w:id="2145997723">
              <w:marLeft w:val="0"/>
              <w:marRight w:val="0"/>
              <w:marTop w:val="0"/>
              <w:marBottom w:val="0"/>
              <w:divBdr>
                <w:top w:val="none" w:sz="0" w:space="0" w:color="auto"/>
                <w:left w:val="none" w:sz="0" w:space="0" w:color="auto"/>
                <w:bottom w:val="none" w:sz="0" w:space="0" w:color="auto"/>
                <w:right w:val="none" w:sz="0" w:space="0" w:color="auto"/>
              </w:divBdr>
              <w:divsChild>
                <w:div w:id="721750461">
                  <w:marLeft w:val="0"/>
                  <w:marRight w:val="0"/>
                  <w:marTop w:val="0"/>
                  <w:marBottom w:val="0"/>
                  <w:divBdr>
                    <w:top w:val="none" w:sz="0" w:space="0" w:color="auto"/>
                    <w:left w:val="none" w:sz="0" w:space="0" w:color="auto"/>
                    <w:bottom w:val="none" w:sz="0" w:space="0" w:color="auto"/>
                    <w:right w:val="none" w:sz="0" w:space="0" w:color="auto"/>
                  </w:divBdr>
                </w:div>
                <w:div w:id="767771786">
                  <w:marLeft w:val="0"/>
                  <w:marRight w:val="0"/>
                  <w:marTop w:val="0"/>
                  <w:marBottom w:val="0"/>
                  <w:divBdr>
                    <w:top w:val="none" w:sz="0" w:space="0" w:color="auto"/>
                    <w:left w:val="none" w:sz="0" w:space="0" w:color="auto"/>
                    <w:bottom w:val="none" w:sz="0" w:space="0" w:color="auto"/>
                    <w:right w:val="none" w:sz="0" w:space="0" w:color="auto"/>
                  </w:divBdr>
                </w:div>
                <w:div w:id="280888075">
                  <w:marLeft w:val="0"/>
                  <w:marRight w:val="0"/>
                  <w:marTop w:val="0"/>
                  <w:marBottom w:val="0"/>
                  <w:divBdr>
                    <w:top w:val="none" w:sz="0" w:space="0" w:color="auto"/>
                    <w:left w:val="none" w:sz="0" w:space="0" w:color="auto"/>
                    <w:bottom w:val="none" w:sz="0" w:space="0" w:color="auto"/>
                    <w:right w:val="none" w:sz="0" w:space="0" w:color="auto"/>
                  </w:divBdr>
                </w:div>
                <w:div w:id="856845069">
                  <w:marLeft w:val="0"/>
                  <w:marRight w:val="0"/>
                  <w:marTop w:val="0"/>
                  <w:marBottom w:val="0"/>
                  <w:divBdr>
                    <w:top w:val="none" w:sz="0" w:space="0" w:color="auto"/>
                    <w:left w:val="none" w:sz="0" w:space="0" w:color="auto"/>
                    <w:bottom w:val="none" w:sz="0" w:space="0" w:color="auto"/>
                    <w:right w:val="none" w:sz="0" w:space="0" w:color="auto"/>
                  </w:divBdr>
                </w:div>
              </w:divsChild>
            </w:div>
            <w:div w:id="806704793">
              <w:marLeft w:val="0"/>
              <w:marRight w:val="0"/>
              <w:marTop w:val="0"/>
              <w:marBottom w:val="0"/>
              <w:divBdr>
                <w:top w:val="none" w:sz="0" w:space="0" w:color="auto"/>
                <w:left w:val="none" w:sz="0" w:space="0" w:color="auto"/>
                <w:bottom w:val="none" w:sz="0" w:space="0" w:color="auto"/>
                <w:right w:val="none" w:sz="0" w:space="0" w:color="auto"/>
              </w:divBdr>
              <w:divsChild>
                <w:div w:id="2106680600">
                  <w:marLeft w:val="0"/>
                  <w:marRight w:val="0"/>
                  <w:marTop w:val="0"/>
                  <w:marBottom w:val="0"/>
                  <w:divBdr>
                    <w:top w:val="none" w:sz="0" w:space="0" w:color="auto"/>
                    <w:left w:val="none" w:sz="0" w:space="0" w:color="auto"/>
                    <w:bottom w:val="none" w:sz="0" w:space="0" w:color="auto"/>
                    <w:right w:val="none" w:sz="0" w:space="0" w:color="auto"/>
                  </w:divBdr>
                </w:div>
                <w:div w:id="2047174801">
                  <w:marLeft w:val="0"/>
                  <w:marRight w:val="0"/>
                  <w:marTop w:val="0"/>
                  <w:marBottom w:val="0"/>
                  <w:divBdr>
                    <w:top w:val="none" w:sz="0" w:space="0" w:color="auto"/>
                    <w:left w:val="none" w:sz="0" w:space="0" w:color="auto"/>
                    <w:bottom w:val="none" w:sz="0" w:space="0" w:color="auto"/>
                    <w:right w:val="none" w:sz="0" w:space="0" w:color="auto"/>
                  </w:divBdr>
                </w:div>
                <w:div w:id="506747039">
                  <w:marLeft w:val="0"/>
                  <w:marRight w:val="0"/>
                  <w:marTop w:val="0"/>
                  <w:marBottom w:val="0"/>
                  <w:divBdr>
                    <w:top w:val="none" w:sz="0" w:space="0" w:color="auto"/>
                    <w:left w:val="none" w:sz="0" w:space="0" w:color="auto"/>
                    <w:bottom w:val="none" w:sz="0" w:space="0" w:color="auto"/>
                    <w:right w:val="none" w:sz="0" w:space="0" w:color="auto"/>
                  </w:divBdr>
                </w:div>
                <w:div w:id="2027906257">
                  <w:marLeft w:val="0"/>
                  <w:marRight w:val="0"/>
                  <w:marTop w:val="0"/>
                  <w:marBottom w:val="0"/>
                  <w:divBdr>
                    <w:top w:val="none" w:sz="0" w:space="0" w:color="auto"/>
                    <w:left w:val="none" w:sz="0" w:space="0" w:color="auto"/>
                    <w:bottom w:val="none" w:sz="0" w:space="0" w:color="auto"/>
                    <w:right w:val="none" w:sz="0" w:space="0" w:color="auto"/>
                  </w:divBdr>
                </w:div>
                <w:div w:id="1027832957">
                  <w:marLeft w:val="0"/>
                  <w:marRight w:val="0"/>
                  <w:marTop w:val="0"/>
                  <w:marBottom w:val="0"/>
                  <w:divBdr>
                    <w:top w:val="none" w:sz="0" w:space="0" w:color="auto"/>
                    <w:left w:val="none" w:sz="0" w:space="0" w:color="auto"/>
                    <w:bottom w:val="none" w:sz="0" w:space="0" w:color="auto"/>
                    <w:right w:val="none" w:sz="0" w:space="0" w:color="auto"/>
                  </w:divBdr>
                </w:div>
                <w:div w:id="1948153456">
                  <w:marLeft w:val="0"/>
                  <w:marRight w:val="0"/>
                  <w:marTop w:val="0"/>
                  <w:marBottom w:val="0"/>
                  <w:divBdr>
                    <w:top w:val="none" w:sz="0" w:space="0" w:color="auto"/>
                    <w:left w:val="none" w:sz="0" w:space="0" w:color="auto"/>
                    <w:bottom w:val="none" w:sz="0" w:space="0" w:color="auto"/>
                    <w:right w:val="none" w:sz="0" w:space="0" w:color="auto"/>
                  </w:divBdr>
                </w:div>
                <w:div w:id="1632398972">
                  <w:marLeft w:val="0"/>
                  <w:marRight w:val="0"/>
                  <w:marTop w:val="0"/>
                  <w:marBottom w:val="0"/>
                  <w:divBdr>
                    <w:top w:val="none" w:sz="0" w:space="0" w:color="auto"/>
                    <w:left w:val="none" w:sz="0" w:space="0" w:color="auto"/>
                    <w:bottom w:val="none" w:sz="0" w:space="0" w:color="auto"/>
                    <w:right w:val="none" w:sz="0" w:space="0" w:color="auto"/>
                  </w:divBdr>
                </w:div>
              </w:divsChild>
            </w:div>
            <w:div w:id="1576621201">
              <w:marLeft w:val="0"/>
              <w:marRight w:val="0"/>
              <w:marTop w:val="0"/>
              <w:marBottom w:val="0"/>
              <w:divBdr>
                <w:top w:val="none" w:sz="0" w:space="0" w:color="auto"/>
                <w:left w:val="none" w:sz="0" w:space="0" w:color="auto"/>
                <w:bottom w:val="none" w:sz="0" w:space="0" w:color="auto"/>
                <w:right w:val="none" w:sz="0" w:space="0" w:color="auto"/>
              </w:divBdr>
              <w:divsChild>
                <w:div w:id="1595505378">
                  <w:marLeft w:val="0"/>
                  <w:marRight w:val="0"/>
                  <w:marTop w:val="0"/>
                  <w:marBottom w:val="0"/>
                  <w:divBdr>
                    <w:top w:val="none" w:sz="0" w:space="0" w:color="auto"/>
                    <w:left w:val="none" w:sz="0" w:space="0" w:color="auto"/>
                    <w:bottom w:val="none" w:sz="0" w:space="0" w:color="auto"/>
                    <w:right w:val="none" w:sz="0" w:space="0" w:color="auto"/>
                  </w:divBdr>
                </w:div>
              </w:divsChild>
            </w:div>
            <w:div w:id="380250518">
              <w:marLeft w:val="0"/>
              <w:marRight w:val="0"/>
              <w:marTop w:val="0"/>
              <w:marBottom w:val="0"/>
              <w:divBdr>
                <w:top w:val="none" w:sz="0" w:space="0" w:color="auto"/>
                <w:left w:val="none" w:sz="0" w:space="0" w:color="auto"/>
                <w:bottom w:val="none" w:sz="0" w:space="0" w:color="auto"/>
                <w:right w:val="none" w:sz="0" w:space="0" w:color="auto"/>
              </w:divBdr>
              <w:divsChild>
                <w:div w:id="1634093156">
                  <w:marLeft w:val="0"/>
                  <w:marRight w:val="0"/>
                  <w:marTop w:val="0"/>
                  <w:marBottom w:val="0"/>
                  <w:divBdr>
                    <w:top w:val="none" w:sz="0" w:space="0" w:color="auto"/>
                    <w:left w:val="none" w:sz="0" w:space="0" w:color="auto"/>
                    <w:bottom w:val="none" w:sz="0" w:space="0" w:color="auto"/>
                    <w:right w:val="none" w:sz="0" w:space="0" w:color="auto"/>
                  </w:divBdr>
                </w:div>
                <w:div w:id="815950956">
                  <w:marLeft w:val="0"/>
                  <w:marRight w:val="0"/>
                  <w:marTop w:val="0"/>
                  <w:marBottom w:val="0"/>
                  <w:divBdr>
                    <w:top w:val="none" w:sz="0" w:space="0" w:color="auto"/>
                    <w:left w:val="none" w:sz="0" w:space="0" w:color="auto"/>
                    <w:bottom w:val="none" w:sz="0" w:space="0" w:color="auto"/>
                    <w:right w:val="none" w:sz="0" w:space="0" w:color="auto"/>
                  </w:divBdr>
                </w:div>
              </w:divsChild>
            </w:div>
            <w:div w:id="1314144942">
              <w:marLeft w:val="0"/>
              <w:marRight w:val="0"/>
              <w:marTop w:val="0"/>
              <w:marBottom w:val="0"/>
              <w:divBdr>
                <w:top w:val="none" w:sz="0" w:space="0" w:color="auto"/>
                <w:left w:val="none" w:sz="0" w:space="0" w:color="auto"/>
                <w:bottom w:val="none" w:sz="0" w:space="0" w:color="auto"/>
                <w:right w:val="none" w:sz="0" w:space="0" w:color="auto"/>
              </w:divBdr>
              <w:divsChild>
                <w:div w:id="1808351067">
                  <w:marLeft w:val="0"/>
                  <w:marRight w:val="0"/>
                  <w:marTop w:val="0"/>
                  <w:marBottom w:val="0"/>
                  <w:divBdr>
                    <w:top w:val="none" w:sz="0" w:space="0" w:color="auto"/>
                    <w:left w:val="none" w:sz="0" w:space="0" w:color="auto"/>
                    <w:bottom w:val="none" w:sz="0" w:space="0" w:color="auto"/>
                    <w:right w:val="none" w:sz="0" w:space="0" w:color="auto"/>
                  </w:divBdr>
                </w:div>
                <w:div w:id="765006928">
                  <w:marLeft w:val="0"/>
                  <w:marRight w:val="0"/>
                  <w:marTop w:val="0"/>
                  <w:marBottom w:val="0"/>
                  <w:divBdr>
                    <w:top w:val="none" w:sz="0" w:space="0" w:color="auto"/>
                    <w:left w:val="none" w:sz="0" w:space="0" w:color="auto"/>
                    <w:bottom w:val="none" w:sz="0" w:space="0" w:color="auto"/>
                    <w:right w:val="none" w:sz="0" w:space="0" w:color="auto"/>
                  </w:divBdr>
                </w:div>
                <w:div w:id="1272322092">
                  <w:marLeft w:val="0"/>
                  <w:marRight w:val="0"/>
                  <w:marTop w:val="0"/>
                  <w:marBottom w:val="0"/>
                  <w:divBdr>
                    <w:top w:val="none" w:sz="0" w:space="0" w:color="auto"/>
                    <w:left w:val="none" w:sz="0" w:space="0" w:color="auto"/>
                    <w:bottom w:val="none" w:sz="0" w:space="0" w:color="auto"/>
                    <w:right w:val="none" w:sz="0" w:space="0" w:color="auto"/>
                  </w:divBdr>
                </w:div>
                <w:div w:id="1691879022">
                  <w:marLeft w:val="0"/>
                  <w:marRight w:val="0"/>
                  <w:marTop w:val="0"/>
                  <w:marBottom w:val="0"/>
                  <w:divBdr>
                    <w:top w:val="none" w:sz="0" w:space="0" w:color="auto"/>
                    <w:left w:val="none" w:sz="0" w:space="0" w:color="auto"/>
                    <w:bottom w:val="none" w:sz="0" w:space="0" w:color="auto"/>
                    <w:right w:val="none" w:sz="0" w:space="0" w:color="auto"/>
                  </w:divBdr>
                </w:div>
                <w:div w:id="839273100">
                  <w:marLeft w:val="0"/>
                  <w:marRight w:val="0"/>
                  <w:marTop w:val="0"/>
                  <w:marBottom w:val="0"/>
                  <w:divBdr>
                    <w:top w:val="none" w:sz="0" w:space="0" w:color="auto"/>
                    <w:left w:val="none" w:sz="0" w:space="0" w:color="auto"/>
                    <w:bottom w:val="none" w:sz="0" w:space="0" w:color="auto"/>
                    <w:right w:val="none" w:sz="0" w:space="0" w:color="auto"/>
                  </w:divBdr>
                </w:div>
                <w:div w:id="18618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1343">
          <w:marLeft w:val="0"/>
          <w:marRight w:val="0"/>
          <w:marTop w:val="0"/>
          <w:marBottom w:val="0"/>
          <w:divBdr>
            <w:top w:val="none" w:sz="0" w:space="0" w:color="auto"/>
            <w:left w:val="none" w:sz="0" w:space="0" w:color="auto"/>
            <w:bottom w:val="none" w:sz="0" w:space="0" w:color="auto"/>
            <w:right w:val="none" w:sz="0" w:space="0" w:color="auto"/>
          </w:divBdr>
        </w:div>
        <w:div w:id="2075347916">
          <w:marLeft w:val="0"/>
          <w:marRight w:val="0"/>
          <w:marTop w:val="0"/>
          <w:marBottom w:val="0"/>
          <w:divBdr>
            <w:top w:val="none" w:sz="0" w:space="0" w:color="auto"/>
            <w:left w:val="none" w:sz="0" w:space="0" w:color="auto"/>
            <w:bottom w:val="none" w:sz="0" w:space="0" w:color="auto"/>
            <w:right w:val="none" w:sz="0" w:space="0" w:color="auto"/>
          </w:divBdr>
        </w:div>
        <w:div w:id="1738895782">
          <w:marLeft w:val="0"/>
          <w:marRight w:val="0"/>
          <w:marTop w:val="0"/>
          <w:marBottom w:val="0"/>
          <w:divBdr>
            <w:top w:val="none" w:sz="0" w:space="0" w:color="auto"/>
            <w:left w:val="none" w:sz="0" w:space="0" w:color="auto"/>
            <w:bottom w:val="none" w:sz="0" w:space="0" w:color="auto"/>
            <w:right w:val="none" w:sz="0" w:space="0" w:color="auto"/>
          </w:divBdr>
        </w:div>
        <w:div w:id="244724213">
          <w:marLeft w:val="0"/>
          <w:marRight w:val="0"/>
          <w:marTop w:val="0"/>
          <w:marBottom w:val="0"/>
          <w:divBdr>
            <w:top w:val="none" w:sz="0" w:space="0" w:color="auto"/>
            <w:left w:val="none" w:sz="0" w:space="0" w:color="auto"/>
            <w:bottom w:val="none" w:sz="0" w:space="0" w:color="auto"/>
            <w:right w:val="none" w:sz="0" w:space="0" w:color="auto"/>
          </w:divBdr>
        </w:div>
        <w:div w:id="996375916">
          <w:marLeft w:val="0"/>
          <w:marRight w:val="0"/>
          <w:marTop w:val="0"/>
          <w:marBottom w:val="0"/>
          <w:divBdr>
            <w:top w:val="none" w:sz="0" w:space="0" w:color="auto"/>
            <w:left w:val="none" w:sz="0" w:space="0" w:color="auto"/>
            <w:bottom w:val="none" w:sz="0" w:space="0" w:color="auto"/>
            <w:right w:val="none" w:sz="0" w:space="0" w:color="auto"/>
          </w:divBdr>
        </w:div>
        <w:div w:id="1062563999">
          <w:marLeft w:val="0"/>
          <w:marRight w:val="0"/>
          <w:marTop w:val="0"/>
          <w:marBottom w:val="0"/>
          <w:divBdr>
            <w:top w:val="none" w:sz="0" w:space="0" w:color="auto"/>
            <w:left w:val="none" w:sz="0" w:space="0" w:color="auto"/>
            <w:bottom w:val="none" w:sz="0" w:space="0" w:color="auto"/>
            <w:right w:val="none" w:sz="0" w:space="0" w:color="auto"/>
          </w:divBdr>
        </w:div>
      </w:divsChild>
    </w:div>
    <w:div w:id="744958164">
      <w:bodyDiv w:val="1"/>
      <w:marLeft w:val="0"/>
      <w:marRight w:val="0"/>
      <w:marTop w:val="0"/>
      <w:marBottom w:val="0"/>
      <w:divBdr>
        <w:top w:val="none" w:sz="0" w:space="0" w:color="auto"/>
        <w:left w:val="none" w:sz="0" w:space="0" w:color="auto"/>
        <w:bottom w:val="none" w:sz="0" w:space="0" w:color="auto"/>
        <w:right w:val="none" w:sz="0" w:space="0" w:color="auto"/>
      </w:divBdr>
    </w:div>
    <w:div w:id="2021614640">
      <w:bodyDiv w:val="1"/>
      <w:marLeft w:val="0"/>
      <w:marRight w:val="0"/>
      <w:marTop w:val="0"/>
      <w:marBottom w:val="0"/>
      <w:divBdr>
        <w:top w:val="none" w:sz="0" w:space="0" w:color="auto"/>
        <w:left w:val="none" w:sz="0" w:space="0" w:color="auto"/>
        <w:bottom w:val="none" w:sz="0" w:space="0" w:color="auto"/>
        <w:right w:val="none" w:sz="0" w:space="0" w:color="auto"/>
      </w:divBdr>
    </w:div>
    <w:div w:id="20623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bs.gov.au/info/reviews/review-pbs-items-prescribing-nurse-practitioners-endorsed-midwiv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1626</Words>
  <Characters>9270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dc:creator>
  <cp:keywords/>
  <dc:description/>
  <cp:lastModifiedBy>NGUYEN, Huy</cp:lastModifiedBy>
  <cp:revision>2</cp:revision>
  <dcterms:created xsi:type="dcterms:W3CDTF">2025-08-20T07:59:00Z</dcterms:created>
  <dcterms:modified xsi:type="dcterms:W3CDTF">2025-08-20T07:59:00Z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7f0f555c,2b96a99c,6c7b8730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27522e63,e4cfc80,1b735eaa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2025-08-19T04:32:28Z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d7567b36-65e1-401f-a1d7-5246396f2ad8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