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099F" w14:textId="02EE74AC" w:rsidR="00C3301A" w:rsidRDefault="00C3301A" w:rsidP="00453E1C">
      <w:pPr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bookmarkStart w:id="0" w:name="_Hlk106645263"/>
      <w:r w:rsidRPr="009D780D">
        <w:rPr>
          <w:rFonts w:ascii="Arial" w:hAnsi="Arial" w:cs="Arial"/>
          <w:b/>
          <w:bCs/>
          <w:sz w:val="32"/>
          <w:szCs w:val="32"/>
          <w:lang w:eastAsia="en-US"/>
        </w:rPr>
        <w:t xml:space="preserve">Post-market </w:t>
      </w:r>
      <w:r w:rsidR="002D5C3C">
        <w:rPr>
          <w:rFonts w:ascii="Arial" w:hAnsi="Arial" w:cs="Arial"/>
          <w:b/>
          <w:bCs/>
          <w:sz w:val="32"/>
          <w:szCs w:val="32"/>
          <w:lang w:eastAsia="en-US"/>
        </w:rPr>
        <w:t>R</w:t>
      </w:r>
      <w:r w:rsidRPr="009D780D">
        <w:rPr>
          <w:rFonts w:ascii="Arial" w:hAnsi="Arial" w:cs="Arial"/>
          <w:b/>
          <w:bCs/>
          <w:sz w:val="32"/>
          <w:szCs w:val="32"/>
          <w:lang w:eastAsia="en-US"/>
        </w:rPr>
        <w:t>eview of medicines for smoking cessation</w:t>
      </w:r>
    </w:p>
    <w:p w14:paraId="10FEAEF9" w14:textId="31A087A2" w:rsidR="00453E1C" w:rsidRPr="009D780D" w:rsidRDefault="00453E1C" w:rsidP="00453E1C">
      <w:pPr>
        <w:jc w:val="center"/>
        <w:rPr>
          <w:rFonts w:ascii="Arial" w:hAnsi="Arial" w:cs="Arial"/>
          <w:b/>
          <w:bCs/>
          <w:color w:val="4472C4" w:themeColor="accent1"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 xml:space="preserve">Plain </w:t>
      </w:r>
      <w:r w:rsidR="00B57365">
        <w:rPr>
          <w:rFonts w:ascii="Arial" w:hAnsi="Arial" w:cs="Arial"/>
          <w:b/>
          <w:bCs/>
          <w:sz w:val="32"/>
          <w:szCs w:val="32"/>
          <w:lang w:eastAsia="en-US"/>
        </w:rPr>
        <w:t>l</w:t>
      </w:r>
      <w:r>
        <w:rPr>
          <w:rFonts w:ascii="Arial" w:hAnsi="Arial" w:cs="Arial"/>
          <w:b/>
          <w:bCs/>
          <w:sz w:val="32"/>
          <w:szCs w:val="32"/>
          <w:lang w:eastAsia="en-US"/>
        </w:rPr>
        <w:t xml:space="preserve">anguage </w:t>
      </w:r>
      <w:r w:rsidR="00B57365">
        <w:rPr>
          <w:rFonts w:ascii="Arial" w:hAnsi="Arial" w:cs="Arial"/>
          <w:b/>
          <w:bCs/>
          <w:sz w:val="32"/>
          <w:szCs w:val="32"/>
          <w:lang w:eastAsia="en-US"/>
        </w:rPr>
        <w:t>s</w:t>
      </w:r>
      <w:r>
        <w:rPr>
          <w:rFonts w:ascii="Arial" w:hAnsi="Arial" w:cs="Arial"/>
          <w:b/>
          <w:bCs/>
          <w:sz w:val="32"/>
          <w:szCs w:val="32"/>
          <w:lang w:eastAsia="en-US"/>
        </w:rPr>
        <w:t>ummary</w:t>
      </w:r>
    </w:p>
    <w:p w14:paraId="6AC3F971" w14:textId="1AE2FE59" w:rsidR="008722A8" w:rsidRPr="004958D5" w:rsidRDefault="008722A8" w:rsidP="00344DF2">
      <w:pPr>
        <w:pStyle w:val="Heading1"/>
        <w:spacing w:after="120"/>
        <w:jc w:val="both"/>
        <w:rPr>
          <w:rFonts w:ascii="Arial" w:hAnsi="Arial" w:cs="Arial"/>
          <w:b/>
          <w:bCs/>
          <w:snapToGrid w:val="0"/>
          <w:color w:val="4472C4" w:themeColor="accent1"/>
          <w:sz w:val="26"/>
          <w:szCs w:val="26"/>
          <w:lang w:eastAsia="en-US"/>
        </w:rPr>
      </w:pPr>
      <w:r w:rsidRPr="004958D5">
        <w:rPr>
          <w:rFonts w:ascii="Arial" w:hAnsi="Arial" w:cs="Arial"/>
          <w:b/>
          <w:bCs/>
          <w:snapToGrid w:val="0"/>
          <w:color w:val="4472C4" w:themeColor="accent1"/>
          <w:sz w:val="26"/>
          <w:szCs w:val="26"/>
          <w:lang w:eastAsia="en-US"/>
        </w:rPr>
        <w:t>Background</w:t>
      </w:r>
    </w:p>
    <w:p w14:paraId="2110D8B4" w14:textId="3A34D6BC" w:rsidR="00255718" w:rsidRDefault="00C3301A" w:rsidP="00E52E45">
      <w:pPr>
        <w:spacing w:after="120"/>
        <w:jc w:val="both"/>
        <w:rPr>
          <w:rFonts w:ascii="Arial" w:hAnsi="Arial" w:cs="Arial"/>
          <w:color w:val="222222"/>
          <w:sz w:val="23"/>
          <w:szCs w:val="23"/>
        </w:rPr>
      </w:pPr>
      <w:r w:rsidRPr="005A33CD">
        <w:rPr>
          <w:rFonts w:ascii="Arial" w:hAnsi="Arial" w:cs="Arial"/>
          <w:color w:val="222222"/>
          <w:sz w:val="23"/>
          <w:szCs w:val="23"/>
        </w:rPr>
        <w:t xml:space="preserve">Post-market </w:t>
      </w:r>
      <w:r w:rsidR="002D5C3C">
        <w:rPr>
          <w:rFonts w:ascii="Arial" w:hAnsi="Arial" w:cs="Arial"/>
          <w:color w:val="222222"/>
          <w:sz w:val="23"/>
          <w:szCs w:val="23"/>
        </w:rPr>
        <w:t>R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eviews (PMRs) are </w:t>
      </w:r>
      <w:r w:rsidR="003B2AD6" w:rsidRPr="005A33CD">
        <w:rPr>
          <w:rFonts w:ascii="Arial" w:hAnsi="Arial" w:cs="Arial"/>
          <w:color w:val="222222"/>
          <w:sz w:val="23"/>
          <w:szCs w:val="23"/>
        </w:rPr>
        <w:t>routinely recommended by the Pharmaceutical Benefits Advisory Committee (PBAC). PMR</w:t>
      </w:r>
      <w:r w:rsidR="00E52E45">
        <w:rPr>
          <w:rFonts w:ascii="Arial" w:hAnsi="Arial" w:cs="Arial"/>
          <w:color w:val="222222"/>
          <w:sz w:val="23"/>
          <w:szCs w:val="23"/>
        </w:rPr>
        <w:t>s contribute</w:t>
      </w:r>
      <w:r w:rsidR="002F5671">
        <w:rPr>
          <w:rFonts w:ascii="Arial" w:hAnsi="Arial" w:cs="Arial"/>
          <w:color w:val="222222"/>
          <w:sz w:val="23"/>
          <w:szCs w:val="23"/>
        </w:rPr>
        <w:t xml:space="preserve"> to:</w:t>
      </w:r>
      <w:r w:rsidR="003B2AD6" w:rsidRPr="005A33CD">
        <w:rPr>
          <w:rFonts w:ascii="Arial" w:hAnsi="Arial" w:cs="Arial"/>
          <w:color w:val="222222"/>
          <w:sz w:val="23"/>
          <w:szCs w:val="23"/>
        </w:rPr>
        <w:t xml:space="preserve"> </w:t>
      </w:r>
    </w:p>
    <w:p w14:paraId="49561A2F" w14:textId="6F1B6D9A" w:rsidR="00847C9A" w:rsidRPr="00130967" w:rsidRDefault="00847C9A" w:rsidP="00D00E80">
      <w:pPr>
        <w:pStyle w:val="ListParagraph"/>
        <w:numPr>
          <w:ilvl w:val="0"/>
          <w:numId w:val="7"/>
        </w:numPr>
        <w:ind w:left="470" w:hanging="357"/>
        <w:jc w:val="both"/>
        <w:rPr>
          <w:rFonts w:ascii="Arial" w:hAnsi="Arial" w:cs="Arial"/>
          <w:sz w:val="23"/>
          <w:szCs w:val="23"/>
        </w:rPr>
      </w:pPr>
      <w:r w:rsidRPr="00130967">
        <w:rPr>
          <w:rFonts w:ascii="Arial" w:hAnsi="Arial" w:cs="Arial"/>
          <w:sz w:val="23"/>
          <w:szCs w:val="23"/>
        </w:rPr>
        <w:t>Ensur</w:t>
      </w:r>
      <w:r w:rsidR="00E52E45">
        <w:rPr>
          <w:rFonts w:ascii="Arial" w:hAnsi="Arial" w:cs="Arial"/>
          <w:sz w:val="23"/>
          <w:szCs w:val="23"/>
        </w:rPr>
        <w:t>ing</w:t>
      </w:r>
      <w:r w:rsidRPr="00130967">
        <w:rPr>
          <w:rFonts w:ascii="Arial" w:hAnsi="Arial" w:cs="Arial"/>
          <w:sz w:val="23"/>
          <w:szCs w:val="23"/>
        </w:rPr>
        <w:t xml:space="preserve"> the ongoing viability of the </w:t>
      </w:r>
      <w:r w:rsidR="00E52E45">
        <w:rPr>
          <w:rFonts w:ascii="Arial" w:hAnsi="Arial" w:cs="Arial"/>
          <w:sz w:val="23"/>
          <w:szCs w:val="23"/>
        </w:rPr>
        <w:t>Pharmaceutical Benefits Scheme (</w:t>
      </w:r>
      <w:r w:rsidRPr="00130967">
        <w:rPr>
          <w:rFonts w:ascii="Arial" w:hAnsi="Arial" w:cs="Arial"/>
          <w:sz w:val="23"/>
          <w:szCs w:val="23"/>
        </w:rPr>
        <w:t>PBS</w:t>
      </w:r>
      <w:r w:rsidR="00E52E45">
        <w:rPr>
          <w:rFonts w:ascii="Arial" w:hAnsi="Arial" w:cs="Arial"/>
          <w:sz w:val="23"/>
          <w:szCs w:val="23"/>
        </w:rPr>
        <w:t>)</w:t>
      </w:r>
      <w:r w:rsidR="003319F3">
        <w:rPr>
          <w:rFonts w:ascii="Arial" w:hAnsi="Arial" w:cs="Arial"/>
          <w:sz w:val="23"/>
          <w:szCs w:val="23"/>
        </w:rPr>
        <w:t>.</w:t>
      </w:r>
    </w:p>
    <w:p w14:paraId="07376394" w14:textId="0A48B1B9" w:rsidR="00847C9A" w:rsidRPr="00130967" w:rsidRDefault="00847C9A" w:rsidP="00D00E80">
      <w:pPr>
        <w:pStyle w:val="ListParagraph"/>
        <w:numPr>
          <w:ilvl w:val="0"/>
          <w:numId w:val="7"/>
        </w:numPr>
        <w:ind w:left="470" w:hanging="357"/>
        <w:jc w:val="both"/>
        <w:rPr>
          <w:rFonts w:ascii="Arial" w:hAnsi="Arial" w:cs="Arial"/>
          <w:sz w:val="23"/>
          <w:szCs w:val="23"/>
        </w:rPr>
      </w:pPr>
      <w:r w:rsidRPr="00130967">
        <w:rPr>
          <w:rFonts w:ascii="Arial" w:hAnsi="Arial" w:cs="Arial"/>
          <w:sz w:val="23"/>
          <w:szCs w:val="23"/>
        </w:rPr>
        <w:t>A better understanding of medicine</w:t>
      </w:r>
      <w:r w:rsidR="00E52E45">
        <w:rPr>
          <w:rFonts w:ascii="Arial" w:hAnsi="Arial" w:cs="Arial"/>
          <w:sz w:val="23"/>
          <w:szCs w:val="23"/>
        </w:rPr>
        <w:t xml:space="preserve"> use</w:t>
      </w:r>
      <w:r w:rsidR="00453E1C">
        <w:rPr>
          <w:rFonts w:ascii="Arial" w:hAnsi="Arial" w:cs="Arial"/>
          <w:sz w:val="23"/>
          <w:szCs w:val="23"/>
        </w:rPr>
        <w:t xml:space="preserve"> in the Australian health care setting</w:t>
      </w:r>
      <w:r w:rsidR="003319F3">
        <w:rPr>
          <w:rFonts w:ascii="Arial" w:hAnsi="Arial" w:cs="Arial"/>
          <w:sz w:val="23"/>
          <w:szCs w:val="23"/>
        </w:rPr>
        <w:t>.</w:t>
      </w:r>
    </w:p>
    <w:p w14:paraId="72F3EAD2" w14:textId="21D6B497" w:rsidR="00847C9A" w:rsidRPr="00130967" w:rsidRDefault="00E52E45" w:rsidP="00D00E80">
      <w:pPr>
        <w:pStyle w:val="ListParagraph"/>
        <w:numPr>
          <w:ilvl w:val="0"/>
          <w:numId w:val="7"/>
        </w:numPr>
        <w:ind w:left="470" w:hanging="35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Assessing the o</w:t>
      </w:r>
      <w:r w:rsidR="00847C9A" w:rsidRPr="00130967">
        <w:rPr>
          <w:rFonts w:ascii="Arial" w:hAnsi="Arial" w:cs="Arial"/>
          <w:sz w:val="23"/>
          <w:szCs w:val="23"/>
        </w:rPr>
        <w:t xml:space="preserve">ngoing </w:t>
      </w:r>
      <w:r w:rsidR="00B20141">
        <w:rPr>
          <w:rFonts w:ascii="Arial" w:hAnsi="Arial" w:cs="Arial"/>
          <w:sz w:val="23"/>
          <w:szCs w:val="23"/>
        </w:rPr>
        <w:t>cost-effectiveness</w:t>
      </w:r>
      <w:r>
        <w:rPr>
          <w:rFonts w:ascii="Arial" w:hAnsi="Arial" w:cs="Arial"/>
          <w:sz w:val="23"/>
          <w:szCs w:val="23"/>
        </w:rPr>
        <w:t xml:space="preserve"> of PBS</w:t>
      </w:r>
      <w:r w:rsidR="003319F3">
        <w:rPr>
          <w:rFonts w:ascii="Arial" w:hAnsi="Arial" w:cs="Arial"/>
          <w:sz w:val="23"/>
          <w:szCs w:val="23"/>
        </w:rPr>
        <w:t>-</w:t>
      </w:r>
      <w:r w:rsidR="00453E1C">
        <w:rPr>
          <w:rFonts w:ascii="Arial" w:hAnsi="Arial" w:cs="Arial"/>
          <w:sz w:val="23"/>
          <w:szCs w:val="23"/>
        </w:rPr>
        <w:t>listed</w:t>
      </w:r>
      <w:r>
        <w:rPr>
          <w:rFonts w:ascii="Arial" w:hAnsi="Arial" w:cs="Arial"/>
          <w:sz w:val="23"/>
          <w:szCs w:val="23"/>
        </w:rPr>
        <w:t xml:space="preserve"> medicines</w:t>
      </w:r>
      <w:r w:rsidR="003319F3">
        <w:rPr>
          <w:rFonts w:ascii="Arial" w:hAnsi="Arial" w:cs="Arial"/>
          <w:sz w:val="23"/>
          <w:szCs w:val="23"/>
        </w:rPr>
        <w:t>.</w:t>
      </w:r>
    </w:p>
    <w:p w14:paraId="5E976C85" w14:textId="2D512DAB" w:rsidR="00847C9A" w:rsidRPr="00130967" w:rsidRDefault="00847C9A" w:rsidP="00D00E80">
      <w:pPr>
        <w:pStyle w:val="ListParagraph"/>
        <w:numPr>
          <w:ilvl w:val="0"/>
          <w:numId w:val="7"/>
        </w:numPr>
        <w:spacing w:after="120"/>
        <w:ind w:left="470" w:hanging="357"/>
        <w:contextualSpacing w:val="0"/>
        <w:jc w:val="both"/>
        <w:rPr>
          <w:rFonts w:ascii="Arial" w:hAnsi="Arial" w:cs="Arial"/>
          <w:sz w:val="23"/>
          <w:szCs w:val="23"/>
        </w:rPr>
      </w:pPr>
      <w:bookmarkStart w:id="1" w:name="_Hlk108165744"/>
      <w:r w:rsidRPr="00130967">
        <w:rPr>
          <w:rFonts w:ascii="Arial" w:hAnsi="Arial" w:cs="Arial"/>
          <w:sz w:val="23"/>
          <w:szCs w:val="23"/>
        </w:rPr>
        <w:t>Overall improvements to the quality use of medicines and education for patients and health professionals.</w:t>
      </w:r>
    </w:p>
    <w:bookmarkEnd w:id="1"/>
    <w:p w14:paraId="4B19D6AD" w14:textId="3C2CCC1E" w:rsidR="003B1C79" w:rsidRPr="005A33CD" w:rsidRDefault="003B1C79">
      <w:pPr>
        <w:spacing w:after="120"/>
        <w:jc w:val="both"/>
        <w:rPr>
          <w:rFonts w:ascii="Arial" w:hAnsi="Arial" w:cs="Arial"/>
          <w:color w:val="222222"/>
          <w:sz w:val="23"/>
          <w:szCs w:val="23"/>
        </w:rPr>
      </w:pPr>
      <w:r w:rsidRPr="005A33CD">
        <w:rPr>
          <w:rFonts w:ascii="Arial" w:hAnsi="Arial" w:cs="Arial"/>
          <w:color w:val="222222"/>
          <w:sz w:val="23"/>
          <w:szCs w:val="23"/>
        </w:rPr>
        <w:t>Input from expert technical advisers and consultation from consumers</w:t>
      </w:r>
      <w:r w:rsidR="00B47695">
        <w:rPr>
          <w:rFonts w:ascii="Arial" w:hAnsi="Arial" w:cs="Arial"/>
          <w:color w:val="222222"/>
          <w:sz w:val="23"/>
          <w:szCs w:val="23"/>
        </w:rPr>
        <w:t>, industry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and healthcare professionals </w:t>
      </w:r>
      <w:r w:rsidR="009462E0">
        <w:rPr>
          <w:rFonts w:ascii="Arial" w:hAnsi="Arial" w:cs="Arial"/>
          <w:color w:val="222222"/>
          <w:sz w:val="23"/>
          <w:szCs w:val="23"/>
        </w:rPr>
        <w:t>are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part of the PMR process</w:t>
      </w:r>
      <w:r w:rsidR="009462E0">
        <w:rPr>
          <w:rFonts w:ascii="Arial" w:hAnsi="Arial" w:cs="Arial"/>
          <w:color w:val="222222"/>
          <w:sz w:val="23"/>
          <w:szCs w:val="23"/>
        </w:rPr>
        <w:t>. This provides an opportunity to</w:t>
      </w:r>
      <w:r w:rsidR="009462E0" w:rsidRPr="009462E0">
        <w:rPr>
          <w:rFonts w:ascii="Arial" w:hAnsi="Arial" w:cs="Arial"/>
          <w:color w:val="222222"/>
          <w:sz w:val="23"/>
          <w:szCs w:val="23"/>
        </w:rPr>
        <w:t xml:space="preserve"> share experience</w:t>
      </w:r>
      <w:r w:rsidR="00E52E45">
        <w:rPr>
          <w:rFonts w:ascii="Arial" w:hAnsi="Arial" w:cs="Arial"/>
          <w:color w:val="222222"/>
          <w:sz w:val="23"/>
          <w:szCs w:val="23"/>
        </w:rPr>
        <w:t>s</w:t>
      </w:r>
      <w:r w:rsidR="009462E0" w:rsidRPr="009462E0">
        <w:rPr>
          <w:rFonts w:ascii="Arial" w:hAnsi="Arial" w:cs="Arial"/>
          <w:color w:val="222222"/>
          <w:sz w:val="23"/>
          <w:szCs w:val="23"/>
        </w:rPr>
        <w:t>, expertise and knowledge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</w:t>
      </w:r>
      <w:r w:rsidR="009462E0">
        <w:rPr>
          <w:rFonts w:ascii="Arial" w:hAnsi="Arial" w:cs="Arial"/>
          <w:color w:val="222222"/>
          <w:sz w:val="23"/>
          <w:szCs w:val="23"/>
        </w:rPr>
        <w:t xml:space="preserve">when making decisions on medicine access and funding. </w:t>
      </w:r>
    </w:p>
    <w:p w14:paraId="5C320E74" w14:textId="4E9C9CC4" w:rsidR="009D780D" w:rsidRPr="005A33CD" w:rsidRDefault="003B1C79">
      <w:pPr>
        <w:spacing w:after="120"/>
        <w:jc w:val="both"/>
        <w:rPr>
          <w:rFonts w:ascii="Arial" w:hAnsi="Arial" w:cs="Arial"/>
          <w:color w:val="222222"/>
          <w:sz w:val="23"/>
          <w:szCs w:val="23"/>
        </w:rPr>
      </w:pPr>
      <w:r w:rsidRPr="005A33CD">
        <w:rPr>
          <w:rFonts w:ascii="Arial" w:hAnsi="Arial" w:cs="Arial"/>
          <w:color w:val="222222"/>
          <w:sz w:val="23"/>
          <w:szCs w:val="23"/>
        </w:rPr>
        <w:t xml:space="preserve">The PBAC recommended a </w:t>
      </w:r>
      <w:r w:rsidR="00B47695">
        <w:rPr>
          <w:rFonts w:ascii="Arial" w:hAnsi="Arial" w:cs="Arial"/>
          <w:color w:val="222222"/>
          <w:sz w:val="23"/>
          <w:szCs w:val="23"/>
        </w:rPr>
        <w:t>PMR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of medicines for smoking cessation (‘the Review’) in </w:t>
      </w:r>
      <w:r w:rsidR="007F3497">
        <w:rPr>
          <w:rFonts w:ascii="Arial" w:hAnsi="Arial" w:cs="Arial"/>
          <w:color w:val="222222"/>
          <w:sz w:val="23"/>
          <w:szCs w:val="23"/>
        </w:rPr>
        <w:t>March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2018. Th</w:t>
      </w:r>
      <w:r w:rsidR="00453E1C">
        <w:rPr>
          <w:rFonts w:ascii="Arial" w:hAnsi="Arial" w:cs="Arial"/>
          <w:color w:val="222222"/>
          <w:sz w:val="23"/>
          <w:szCs w:val="23"/>
        </w:rPr>
        <w:t xml:space="preserve">e final </w:t>
      </w:r>
      <w:r w:rsidR="00AC77FE">
        <w:rPr>
          <w:rFonts w:ascii="Arial" w:hAnsi="Arial" w:cs="Arial"/>
          <w:color w:val="222222"/>
          <w:sz w:val="23"/>
          <w:szCs w:val="23"/>
        </w:rPr>
        <w:t>terms of reference (</w:t>
      </w:r>
      <w:r w:rsidR="00453E1C">
        <w:rPr>
          <w:rFonts w:ascii="Arial" w:hAnsi="Arial" w:cs="Arial"/>
          <w:color w:val="222222"/>
          <w:sz w:val="23"/>
          <w:szCs w:val="23"/>
        </w:rPr>
        <w:t>ToR</w:t>
      </w:r>
      <w:r w:rsidR="00AC77FE">
        <w:rPr>
          <w:rFonts w:ascii="Arial" w:hAnsi="Arial" w:cs="Arial"/>
          <w:color w:val="222222"/>
          <w:sz w:val="23"/>
          <w:szCs w:val="23"/>
        </w:rPr>
        <w:t>s)</w:t>
      </w:r>
      <w:r w:rsidR="00453E1C">
        <w:rPr>
          <w:rFonts w:ascii="Arial" w:hAnsi="Arial" w:cs="Arial"/>
          <w:color w:val="222222"/>
          <w:sz w:val="23"/>
          <w:szCs w:val="23"/>
        </w:rPr>
        <w:t xml:space="preserve"> were</w:t>
      </w:r>
      <w:r w:rsidR="00AC011E" w:rsidRPr="005A33CD">
        <w:rPr>
          <w:rFonts w:ascii="Arial" w:hAnsi="Arial" w:cs="Arial"/>
          <w:color w:val="222222"/>
          <w:sz w:val="23"/>
          <w:szCs w:val="23"/>
        </w:rPr>
        <w:t xml:space="preserve"> approved by the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Minister for Health in </w:t>
      </w:r>
      <w:r w:rsidR="00453E1C">
        <w:rPr>
          <w:rFonts w:ascii="Arial" w:hAnsi="Arial" w:cs="Arial"/>
          <w:color w:val="222222"/>
          <w:sz w:val="23"/>
          <w:szCs w:val="23"/>
        </w:rPr>
        <w:t xml:space="preserve">February </w:t>
      </w:r>
      <w:r w:rsidRPr="005A33CD">
        <w:rPr>
          <w:rFonts w:ascii="Arial" w:hAnsi="Arial" w:cs="Arial"/>
          <w:color w:val="222222"/>
          <w:sz w:val="23"/>
          <w:szCs w:val="23"/>
        </w:rPr>
        <w:t>20</w:t>
      </w:r>
      <w:r w:rsidR="00453E1C">
        <w:rPr>
          <w:rFonts w:ascii="Arial" w:hAnsi="Arial" w:cs="Arial"/>
          <w:color w:val="222222"/>
          <w:sz w:val="23"/>
          <w:szCs w:val="23"/>
        </w:rPr>
        <w:t>20</w:t>
      </w:r>
      <w:r w:rsidR="00AC011E" w:rsidRPr="005A33CD">
        <w:rPr>
          <w:rFonts w:ascii="Arial" w:hAnsi="Arial" w:cs="Arial"/>
          <w:color w:val="222222"/>
          <w:sz w:val="23"/>
          <w:szCs w:val="23"/>
        </w:rPr>
        <w:t xml:space="preserve">. </w:t>
      </w:r>
      <w:r w:rsidR="009D780D" w:rsidRPr="005A33CD">
        <w:rPr>
          <w:rFonts w:ascii="Arial" w:hAnsi="Arial" w:cs="Arial"/>
          <w:color w:val="222222"/>
          <w:sz w:val="23"/>
          <w:szCs w:val="23"/>
        </w:rPr>
        <w:t xml:space="preserve">Outcomes of the Review became publicly available in </w:t>
      </w:r>
      <w:r w:rsidR="00B47695">
        <w:rPr>
          <w:rFonts w:ascii="Arial" w:hAnsi="Arial" w:cs="Arial"/>
          <w:color w:val="222222"/>
          <w:sz w:val="23"/>
          <w:szCs w:val="23"/>
        </w:rPr>
        <w:t>June</w:t>
      </w:r>
      <w:r w:rsidR="009D780D" w:rsidRPr="005A33CD">
        <w:rPr>
          <w:rFonts w:ascii="Arial" w:hAnsi="Arial" w:cs="Arial"/>
          <w:color w:val="222222"/>
          <w:sz w:val="23"/>
          <w:szCs w:val="23"/>
        </w:rPr>
        <w:t xml:space="preserve"> 2022.</w:t>
      </w:r>
    </w:p>
    <w:p w14:paraId="7B21C235" w14:textId="59247259" w:rsidR="009D780D" w:rsidRPr="00585BB8" w:rsidRDefault="009D780D" w:rsidP="00344DF2">
      <w:pPr>
        <w:pStyle w:val="Heading1"/>
        <w:spacing w:after="120"/>
        <w:jc w:val="both"/>
        <w:rPr>
          <w:rFonts w:ascii="Arial" w:hAnsi="Arial" w:cs="Arial"/>
          <w:b/>
          <w:bCs/>
          <w:snapToGrid w:val="0"/>
          <w:color w:val="4472C4" w:themeColor="accent1"/>
          <w:sz w:val="26"/>
          <w:szCs w:val="26"/>
          <w:lang w:eastAsia="en-US"/>
        </w:rPr>
      </w:pPr>
      <w:r w:rsidRPr="00585BB8">
        <w:rPr>
          <w:rFonts w:ascii="Arial" w:hAnsi="Arial" w:cs="Arial"/>
          <w:b/>
          <w:bCs/>
          <w:snapToGrid w:val="0"/>
          <w:color w:val="4472C4" w:themeColor="accent1"/>
          <w:sz w:val="26"/>
          <w:szCs w:val="26"/>
          <w:lang w:eastAsia="en-US"/>
        </w:rPr>
        <w:t>The Review</w:t>
      </w:r>
    </w:p>
    <w:p w14:paraId="35954DCE" w14:textId="0293994B" w:rsidR="00AC011E" w:rsidRPr="005A33CD" w:rsidRDefault="00AC011E" w:rsidP="000A4DF4">
      <w:pPr>
        <w:spacing w:after="120"/>
        <w:jc w:val="both"/>
        <w:rPr>
          <w:rFonts w:ascii="Arial" w:hAnsi="Arial" w:cs="Arial"/>
          <w:color w:val="222222"/>
          <w:sz w:val="23"/>
          <w:szCs w:val="23"/>
        </w:rPr>
      </w:pPr>
      <w:r w:rsidRPr="005A33CD">
        <w:rPr>
          <w:rFonts w:ascii="Arial" w:hAnsi="Arial" w:cs="Arial"/>
          <w:color w:val="222222"/>
          <w:sz w:val="23"/>
          <w:szCs w:val="23"/>
        </w:rPr>
        <w:t xml:space="preserve">The Review aimed to evaluate the </w:t>
      </w:r>
      <w:r w:rsidR="00711C93" w:rsidRPr="005A33CD">
        <w:rPr>
          <w:rFonts w:ascii="Arial" w:hAnsi="Arial" w:cs="Arial"/>
          <w:color w:val="222222"/>
          <w:sz w:val="23"/>
          <w:szCs w:val="23"/>
        </w:rPr>
        <w:t xml:space="preserve">usage, effectiveness, </w:t>
      </w:r>
      <w:r w:rsidR="00B47695" w:rsidRPr="005A33CD">
        <w:rPr>
          <w:rFonts w:ascii="Arial" w:hAnsi="Arial" w:cs="Arial"/>
          <w:color w:val="222222"/>
          <w:sz w:val="23"/>
          <w:szCs w:val="23"/>
        </w:rPr>
        <w:t>safety,</w:t>
      </w:r>
      <w:r w:rsidR="00711C93" w:rsidRPr="005A33CD">
        <w:rPr>
          <w:rFonts w:ascii="Arial" w:hAnsi="Arial" w:cs="Arial"/>
          <w:color w:val="222222"/>
          <w:sz w:val="23"/>
          <w:szCs w:val="23"/>
        </w:rPr>
        <w:t xml:space="preserve"> </w:t>
      </w:r>
      <w:r w:rsidRPr="005A33CD">
        <w:rPr>
          <w:rFonts w:ascii="Arial" w:hAnsi="Arial" w:cs="Arial"/>
          <w:color w:val="222222"/>
          <w:sz w:val="23"/>
          <w:szCs w:val="23"/>
        </w:rPr>
        <w:t>and cost-effectiveness (‘value for money’) of PBS-listed medicines for smoking cessation</w:t>
      </w:r>
      <w:r w:rsidR="00017861" w:rsidRPr="005A33CD">
        <w:rPr>
          <w:rFonts w:ascii="Arial" w:hAnsi="Arial" w:cs="Arial"/>
          <w:color w:val="222222"/>
          <w:sz w:val="23"/>
          <w:szCs w:val="23"/>
        </w:rPr>
        <w:t xml:space="preserve">. </w:t>
      </w:r>
    </w:p>
    <w:p w14:paraId="369349B6" w14:textId="0247FC0C" w:rsidR="00AC011E" w:rsidRPr="005A33CD" w:rsidRDefault="00AC011E" w:rsidP="00361EBA">
      <w:pPr>
        <w:spacing w:after="120"/>
        <w:jc w:val="both"/>
        <w:rPr>
          <w:rFonts w:ascii="Arial" w:hAnsi="Arial" w:cs="Arial"/>
          <w:color w:val="222222"/>
          <w:sz w:val="23"/>
          <w:szCs w:val="23"/>
        </w:rPr>
      </w:pPr>
      <w:r w:rsidRPr="005A33CD">
        <w:rPr>
          <w:rFonts w:ascii="Arial" w:hAnsi="Arial" w:cs="Arial"/>
          <w:color w:val="222222"/>
          <w:sz w:val="23"/>
          <w:szCs w:val="23"/>
        </w:rPr>
        <w:t>The Review</w:t>
      </w:r>
      <w:r w:rsidR="00B20141">
        <w:rPr>
          <w:rFonts w:ascii="Arial" w:hAnsi="Arial" w:cs="Arial"/>
          <w:color w:val="222222"/>
          <w:sz w:val="23"/>
          <w:szCs w:val="23"/>
        </w:rPr>
        <w:t>’s ToRs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considered the following:</w:t>
      </w:r>
    </w:p>
    <w:p w14:paraId="5093544E" w14:textId="7E634EE0" w:rsidR="00AC011E" w:rsidRPr="00D00E80" w:rsidRDefault="00B20141" w:rsidP="00D00E80">
      <w:pPr>
        <w:spacing w:after="120"/>
        <w:jc w:val="both"/>
        <w:rPr>
          <w:rFonts w:ascii="Arial" w:hAnsi="Arial" w:cs="Arial"/>
          <w:color w:val="222222"/>
          <w:sz w:val="23"/>
          <w:szCs w:val="23"/>
        </w:rPr>
      </w:pPr>
      <w:r w:rsidRPr="00D00E80">
        <w:rPr>
          <w:rFonts w:ascii="Arial" w:hAnsi="Arial" w:cs="Arial"/>
          <w:b/>
          <w:bCs/>
          <w:color w:val="222222"/>
          <w:sz w:val="23"/>
          <w:szCs w:val="23"/>
        </w:rPr>
        <w:t>ToR</w:t>
      </w:r>
      <w:r w:rsidR="00D24B4B" w:rsidRPr="00D00E80"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r w:rsidRPr="00D00E80">
        <w:rPr>
          <w:rFonts w:ascii="Arial" w:hAnsi="Arial" w:cs="Arial"/>
          <w:b/>
          <w:bCs/>
          <w:color w:val="222222"/>
          <w:sz w:val="23"/>
          <w:szCs w:val="23"/>
        </w:rPr>
        <w:t xml:space="preserve">1 - </w:t>
      </w:r>
      <w:r w:rsidR="004D1289" w:rsidRPr="00D00E80">
        <w:rPr>
          <w:rFonts w:ascii="Arial" w:hAnsi="Arial" w:cs="Arial"/>
          <w:b/>
          <w:bCs/>
          <w:color w:val="222222"/>
          <w:sz w:val="23"/>
          <w:szCs w:val="23"/>
        </w:rPr>
        <w:t>Treatment guidelines</w:t>
      </w:r>
      <w:r w:rsidR="00AC011E" w:rsidRPr="00D00E80">
        <w:rPr>
          <w:rFonts w:ascii="Arial" w:hAnsi="Arial" w:cs="Arial"/>
          <w:b/>
          <w:bCs/>
          <w:color w:val="222222"/>
          <w:sz w:val="23"/>
          <w:szCs w:val="23"/>
        </w:rPr>
        <w:t>:</w:t>
      </w:r>
      <w:r w:rsidR="00AC011E" w:rsidRPr="00D00E80">
        <w:rPr>
          <w:rFonts w:ascii="Arial" w:hAnsi="Arial" w:cs="Arial"/>
          <w:color w:val="222222"/>
          <w:sz w:val="23"/>
          <w:szCs w:val="23"/>
        </w:rPr>
        <w:t xml:space="preserve"> </w:t>
      </w:r>
      <w:r w:rsidR="003319F3">
        <w:rPr>
          <w:rFonts w:ascii="Arial" w:hAnsi="Arial" w:cs="Arial"/>
          <w:color w:val="222222"/>
          <w:sz w:val="23"/>
          <w:szCs w:val="23"/>
        </w:rPr>
        <w:t>H</w:t>
      </w:r>
      <w:r w:rsidR="00AC011E" w:rsidRPr="00D00E80">
        <w:rPr>
          <w:rFonts w:ascii="Arial" w:hAnsi="Arial" w:cs="Arial"/>
          <w:color w:val="222222"/>
          <w:sz w:val="23"/>
          <w:szCs w:val="23"/>
        </w:rPr>
        <w:t xml:space="preserve">ow do the most recent clinical guidelines for smoking cessation medicines compare to the </w:t>
      </w:r>
      <w:r w:rsidR="0093432F">
        <w:rPr>
          <w:rFonts w:ascii="Arial" w:hAnsi="Arial" w:cs="Arial"/>
          <w:color w:val="222222"/>
          <w:sz w:val="23"/>
          <w:szCs w:val="23"/>
        </w:rPr>
        <w:t xml:space="preserve">current </w:t>
      </w:r>
      <w:r w:rsidR="00AC011E" w:rsidRPr="00D00E80">
        <w:rPr>
          <w:rFonts w:ascii="Arial" w:hAnsi="Arial" w:cs="Arial"/>
          <w:color w:val="222222"/>
          <w:sz w:val="23"/>
          <w:szCs w:val="23"/>
        </w:rPr>
        <w:t>PBS restrictions?</w:t>
      </w:r>
    </w:p>
    <w:p w14:paraId="77F13ED1" w14:textId="30A8554E" w:rsidR="00AC011E" w:rsidRPr="00D00E80" w:rsidRDefault="00B20141" w:rsidP="00D00E80">
      <w:pPr>
        <w:spacing w:after="120"/>
        <w:jc w:val="both"/>
        <w:rPr>
          <w:rFonts w:ascii="Arial" w:hAnsi="Arial" w:cs="Arial"/>
          <w:color w:val="222222"/>
          <w:sz w:val="23"/>
          <w:szCs w:val="23"/>
        </w:rPr>
      </w:pPr>
      <w:r w:rsidRPr="00D00E80">
        <w:rPr>
          <w:rFonts w:ascii="Arial" w:hAnsi="Arial" w:cs="Arial"/>
          <w:b/>
          <w:bCs/>
          <w:color w:val="222222"/>
          <w:sz w:val="23"/>
          <w:szCs w:val="23"/>
        </w:rPr>
        <w:t xml:space="preserve">ToR 2 - </w:t>
      </w:r>
      <w:r w:rsidR="00AC011E" w:rsidRPr="00D00E80">
        <w:rPr>
          <w:rFonts w:ascii="Arial" w:hAnsi="Arial" w:cs="Arial"/>
          <w:b/>
          <w:bCs/>
          <w:color w:val="222222"/>
          <w:sz w:val="23"/>
          <w:szCs w:val="23"/>
        </w:rPr>
        <w:t>Medicine us</w:t>
      </w:r>
      <w:r w:rsidR="004D1289" w:rsidRPr="00D00E80">
        <w:rPr>
          <w:rFonts w:ascii="Arial" w:hAnsi="Arial" w:cs="Arial"/>
          <w:b/>
          <w:bCs/>
          <w:color w:val="222222"/>
          <w:sz w:val="23"/>
          <w:szCs w:val="23"/>
        </w:rPr>
        <w:t>e</w:t>
      </w:r>
      <w:r w:rsidR="00AC011E" w:rsidRPr="00D00E80">
        <w:rPr>
          <w:rFonts w:ascii="Arial" w:hAnsi="Arial" w:cs="Arial"/>
          <w:b/>
          <w:bCs/>
          <w:color w:val="222222"/>
          <w:sz w:val="23"/>
          <w:szCs w:val="23"/>
        </w:rPr>
        <w:t>:</w:t>
      </w:r>
      <w:r w:rsidR="00AC011E" w:rsidRPr="00D00E80">
        <w:rPr>
          <w:rFonts w:ascii="Arial" w:hAnsi="Arial" w:cs="Arial"/>
          <w:color w:val="222222"/>
          <w:sz w:val="23"/>
          <w:szCs w:val="23"/>
        </w:rPr>
        <w:t xml:space="preserve"> </w:t>
      </w:r>
      <w:r w:rsidR="003319F3">
        <w:rPr>
          <w:rFonts w:ascii="Arial" w:hAnsi="Arial" w:cs="Arial"/>
          <w:color w:val="222222"/>
          <w:sz w:val="23"/>
          <w:szCs w:val="23"/>
        </w:rPr>
        <w:t>H</w:t>
      </w:r>
      <w:r w:rsidR="00AC011E" w:rsidRPr="00D00E80">
        <w:rPr>
          <w:rFonts w:ascii="Arial" w:hAnsi="Arial" w:cs="Arial"/>
          <w:color w:val="222222"/>
          <w:sz w:val="23"/>
          <w:szCs w:val="23"/>
        </w:rPr>
        <w:t>ow are smoking cessation</w:t>
      </w:r>
      <w:r w:rsidR="003E173F" w:rsidRPr="00D00E80">
        <w:rPr>
          <w:rFonts w:ascii="Arial" w:hAnsi="Arial" w:cs="Arial"/>
          <w:color w:val="222222"/>
          <w:sz w:val="23"/>
          <w:szCs w:val="23"/>
        </w:rPr>
        <w:t xml:space="preserve"> medicine</w:t>
      </w:r>
      <w:r w:rsidR="00AC011E" w:rsidRPr="00D00E80">
        <w:rPr>
          <w:rFonts w:ascii="Arial" w:hAnsi="Arial" w:cs="Arial"/>
          <w:color w:val="222222"/>
          <w:sz w:val="23"/>
          <w:szCs w:val="23"/>
        </w:rPr>
        <w:t>s used in different patient groups</w:t>
      </w:r>
      <w:r w:rsidR="003319F3">
        <w:rPr>
          <w:rFonts w:ascii="Arial" w:hAnsi="Arial" w:cs="Arial"/>
          <w:color w:val="222222"/>
          <w:sz w:val="23"/>
          <w:szCs w:val="23"/>
        </w:rPr>
        <w:t>?</w:t>
      </w:r>
      <w:r w:rsidR="00AC011E" w:rsidRPr="00D00E80">
        <w:rPr>
          <w:rFonts w:ascii="Arial" w:hAnsi="Arial" w:cs="Arial"/>
          <w:color w:val="222222"/>
          <w:sz w:val="23"/>
          <w:szCs w:val="23"/>
        </w:rPr>
        <w:t xml:space="preserve"> For example, how long are people on </w:t>
      </w:r>
      <w:r w:rsidR="003E173F" w:rsidRPr="00D00E80">
        <w:rPr>
          <w:rFonts w:ascii="Arial" w:hAnsi="Arial" w:cs="Arial"/>
          <w:color w:val="222222"/>
          <w:sz w:val="23"/>
          <w:szCs w:val="23"/>
        </w:rPr>
        <w:t>treatment, how many are combining treatments and wh</w:t>
      </w:r>
      <w:r w:rsidR="00711C93" w:rsidRPr="00D00E80">
        <w:rPr>
          <w:rFonts w:ascii="Arial" w:hAnsi="Arial" w:cs="Arial"/>
          <w:color w:val="222222"/>
          <w:sz w:val="23"/>
          <w:szCs w:val="23"/>
        </w:rPr>
        <w:t>ich</w:t>
      </w:r>
      <w:r w:rsidR="003E173F" w:rsidRPr="00D00E80">
        <w:rPr>
          <w:rFonts w:ascii="Arial" w:hAnsi="Arial" w:cs="Arial"/>
          <w:color w:val="222222"/>
          <w:sz w:val="23"/>
          <w:szCs w:val="23"/>
        </w:rPr>
        <w:t xml:space="preserve"> </w:t>
      </w:r>
      <w:r w:rsidR="0093432F">
        <w:rPr>
          <w:rFonts w:ascii="Arial" w:hAnsi="Arial" w:cs="Arial"/>
          <w:color w:val="222222"/>
          <w:sz w:val="23"/>
          <w:szCs w:val="23"/>
        </w:rPr>
        <w:t xml:space="preserve">medicine </w:t>
      </w:r>
      <w:r w:rsidR="003E173F" w:rsidRPr="00D00E80">
        <w:rPr>
          <w:rFonts w:ascii="Arial" w:hAnsi="Arial" w:cs="Arial"/>
          <w:color w:val="222222"/>
          <w:sz w:val="23"/>
          <w:szCs w:val="23"/>
        </w:rPr>
        <w:t>combinations are being used?</w:t>
      </w:r>
      <w:r w:rsidR="00AC011E" w:rsidRPr="00D00E80">
        <w:rPr>
          <w:rFonts w:ascii="Arial" w:hAnsi="Arial" w:cs="Arial"/>
          <w:color w:val="222222"/>
          <w:sz w:val="23"/>
          <w:szCs w:val="23"/>
        </w:rPr>
        <w:t xml:space="preserve"> </w:t>
      </w:r>
    </w:p>
    <w:p w14:paraId="3639430D" w14:textId="7F3AEC31" w:rsidR="003E173F" w:rsidRPr="00D00E80" w:rsidRDefault="00B20141" w:rsidP="00D00E80">
      <w:pPr>
        <w:spacing w:after="120"/>
        <w:jc w:val="both"/>
        <w:rPr>
          <w:rFonts w:ascii="Arial" w:hAnsi="Arial" w:cs="Arial"/>
          <w:color w:val="222222"/>
          <w:sz w:val="23"/>
          <w:szCs w:val="23"/>
        </w:rPr>
      </w:pPr>
      <w:r w:rsidRPr="00D00E80">
        <w:rPr>
          <w:rFonts w:ascii="Arial" w:hAnsi="Arial" w:cs="Arial"/>
          <w:b/>
          <w:bCs/>
          <w:color w:val="222222"/>
          <w:sz w:val="23"/>
          <w:szCs w:val="23"/>
        </w:rPr>
        <w:t xml:space="preserve">ToR 3 - </w:t>
      </w:r>
      <w:r w:rsidR="003E173F" w:rsidRPr="00D00E80">
        <w:rPr>
          <w:rFonts w:ascii="Arial" w:hAnsi="Arial" w:cs="Arial"/>
          <w:b/>
          <w:bCs/>
          <w:color w:val="222222"/>
          <w:sz w:val="23"/>
          <w:szCs w:val="23"/>
        </w:rPr>
        <w:t>Medicine effectiveness and safety:</w:t>
      </w:r>
      <w:r w:rsidR="003E173F" w:rsidRPr="00D00E80">
        <w:rPr>
          <w:rFonts w:ascii="Arial" w:hAnsi="Arial" w:cs="Arial"/>
          <w:color w:val="222222"/>
          <w:sz w:val="23"/>
          <w:szCs w:val="23"/>
        </w:rPr>
        <w:t xml:space="preserve"> </w:t>
      </w:r>
      <w:r w:rsidR="003319F3">
        <w:rPr>
          <w:rFonts w:ascii="Arial" w:hAnsi="Arial" w:cs="Arial"/>
          <w:color w:val="222222"/>
          <w:sz w:val="23"/>
          <w:szCs w:val="23"/>
        </w:rPr>
        <w:t>H</w:t>
      </w:r>
      <w:r w:rsidR="004D1289" w:rsidRPr="00D00E80">
        <w:rPr>
          <w:rFonts w:ascii="Arial" w:hAnsi="Arial" w:cs="Arial"/>
          <w:color w:val="222222"/>
          <w:sz w:val="23"/>
          <w:szCs w:val="23"/>
        </w:rPr>
        <w:t xml:space="preserve">ow do the various smoking cessation </w:t>
      </w:r>
      <w:r w:rsidR="004B0E16">
        <w:rPr>
          <w:rFonts w:ascii="Arial" w:hAnsi="Arial" w:cs="Arial"/>
          <w:color w:val="222222"/>
          <w:sz w:val="23"/>
          <w:szCs w:val="23"/>
        </w:rPr>
        <w:t>treatments</w:t>
      </w:r>
      <w:r w:rsidR="004D1289" w:rsidRPr="00D00E80">
        <w:rPr>
          <w:rFonts w:ascii="Arial" w:hAnsi="Arial" w:cs="Arial"/>
          <w:color w:val="222222"/>
          <w:sz w:val="23"/>
          <w:szCs w:val="23"/>
        </w:rPr>
        <w:t xml:space="preserve"> compare concerning safety and effectiveness, including those not included on the PBS as combination treatments</w:t>
      </w:r>
      <w:r w:rsidR="00C67F7C">
        <w:rPr>
          <w:rFonts w:ascii="Arial" w:hAnsi="Arial" w:cs="Arial"/>
          <w:color w:val="222222"/>
          <w:sz w:val="23"/>
          <w:szCs w:val="23"/>
        </w:rPr>
        <w:t>?</w:t>
      </w:r>
      <w:r w:rsidR="004D1289" w:rsidRPr="00D00E80">
        <w:rPr>
          <w:rFonts w:ascii="Arial" w:hAnsi="Arial" w:cs="Arial"/>
          <w:color w:val="222222"/>
          <w:sz w:val="23"/>
          <w:szCs w:val="23"/>
        </w:rPr>
        <w:t xml:space="preserve"> </w:t>
      </w:r>
    </w:p>
    <w:p w14:paraId="1E88E002" w14:textId="715C0C62" w:rsidR="000A4DF4" w:rsidRPr="000A4DF4" w:rsidRDefault="00D24B4B" w:rsidP="00D00E80">
      <w:pPr>
        <w:spacing w:after="120"/>
        <w:jc w:val="both"/>
      </w:pPr>
      <w:r w:rsidRPr="00D00E80">
        <w:rPr>
          <w:rFonts w:ascii="Arial" w:hAnsi="Arial" w:cs="Arial"/>
          <w:b/>
          <w:bCs/>
          <w:color w:val="222222"/>
          <w:sz w:val="23"/>
          <w:szCs w:val="23"/>
        </w:rPr>
        <w:t xml:space="preserve">ToR 4 - </w:t>
      </w:r>
      <w:r w:rsidR="004D1289" w:rsidRPr="00D00E80">
        <w:rPr>
          <w:rFonts w:ascii="Arial" w:hAnsi="Arial" w:cs="Arial"/>
          <w:b/>
          <w:bCs/>
          <w:color w:val="222222"/>
          <w:sz w:val="23"/>
          <w:szCs w:val="23"/>
        </w:rPr>
        <w:t xml:space="preserve">Value for </w:t>
      </w:r>
      <w:r w:rsidR="00017861" w:rsidRPr="00D00E80">
        <w:rPr>
          <w:rFonts w:ascii="Arial" w:hAnsi="Arial" w:cs="Arial"/>
          <w:b/>
          <w:bCs/>
          <w:color w:val="222222"/>
          <w:sz w:val="23"/>
          <w:szCs w:val="23"/>
        </w:rPr>
        <w:t>m</w:t>
      </w:r>
      <w:r w:rsidR="004D1289" w:rsidRPr="00D00E80">
        <w:rPr>
          <w:rFonts w:ascii="Arial" w:hAnsi="Arial" w:cs="Arial"/>
          <w:b/>
          <w:bCs/>
          <w:color w:val="222222"/>
          <w:sz w:val="23"/>
          <w:szCs w:val="23"/>
        </w:rPr>
        <w:t>oney:</w:t>
      </w:r>
      <w:r w:rsidR="004D1289" w:rsidRPr="00D00E80">
        <w:rPr>
          <w:rFonts w:ascii="Arial" w:hAnsi="Arial" w:cs="Arial"/>
          <w:color w:val="222222"/>
          <w:sz w:val="23"/>
          <w:szCs w:val="23"/>
        </w:rPr>
        <w:t xml:space="preserve"> </w:t>
      </w:r>
      <w:r w:rsidR="003319F3">
        <w:rPr>
          <w:rFonts w:ascii="Arial" w:hAnsi="Arial" w:cs="Arial"/>
          <w:color w:val="222222"/>
          <w:sz w:val="23"/>
          <w:szCs w:val="23"/>
        </w:rPr>
        <w:t>B</w:t>
      </w:r>
      <w:r w:rsidR="004D1289" w:rsidRPr="00D00E80">
        <w:rPr>
          <w:rFonts w:ascii="Arial" w:hAnsi="Arial" w:cs="Arial"/>
          <w:color w:val="222222"/>
          <w:sz w:val="23"/>
          <w:szCs w:val="23"/>
        </w:rPr>
        <w:t>ased on the findings of the previous questions, are smoking cessation medicines providing value for money?</w:t>
      </w:r>
    </w:p>
    <w:p w14:paraId="66274526" w14:textId="057552D3" w:rsidR="004D1289" w:rsidRPr="009D780D" w:rsidRDefault="009D780D" w:rsidP="004D1289">
      <w:pPr>
        <w:spacing w:after="120"/>
        <w:jc w:val="both"/>
        <w:rPr>
          <w:rFonts w:ascii="Arial" w:hAnsi="Arial" w:cs="Arial"/>
          <w:iCs/>
          <w:color w:val="333333"/>
          <w:sz w:val="24"/>
          <w:szCs w:val="24"/>
          <w:u w:val="single"/>
        </w:rPr>
      </w:pPr>
      <w:r w:rsidRPr="009D780D">
        <w:rPr>
          <w:rFonts w:ascii="Arial" w:hAnsi="Arial" w:cs="Arial"/>
          <w:iCs/>
          <w:color w:val="333333"/>
          <w:sz w:val="24"/>
          <w:szCs w:val="24"/>
          <w:u w:val="single"/>
        </w:rPr>
        <w:t>Smoking cessation medicines included in the Review</w:t>
      </w:r>
    </w:p>
    <w:p w14:paraId="1A1724CA" w14:textId="005D79AC" w:rsidR="009D780D" w:rsidRPr="005A33CD" w:rsidRDefault="009178DB" w:rsidP="00515CF8">
      <w:pPr>
        <w:pStyle w:val="ListParagraph"/>
        <w:numPr>
          <w:ilvl w:val="0"/>
          <w:numId w:val="7"/>
        </w:numPr>
        <w:ind w:left="470" w:hanging="357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</w:t>
      </w:r>
      <w:r w:rsidR="009D780D" w:rsidRPr="005A33CD">
        <w:rPr>
          <w:rFonts w:ascii="Arial" w:hAnsi="Arial" w:cs="Arial"/>
          <w:sz w:val="23"/>
          <w:szCs w:val="23"/>
        </w:rPr>
        <w:t>upropion [Zyban®]</w:t>
      </w:r>
    </w:p>
    <w:p w14:paraId="6242B9E8" w14:textId="409B67E3" w:rsidR="009D780D" w:rsidRPr="005A33CD" w:rsidRDefault="009178DB" w:rsidP="00515CF8">
      <w:pPr>
        <w:pStyle w:val="ListParagraph"/>
        <w:numPr>
          <w:ilvl w:val="0"/>
          <w:numId w:val="7"/>
        </w:numPr>
        <w:ind w:left="470" w:hanging="357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</w:t>
      </w:r>
      <w:r w:rsidR="009D780D" w:rsidRPr="005A33CD">
        <w:rPr>
          <w:rFonts w:ascii="Arial" w:hAnsi="Arial" w:cs="Arial"/>
          <w:sz w:val="23"/>
          <w:szCs w:val="23"/>
        </w:rPr>
        <w:t>arenicline [Champix®]</w:t>
      </w:r>
      <w:r w:rsidR="009D780D" w:rsidRPr="005A33CD">
        <w:rPr>
          <w:rFonts w:ascii="Arial" w:hAnsi="Arial" w:cs="Arial"/>
          <w:color w:val="222222"/>
          <w:sz w:val="23"/>
          <w:szCs w:val="23"/>
        </w:rPr>
        <w:t xml:space="preserve"> </w:t>
      </w:r>
    </w:p>
    <w:p w14:paraId="6652A913" w14:textId="3C8F991D" w:rsidR="00785F63" w:rsidRPr="005A33CD" w:rsidRDefault="009178DB" w:rsidP="00785F63">
      <w:pPr>
        <w:pStyle w:val="ListParagraph"/>
        <w:numPr>
          <w:ilvl w:val="0"/>
          <w:numId w:val="7"/>
        </w:numPr>
        <w:ind w:left="470" w:hanging="357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</w:t>
      </w:r>
      <w:r w:rsidR="009D780D" w:rsidRPr="005A33CD">
        <w:rPr>
          <w:rFonts w:ascii="Arial" w:hAnsi="Arial" w:cs="Arial"/>
          <w:sz w:val="23"/>
          <w:szCs w:val="23"/>
        </w:rPr>
        <w:t>icotine replacement therapy (NRT) – various brands (patch, gum, and lozenge form)</w:t>
      </w:r>
    </w:p>
    <w:p w14:paraId="4CB3C2FD" w14:textId="38A2C4A6" w:rsidR="000A4DF4" w:rsidRPr="00585BB8" w:rsidRDefault="0026591F" w:rsidP="00344DF2">
      <w:pPr>
        <w:pStyle w:val="Heading1"/>
        <w:spacing w:after="120"/>
        <w:jc w:val="both"/>
        <w:rPr>
          <w:rFonts w:ascii="Arial" w:hAnsi="Arial" w:cs="Arial"/>
          <w:b/>
          <w:bCs/>
          <w:snapToGrid w:val="0"/>
          <w:color w:val="4472C4" w:themeColor="accent1"/>
          <w:sz w:val="26"/>
          <w:szCs w:val="26"/>
          <w:lang w:eastAsia="en-US"/>
        </w:rPr>
      </w:pPr>
      <w:r>
        <w:rPr>
          <w:rFonts w:ascii="Arial" w:hAnsi="Arial" w:cs="Arial"/>
          <w:b/>
          <w:bCs/>
          <w:snapToGrid w:val="0"/>
          <w:color w:val="4472C4" w:themeColor="accent1"/>
          <w:sz w:val="26"/>
          <w:szCs w:val="26"/>
          <w:lang w:eastAsia="en-US"/>
        </w:rPr>
        <w:t>R</w:t>
      </w:r>
      <w:r w:rsidR="00952BAD">
        <w:rPr>
          <w:rFonts w:ascii="Arial" w:hAnsi="Arial" w:cs="Arial"/>
          <w:b/>
          <w:bCs/>
          <w:snapToGrid w:val="0"/>
          <w:color w:val="4472C4" w:themeColor="accent1"/>
          <w:sz w:val="26"/>
          <w:szCs w:val="26"/>
          <w:lang w:eastAsia="en-US"/>
        </w:rPr>
        <w:t>eview</w:t>
      </w:r>
      <w:r>
        <w:rPr>
          <w:rFonts w:ascii="Arial" w:hAnsi="Arial" w:cs="Arial"/>
          <w:b/>
          <w:bCs/>
          <w:snapToGrid w:val="0"/>
          <w:color w:val="4472C4" w:themeColor="accent1"/>
          <w:sz w:val="26"/>
          <w:szCs w:val="26"/>
          <w:lang w:eastAsia="en-US"/>
        </w:rPr>
        <w:t xml:space="preserve"> key findings</w:t>
      </w:r>
    </w:p>
    <w:p w14:paraId="2CD05E8D" w14:textId="0B5C1DF2" w:rsidR="005A33CD" w:rsidRDefault="009D780D" w:rsidP="0026591F">
      <w:pPr>
        <w:spacing w:after="120"/>
        <w:jc w:val="both"/>
        <w:rPr>
          <w:rFonts w:ascii="Arial" w:hAnsi="Arial" w:cs="Arial"/>
          <w:color w:val="222222"/>
          <w:sz w:val="24"/>
          <w:szCs w:val="24"/>
        </w:rPr>
      </w:pPr>
      <w:r w:rsidRPr="005A33CD">
        <w:rPr>
          <w:rFonts w:ascii="Arial" w:hAnsi="Arial" w:cs="Arial"/>
          <w:color w:val="222222"/>
          <w:sz w:val="23"/>
          <w:szCs w:val="23"/>
        </w:rPr>
        <w:t xml:space="preserve">The </w:t>
      </w:r>
      <w:r w:rsidR="001B1BB9">
        <w:rPr>
          <w:rFonts w:ascii="Arial" w:hAnsi="Arial" w:cs="Arial"/>
          <w:color w:val="222222"/>
          <w:sz w:val="23"/>
          <w:szCs w:val="23"/>
        </w:rPr>
        <w:t xml:space="preserve">key </w:t>
      </w:r>
      <w:r w:rsidR="00D825AD">
        <w:rPr>
          <w:rFonts w:ascii="Arial" w:hAnsi="Arial" w:cs="Arial"/>
          <w:color w:val="222222"/>
          <w:sz w:val="23"/>
          <w:szCs w:val="23"/>
        </w:rPr>
        <w:t>findings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</w:t>
      </w:r>
      <w:r w:rsidR="00D825AD">
        <w:rPr>
          <w:rFonts w:ascii="Arial" w:hAnsi="Arial" w:cs="Arial"/>
          <w:color w:val="222222"/>
          <w:sz w:val="23"/>
          <w:szCs w:val="23"/>
        </w:rPr>
        <w:t>from</w:t>
      </w:r>
      <w:r w:rsidR="00D825AD" w:rsidRPr="005A33CD">
        <w:rPr>
          <w:rFonts w:ascii="Arial" w:hAnsi="Arial" w:cs="Arial"/>
          <w:color w:val="222222"/>
          <w:sz w:val="23"/>
          <w:szCs w:val="23"/>
        </w:rPr>
        <w:t xml:space="preserve"> 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the </w:t>
      </w:r>
      <w:r w:rsidR="00567059">
        <w:rPr>
          <w:rFonts w:ascii="Arial" w:hAnsi="Arial" w:cs="Arial"/>
          <w:color w:val="222222"/>
          <w:sz w:val="23"/>
          <w:szCs w:val="23"/>
        </w:rPr>
        <w:t>Review</w:t>
      </w:r>
      <w:r w:rsidR="00952BAD">
        <w:rPr>
          <w:rFonts w:ascii="Arial" w:hAnsi="Arial" w:cs="Arial"/>
          <w:color w:val="222222"/>
          <w:sz w:val="23"/>
          <w:szCs w:val="23"/>
        </w:rPr>
        <w:t xml:space="preserve"> are summarised below for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each of the four </w:t>
      </w:r>
      <w:r w:rsidR="00131408">
        <w:rPr>
          <w:rFonts w:ascii="Arial" w:hAnsi="Arial" w:cs="Arial"/>
          <w:color w:val="222222"/>
          <w:sz w:val="23"/>
          <w:szCs w:val="23"/>
        </w:rPr>
        <w:t>T</w:t>
      </w:r>
      <w:r w:rsidR="00D24B4B">
        <w:rPr>
          <w:rFonts w:ascii="Arial" w:hAnsi="Arial" w:cs="Arial"/>
          <w:color w:val="222222"/>
          <w:sz w:val="23"/>
          <w:szCs w:val="23"/>
        </w:rPr>
        <w:t>oRs</w:t>
      </w:r>
      <w:r w:rsidR="00952BAD">
        <w:rPr>
          <w:rFonts w:ascii="Arial" w:hAnsi="Arial" w:cs="Arial"/>
          <w:color w:val="222222"/>
          <w:sz w:val="23"/>
          <w:szCs w:val="23"/>
        </w:rPr>
        <w:t>.</w:t>
      </w:r>
    </w:p>
    <w:p w14:paraId="614B1A1A" w14:textId="5F51CD13" w:rsidR="009D780D" w:rsidRPr="00D00E80" w:rsidRDefault="00D24B4B" w:rsidP="0026591F">
      <w:pPr>
        <w:spacing w:after="120"/>
        <w:jc w:val="both"/>
        <w:rPr>
          <w:rFonts w:ascii="Arial" w:hAnsi="Arial" w:cs="Arial"/>
          <w:b/>
          <w:bCs/>
          <w:color w:val="222222"/>
          <w:sz w:val="23"/>
          <w:szCs w:val="23"/>
        </w:rPr>
      </w:pPr>
      <w:r w:rsidRPr="00D00E80">
        <w:rPr>
          <w:rFonts w:ascii="Arial" w:hAnsi="Arial" w:cs="Arial"/>
          <w:b/>
          <w:bCs/>
          <w:color w:val="222222"/>
          <w:sz w:val="23"/>
          <w:szCs w:val="23"/>
        </w:rPr>
        <w:t xml:space="preserve">ToR </w:t>
      </w:r>
      <w:r w:rsidR="009D780D" w:rsidRPr="00D00E80">
        <w:rPr>
          <w:rFonts w:ascii="Arial" w:hAnsi="Arial" w:cs="Arial"/>
          <w:b/>
          <w:bCs/>
          <w:color w:val="222222"/>
          <w:sz w:val="23"/>
          <w:szCs w:val="23"/>
        </w:rPr>
        <w:t>1 – Treatment guidelines</w:t>
      </w:r>
    </w:p>
    <w:p w14:paraId="281DABCD" w14:textId="42D5DC43" w:rsidR="009D780D" w:rsidRPr="005A33CD" w:rsidRDefault="0004507A" w:rsidP="0026591F">
      <w:pPr>
        <w:spacing w:after="120"/>
        <w:jc w:val="both"/>
        <w:rPr>
          <w:rFonts w:ascii="Arial" w:hAnsi="Arial" w:cs="Arial"/>
          <w:color w:val="222222"/>
          <w:sz w:val="23"/>
          <w:szCs w:val="23"/>
        </w:rPr>
      </w:pPr>
      <w:r w:rsidRPr="005A33CD">
        <w:rPr>
          <w:rFonts w:ascii="Arial" w:hAnsi="Arial" w:cs="Arial"/>
          <w:color w:val="222222"/>
          <w:sz w:val="23"/>
          <w:szCs w:val="23"/>
        </w:rPr>
        <w:t xml:space="preserve">Australian and international smoking cessation treatment guidelines </w:t>
      </w:r>
      <w:r w:rsidR="00711C93" w:rsidRPr="005A33CD">
        <w:rPr>
          <w:rFonts w:ascii="Arial" w:hAnsi="Arial" w:cs="Arial"/>
          <w:color w:val="222222"/>
          <w:sz w:val="23"/>
          <w:szCs w:val="23"/>
        </w:rPr>
        <w:t xml:space="preserve">generally </w:t>
      </w:r>
      <w:r w:rsidR="00567059">
        <w:rPr>
          <w:rFonts w:ascii="Arial" w:hAnsi="Arial" w:cs="Arial"/>
          <w:color w:val="222222"/>
          <w:sz w:val="23"/>
          <w:szCs w:val="23"/>
        </w:rPr>
        <w:t>aligned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with </w:t>
      </w:r>
      <w:r w:rsidR="00FC676A">
        <w:rPr>
          <w:rFonts w:ascii="Arial" w:hAnsi="Arial" w:cs="Arial"/>
          <w:color w:val="222222"/>
          <w:sz w:val="23"/>
          <w:szCs w:val="23"/>
        </w:rPr>
        <w:t>PBS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</w:t>
      </w:r>
      <w:r w:rsidR="0093432F">
        <w:rPr>
          <w:rFonts w:ascii="Arial" w:hAnsi="Arial" w:cs="Arial"/>
          <w:color w:val="222222"/>
          <w:sz w:val="23"/>
          <w:szCs w:val="23"/>
        </w:rPr>
        <w:t>restrictions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and dosing for the</w:t>
      </w:r>
      <w:r w:rsidR="00567059">
        <w:rPr>
          <w:rFonts w:ascii="Arial" w:hAnsi="Arial" w:cs="Arial"/>
          <w:color w:val="222222"/>
          <w:sz w:val="23"/>
          <w:szCs w:val="23"/>
        </w:rPr>
        <w:t>se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medicines. However, there were some differences:</w:t>
      </w:r>
    </w:p>
    <w:p w14:paraId="39CE9511" w14:textId="283472B0" w:rsidR="0004507A" w:rsidRPr="005A33CD" w:rsidRDefault="0004507A" w:rsidP="00515CF8">
      <w:pPr>
        <w:pStyle w:val="ListParagraph"/>
        <w:numPr>
          <w:ilvl w:val="0"/>
          <w:numId w:val="8"/>
        </w:numPr>
        <w:spacing w:after="120"/>
        <w:ind w:left="470" w:hanging="357"/>
        <w:jc w:val="both"/>
        <w:rPr>
          <w:rFonts w:ascii="Arial" w:hAnsi="Arial" w:cs="Arial"/>
          <w:color w:val="222222"/>
          <w:sz w:val="23"/>
          <w:szCs w:val="23"/>
        </w:rPr>
      </w:pPr>
      <w:r w:rsidRPr="005A33CD">
        <w:rPr>
          <w:rFonts w:ascii="Arial" w:hAnsi="Arial" w:cs="Arial"/>
          <w:color w:val="222222"/>
          <w:sz w:val="23"/>
          <w:szCs w:val="23"/>
        </w:rPr>
        <w:lastRenderedPageBreak/>
        <w:t>Treatment guidelines recommend the use of two forms of NRT at once</w:t>
      </w:r>
      <w:r w:rsidR="001A7FEC">
        <w:rPr>
          <w:rFonts w:ascii="Arial" w:hAnsi="Arial" w:cs="Arial"/>
          <w:color w:val="222222"/>
          <w:sz w:val="23"/>
          <w:szCs w:val="23"/>
        </w:rPr>
        <w:t xml:space="preserve"> however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the current PBS restriction</w:t>
      </w:r>
      <w:r w:rsidR="00017861">
        <w:rPr>
          <w:rFonts w:ascii="Arial" w:hAnsi="Arial" w:cs="Arial"/>
          <w:color w:val="222222"/>
          <w:sz w:val="23"/>
          <w:szCs w:val="23"/>
        </w:rPr>
        <w:t>s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do not.</w:t>
      </w:r>
    </w:p>
    <w:p w14:paraId="55F98C8C" w14:textId="20750049" w:rsidR="0004507A" w:rsidRPr="005A33CD" w:rsidRDefault="0004507A" w:rsidP="00515CF8">
      <w:pPr>
        <w:pStyle w:val="ListParagraph"/>
        <w:numPr>
          <w:ilvl w:val="0"/>
          <w:numId w:val="8"/>
        </w:numPr>
        <w:spacing w:after="120"/>
        <w:ind w:left="470" w:hanging="357"/>
        <w:jc w:val="both"/>
        <w:rPr>
          <w:rFonts w:ascii="Arial" w:hAnsi="Arial" w:cs="Arial"/>
          <w:color w:val="222222"/>
          <w:sz w:val="23"/>
          <w:szCs w:val="23"/>
        </w:rPr>
      </w:pPr>
      <w:r w:rsidRPr="005A33CD">
        <w:rPr>
          <w:rFonts w:ascii="Arial" w:hAnsi="Arial" w:cs="Arial"/>
          <w:color w:val="222222"/>
          <w:sz w:val="23"/>
          <w:szCs w:val="23"/>
        </w:rPr>
        <w:t xml:space="preserve">Treatment guidelines recommend longer courses of </w:t>
      </w:r>
      <w:r w:rsidR="003319F3">
        <w:rPr>
          <w:rFonts w:ascii="Arial" w:hAnsi="Arial" w:cs="Arial"/>
          <w:color w:val="222222"/>
          <w:sz w:val="23"/>
          <w:szCs w:val="23"/>
        </w:rPr>
        <w:t>NRT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compared to the 12 weeks permitted by the PBS</w:t>
      </w:r>
      <w:r w:rsidR="005A33CD" w:rsidRPr="005A33CD">
        <w:rPr>
          <w:rFonts w:ascii="Arial" w:hAnsi="Arial" w:cs="Arial"/>
          <w:color w:val="222222"/>
          <w:sz w:val="23"/>
          <w:szCs w:val="23"/>
        </w:rPr>
        <w:t>.</w:t>
      </w:r>
    </w:p>
    <w:p w14:paraId="371A9332" w14:textId="7A149458" w:rsidR="0004507A" w:rsidRPr="005A33CD" w:rsidRDefault="0004507A" w:rsidP="00515CF8">
      <w:pPr>
        <w:pStyle w:val="ListParagraph"/>
        <w:numPr>
          <w:ilvl w:val="0"/>
          <w:numId w:val="8"/>
        </w:numPr>
        <w:spacing w:after="120"/>
        <w:ind w:left="470" w:hanging="357"/>
        <w:jc w:val="both"/>
        <w:rPr>
          <w:rFonts w:ascii="Arial" w:hAnsi="Arial" w:cs="Arial"/>
          <w:color w:val="222222"/>
          <w:sz w:val="23"/>
          <w:szCs w:val="23"/>
        </w:rPr>
      </w:pPr>
      <w:r w:rsidRPr="005A33CD">
        <w:rPr>
          <w:rFonts w:ascii="Arial" w:hAnsi="Arial" w:cs="Arial"/>
          <w:color w:val="222222"/>
          <w:sz w:val="23"/>
          <w:szCs w:val="23"/>
        </w:rPr>
        <w:t xml:space="preserve">NRT </w:t>
      </w:r>
      <w:r w:rsidR="00B47695">
        <w:rPr>
          <w:rFonts w:ascii="Arial" w:hAnsi="Arial" w:cs="Arial"/>
          <w:color w:val="222222"/>
          <w:sz w:val="23"/>
          <w:szCs w:val="23"/>
        </w:rPr>
        <w:t>‘</w:t>
      </w:r>
      <w:r w:rsidRPr="005A33CD">
        <w:rPr>
          <w:rFonts w:ascii="Arial" w:hAnsi="Arial" w:cs="Arial"/>
          <w:color w:val="222222"/>
          <w:sz w:val="23"/>
          <w:szCs w:val="23"/>
        </w:rPr>
        <w:t>double-patching’</w:t>
      </w:r>
      <w:r w:rsidR="00CC39C7">
        <w:rPr>
          <w:rFonts w:ascii="Arial" w:hAnsi="Arial" w:cs="Arial"/>
          <w:color w:val="222222"/>
          <w:sz w:val="23"/>
          <w:szCs w:val="23"/>
        </w:rPr>
        <w:t xml:space="preserve"> </w:t>
      </w:r>
      <w:r w:rsidRPr="005A33CD">
        <w:rPr>
          <w:rFonts w:ascii="Arial" w:hAnsi="Arial" w:cs="Arial"/>
          <w:color w:val="222222"/>
          <w:sz w:val="23"/>
          <w:szCs w:val="23"/>
        </w:rPr>
        <w:t>(using two NRT patches at once)</w:t>
      </w:r>
      <w:r w:rsidR="00711C93" w:rsidRPr="005A33CD">
        <w:rPr>
          <w:rFonts w:ascii="Arial" w:hAnsi="Arial" w:cs="Arial"/>
          <w:color w:val="222222"/>
          <w:sz w:val="23"/>
          <w:szCs w:val="23"/>
        </w:rPr>
        <w:t xml:space="preserve"> and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‘cut-down to quit’</w:t>
      </w:r>
      <w:r w:rsidR="007F3497">
        <w:rPr>
          <w:rFonts w:ascii="Arial" w:hAnsi="Arial" w:cs="Arial"/>
          <w:color w:val="222222"/>
          <w:sz w:val="23"/>
          <w:szCs w:val="23"/>
        </w:rPr>
        <w:t xml:space="preserve"> dosing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(using NRT to reduce cigarette smoking or prepare </w:t>
      </w:r>
      <w:r w:rsidR="005A33CD" w:rsidRPr="005A33CD">
        <w:rPr>
          <w:rFonts w:ascii="Arial" w:hAnsi="Arial" w:cs="Arial"/>
          <w:color w:val="222222"/>
          <w:sz w:val="23"/>
          <w:szCs w:val="23"/>
        </w:rPr>
        <w:t>to quit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) were recommended in treatment guidelines but </w:t>
      </w:r>
      <w:r w:rsidR="001A7FEC">
        <w:rPr>
          <w:rFonts w:ascii="Arial" w:hAnsi="Arial" w:cs="Arial"/>
          <w:color w:val="222222"/>
          <w:sz w:val="23"/>
          <w:szCs w:val="23"/>
        </w:rPr>
        <w:t xml:space="preserve">are </w:t>
      </w:r>
      <w:r w:rsidRPr="005A33CD">
        <w:rPr>
          <w:rFonts w:ascii="Arial" w:hAnsi="Arial" w:cs="Arial"/>
          <w:color w:val="222222"/>
          <w:sz w:val="23"/>
          <w:szCs w:val="23"/>
        </w:rPr>
        <w:t>not possible with the current PBS quantities and repeats</w:t>
      </w:r>
      <w:r w:rsidR="005A33CD" w:rsidRPr="005A33CD">
        <w:rPr>
          <w:rFonts w:ascii="Arial" w:hAnsi="Arial" w:cs="Arial"/>
          <w:color w:val="222222"/>
          <w:sz w:val="23"/>
          <w:szCs w:val="23"/>
        </w:rPr>
        <w:t>.</w:t>
      </w:r>
    </w:p>
    <w:p w14:paraId="52C947B3" w14:textId="24C746D6" w:rsidR="0004507A" w:rsidRPr="00FC676A" w:rsidRDefault="0004507A" w:rsidP="0004507A">
      <w:pPr>
        <w:spacing w:after="120"/>
        <w:jc w:val="both"/>
        <w:rPr>
          <w:rFonts w:ascii="Arial" w:hAnsi="Arial" w:cs="Arial"/>
          <w:color w:val="222222"/>
          <w:sz w:val="10"/>
          <w:szCs w:val="10"/>
        </w:rPr>
      </w:pPr>
      <w:r w:rsidRPr="005A33CD">
        <w:rPr>
          <w:rFonts w:ascii="Arial" w:hAnsi="Arial" w:cs="Arial"/>
          <w:sz w:val="23"/>
          <w:szCs w:val="23"/>
        </w:rPr>
        <w:t xml:space="preserve">The current PBS restriction </w:t>
      </w:r>
      <w:r w:rsidR="00453E1C">
        <w:rPr>
          <w:rFonts w:ascii="Arial" w:hAnsi="Arial" w:cs="Arial"/>
          <w:sz w:val="23"/>
          <w:szCs w:val="23"/>
        </w:rPr>
        <w:t xml:space="preserve">that requires </w:t>
      </w:r>
      <w:r w:rsidRPr="005A33CD">
        <w:rPr>
          <w:rFonts w:ascii="Arial" w:hAnsi="Arial" w:cs="Arial"/>
          <w:sz w:val="23"/>
          <w:szCs w:val="23"/>
        </w:rPr>
        <w:t>a six-month gap between starting one quit attempt with bupropion followed by a</w:t>
      </w:r>
      <w:r w:rsidR="00567059">
        <w:rPr>
          <w:rFonts w:ascii="Arial" w:hAnsi="Arial" w:cs="Arial"/>
          <w:sz w:val="23"/>
          <w:szCs w:val="23"/>
        </w:rPr>
        <w:t>nother</w:t>
      </w:r>
      <w:r w:rsidRPr="005A33CD">
        <w:rPr>
          <w:rFonts w:ascii="Arial" w:hAnsi="Arial" w:cs="Arial"/>
          <w:sz w:val="23"/>
          <w:szCs w:val="23"/>
        </w:rPr>
        <w:t xml:space="preserve"> quit attempt with varenicline (or vice versa) is not reflected in the guidelines. Overall, guidelines differed in their recommendations </w:t>
      </w:r>
      <w:r w:rsidR="001A7FEC">
        <w:rPr>
          <w:rFonts w:ascii="Arial" w:hAnsi="Arial" w:cs="Arial"/>
          <w:sz w:val="23"/>
          <w:szCs w:val="23"/>
        </w:rPr>
        <w:t>for</w:t>
      </w:r>
      <w:r w:rsidR="008B2CC5" w:rsidRPr="005A33CD">
        <w:rPr>
          <w:rFonts w:ascii="Arial" w:hAnsi="Arial" w:cs="Arial"/>
          <w:sz w:val="23"/>
          <w:szCs w:val="23"/>
        </w:rPr>
        <w:t xml:space="preserve"> the use of bupropion and varenicline in combination (the United Kingdom guidelines advise against this) and the combination of either of these medicines with NRT. </w:t>
      </w:r>
    </w:p>
    <w:p w14:paraId="2C9D2CE7" w14:textId="267FF54D" w:rsidR="004A53BC" w:rsidRPr="00D00E80" w:rsidRDefault="00D24B4B" w:rsidP="00D00E80">
      <w:pPr>
        <w:spacing w:after="120"/>
        <w:jc w:val="both"/>
        <w:rPr>
          <w:rFonts w:ascii="Arial" w:hAnsi="Arial" w:cs="Arial"/>
          <w:b/>
          <w:bCs/>
          <w:color w:val="222222"/>
          <w:sz w:val="23"/>
          <w:szCs w:val="23"/>
        </w:rPr>
      </w:pPr>
      <w:r w:rsidRPr="00D00E80">
        <w:rPr>
          <w:rFonts w:ascii="Arial" w:hAnsi="Arial" w:cs="Arial"/>
          <w:b/>
          <w:bCs/>
          <w:color w:val="222222"/>
          <w:sz w:val="23"/>
          <w:szCs w:val="23"/>
        </w:rPr>
        <w:t xml:space="preserve">ToR </w:t>
      </w:r>
      <w:r w:rsidR="004A53BC" w:rsidRPr="00D00E80">
        <w:rPr>
          <w:rFonts w:ascii="Arial" w:hAnsi="Arial" w:cs="Arial"/>
          <w:b/>
          <w:bCs/>
          <w:color w:val="222222"/>
          <w:sz w:val="23"/>
          <w:szCs w:val="23"/>
        </w:rPr>
        <w:t>2</w:t>
      </w:r>
      <w:r w:rsidR="00515CF8" w:rsidRPr="00D00E80"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r w:rsidR="004A53BC" w:rsidRPr="00D00E80">
        <w:rPr>
          <w:rFonts w:ascii="Arial" w:hAnsi="Arial" w:cs="Arial"/>
          <w:b/>
          <w:bCs/>
          <w:color w:val="222222"/>
          <w:sz w:val="23"/>
          <w:szCs w:val="23"/>
        </w:rPr>
        <w:t>– Medicine use</w:t>
      </w:r>
    </w:p>
    <w:p w14:paraId="2FE87324" w14:textId="1D6A6DED" w:rsidR="00FC676A" w:rsidRDefault="0089795E" w:rsidP="00FC676A">
      <w:pPr>
        <w:spacing w:after="120"/>
        <w:jc w:val="both"/>
        <w:rPr>
          <w:rFonts w:ascii="Arial" w:hAnsi="Arial" w:cs="Arial"/>
          <w:color w:val="222222"/>
          <w:sz w:val="23"/>
          <w:szCs w:val="23"/>
        </w:rPr>
      </w:pPr>
      <w:r w:rsidRPr="005A33CD">
        <w:rPr>
          <w:rFonts w:ascii="Arial" w:hAnsi="Arial" w:cs="Arial"/>
          <w:color w:val="222222"/>
          <w:sz w:val="23"/>
          <w:szCs w:val="23"/>
        </w:rPr>
        <w:t xml:space="preserve">The </w:t>
      </w:r>
      <w:r w:rsidR="004A53BC" w:rsidRPr="005A33CD">
        <w:rPr>
          <w:rFonts w:ascii="Arial" w:hAnsi="Arial" w:cs="Arial"/>
          <w:color w:val="222222"/>
          <w:sz w:val="23"/>
          <w:szCs w:val="23"/>
        </w:rPr>
        <w:t>Review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</w:t>
      </w:r>
      <w:r w:rsidRPr="005A33CD">
        <w:rPr>
          <w:rFonts w:ascii="Arial" w:hAnsi="Arial" w:cs="Arial"/>
          <w:sz w:val="23"/>
          <w:szCs w:val="23"/>
        </w:rPr>
        <w:t>found that</w:t>
      </w:r>
      <w:r w:rsidRPr="005A33CD">
        <w:rPr>
          <w:rFonts w:ascii="Arial" w:hAnsi="Arial" w:cs="Arial"/>
          <w:sz w:val="23"/>
          <w:szCs w:val="23"/>
          <w:lang w:eastAsia="en-US"/>
        </w:rPr>
        <w:t xml:space="preserve"> 265,544 people (1.2% of the Australian population) were dispensed 542,492 PBS prescriptions for smoking cessation medicines in financial year 2019/2020, at a cost to the Commonwealth of $36 million.</w:t>
      </w:r>
      <w:r w:rsidR="005A33CD" w:rsidRPr="005A33CD">
        <w:rPr>
          <w:rFonts w:ascii="Arial" w:hAnsi="Arial" w:cs="Arial"/>
          <w:sz w:val="23"/>
          <w:szCs w:val="23"/>
          <w:lang w:eastAsia="en-US"/>
        </w:rPr>
        <w:t xml:space="preserve"> 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Varenicline was the most prescribed of the </w:t>
      </w:r>
      <w:r w:rsidR="00453E1C">
        <w:rPr>
          <w:rFonts w:ascii="Arial" w:hAnsi="Arial" w:cs="Arial"/>
          <w:color w:val="222222"/>
          <w:sz w:val="23"/>
          <w:szCs w:val="23"/>
        </w:rPr>
        <w:t xml:space="preserve">PBS 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medicines (56%) followed by NRT (43%) and </w:t>
      </w:r>
      <w:r w:rsidR="007F3497" w:rsidRPr="005A33CD">
        <w:rPr>
          <w:rFonts w:ascii="Arial" w:hAnsi="Arial" w:cs="Arial"/>
          <w:color w:val="222222"/>
          <w:sz w:val="23"/>
          <w:szCs w:val="23"/>
        </w:rPr>
        <w:t>bupropion</w:t>
      </w:r>
      <w:r w:rsidRPr="005A33CD">
        <w:rPr>
          <w:rFonts w:ascii="Arial" w:hAnsi="Arial" w:cs="Arial"/>
          <w:color w:val="222222"/>
          <w:sz w:val="23"/>
          <w:szCs w:val="23"/>
        </w:rPr>
        <w:t xml:space="preserve"> (1%).</w:t>
      </w:r>
    </w:p>
    <w:p w14:paraId="6CB609E0" w14:textId="19BA9226" w:rsidR="00FC676A" w:rsidRDefault="0089795E" w:rsidP="00FC676A">
      <w:pPr>
        <w:spacing w:after="120"/>
        <w:jc w:val="both"/>
        <w:rPr>
          <w:rFonts w:ascii="Arial" w:hAnsi="Arial" w:cs="Arial"/>
          <w:color w:val="222222"/>
          <w:sz w:val="23"/>
          <w:szCs w:val="23"/>
        </w:rPr>
      </w:pPr>
      <w:r w:rsidRPr="005A33CD">
        <w:rPr>
          <w:rFonts w:ascii="Arial" w:hAnsi="Arial" w:cs="Arial"/>
          <w:sz w:val="23"/>
          <w:szCs w:val="23"/>
          <w:lang w:eastAsia="en-US"/>
        </w:rPr>
        <w:t>In 2019</w:t>
      </w:r>
      <w:r w:rsidR="001F2B7D">
        <w:rPr>
          <w:rFonts w:ascii="Arial" w:hAnsi="Arial" w:cs="Arial"/>
          <w:sz w:val="23"/>
          <w:szCs w:val="23"/>
          <w:lang w:eastAsia="en-US"/>
        </w:rPr>
        <w:t>,</w:t>
      </w:r>
      <w:r w:rsidRPr="005A33CD">
        <w:rPr>
          <w:rFonts w:ascii="Arial" w:hAnsi="Arial" w:cs="Arial"/>
          <w:sz w:val="23"/>
          <w:szCs w:val="23"/>
          <w:lang w:eastAsia="en-US"/>
        </w:rPr>
        <w:t xml:space="preserve"> PBS-subsidised NRT accounted for 7% of all NRT use</w:t>
      </w:r>
      <w:r w:rsidR="005A33CD" w:rsidRPr="005A33CD">
        <w:rPr>
          <w:rFonts w:ascii="Arial" w:hAnsi="Arial" w:cs="Arial"/>
          <w:sz w:val="23"/>
          <w:szCs w:val="23"/>
          <w:lang w:eastAsia="en-US"/>
        </w:rPr>
        <w:t>,</w:t>
      </w:r>
      <w:r w:rsidRPr="005A33CD">
        <w:rPr>
          <w:rFonts w:ascii="Arial" w:hAnsi="Arial" w:cs="Arial"/>
          <w:sz w:val="23"/>
          <w:szCs w:val="23"/>
          <w:lang w:eastAsia="en-US"/>
        </w:rPr>
        <w:t xml:space="preserve"> the majority (94%) of these being nicotine patches. The remaining </w:t>
      </w:r>
      <w:r w:rsidR="0093432F">
        <w:rPr>
          <w:rFonts w:ascii="Arial" w:hAnsi="Arial" w:cs="Arial"/>
          <w:sz w:val="23"/>
          <w:szCs w:val="23"/>
          <w:lang w:eastAsia="en-US"/>
        </w:rPr>
        <w:t xml:space="preserve">use of </w:t>
      </w:r>
      <w:r w:rsidRPr="005A33CD">
        <w:rPr>
          <w:rFonts w:ascii="Arial" w:hAnsi="Arial" w:cs="Arial"/>
          <w:sz w:val="23"/>
          <w:szCs w:val="23"/>
          <w:lang w:eastAsia="en-US"/>
        </w:rPr>
        <w:t xml:space="preserve">NRT </w:t>
      </w:r>
      <w:r w:rsidR="0093432F">
        <w:rPr>
          <w:rFonts w:ascii="Arial" w:hAnsi="Arial" w:cs="Arial"/>
          <w:sz w:val="23"/>
          <w:szCs w:val="23"/>
          <w:lang w:eastAsia="en-US"/>
        </w:rPr>
        <w:t xml:space="preserve">was </w:t>
      </w:r>
      <w:r w:rsidR="004A53BC" w:rsidRPr="005A33CD">
        <w:rPr>
          <w:rFonts w:ascii="Arial" w:hAnsi="Arial" w:cs="Arial"/>
          <w:sz w:val="23"/>
          <w:szCs w:val="23"/>
          <w:lang w:eastAsia="en-US"/>
        </w:rPr>
        <w:t xml:space="preserve">primarily nicotine gum products </w:t>
      </w:r>
      <w:r w:rsidR="0093432F">
        <w:rPr>
          <w:rFonts w:ascii="Arial" w:hAnsi="Arial" w:cs="Arial"/>
          <w:sz w:val="23"/>
          <w:szCs w:val="23"/>
          <w:lang w:eastAsia="en-US"/>
        </w:rPr>
        <w:t xml:space="preserve">that </w:t>
      </w:r>
      <w:r w:rsidR="004A53BC" w:rsidRPr="005A33CD">
        <w:rPr>
          <w:rFonts w:ascii="Arial" w:hAnsi="Arial" w:cs="Arial"/>
          <w:sz w:val="23"/>
          <w:szCs w:val="23"/>
          <w:lang w:eastAsia="en-US"/>
        </w:rPr>
        <w:t>were</w:t>
      </w:r>
      <w:r w:rsidRPr="005A33CD">
        <w:rPr>
          <w:rFonts w:ascii="Arial" w:hAnsi="Arial" w:cs="Arial"/>
          <w:sz w:val="23"/>
          <w:szCs w:val="23"/>
          <w:lang w:eastAsia="en-US"/>
        </w:rPr>
        <w:t xml:space="preserve"> </w:t>
      </w:r>
      <w:r w:rsidR="0093432F">
        <w:rPr>
          <w:rFonts w:ascii="Arial" w:hAnsi="Arial" w:cs="Arial"/>
          <w:sz w:val="23"/>
          <w:szCs w:val="23"/>
          <w:lang w:eastAsia="en-US"/>
        </w:rPr>
        <w:t xml:space="preserve">purchased privately </w:t>
      </w:r>
      <w:r w:rsidRPr="005A33CD">
        <w:rPr>
          <w:rFonts w:ascii="Arial" w:hAnsi="Arial" w:cs="Arial"/>
          <w:sz w:val="23"/>
          <w:szCs w:val="23"/>
          <w:lang w:eastAsia="en-US"/>
        </w:rPr>
        <w:t>from over-the-counter (OTC) access.</w:t>
      </w:r>
      <w:r w:rsidRPr="005A33CD">
        <w:rPr>
          <w:rFonts w:ascii="Calibri" w:hAnsi="Calibri" w:cs="Calibri"/>
          <w:sz w:val="23"/>
          <w:szCs w:val="23"/>
          <w:lang w:eastAsia="en-US"/>
        </w:rPr>
        <w:t xml:space="preserve"> </w:t>
      </w:r>
    </w:p>
    <w:p w14:paraId="5124362A" w14:textId="50AA5933" w:rsidR="0004507A" w:rsidRPr="00FC676A" w:rsidRDefault="004A53BC" w:rsidP="004D1289">
      <w:pPr>
        <w:spacing w:after="120"/>
        <w:jc w:val="both"/>
        <w:rPr>
          <w:rFonts w:ascii="Arial" w:hAnsi="Arial" w:cs="Arial"/>
          <w:color w:val="222222"/>
          <w:sz w:val="10"/>
          <w:szCs w:val="10"/>
        </w:rPr>
      </w:pPr>
      <w:r w:rsidRPr="005A33CD">
        <w:rPr>
          <w:rFonts w:ascii="Arial" w:hAnsi="Arial" w:cs="Arial"/>
          <w:sz w:val="23"/>
          <w:szCs w:val="23"/>
          <w:lang w:eastAsia="en-US"/>
        </w:rPr>
        <w:t xml:space="preserve">In 2019, approximately 52,000 people (1.8% of smokers aged 14 years and over) contacted Quitline. This suggested a low uptake of counselling services compared to the </w:t>
      </w:r>
      <w:r w:rsidR="0093432F">
        <w:rPr>
          <w:rFonts w:ascii="Arial" w:hAnsi="Arial" w:cs="Arial"/>
          <w:sz w:val="23"/>
          <w:szCs w:val="23"/>
          <w:lang w:eastAsia="en-US"/>
        </w:rPr>
        <w:t>number of people</w:t>
      </w:r>
      <w:r w:rsidRPr="005A33CD">
        <w:rPr>
          <w:rFonts w:ascii="Arial" w:hAnsi="Arial" w:cs="Arial"/>
          <w:sz w:val="23"/>
          <w:szCs w:val="23"/>
          <w:lang w:eastAsia="en-US"/>
        </w:rPr>
        <w:t xml:space="preserve"> accessing smoking cessation medicines on the PBS</w:t>
      </w:r>
      <w:r w:rsidR="0093432F">
        <w:rPr>
          <w:rFonts w:ascii="Arial" w:hAnsi="Arial" w:cs="Arial"/>
          <w:sz w:val="23"/>
          <w:szCs w:val="23"/>
          <w:lang w:eastAsia="en-US"/>
        </w:rPr>
        <w:t xml:space="preserve"> (</w:t>
      </w:r>
      <w:r w:rsidR="001F4494">
        <w:rPr>
          <w:rFonts w:ascii="Arial" w:hAnsi="Arial" w:cs="Arial"/>
          <w:sz w:val="23"/>
          <w:szCs w:val="23"/>
          <w:lang w:eastAsia="en-US"/>
        </w:rPr>
        <w:t>approx.</w:t>
      </w:r>
      <w:r w:rsidR="0093432F">
        <w:rPr>
          <w:rFonts w:ascii="Arial" w:hAnsi="Arial" w:cs="Arial"/>
          <w:sz w:val="23"/>
          <w:szCs w:val="23"/>
          <w:lang w:eastAsia="en-US"/>
        </w:rPr>
        <w:t xml:space="preserve"> </w:t>
      </w:r>
      <w:r w:rsidR="00F3598D">
        <w:rPr>
          <w:rFonts w:ascii="Arial" w:hAnsi="Arial" w:cs="Arial"/>
          <w:sz w:val="23"/>
          <w:szCs w:val="23"/>
          <w:lang w:eastAsia="en-US"/>
        </w:rPr>
        <w:t>266</w:t>
      </w:r>
      <w:r w:rsidR="0093432F">
        <w:rPr>
          <w:rFonts w:ascii="Arial" w:hAnsi="Arial" w:cs="Arial"/>
          <w:sz w:val="23"/>
          <w:szCs w:val="23"/>
          <w:lang w:eastAsia="en-US"/>
        </w:rPr>
        <w:t>,000)</w:t>
      </w:r>
      <w:r w:rsidRPr="005A33CD">
        <w:rPr>
          <w:rFonts w:ascii="Arial" w:hAnsi="Arial" w:cs="Arial"/>
          <w:sz w:val="23"/>
          <w:szCs w:val="23"/>
          <w:lang w:eastAsia="en-US"/>
        </w:rPr>
        <w:t>.</w:t>
      </w:r>
    </w:p>
    <w:p w14:paraId="58266A3A" w14:textId="7C7E055F" w:rsidR="000A4DF4" w:rsidRPr="00D00E80" w:rsidRDefault="00D24B4B" w:rsidP="00D00E80">
      <w:pPr>
        <w:spacing w:after="120"/>
        <w:jc w:val="both"/>
        <w:rPr>
          <w:rFonts w:ascii="Arial" w:hAnsi="Arial" w:cs="Arial"/>
          <w:b/>
          <w:bCs/>
          <w:color w:val="222222"/>
          <w:sz w:val="23"/>
          <w:szCs w:val="23"/>
        </w:rPr>
      </w:pPr>
      <w:bookmarkStart w:id="2" w:name="_Key_findings_for"/>
      <w:bookmarkEnd w:id="2"/>
      <w:r w:rsidRPr="00D00E80">
        <w:rPr>
          <w:rFonts w:ascii="Arial" w:hAnsi="Arial" w:cs="Arial"/>
          <w:b/>
          <w:bCs/>
          <w:color w:val="222222"/>
          <w:sz w:val="23"/>
          <w:szCs w:val="23"/>
        </w:rPr>
        <w:t xml:space="preserve">ToR </w:t>
      </w:r>
      <w:r w:rsidR="005A33CD" w:rsidRPr="00D00E80">
        <w:rPr>
          <w:rFonts w:ascii="Arial" w:hAnsi="Arial" w:cs="Arial"/>
          <w:b/>
          <w:bCs/>
          <w:color w:val="222222"/>
          <w:sz w:val="23"/>
          <w:szCs w:val="23"/>
        </w:rPr>
        <w:t>3</w:t>
      </w:r>
      <w:r w:rsidR="000A4DF4" w:rsidRPr="00D00E80">
        <w:rPr>
          <w:rFonts w:ascii="Arial" w:hAnsi="Arial" w:cs="Arial"/>
          <w:b/>
          <w:bCs/>
          <w:color w:val="222222"/>
          <w:sz w:val="23"/>
          <w:szCs w:val="23"/>
        </w:rPr>
        <w:t xml:space="preserve"> – Medicine</w:t>
      </w:r>
      <w:r w:rsidR="005A33CD" w:rsidRPr="00D00E80">
        <w:rPr>
          <w:rFonts w:ascii="Arial" w:hAnsi="Arial" w:cs="Arial"/>
          <w:b/>
          <w:bCs/>
          <w:color w:val="222222"/>
          <w:sz w:val="23"/>
          <w:szCs w:val="23"/>
        </w:rPr>
        <w:t xml:space="preserve"> effectiveness and safety</w:t>
      </w:r>
    </w:p>
    <w:p w14:paraId="7759373B" w14:textId="43596938" w:rsidR="004A53BC" w:rsidRPr="005A33CD" w:rsidRDefault="004A53BC" w:rsidP="00515CF8">
      <w:pPr>
        <w:spacing w:before="120" w:after="120"/>
        <w:jc w:val="both"/>
        <w:rPr>
          <w:rFonts w:ascii="Arial" w:hAnsi="Arial" w:cs="Arial"/>
          <w:iCs/>
          <w:color w:val="333333"/>
          <w:sz w:val="23"/>
          <w:szCs w:val="23"/>
        </w:rPr>
      </w:pPr>
      <w:r w:rsidRPr="005A33CD">
        <w:rPr>
          <w:rFonts w:ascii="Arial" w:hAnsi="Arial" w:cs="Arial"/>
          <w:iCs/>
          <w:color w:val="333333"/>
          <w:sz w:val="23"/>
          <w:szCs w:val="23"/>
          <w:u w:val="single"/>
        </w:rPr>
        <w:t>When used alone (‘monotherapy’)</w:t>
      </w:r>
      <w:r w:rsidRPr="005A33CD">
        <w:rPr>
          <w:rFonts w:ascii="Arial" w:hAnsi="Arial" w:cs="Arial"/>
          <w:iCs/>
          <w:color w:val="333333"/>
          <w:sz w:val="23"/>
          <w:szCs w:val="23"/>
        </w:rPr>
        <w:t xml:space="preserve"> in people who had not taken the medicine</w:t>
      </w:r>
      <w:r w:rsidR="00515CF8" w:rsidRPr="005A33CD">
        <w:rPr>
          <w:rFonts w:ascii="Arial" w:hAnsi="Arial" w:cs="Arial"/>
          <w:iCs/>
          <w:color w:val="333333"/>
          <w:sz w:val="23"/>
          <w:szCs w:val="23"/>
        </w:rPr>
        <w:t xml:space="preserve"> previously</w:t>
      </w:r>
      <w:r w:rsidRPr="005A33CD">
        <w:rPr>
          <w:rFonts w:ascii="Arial" w:hAnsi="Arial" w:cs="Arial"/>
          <w:iCs/>
          <w:color w:val="333333"/>
          <w:sz w:val="23"/>
          <w:szCs w:val="23"/>
        </w:rPr>
        <w:t>, all medicines included in the Review were more effective but less safe (caused more adverse events) compared to no treatment</w:t>
      </w:r>
      <w:r w:rsidR="00515CF8" w:rsidRPr="005A33CD">
        <w:rPr>
          <w:rFonts w:ascii="Arial" w:hAnsi="Arial" w:cs="Arial"/>
          <w:iCs/>
          <w:color w:val="333333"/>
          <w:sz w:val="23"/>
          <w:szCs w:val="23"/>
        </w:rPr>
        <w:t xml:space="preserve"> (placebo)</w:t>
      </w:r>
      <w:r w:rsidRPr="005A33CD">
        <w:rPr>
          <w:rFonts w:ascii="Arial" w:hAnsi="Arial" w:cs="Arial"/>
          <w:iCs/>
          <w:color w:val="333333"/>
          <w:sz w:val="23"/>
          <w:szCs w:val="23"/>
        </w:rPr>
        <w:t>.</w:t>
      </w:r>
      <w:r w:rsidR="00515CF8" w:rsidRPr="005A33CD">
        <w:rPr>
          <w:rFonts w:ascii="Arial" w:hAnsi="Arial" w:cs="Arial"/>
          <w:iCs/>
          <w:color w:val="333333"/>
          <w:sz w:val="23"/>
          <w:szCs w:val="23"/>
        </w:rPr>
        <w:t xml:space="preserve"> </w:t>
      </w:r>
      <w:r w:rsidRPr="005A33CD">
        <w:rPr>
          <w:rFonts w:ascii="Arial" w:hAnsi="Arial" w:cs="Arial"/>
          <w:iCs/>
          <w:color w:val="333333"/>
          <w:sz w:val="23"/>
          <w:szCs w:val="23"/>
        </w:rPr>
        <w:t xml:space="preserve">In people who had taken the medicine previously, only varenicline was more effective than </w:t>
      </w:r>
      <w:r w:rsidR="00515CF8" w:rsidRPr="005A33CD">
        <w:rPr>
          <w:rFonts w:ascii="Arial" w:hAnsi="Arial" w:cs="Arial"/>
          <w:iCs/>
          <w:color w:val="333333"/>
          <w:sz w:val="23"/>
          <w:szCs w:val="23"/>
        </w:rPr>
        <w:t>placebo</w:t>
      </w:r>
      <w:r w:rsidRPr="005A33CD">
        <w:rPr>
          <w:rFonts w:ascii="Arial" w:hAnsi="Arial" w:cs="Arial"/>
          <w:iCs/>
          <w:color w:val="333333"/>
          <w:sz w:val="23"/>
          <w:szCs w:val="23"/>
        </w:rPr>
        <w:t>.</w:t>
      </w:r>
    </w:p>
    <w:p w14:paraId="7063E7FF" w14:textId="6A450283" w:rsidR="00FC676A" w:rsidRDefault="00515CF8" w:rsidP="00515CF8">
      <w:pPr>
        <w:jc w:val="both"/>
        <w:rPr>
          <w:rFonts w:ascii="Arial" w:hAnsi="Arial" w:cs="Arial"/>
          <w:i/>
          <w:color w:val="333333"/>
          <w:sz w:val="23"/>
          <w:szCs w:val="23"/>
        </w:rPr>
      </w:pPr>
      <w:r w:rsidRPr="005A33CD">
        <w:rPr>
          <w:rFonts w:ascii="Arial" w:hAnsi="Arial" w:cs="Arial"/>
          <w:iCs/>
          <w:sz w:val="23"/>
          <w:szCs w:val="23"/>
          <w:lang w:eastAsia="en-US"/>
        </w:rPr>
        <w:t>All m</w:t>
      </w:r>
      <w:r w:rsidR="004A53BC" w:rsidRPr="005A33CD">
        <w:rPr>
          <w:rFonts w:ascii="Arial" w:hAnsi="Arial" w:cs="Arial"/>
          <w:iCs/>
          <w:sz w:val="23"/>
          <w:szCs w:val="23"/>
          <w:lang w:eastAsia="en-US"/>
        </w:rPr>
        <w:t xml:space="preserve">edicines included in the Review appeared to have similar safety however, varenicline was likely to be more effective than bupropion and NRT. Short acting forms of NRT (gum and lozenges) </w:t>
      </w:r>
      <w:r w:rsidRPr="005A33CD">
        <w:rPr>
          <w:rFonts w:ascii="Arial" w:hAnsi="Arial" w:cs="Arial"/>
          <w:iCs/>
          <w:sz w:val="23"/>
          <w:szCs w:val="23"/>
          <w:lang w:eastAsia="en-US"/>
        </w:rPr>
        <w:t>appeared</w:t>
      </w:r>
      <w:r w:rsidR="004A53BC" w:rsidRPr="005A33CD">
        <w:rPr>
          <w:rFonts w:ascii="Arial" w:hAnsi="Arial" w:cs="Arial"/>
          <w:iCs/>
          <w:sz w:val="23"/>
          <w:szCs w:val="23"/>
          <w:lang w:eastAsia="en-US"/>
        </w:rPr>
        <w:t xml:space="preserve"> to have similar effect</w:t>
      </w:r>
      <w:r w:rsidR="00DE2577">
        <w:rPr>
          <w:rFonts w:ascii="Arial" w:hAnsi="Arial" w:cs="Arial"/>
          <w:iCs/>
          <w:sz w:val="23"/>
          <w:szCs w:val="23"/>
          <w:lang w:eastAsia="en-US"/>
        </w:rPr>
        <w:t>s</w:t>
      </w:r>
      <w:r w:rsidR="004A53BC" w:rsidRPr="005A33CD">
        <w:rPr>
          <w:rFonts w:ascii="Arial" w:hAnsi="Arial" w:cs="Arial"/>
          <w:iCs/>
          <w:sz w:val="23"/>
          <w:szCs w:val="23"/>
          <w:lang w:eastAsia="en-US"/>
        </w:rPr>
        <w:t xml:space="preserve"> and safety to NRT patches.</w:t>
      </w:r>
      <w:bookmarkStart w:id="3" w:name="_Hlk106693804"/>
    </w:p>
    <w:p w14:paraId="6BE7538B" w14:textId="77777777" w:rsidR="00FC676A" w:rsidRPr="00FC676A" w:rsidRDefault="00FC676A" w:rsidP="00515CF8">
      <w:pPr>
        <w:jc w:val="both"/>
        <w:rPr>
          <w:rFonts w:ascii="Arial" w:hAnsi="Arial" w:cs="Arial"/>
          <w:i/>
          <w:color w:val="333333"/>
          <w:sz w:val="8"/>
          <w:szCs w:val="8"/>
        </w:rPr>
      </w:pPr>
    </w:p>
    <w:p w14:paraId="43ED1A97" w14:textId="75D1FB43" w:rsidR="005A33CD" w:rsidRPr="005A33CD" w:rsidRDefault="00515CF8" w:rsidP="00D00E80">
      <w:pPr>
        <w:spacing w:after="120"/>
        <w:jc w:val="both"/>
        <w:rPr>
          <w:rFonts w:ascii="Arial" w:hAnsi="Arial" w:cs="Arial"/>
          <w:b/>
          <w:bCs/>
          <w:color w:val="4472C4" w:themeColor="accent1"/>
          <w:sz w:val="16"/>
          <w:szCs w:val="16"/>
        </w:rPr>
      </w:pPr>
      <w:r w:rsidRPr="005A33CD">
        <w:rPr>
          <w:rFonts w:ascii="Arial" w:hAnsi="Arial" w:cs="Arial"/>
          <w:iCs/>
          <w:sz w:val="23"/>
          <w:szCs w:val="23"/>
          <w:u w:val="single"/>
          <w:lang w:eastAsia="en-US"/>
        </w:rPr>
        <w:t>When used in combination</w:t>
      </w:r>
      <w:r w:rsidRPr="005A33CD">
        <w:rPr>
          <w:rFonts w:ascii="Arial" w:hAnsi="Arial" w:cs="Arial"/>
          <w:iCs/>
          <w:sz w:val="23"/>
          <w:szCs w:val="23"/>
          <w:lang w:eastAsia="en-US"/>
        </w:rPr>
        <w:t>, varenicline combined with NRT patch was more effective than varenicline alone</w:t>
      </w:r>
      <w:r w:rsidR="001B1BB9">
        <w:rPr>
          <w:rStyle w:val="FootnoteReference"/>
          <w:rFonts w:ascii="Arial" w:hAnsi="Arial" w:cs="Arial"/>
          <w:iCs/>
          <w:sz w:val="23"/>
          <w:szCs w:val="23"/>
          <w:lang w:eastAsia="en-US"/>
        </w:rPr>
        <w:footnoteReference w:id="1"/>
      </w:r>
      <w:r w:rsidRPr="005A33CD">
        <w:rPr>
          <w:rFonts w:ascii="Arial" w:hAnsi="Arial" w:cs="Arial"/>
          <w:iCs/>
          <w:sz w:val="23"/>
          <w:szCs w:val="23"/>
          <w:lang w:eastAsia="en-US"/>
        </w:rPr>
        <w:t xml:space="preserve"> </w:t>
      </w:r>
      <w:r w:rsidR="005A33CD">
        <w:rPr>
          <w:rFonts w:ascii="Arial" w:hAnsi="Arial" w:cs="Arial"/>
          <w:iCs/>
          <w:sz w:val="23"/>
          <w:szCs w:val="23"/>
          <w:lang w:eastAsia="en-US"/>
        </w:rPr>
        <w:t>with</w:t>
      </w:r>
      <w:r w:rsidRPr="005A33CD">
        <w:rPr>
          <w:rFonts w:ascii="Arial" w:hAnsi="Arial" w:cs="Arial"/>
          <w:iCs/>
          <w:sz w:val="23"/>
          <w:szCs w:val="23"/>
          <w:lang w:eastAsia="en-US"/>
        </w:rPr>
        <w:t xml:space="preserve"> similar safety. </w:t>
      </w:r>
      <w:r w:rsidR="005A33CD">
        <w:rPr>
          <w:rFonts w:ascii="Arial" w:hAnsi="Arial" w:cs="Arial"/>
          <w:iCs/>
          <w:sz w:val="23"/>
          <w:szCs w:val="23"/>
          <w:lang w:eastAsia="en-US"/>
        </w:rPr>
        <w:t xml:space="preserve">Combination </w:t>
      </w:r>
      <w:r w:rsidRPr="005A33CD">
        <w:rPr>
          <w:rFonts w:ascii="Arial" w:hAnsi="Arial" w:cs="Arial"/>
          <w:iCs/>
          <w:sz w:val="23"/>
          <w:szCs w:val="23"/>
          <w:lang w:eastAsia="en-US"/>
        </w:rPr>
        <w:t xml:space="preserve">NRT </w:t>
      </w:r>
      <w:r w:rsidR="005A33CD">
        <w:rPr>
          <w:rFonts w:ascii="Arial" w:hAnsi="Arial" w:cs="Arial"/>
          <w:iCs/>
          <w:sz w:val="23"/>
          <w:szCs w:val="23"/>
          <w:lang w:eastAsia="en-US"/>
        </w:rPr>
        <w:t>appeare</w:t>
      </w:r>
      <w:r w:rsidRPr="005A33CD">
        <w:rPr>
          <w:rFonts w:ascii="Arial" w:hAnsi="Arial" w:cs="Arial"/>
          <w:iCs/>
          <w:sz w:val="23"/>
          <w:szCs w:val="23"/>
          <w:lang w:eastAsia="en-US"/>
        </w:rPr>
        <w:t xml:space="preserve">d </w:t>
      </w:r>
      <w:r w:rsidR="005A33CD">
        <w:rPr>
          <w:rFonts w:ascii="Arial" w:hAnsi="Arial" w:cs="Arial"/>
          <w:iCs/>
          <w:sz w:val="23"/>
          <w:szCs w:val="23"/>
          <w:lang w:eastAsia="en-US"/>
        </w:rPr>
        <w:t xml:space="preserve">to have </w:t>
      </w:r>
      <w:r w:rsidRPr="005A33CD">
        <w:rPr>
          <w:rFonts w:ascii="Arial" w:hAnsi="Arial" w:cs="Arial"/>
          <w:iCs/>
          <w:sz w:val="23"/>
          <w:szCs w:val="23"/>
          <w:lang w:eastAsia="en-US"/>
        </w:rPr>
        <w:t>higher efficacy and similar safety compared to placebo, bupropion and NRT alone. Combination NRT appears to be less effective but safer compared to varenicline monotherapy.</w:t>
      </w:r>
    </w:p>
    <w:p w14:paraId="24C2838B" w14:textId="00E02353" w:rsidR="005A33CD" w:rsidRPr="00D00E80" w:rsidRDefault="00D24B4B" w:rsidP="00D00E80">
      <w:pPr>
        <w:spacing w:after="120"/>
        <w:jc w:val="both"/>
        <w:rPr>
          <w:rFonts w:ascii="Arial" w:hAnsi="Arial" w:cs="Arial"/>
          <w:b/>
          <w:bCs/>
          <w:color w:val="222222"/>
          <w:sz w:val="23"/>
          <w:szCs w:val="23"/>
        </w:rPr>
      </w:pPr>
      <w:r w:rsidRPr="00D00E80">
        <w:rPr>
          <w:rFonts w:ascii="Arial" w:hAnsi="Arial" w:cs="Arial"/>
          <w:b/>
          <w:bCs/>
          <w:color w:val="222222"/>
          <w:sz w:val="23"/>
          <w:szCs w:val="23"/>
        </w:rPr>
        <w:t xml:space="preserve">ToR </w:t>
      </w:r>
      <w:r w:rsidR="005A33CD" w:rsidRPr="00D00E80">
        <w:rPr>
          <w:rFonts w:ascii="Arial" w:hAnsi="Arial" w:cs="Arial"/>
          <w:b/>
          <w:bCs/>
          <w:color w:val="222222"/>
          <w:sz w:val="23"/>
          <w:szCs w:val="23"/>
        </w:rPr>
        <w:t>4 – Value for money</w:t>
      </w:r>
    </w:p>
    <w:bookmarkEnd w:id="0"/>
    <w:bookmarkEnd w:id="3"/>
    <w:p w14:paraId="5214A45B" w14:textId="256E5FD2" w:rsidR="00AC2475" w:rsidRDefault="00785F63" w:rsidP="007A0C5F">
      <w:pPr>
        <w:spacing w:after="120"/>
        <w:jc w:val="both"/>
        <w:rPr>
          <w:rFonts w:ascii="Arial" w:hAnsi="Arial" w:cs="Arial"/>
          <w:sz w:val="23"/>
          <w:szCs w:val="23"/>
          <w:lang w:eastAsia="en-US"/>
        </w:rPr>
      </w:pPr>
      <w:r w:rsidRPr="005A33CD">
        <w:rPr>
          <w:rFonts w:ascii="Arial" w:hAnsi="Arial" w:cs="Arial"/>
          <w:sz w:val="23"/>
          <w:szCs w:val="23"/>
          <w:lang w:eastAsia="en-US"/>
        </w:rPr>
        <w:t xml:space="preserve">Combination NRT was found to provide better value for money than varenicline and NRT in combination. The estimated additional cost to the PBS for </w:t>
      </w:r>
      <w:r w:rsidR="00131408">
        <w:rPr>
          <w:rFonts w:ascii="Arial" w:hAnsi="Arial" w:cs="Arial"/>
          <w:sz w:val="23"/>
          <w:szCs w:val="23"/>
          <w:lang w:eastAsia="en-US"/>
        </w:rPr>
        <w:t xml:space="preserve">both </w:t>
      </w:r>
      <w:r w:rsidRPr="005A33CD">
        <w:rPr>
          <w:rFonts w:ascii="Arial" w:hAnsi="Arial" w:cs="Arial"/>
          <w:sz w:val="23"/>
          <w:szCs w:val="23"/>
          <w:lang w:eastAsia="en-US"/>
        </w:rPr>
        <w:t xml:space="preserve">these treatments was </w:t>
      </w:r>
      <w:r w:rsidR="007A0C5F">
        <w:rPr>
          <w:rFonts w:ascii="Arial" w:hAnsi="Arial" w:cs="Arial"/>
          <w:sz w:val="23"/>
          <w:szCs w:val="23"/>
          <w:lang w:eastAsia="en-US"/>
        </w:rPr>
        <w:t xml:space="preserve">within the range of </w:t>
      </w:r>
      <w:r w:rsidR="007A0C5F" w:rsidRPr="007A0C5F">
        <w:rPr>
          <w:rFonts w:ascii="Arial" w:hAnsi="Arial" w:cs="Arial"/>
          <w:sz w:val="23"/>
          <w:szCs w:val="23"/>
          <w:lang w:eastAsia="en-US"/>
        </w:rPr>
        <w:t>$</w:t>
      </w:r>
      <w:r w:rsidR="007A0C5F">
        <w:rPr>
          <w:rFonts w:ascii="Arial" w:hAnsi="Arial" w:cs="Arial"/>
          <w:sz w:val="23"/>
          <w:szCs w:val="23"/>
          <w:lang w:eastAsia="en-US"/>
        </w:rPr>
        <w:t>6</w:t>
      </w:r>
      <w:r w:rsidR="007A0C5F" w:rsidRPr="007A0C5F">
        <w:rPr>
          <w:rFonts w:ascii="Arial" w:hAnsi="Arial" w:cs="Arial"/>
          <w:sz w:val="23"/>
          <w:szCs w:val="23"/>
          <w:lang w:eastAsia="en-US"/>
        </w:rPr>
        <w:t>0 million to $</w:t>
      </w:r>
      <w:r w:rsidR="007A0C5F">
        <w:rPr>
          <w:rFonts w:ascii="Arial" w:hAnsi="Arial" w:cs="Arial"/>
          <w:sz w:val="23"/>
          <w:szCs w:val="23"/>
          <w:lang w:eastAsia="en-US"/>
        </w:rPr>
        <w:t>7</w:t>
      </w:r>
      <w:r w:rsidR="007A0C5F" w:rsidRPr="007A0C5F">
        <w:rPr>
          <w:rFonts w:ascii="Arial" w:hAnsi="Arial" w:cs="Arial"/>
          <w:sz w:val="23"/>
          <w:szCs w:val="23"/>
          <w:lang w:eastAsia="en-US"/>
        </w:rPr>
        <w:t>0 million</w:t>
      </w:r>
      <w:r w:rsidRPr="005A33CD">
        <w:rPr>
          <w:rFonts w:ascii="Arial" w:hAnsi="Arial" w:cs="Arial"/>
          <w:sz w:val="23"/>
          <w:szCs w:val="23"/>
          <w:lang w:eastAsia="en-US"/>
        </w:rPr>
        <w:t xml:space="preserve"> for the first five years post-PBS listing.</w:t>
      </w:r>
    </w:p>
    <w:p w14:paraId="371D3553" w14:textId="5943211F" w:rsidR="00952BAD" w:rsidRPr="00D00E80" w:rsidRDefault="00F03DAF" w:rsidP="00344DF2">
      <w:pPr>
        <w:pStyle w:val="Heading1"/>
        <w:spacing w:after="120"/>
        <w:jc w:val="both"/>
        <w:rPr>
          <w:rFonts w:ascii="Arial" w:hAnsi="Arial" w:cs="Arial"/>
          <w:b/>
          <w:bCs/>
          <w:snapToGrid w:val="0"/>
          <w:color w:val="4472C4" w:themeColor="accent1"/>
          <w:sz w:val="26"/>
          <w:szCs w:val="26"/>
          <w:lang w:eastAsia="en-US"/>
        </w:rPr>
      </w:pPr>
      <w:r w:rsidRPr="00D00E80">
        <w:rPr>
          <w:rFonts w:ascii="Arial" w:hAnsi="Arial" w:cs="Arial"/>
          <w:b/>
          <w:bCs/>
          <w:snapToGrid w:val="0"/>
          <w:color w:val="4472C4" w:themeColor="accent1"/>
          <w:sz w:val="26"/>
          <w:szCs w:val="26"/>
          <w:lang w:eastAsia="en-US"/>
        </w:rPr>
        <w:t>PBAC recommendations</w:t>
      </w:r>
    </w:p>
    <w:p w14:paraId="73C9377E" w14:textId="685C709D" w:rsidR="00F91FA7" w:rsidRDefault="00F03DAF" w:rsidP="00D00E80">
      <w:pPr>
        <w:spacing w:after="1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</w:t>
      </w:r>
      <w:r w:rsidRPr="00F03DAF">
        <w:rPr>
          <w:rFonts w:ascii="Arial" w:hAnsi="Arial" w:cs="Arial"/>
          <w:sz w:val="23"/>
          <w:szCs w:val="23"/>
        </w:rPr>
        <w:t xml:space="preserve">e PBAC considered </w:t>
      </w:r>
      <w:r>
        <w:rPr>
          <w:rFonts w:ascii="Arial" w:hAnsi="Arial" w:cs="Arial"/>
          <w:sz w:val="23"/>
          <w:szCs w:val="23"/>
        </w:rPr>
        <w:t>the</w:t>
      </w:r>
      <w:r w:rsidRPr="00F03DAF">
        <w:rPr>
          <w:rFonts w:ascii="Arial" w:hAnsi="Arial" w:cs="Arial"/>
          <w:sz w:val="23"/>
          <w:szCs w:val="23"/>
        </w:rPr>
        <w:t xml:space="preserve"> report</w:t>
      </w:r>
      <w:r w:rsidR="0026591F">
        <w:rPr>
          <w:rFonts w:ascii="Arial" w:hAnsi="Arial" w:cs="Arial"/>
          <w:sz w:val="23"/>
          <w:szCs w:val="23"/>
        </w:rPr>
        <w:t>s addressing ToRs</w:t>
      </w:r>
      <w:r w:rsidRPr="00F03DAF">
        <w:rPr>
          <w:rFonts w:ascii="Arial" w:hAnsi="Arial" w:cs="Arial"/>
          <w:sz w:val="23"/>
          <w:szCs w:val="23"/>
        </w:rPr>
        <w:t xml:space="preserve"> </w:t>
      </w:r>
      <w:r w:rsidR="0026591F">
        <w:rPr>
          <w:rFonts w:ascii="Arial" w:hAnsi="Arial" w:cs="Arial"/>
          <w:sz w:val="23"/>
          <w:szCs w:val="23"/>
        </w:rPr>
        <w:t>1-4</w:t>
      </w:r>
      <w:r w:rsidR="00F91FA7">
        <w:rPr>
          <w:rFonts w:ascii="Arial" w:hAnsi="Arial" w:cs="Arial"/>
          <w:sz w:val="23"/>
          <w:szCs w:val="23"/>
        </w:rPr>
        <w:t xml:space="preserve"> of the PMR</w:t>
      </w:r>
      <w:r w:rsidRPr="00F03DAF">
        <w:rPr>
          <w:rFonts w:ascii="Arial" w:hAnsi="Arial" w:cs="Arial"/>
          <w:sz w:val="23"/>
          <w:szCs w:val="23"/>
        </w:rPr>
        <w:t xml:space="preserve"> and overall accepted the </w:t>
      </w:r>
      <w:r w:rsidR="00131408">
        <w:rPr>
          <w:rFonts w:ascii="Arial" w:hAnsi="Arial" w:cs="Arial"/>
          <w:sz w:val="23"/>
          <w:szCs w:val="23"/>
        </w:rPr>
        <w:t>Review</w:t>
      </w:r>
      <w:r w:rsidRPr="00F03DAF">
        <w:rPr>
          <w:rFonts w:ascii="Arial" w:hAnsi="Arial" w:cs="Arial"/>
          <w:sz w:val="23"/>
          <w:szCs w:val="23"/>
        </w:rPr>
        <w:t xml:space="preserve"> findings.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37C51CBB" w14:textId="3D591B24" w:rsidR="00F03DAF" w:rsidRDefault="00F03DAF" w:rsidP="00D00E80">
      <w:pPr>
        <w:spacing w:after="1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T</w:t>
      </w:r>
      <w:r w:rsidRPr="00F03DAF">
        <w:rPr>
          <w:rFonts w:ascii="Arial" w:hAnsi="Arial" w:cs="Arial"/>
          <w:sz w:val="23"/>
          <w:szCs w:val="23"/>
        </w:rPr>
        <w:t xml:space="preserve">he </w:t>
      </w:r>
      <w:r w:rsidR="00F91FA7">
        <w:rPr>
          <w:rFonts w:ascii="Arial" w:hAnsi="Arial" w:cs="Arial"/>
          <w:sz w:val="23"/>
          <w:szCs w:val="23"/>
        </w:rPr>
        <w:t xml:space="preserve">PBAC made the </w:t>
      </w:r>
      <w:r w:rsidRPr="00F03DAF">
        <w:rPr>
          <w:rFonts w:ascii="Arial" w:hAnsi="Arial" w:cs="Arial"/>
          <w:sz w:val="23"/>
          <w:szCs w:val="23"/>
        </w:rPr>
        <w:t>following recommendations</w:t>
      </w:r>
      <w:r>
        <w:rPr>
          <w:rFonts w:ascii="Arial" w:hAnsi="Arial" w:cs="Arial"/>
          <w:sz w:val="23"/>
          <w:szCs w:val="23"/>
        </w:rPr>
        <w:t xml:space="preserve"> </w:t>
      </w:r>
      <w:r w:rsidR="00F91FA7">
        <w:rPr>
          <w:rFonts w:ascii="Arial" w:hAnsi="Arial" w:cs="Arial"/>
          <w:sz w:val="23"/>
          <w:szCs w:val="23"/>
        </w:rPr>
        <w:t>to the Minister for Health</w:t>
      </w:r>
      <w:r>
        <w:rPr>
          <w:rFonts w:ascii="Arial" w:hAnsi="Arial" w:cs="Arial"/>
          <w:sz w:val="23"/>
          <w:szCs w:val="23"/>
        </w:rPr>
        <w:t>:</w:t>
      </w:r>
    </w:p>
    <w:p w14:paraId="3CC3A802" w14:textId="35200346" w:rsidR="00F91FA7" w:rsidRDefault="00F91FA7" w:rsidP="00D00E80">
      <w:pPr>
        <w:pStyle w:val="ListParagraph"/>
        <w:numPr>
          <w:ilvl w:val="0"/>
          <w:numId w:val="7"/>
        </w:numPr>
        <w:ind w:left="470" w:hanging="357"/>
        <w:contextualSpacing w:val="0"/>
        <w:jc w:val="both"/>
        <w:rPr>
          <w:rFonts w:ascii="Arial" w:hAnsi="Arial" w:cs="Arial"/>
          <w:sz w:val="23"/>
          <w:szCs w:val="23"/>
        </w:rPr>
      </w:pPr>
      <w:r w:rsidRPr="00F91FA7">
        <w:rPr>
          <w:rFonts w:ascii="Arial" w:hAnsi="Arial" w:cs="Arial"/>
          <w:sz w:val="23"/>
          <w:szCs w:val="23"/>
        </w:rPr>
        <w:t>Extend the PBS restrictions for NRT to allow an additional 12 weeks of PBS-subsidised NRT in a 12-month period.</w:t>
      </w:r>
    </w:p>
    <w:p w14:paraId="282A6547" w14:textId="3E7ADB39" w:rsidR="00F91FA7" w:rsidRPr="00130967" w:rsidRDefault="00F91FA7" w:rsidP="00344DF2">
      <w:pPr>
        <w:pStyle w:val="ListParagraph"/>
        <w:numPr>
          <w:ilvl w:val="0"/>
          <w:numId w:val="7"/>
        </w:numPr>
        <w:spacing w:after="120"/>
        <w:ind w:left="470" w:hanging="357"/>
        <w:contextualSpacing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Extend the PBS restrictions for NRT to allow up to two different forms of NRT to be prescribed together (combination NRT)</w:t>
      </w:r>
      <w:r w:rsidR="002A0704">
        <w:rPr>
          <w:rFonts w:ascii="Arial" w:hAnsi="Arial" w:cs="Arial"/>
          <w:sz w:val="23"/>
          <w:szCs w:val="23"/>
        </w:rPr>
        <w:t xml:space="preserve"> on the PBS</w:t>
      </w:r>
      <w:r w:rsidR="000B0614">
        <w:rPr>
          <w:rFonts w:ascii="Arial" w:hAnsi="Arial" w:cs="Arial"/>
          <w:sz w:val="23"/>
          <w:szCs w:val="23"/>
        </w:rPr>
        <w:t>.</w:t>
      </w:r>
    </w:p>
    <w:p w14:paraId="5F5CB8B0" w14:textId="11EE17B1" w:rsidR="00D825AD" w:rsidRDefault="00344DF2" w:rsidP="00344DF2">
      <w:pPr>
        <w:spacing w:after="1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</w:t>
      </w:r>
      <w:r w:rsidR="00D72D7F" w:rsidRPr="00D72D7F">
        <w:rPr>
          <w:rFonts w:ascii="Arial" w:hAnsi="Arial" w:cs="Arial"/>
          <w:sz w:val="23"/>
          <w:szCs w:val="23"/>
        </w:rPr>
        <w:t xml:space="preserve">he PBAC supported the prospect of an education campaign targeting prescribers to raise awareness of the improved effectiveness of smoking cessation </w:t>
      </w:r>
      <w:r w:rsidR="00D825AD">
        <w:rPr>
          <w:rFonts w:ascii="Arial" w:hAnsi="Arial" w:cs="Arial"/>
          <w:sz w:val="23"/>
          <w:szCs w:val="23"/>
        </w:rPr>
        <w:t>medicines</w:t>
      </w:r>
      <w:r w:rsidR="00D72D7F" w:rsidRPr="00D72D7F">
        <w:rPr>
          <w:rFonts w:ascii="Arial" w:hAnsi="Arial" w:cs="Arial"/>
          <w:sz w:val="23"/>
          <w:szCs w:val="23"/>
        </w:rPr>
        <w:t xml:space="preserve"> when provided in combination with support and counselling.</w:t>
      </w:r>
    </w:p>
    <w:p w14:paraId="59CF0489" w14:textId="760F9D77" w:rsidR="00952BAD" w:rsidRPr="005A33CD" w:rsidRDefault="00D825AD" w:rsidP="00344DF2">
      <w:pPr>
        <w:spacing w:after="12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Further information </w:t>
      </w:r>
      <w:r w:rsidR="00952BAD" w:rsidRPr="005A33CD">
        <w:rPr>
          <w:rFonts w:ascii="Arial" w:hAnsi="Arial" w:cs="Arial"/>
          <w:sz w:val="23"/>
          <w:szCs w:val="23"/>
        </w:rPr>
        <w:t>o</w:t>
      </w:r>
      <w:r w:rsidR="00344DF2">
        <w:rPr>
          <w:rFonts w:ascii="Arial" w:hAnsi="Arial" w:cs="Arial"/>
          <w:sz w:val="23"/>
          <w:szCs w:val="23"/>
        </w:rPr>
        <w:t>n</w:t>
      </w:r>
      <w:r w:rsidR="00952BAD" w:rsidRPr="005A33CD">
        <w:rPr>
          <w:rFonts w:ascii="Arial" w:hAnsi="Arial" w:cs="Arial"/>
          <w:sz w:val="23"/>
          <w:szCs w:val="23"/>
        </w:rPr>
        <w:t xml:space="preserve"> the PBAC’s </w:t>
      </w:r>
      <w:r>
        <w:rPr>
          <w:rFonts w:ascii="Arial" w:hAnsi="Arial" w:cs="Arial"/>
          <w:sz w:val="23"/>
          <w:szCs w:val="23"/>
        </w:rPr>
        <w:t>comments and</w:t>
      </w:r>
      <w:r w:rsidR="00344DF2">
        <w:rPr>
          <w:rFonts w:ascii="Arial" w:hAnsi="Arial" w:cs="Arial"/>
          <w:sz w:val="23"/>
          <w:szCs w:val="23"/>
        </w:rPr>
        <w:t xml:space="preserve"> </w:t>
      </w:r>
      <w:r w:rsidR="00952BAD" w:rsidRPr="005A33CD">
        <w:rPr>
          <w:rFonts w:ascii="Arial" w:hAnsi="Arial" w:cs="Arial"/>
          <w:sz w:val="23"/>
          <w:szCs w:val="23"/>
        </w:rPr>
        <w:t xml:space="preserve">recommendations from the Review can be found in the </w:t>
      </w:r>
      <w:hyperlink r:id="rId8" w:history="1">
        <w:r w:rsidR="00952BAD" w:rsidRPr="005A33CD">
          <w:rPr>
            <w:rFonts w:ascii="Arial" w:hAnsi="Arial" w:cs="Arial"/>
            <w:color w:val="0000FF"/>
            <w:sz w:val="23"/>
            <w:szCs w:val="23"/>
            <w:u w:val="single"/>
          </w:rPr>
          <w:t>Outcomes</w:t>
        </w:r>
      </w:hyperlink>
      <w:r w:rsidR="00952BAD" w:rsidRPr="005A33CD">
        <w:rPr>
          <w:rFonts w:ascii="Arial" w:hAnsi="Arial" w:cs="Arial"/>
          <w:color w:val="0000FF"/>
          <w:sz w:val="23"/>
          <w:szCs w:val="23"/>
          <w:u w:val="single"/>
        </w:rPr>
        <w:t xml:space="preserve"> </w:t>
      </w:r>
      <w:r w:rsidR="00952BAD" w:rsidRPr="005A33CD">
        <w:rPr>
          <w:rFonts w:ascii="Arial" w:hAnsi="Arial" w:cs="Arial"/>
          <w:sz w:val="23"/>
          <w:szCs w:val="23"/>
        </w:rPr>
        <w:t xml:space="preserve">for this meeting. The full PBAC minutes are published along with the PMR report </w:t>
      </w:r>
      <w:r w:rsidR="00952BAD" w:rsidRPr="005A33CD">
        <w:rPr>
          <w:rFonts w:ascii="Arial" w:hAnsi="Arial" w:cs="Arial"/>
          <w:sz w:val="23"/>
          <w:szCs w:val="23"/>
          <w:lang w:eastAsia="en-US"/>
        </w:rPr>
        <w:t xml:space="preserve">on the </w:t>
      </w:r>
      <w:hyperlink r:id="rId9" w:history="1">
        <w:r w:rsidR="00952BAD" w:rsidRPr="005A33CD">
          <w:rPr>
            <w:rFonts w:ascii="Arial" w:hAnsi="Arial" w:cs="Arial"/>
            <w:color w:val="0000FF"/>
            <w:sz w:val="23"/>
            <w:szCs w:val="23"/>
            <w:u w:val="single"/>
          </w:rPr>
          <w:t>Review webpage</w:t>
        </w:r>
      </w:hyperlink>
      <w:r w:rsidR="00952BAD" w:rsidRPr="005A33CD">
        <w:rPr>
          <w:rFonts w:ascii="Arial" w:hAnsi="Arial" w:cs="Arial"/>
          <w:sz w:val="23"/>
          <w:szCs w:val="23"/>
        </w:rPr>
        <w:t>.</w:t>
      </w:r>
    </w:p>
    <w:p w14:paraId="15117555" w14:textId="77777777" w:rsidR="00952BAD" w:rsidRPr="007A0C5F" w:rsidRDefault="00952BAD" w:rsidP="00D00E80">
      <w:pPr>
        <w:spacing w:after="120"/>
        <w:rPr>
          <w:rFonts w:ascii="Arial" w:hAnsi="Arial" w:cs="Arial"/>
          <w:sz w:val="23"/>
          <w:szCs w:val="23"/>
          <w:lang w:eastAsia="en-US"/>
        </w:rPr>
      </w:pPr>
    </w:p>
    <w:sectPr w:rsidR="00952BAD" w:rsidRPr="007A0C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85FE" w14:textId="77777777" w:rsidR="00AC4E56" w:rsidRDefault="00AC4E56" w:rsidP="008722A8">
      <w:r>
        <w:separator/>
      </w:r>
    </w:p>
  </w:endnote>
  <w:endnote w:type="continuationSeparator" w:id="0">
    <w:p w14:paraId="56B6CCF0" w14:textId="77777777" w:rsidR="00AC4E56" w:rsidRDefault="00AC4E56" w:rsidP="0087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B83F" w14:textId="77777777" w:rsidR="00572091" w:rsidRDefault="00572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57136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69AEE706" w14:textId="77777777" w:rsidR="008722A8" w:rsidRPr="000B6AB6" w:rsidRDefault="008722A8" w:rsidP="008722A8">
        <w:pPr>
          <w:pStyle w:val="Footer"/>
          <w:jc w:val="right"/>
          <w:rPr>
            <w:rFonts w:asciiTheme="minorHAnsi" w:hAnsiTheme="minorHAnsi" w:cstheme="minorHAnsi"/>
          </w:rPr>
        </w:pPr>
        <w:r w:rsidRPr="000B6AB6">
          <w:rPr>
            <w:rFonts w:asciiTheme="minorHAnsi" w:hAnsiTheme="minorHAnsi" w:cstheme="minorHAnsi"/>
          </w:rPr>
          <w:fldChar w:fldCharType="begin"/>
        </w:r>
        <w:r w:rsidRPr="000B6AB6">
          <w:rPr>
            <w:rFonts w:asciiTheme="minorHAnsi" w:hAnsiTheme="minorHAnsi" w:cstheme="minorHAnsi"/>
          </w:rPr>
          <w:instrText xml:space="preserve"> PAGE   \* MERGEFORMAT </w:instrText>
        </w:r>
        <w:r w:rsidRPr="000B6AB6">
          <w:rPr>
            <w:rFonts w:asciiTheme="minorHAnsi" w:hAnsiTheme="minorHAnsi" w:cstheme="minorHAnsi"/>
          </w:rPr>
          <w:fldChar w:fldCharType="separate"/>
        </w:r>
        <w:r w:rsidRPr="000B6AB6">
          <w:rPr>
            <w:rFonts w:asciiTheme="minorHAnsi" w:hAnsiTheme="minorHAnsi" w:cstheme="minorHAnsi"/>
          </w:rPr>
          <w:t>1</w:t>
        </w:r>
        <w:r w:rsidRPr="000B6AB6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374BC7" w14:textId="77777777" w:rsidR="008722A8" w:rsidRDefault="008722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9C14" w14:textId="77777777" w:rsidR="00572091" w:rsidRDefault="00572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6872" w14:textId="77777777" w:rsidR="00AC4E56" w:rsidRDefault="00AC4E56" w:rsidP="008722A8">
      <w:r>
        <w:separator/>
      </w:r>
    </w:p>
  </w:footnote>
  <w:footnote w:type="continuationSeparator" w:id="0">
    <w:p w14:paraId="2F8DEA1A" w14:textId="77777777" w:rsidR="00AC4E56" w:rsidRDefault="00AC4E56" w:rsidP="008722A8">
      <w:r>
        <w:continuationSeparator/>
      </w:r>
    </w:p>
  </w:footnote>
  <w:footnote w:id="1">
    <w:p w14:paraId="12417EE1" w14:textId="6F80178E" w:rsidR="001B1BB9" w:rsidRPr="00B57365" w:rsidRDefault="001B1BB9" w:rsidP="00D00E80">
      <w:pPr>
        <w:pStyle w:val="FootnoteText"/>
        <w:jc w:val="both"/>
        <w:rPr>
          <w:rFonts w:ascii="Arial" w:hAnsi="Arial" w:cs="Arial"/>
        </w:rPr>
      </w:pPr>
      <w:r w:rsidRPr="00B57365">
        <w:rPr>
          <w:rStyle w:val="FootnoteReference"/>
          <w:rFonts w:ascii="Arial" w:hAnsi="Arial" w:cs="Arial"/>
        </w:rPr>
        <w:footnoteRef/>
      </w:r>
      <w:r w:rsidRPr="00B57365">
        <w:rPr>
          <w:rFonts w:ascii="Arial" w:hAnsi="Arial" w:cs="Arial"/>
        </w:rPr>
        <w:t xml:space="preserve"> New evidence emerged after this finding which identified that combination varenicline and NRT was not as effective as suggested under ToR 3 of the Review. This new evidence was included in the value for money assessment under ToR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3DBE" w14:textId="77777777" w:rsidR="00572091" w:rsidRDefault="00572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D903" w14:textId="77777777" w:rsidR="00572091" w:rsidRDefault="00572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F24C" w14:textId="77777777" w:rsidR="00572091" w:rsidRDefault="00572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6B0"/>
    <w:multiLevelType w:val="hybridMultilevel"/>
    <w:tmpl w:val="724C6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0FEF"/>
    <w:multiLevelType w:val="hybridMultilevel"/>
    <w:tmpl w:val="E7286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246A1"/>
    <w:multiLevelType w:val="hybridMultilevel"/>
    <w:tmpl w:val="A2D69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A4B05"/>
    <w:multiLevelType w:val="hybridMultilevel"/>
    <w:tmpl w:val="8CB0A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259B"/>
    <w:multiLevelType w:val="multilevel"/>
    <w:tmpl w:val="C994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991352"/>
    <w:multiLevelType w:val="hybridMultilevel"/>
    <w:tmpl w:val="D6446650"/>
    <w:lvl w:ilvl="0" w:tplc="F538FC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831D3"/>
    <w:multiLevelType w:val="hybridMultilevel"/>
    <w:tmpl w:val="43604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47C1"/>
    <w:multiLevelType w:val="hybridMultilevel"/>
    <w:tmpl w:val="186436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FD1220"/>
    <w:multiLevelType w:val="hybridMultilevel"/>
    <w:tmpl w:val="E55ECCAE"/>
    <w:lvl w:ilvl="0" w:tplc="E74871B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D74E1"/>
    <w:multiLevelType w:val="hybridMultilevel"/>
    <w:tmpl w:val="AB6612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84E87"/>
    <w:multiLevelType w:val="multilevel"/>
    <w:tmpl w:val="15E2E74C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11" w15:restartNumberingAfterBreak="0">
    <w:nsid w:val="52DC7837"/>
    <w:multiLevelType w:val="hybridMultilevel"/>
    <w:tmpl w:val="489E5A8C"/>
    <w:lvl w:ilvl="0" w:tplc="AD3C8A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227"/>
    <w:multiLevelType w:val="hybridMultilevel"/>
    <w:tmpl w:val="931E7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02DE9"/>
    <w:multiLevelType w:val="hybridMultilevel"/>
    <w:tmpl w:val="9E582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D1ECB"/>
    <w:multiLevelType w:val="hybridMultilevel"/>
    <w:tmpl w:val="FA344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F39A8"/>
    <w:multiLevelType w:val="hybridMultilevel"/>
    <w:tmpl w:val="4E8A72B0"/>
    <w:lvl w:ilvl="0" w:tplc="501CB0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4346A"/>
    <w:multiLevelType w:val="hybridMultilevel"/>
    <w:tmpl w:val="F05A53C4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7F3F6C65"/>
    <w:multiLevelType w:val="hybridMultilevel"/>
    <w:tmpl w:val="8190EE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12"/>
  </w:num>
  <w:num w:numId="5">
    <w:abstractNumId w:val="1"/>
  </w:num>
  <w:num w:numId="6">
    <w:abstractNumId w:val="9"/>
  </w:num>
  <w:num w:numId="7">
    <w:abstractNumId w:val="2"/>
  </w:num>
  <w:num w:numId="8">
    <w:abstractNumId w:val="13"/>
  </w:num>
  <w:num w:numId="9">
    <w:abstractNumId w:val="15"/>
  </w:num>
  <w:num w:numId="10">
    <w:abstractNumId w:val="5"/>
  </w:num>
  <w:num w:numId="11">
    <w:abstractNumId w:val="8"/>
  </w:num>
  <w:num w:numId="12">
    <w:abstractNumId w:val="4"/>
  </w:num>
  <w:num w:numId="13">
    <w:abstractNumId w:val="14"/>
  </w:num>
  <w:num w:numId="14">
    <w:abstractNumId w:val="3"/>
  </w:num>
  <w:num w:numId="15">
    <w:abstractNumId w:val="16"/>
  </w:num>
  <w:num w:numId="16">
    <w:abstractNumId w:val="11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A8"/>
    <w:rsid w:val="00017861"/>
    <w:rsid w:val="00030003"/>
    <w:rsid w:val="000446B9"/>
    <w:rsid w:val="0004507A"/>
    <w:rsid w:val="000458E1"/>
    <w:rsid w:val="0005140F"/>
    <w:rsid w:val="00073D6A"/>
    <w:rsid w:val="00085DA1"/>
    <w:rsid w:val="000862FC"/>
    <w:rsid w:val="00097499"/>
    <w:rsid w:val="000A4DF4"/>
    <w:rsid w:val="000B0614"/>
    <w:rsid w:val="000B6AB6"/>
    <w:rsid w:val="000C4AA7"/>
    <w:rsid w:val="000D6EA9"/>
    <w:rsid w:val="000D7BDF"/>
    <w:rsid w:val="000E0CC8"/>
    <w:rsid w:val="00121ED7"/>
    <w:rsid w:val="0012758B"/>
    <w:rsid w:val="00130967"/>
    <w:rsid w:val="00131408"/>
    <w:rsid w:val="001405AC"/>
    <w:rsid w:val="00142BB9"/>
    <w:rsid w:val="001530BC"/>
    <w:rsid w:val="00180BEE"/>
    <w:rsid w:val="0019288B"/>
    <w:rsid w:val="001974EB"/>
    <w:rsid w:val="001A0F36"/>
    <w:rsid w:val="001A3DDF"/>
    <w:rsid w:val="001A6E3C"/>
    <w:rsid w:val="001A7FEC"/>
    <w:rsid w:val="001B1BB9"/>
    <w:rsid w:val="001C5A35"/>
    <w:rsid w:val="001F0110"/>
    <w:rsid w:val="001F2B7D"/>
    <w:rsid w:val="001F4494"/>
    <w:rsid w:val="001F7894"/>
    <w:rsid w:val="00203739"/>
    <w:rsid w:val="00210713"/>
    <w:rsid w:val="00231E88"/>
    <w:rsid w:val="0025526A"/>
    <w:rsid w:val="00255718"/>
    <w:rsid w:val="0026591F"/>
    <w:rsid w:val="00267FD4"/>
    <w:rsid w:val="00280559"/>
    <w:rsid w:val="0028614F"/>
    <w:rsid w:val="002A0704"/>
    <w:rsid w:val="002A4586"/>
    <w:rsid w:val="002D5C3C"/>
    <w:rsid w:val="002E406C"/>
    <w:rsid w:val="002F5671"/>
    <w:rsid w:val="0030458E"/>
    <w:rsid w:val="00327D7B"/>
    <w:rsid w:val="003319F3"/>
    <w:rsid w:val="00333F49"/>
    <w:rsid w:val="00344DF2"/>
    <w:rsid w:val="00352F9A"/>
    <w:rsid w:val="00361EBA"/>
    <w:rsid w:val="0037131D"/>
    <w:rsid w:val="00382BEF"/>
    <w:rsid w:val="003874C8"/>
    <w:rsid w:val="003A2B43"/>
    <w:rsid w:val="003B07D9"/>
    <w:rsid w:val="003B1C79"/>
    <w:rsid w:val="003B2AD6"/>
    <w:rsid w:val="003E173F"/>
    <w:rsid w:val="003F1D52"/>
    <w:rsid w:val="00401D8C"/>
    <w:rsid w:val="00421DC3"/>
    <w:rsid w:val="00430328"/>
    <w:rsid w:val="00444FA1"/>
    <w:rsid w:val="00453E1C"/>
    <w:rsid w:val="004958D5"/>
    <w:rsid w:val="00496666"/>
    <w:rsid w:val="004A53BC"/>
    <w:rsid w:val="004A78C4"/>
    <w:rsid w:val="004B0E16"/>
    <w:rsid w:val="004B422A"/>
    <w:rsid w:val="004C6BDA"/>
    <w:rsid w:val="004D0EB4"/>
    <w:rsid w:val="004D1289"/>
    <w:rsid w:val="004D3D47"/>
    <w:rsid w:val="004F09A3"/>
    <w:rsid w:val="00507F11"/>
    <w:rsid w:val="00514CA7"/>
    <w:rsid w:val="00515CF8"/>
    <w:rsid w:val="00534726"/>
    <w:rsid w:val="00535278"/>
    <w:rsid w:val="00567059"/>
    <w:rsid w:val="005717E8"/>
    <w:rsid w:val="00572091"/>
    <w:rsid w:val="00572F38"/>
    <w:rsid w:val="00585BB8"/>
    <w:rsid w:val="005A33CD"/>
    <w:rsid w:val="005B0817"/>
    <w:rsid w:val="005B39E6"/>
    <w:rsid w:val="005C08BA"/>
    <w:rsid w:val="0060468E"/>
    <w:rsid w:val="006046E1"/>
    <w:rsid w:val="0061421D"/>
    <w:rsid w:val="00616359"/>
    <w:rsid w:val="00644E8B"/>
    <w:rsid w:val="006671C3"/>
    <w:rsid w:val="00676172"/>
    <w:rsid w:val="00690B7E"/>
    <w:rsid w:val="006A19CD"/>
    <w:rsid w:val="006A35B5"/>
    <w:rsid w:val="006C4CEB"/>
    <w:rsid w:val="006D2129"/>
    <w:rsid w:val="006D3F6D"/>
    <w:rsid w:val="006F77C0"/>
    <w:rsid w:val="0070460A"/>
    <w:rsid w:val="00707CC6"/>
    <w:rsid w:val="00711BC1"/>
    <w:rsid w:val="00711C93"/>
    <w:rsid w:val="00722CF7"/>
    <w:rsid w:val="007309ED"/>
    <w:rsid w:val="00736F6E"/>
    <w:rsid w:val="00740E12"/>
    <w:rsid w:val="007470C9"/>
    <w:rsid w:val="007511CA"/>
    <w:rsid w:val="00761FC7"/>
    <w:rsid w:val="0078253D"/>
    <w:rsid w:val="007829EE"/>
    <w:rsid w:val="00785F63"/>
    <w:rsid w:val="00794FDB"/>
    <w:rsid w:val="007A0C5F"/>
    <w:rsid w:val="007A3B6F"/>
    <w:rsid w:val="007A6734"/>
    <w:rsid w:val="007C084D"/>
    <w:rsid w:val="007C10B0"/>
    <w:rsid w:val="007C3B2C"/>
    <w:rsid w:val="007D1560"/>
    <w:rsid w:val="007E3027"/>
    <w:rsid w:val="007F3497"/>
    <w:rsid w:val="00817E81"/>
    <w:rsid w:val="00822B03"/>
    <w:rsid w:val="00847C9A"/>
    <w:rsid w:val="0086369E"/>
    <w:rsid w:val="00865F4B"/>
    <w:rsid w:val="00870E5F"/>
    <w:rsid w:val="008722A8"/>
    <w:rsid w:val="00872783"/>
    <w:rsid w:val="00883E7A"/>
    <w:rsid w:val="00883E8F"/>
    <w:rsid w:val="00884C47"/>
    <w:rsid w:val="0089795E"/>
    <w:rsid w:val="008B2CC5"/>
    <w:rsid w:val="0090580D"/>
    <w:rsid w:val="00914D2B"/>
    <w:rsid w:val="009178DB"/>
    <w:rsid w:val="0093432F"/>
    <w:rsid w:val="00935CE5"/>
    <w:rsid w:val="00941E66"/>
    <w:rsid w:val="00942C7A"/>
    <w:rsid w:val="009462E0"/>
    <w:rsid w:val="00952BAD"/>
    <w:rsid w:val="0095533A"/>
    <w:rsid w:val="0095785E"/>
    <w:rsid w:val="00972F78"/>
    <w:rsid w:val="009930D7"/>
    <w:rsid w:val="009C19C4"/>
    <w:rsid w:val="009D5742"/>
    <w:rsid w:val="009D780D"/>
    <w:rsid w:val="009E21B1"/>
    <w:rsid w:val="009F72A2"/>
    <w:rsid w:val="00A01753"/>
    <w:rsid w:val="00A01CD8"/>
    <w:rsid w:val="00A035AB"/>
    <w:rsid w:val="00A07683"/>
    <w:rsid w:val="00A1002E"/>
    <w:rsid w:val="00A20591"/>
    <w:rsid w:val="00A23164"/>
    <w:rsid w:val="00A45578"/>
    <w:rsid w:val="00A55639"/>
    <w:rsid w:val="00A56851"/>
    <w:rsid w:val="00A82E19"/>
    <w:rsid w:val="00AA0E77"/>
    <w:rsid w:val="00AB787B"/>
    <w:rsid w:val="00AC011E"/>
    <w:rsid w:val="00AC2475"/>
    <w:rsid w:val="00AC4E56"/>
    <w:rsid w:val="00AC77FE"/>
    <w:rsid w:val="00AD081A"/>
    <w:rsid w:val="00AE0043"/>
    <w:rsid w:val="00AE5181"/>
    <w:rsid w:val="00B20141"/>
    <w:rsid w:val="00B261C2"/>
    <w:rsid w:val="00B47695"/>
    <w:rsid w:val="00B57365"/>
    <w:rsid w:val="00B57EB2"/>
    <w:rsid w:val="00B6064E"/>
    <w:rsid w:val="00B70055"/>
    <w:rsid w:val="00B71F1B"/>
    <w:rsid w:val="00B7452C"/>
    <w:rsid w:val="00B74BD3"/>
    <w:rsid w:val="00B9494D"/>
    <w:rsid w:val="00B94BF6"/>
    <w:rsid w:val="00BB6D5C"/>
    <w:rsid w:val="00BC097D"/>
    <w:rsid w:val="00BF159A"/>
    <w:rsid w:val="00C03B44"/>
    <w:rsid w:val="00C3301A"/>
    <w:rsid w:val="00C370E2"/>
    <w:rsid w:val="00C567FB"/>
    <w:rsid w:val="00C67F7C"/>
    <w:rsid w:val="00C74BA5"/>
    <w:rsid w:val="00C76589"/>
    <w:rsid w:val="00C87FCE"/>
    <w:rsid w:val="00C96CEC"/>
    <w:rsid w:val="00CB2424"/>
    <w:rsid w:val="00CC39C7"/>
    <w:rsid w:val="00CD29A9"/>
    <w:rsid w:val="00CD4BA0"/>
    <w:rsid w:val="00CE3D1B"/>
    <w:rsid w:val="00D00E80"/>
    <w:rsid w:val="00D030B3"/>
    <w:rsid w:val="00D10CBD"/>
    <w:rsid w:val="00D14359"/>
    <w:rsid w:val="00D14A4A"/>
    <w:rsid w:val="00D15DB3"/>
    <w:rsid w:val="00D24B4B"/>
    <w:rsid w:val="00D3409C"/>
    <w:rsid w:val="00D456D6"/>
    <w:rsid w:val="00D4758C"/>
    <w:rsid w:val="00D5673F"/>
    <w:rsid w:val="00D61377"/>
    <w:rsid w:val="00D64961"/>
    <w:rsid w:val="00D6633D"/>
    <w:rsid w:val="00D72D7F"/>
    <w:rsid w:val="00D7532B"/>
    <w:rsid w:val="00D8149A"/>
    <w:rsid w:val="00D825AD"/>
    <w:rsid w:val="00D945D1"/>
    <w:rsid w:val="00D97652"/>
    <w:rsid w:val="00DA1140"/>
    <w:rsid w:val="00DB3B22"/>
    <w:rsid w:val="00DC386C"/>
    <w:rsid w:val="00DD157B"/>
    <w:rsid w:val="00DD7A83"/>
    <w:rsid w:val="00DE2577"/>
    <w:rsid w:val="00DE2C8D"/>
    <w:rsid w:val="00DF62D6"/>
    <w:rsid w:val="00E039E9"/>
    <w:rsid w:val="00E278A8"/>
    <w:rsid w:val="00E52E45"/>
    <w:rsid w:val="00E7444C"/>
    <w:rsid w:val="00E76F05"/>
    <w:rsid w:val="00E815AC"/>
    <w:rsid w:val="00EA0A20"/>
    <w:rsid w:val="00EB479E"/>
    <w:rsid w:val="00EC2339"/>
    <w:rsid w:val="00ED11DF"/>
    <w:rsid w:val="00EF6CDF"/>
    <w:rsid w:val="00F03DAF"/>
    <w:rsid w:val="00F06D45"/>
    <w:rsid w:val="00F27835"/>
    <w:rsid w:val="00F32124"/>
    <w:rsid w:val="00F33B4C"/>
    <w:rsid w:val="00F3598D"/>
    <w:rsid w:val="00F36823"/>
    <w:rsid w:val="00F41D12"/>
    <w:rsid w:val="00F47A10"/>
    <w:rsid w:val="00F6218B"/>
    <w:rsid w:val="00F62904"/>
    <w:rsid w:val="00F712D8"/>
    <w:rsid w:val="00F91FA7"/>
    <w:rsid w:val="00FC0537"/>
    <w:rsid w:val="00FC1AB9"/>
    <w:rsid w:val="00FC676A"/>
    <w:rsid w:val="00FD6FF0"/>
    <w:rsid w:val="00FE2BD8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4491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9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9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2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2A8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722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2A8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22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22A8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8722A8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8722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2A8"/>
  </w:style>
  <w:style w:type="character" w:customStyle="1" w:styleId="CommentTextChar">
    <w:name w:val="Comment Text Char"/>
    <w:basedOn w:val="DefaultParagraphFont"/>
    <w:link w:val="CommentText"/>
    <w:semiHidden/>
    <w:rsid w:val="008722A8"/>
    <w:rPr>
      <w:rFonts w:ascii="Times New Roman" w:eastAsia="Times New Roman" w:hAnsi="Times New Roman" w:cs="Times New Roman"/>
      <w:sz w:val="20"/>
      <w:szCs w:val="20"/>
      <w:lang w:eastAsia="en-AU"/>
    </w:rPr>
  </w:style>
  <w:style w:type="table" w:styleId="TableGrid">
    <w:name w:val="Table Grid"/>
    <w:basedOn w:val="TableNormal"/>
    <w:rsid w:val="00872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73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D6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7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534726"/>
    <w:pPr>
      <w:ind w:left="720"/>
      <w:contextualSpacing/>
    </w:pPr>
  </w:style>
  <w:style w:type="paragraph" w:styleId="Revision">
    <w:name w:val="Revision"/>
    <w:hidden/>
    <w:uiPriority w:val="99"/>
    <w:semiHidden/>
    <w:rsid w:val="00D14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F09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F09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55718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 Paragraph1 Char,Recommendation Char"/>
    <w:link w:val="ListParagraph"/>
    <w:uiPriority w:val="34"/>
    <w:locked/>
    <w:rsid w:val="00847C9A"/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6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.gov.au/info/industry/listing/elements/pbac-meetings/pbac-outcomes/recommendations-made-by-the-pbac-may-2022-intracycle-meeti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bs.gov.au/info/reviews/post-market-review-of-medicines-for-smoking-cessat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8C34C-C3A8-42C3-99C7-18487C1A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2022-12-12T01:58:00Z</dcterms:created>
  <dcterms:modified xsi:type="dcterms:W3CDTF">2022-12-14T08:54:00Z</dcterms:modified>
</cp:coreProperties>
</file>