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D1EE" w14:textId="77777777" w:rsidR="00304EE8" w:rsidRPr="00304EE8" w:rsidRDefault="00304EE8" w:rsidP="00304EE8">
      <w:pPr>
        <w:rPr>
          <w:rFonts w:ascii="Calibri" w:hAnsi="Calibri" w:cs="Calibri"/>
          <w:b/>
          <w:u w:val="single"/>
        </w:rPr>
      </w:pPr>
      <w:bookmarkStart w:id="0" w:name="_Hlk87013217"/>
      <w:bookmarkStart w:id="1" w:name="_Toc440980439"/>
      <w:r w:rsidRPr="00304EE8">
        <w:rPr>
          <w:rFonts w:ascii="Calibri" w:hAnsi="Calibri" w:cs="Calibri"/>
          <w:b/>
          <w:u w:val="single"/>
        </w:rPr>
        <w:t>CHANGES TO PRESENT (OR RECOMMENDED) PBS AVAILABILITY</w:t>
      </w:r>
    </w:p>
    <w:p w14:paraId="03A48F46" w14:textId="77777777" w:rsidR="00304EE8" w:rsidRPr="00304EE8" w:rsidRDefault="00304EE8" w:rsidP="00304EE8">
      <w:pPr>
        <w:rPr>
          <w:rFonts w:ascii="Calibri" w:hAnsi="Calibri" w:cs="Calibri"/>
        </w:rPr>
      </w:pPr>
    </w:p>
    <w:p w14:paraId="5B1934EA" w14:textId="6D4BC544" w:rsidR="00304EE8" w:rsidRPr="00304EE8" w:rsidRDefault="00304EE8" w:rsidP="00304EE8">
      <w:pPr>
        <w:jc w:val="both"/>
        <w:rPr>
          <w:rFonts w:ascii="Calibri" w:hAnsi="Calibri" w:cs="Calibri"/>
        </w:rPr>
      </w:pPr>
      <w:r w:rsidRPr="00304EE8">
        <w:rPr>
          <w:rFonts w:ascii="Calibri" w:hAnsi="Calibri" w:cs="Calibri"/>
        </w:rPr>
        <w:t xml:space="preserve">When the PBAC makes a recommendation under section 101(3) of the </w:t>
      </w:r>
      <w:r w:rsidRPr="00304EE8">
        <w:rPr>
          <w:rFonts w:ascii="Calibri" w:hAnsi="Calibri" w:cs="Calibri"/>
          <w:i/>
        </w:rPr>
        <w:t>National Health Act 1953</w:t>
      </w:r>
      <w:r w:rsidRPr="00304EE8">
        <w:rPr>
          <w:rFonts w:ascii="Calibri" w:hAnsi="Calibri" w:cs="Calibri"/>
        </w:rPr>
        <w:t xml:space="preserve"> (“the Act”) in relation to a drug/medicinal preparation which it considers should be made available as a pharmaceutical benefit under Part VII of the Act, it is also required to consider whether the drug/medicinal preparation should be made available only in certain circumstances (see section 101(3C) of the Act)</w:t>
      </w:r>
      <w:r w:rsidR="00886382" w:rsidRPr="00304EE8">
        <w:rPr>
          <w:rFonts w:ascii="Calibri" w:hAnsi="Calibri" w:cs="Calibri"/>
        </w:rPr>
        <w:t xml:space="preserve">. </w:t>
      </w:r>
      <w:r w:rsidRPr="00304EE8">
        <w:rPr>
          <w:rFonts w:ascii="Calibri" w:hAnsi="Calibri" w:cs="Calibri"/>
        </w:rPr>
        <w:t>Where the PBAC considers that the drug/medicinal preparation should be made available only in certain circumstances, it specifies the circumstances in its recommendation under section 101(3).</w:t>
      </w:r>
    </w:p>
    <w:p w14:paraId="710FCF98" w14:textId="77777777" w:rsidR="00304EE8" w:rsidRPr="00304EE8" w:rsidRDefault="00304EE8" w:rsidP="00304EE8">
      <w:pPr>
        <w:jc w:val="both"/>
        <w:rPr>
          <w:rFonts w:ascii="Calibri" w:hAnsi="Calibri" w:cs="Calibri"/>
        </w:rPr>
      </w:pPr>
    </w:p>
    <w:p w14:paraId="069BEB37" w14:textId="634294B6" w:rsidR="00304EE8" w:rsidRPr="00304EE8" w:rsidRDefault="00304EE8" w:rsidP="00304EE8">
      <w:pPr>
        <w:jc w:val="both"/>
        <w:rPr>
          <w:rFonts w:ascii="Calibri" w:hAnsi="Calibri" w:cs="Calibri"/>
        </w:rPr>
      </w:pPr>
      <w:r w:rsidRPr="00304EE8">
        <w:rPr>
          <w:rFonts w:ascii="Calibri" w:hAnsi="Calibri" w:cs="Calibri"/>
        </w:rPr>
        <w:t xml:space="preserve">At its meeting </w:t>
      </w:r>
      <w:r>
        <w:rPr>
          <w:rFonts w:ascii="Calibri" w:hAnsi="Calibri" w:cs="Calibri"/>
        </w:rPr>
        <w:t>on</w:t>
      </w:r>
      <w:r w:rsidRPr="00304EE8">
        <w:rPr>
          <w:rFonts w:ascii="Calibri" w:hAnsi="Calibri" w:cs="Calibri"/>
        </w:rPr>
        <w:t xml:space="preserve"> </w:t>
      </w:r>
      <w:r w:rsidRPr="00304EE8">
        <w:rPr>
          <w:rFonts w:ascii="Calibri" w:hAnsi="Calibri" w:cs="Calibri"/>
          <w:b/>
        </w:rPr>
        <w:t>6</w:t>
      </w:r>
      <w:r w:rsidRPr="00304EE8">
        <w:rPr>
          <w:rFonts w:ascii="Calibri" w:hAnsi="Calibri" w:cs="Calibri"/>
        </w:rPr>
        <w:t xml:space="preserve"> </w:t>
      </w:r>
      <w:r w:rsidRPr="00304EE8">
        <w:rPr>
          <w:rFonts w:ascii="Calibri" w:hAnsi="Calibri" w:cs="Calibri"/>
          <w:b/>
        </w:rPr>
        <w:t>May</w:t>
      </w:r>
      <w:r w:rsidRPr="00304EE8">
        <w:rPr>
          <w:rFonts w:ascii="Calibri" w:hAnsi="Calibri" w:cs="Calibri"/>
        </w:rPr>
        <w:t xml:space="preserve"> </w:t>
      </w:r>
      <w:r w:rsidRPr="00304EE8">
        <w:rPr>
          <w:rFonts w:ascii="Calibri" w:hAnsi="Calibri" w:cs="Calibri"/>
          <w:b/>
        </w:rPr>
        <w:t>2022</w:t>
      </w:r>
      <w:r w:rsidRPr="00304EE8">
        <w:rPr>
          <w:rFonts w:ascii="Calibri" w:hAnsi="Calibri" w:cs="Calibri"/>
        </w:rPr>
        <w:t xml:space="preserve">, the PBAC in making its recommendation under section 101(3) of the Act, decided to recommend a change to the circumstances under which </w:t>
      </w:r>
      <w:r>
        <w:rPr>
          <w:rFonts w:ascii="Calibri" w:hAnsi="Calibri" w:cs="Calibri"/>
        </w:rPr>
        <w:t>nicotine</w:t>
      </w:r>
      <w:r w:rsidRPr="00304EE8">
        <w:rPr>
          <w:b/>
        </w:rPr>
        <w:t xml:space="preserve"> </w:t>
      </w:r>
      <w:r w:rsidRPr="00304EE8">
        <w:rPr>
          <w:rFonts w:ascii="Calibri" w:hAnsi="Calibri" w:cs="Calibri"/>
          <w:bCs/>
        </w:rPr>
        <w:t>(in patch, gum, and lozenge form)</w:t>
      </w:r>
      <w:r>
        <w:rPr>
          <w:rFonts w:ascii="Calibri" w:hAnsi="Calibri" w:cs="Calibri"/>
        </w:rPr>
        <w:t xml:space="preserve"> </w:t>
      </w:r>
      <w:r w:rsidRPr="00304EE8">
        <w:rPr>
          <w:rFonts w:ascii="Calibri" w:hAnsi="Calibri" w:cs="Calibri"/>
        </w:rPr>
        <w:t>is made available as a pharmaceutical benefit under Part VII of the Act.</w:t>
      </w:r>
    </w:p>
    <w:p w14:paraId="269B4D29" w14:textId="77777777" w:rsidR="00304EE8" w:rsidRPr="00304EE8" w:rsidRDefault="00304EE8" w:rsidP="00304EE8">
      <w:pPr>
        <w:jc w:val="both"/>
        <w:rPr>
          <w:rFonts w:ascii="Calibri" w:hAnsi="Calibri" w:cs="Calibri"/>
        </w:rPr>
      </w:pPr>
    </w:p>
    <w:p w14:paraId="5B631864" w14:textId="2E0786DD" w:rsidR="00304EE8" w:rsidRPr="00304EE8" w:rsidRDefault="00304EE8" w:rsidP="00304EE8">
      <w:pPr>
        <w:jc w:val="both"/>
        <w:rPr>
          <w:rFonts w:ascii="Calibri" w:hAnsi="Calibri" w:cs="Calibri"/>
        </w:rPr>
      </w:pPr>
      <w:r w:rsidRPr="00304EE8">
        <w:rPr>
          <w:rFonts w:ascii="Calibri" w:hAnsi="Calibri" w:cs="Calibri"/>
        </w:rPr>
        <w:t>A note of the PBAC’s decision follows.</w:t>
      </w:r>
      <w:bookmarkEnd w:id="0"/>
    </w:p>
    <w:p w14:paraId="5E694200" w14:textId="77777777" w:rsidR="008B46F1" w:rsidRDefault="008B46F1" w:rsidP="008B46F1">
      <w:pPr>
        <w:rPr>
          <w:lang w:eastAsia="en-AU"/>
        </w:rPr>
      </w:pPr>
    </w:p>
    <w:p w14:paraId="6BF50DC4" w14:textId="38B0973E" w:rsidR="00A65D59" w:rsidRDefault="009A4BD4" w:rsidP="005B45C4">
      <w:pPr>
        <w:pStyle w:val="1MainTitle"/>
        <w:jc w:val="both"/>
        <w:rPr>
          <w:lang w:eastAsia="en-AU"/>
        </w:rPr>
      </w:pPr>
      <w:r>
        <w:rPr>
          <w:lang w:eastAsia="en-AU"/>
        </w:rPr>
        <w:t>9</w:t>
      </w:r>
      <w:r w:rsidR="00D75F1F">
        <w:rPr>
          <w:lang w:eastAsia="en-AU"/>
        </w:rPr>
        <w:t>.</w:t>
      </w:r>
      <w:r w:rsidR="00BE26F1">
        <w:rPr>
          <w:lang w:eastAsia="en-AU"/>
        </w:rPr>
        <w:t>02</w:t>
      </w:r>
      <w:r w:rsidR="00A65D59">
        <w:rPr>
          <w:lang w:eastAsia="en-AU"/>
        </w:rPr>
        <w:t>Post-market R</w:t>
      </w:r>
      <w:r w:rsidR="00A65D59" w:rsidRPr="00EC479B">
        <w:rPr>
          <w:lang w:eastAsia="en-AU"/>
        </w:rPr>
        <w:t>eview</w:t>
      </w:r>
      <w:r w:rsidR="005B45C4">
        <w:rPr>
          <w:lang w:eastAsia="en-AU"/>
        </w:rPr>
        <w:t xml:space="preserve"> </w:t>
      </w:r>
      <w:r w:rsidR="00A65D59" w:rsidRPr="00EC479B">
        <w:rPr>
          <w:lang w:eastAsia="en-AU"/>
        </w:rPr>
        <w:t xml:space="preserve">of </w:t>
      </w:r>
      <w:r w:rsidR="00A65D59">
        <w:rPr>
          <w:lang w:eastAsia="en-AU"/>
        </w:rPr>
        <w:t>medicines for smoking</w:t>
      </w:r>
      <w:r w:rsidR="005B45C4">
        <w:rPr>
          <w:lang w:eastAsia="en-AU"/>
        </w:rPr>
        <w:t xml:space="preserve"> </w:t>
      </w:r>
      <w:r w:rsidR="00A65D59">
        <w:rPr>
          <w:lang w:eastAsia="en-AU"/>
        </w:rPr>
        <w:t>cessation</w:t>
      </w:r>
      <w:r w:rsidR="00A65D59" w:rsidRPr="0071655B">
        <w:rPr>
          <w:lang w:eastAsia="en-AU"/>
        </w:rPr>
        <w:t xml:space="preserve"> </w:t>
      </w:r>
    </w:p>
    <w:p w14:paraId="299C7914" w14:textId="12C8675C" w:rsidR="00F927AC" w:rsidRPr="00F927AC" w:rsidRDefault="00A65D59" w:rsidP="00F927AC">
      <w:pPr>
        <w:pStyle w:val="2Sections"/>
      </w:pPr>
      <w:r w:rsidRPr="00A90A71">
        <w:t xml:space="preserve">Purpose of </w:t>
      </w:r>
      <w:r w:rsidR="009F391E" w:rsidRPr="00A90A71">
        <w:t>ite</w:t>
      </w:r>
      <w:r w:rsidR="00F927AC">
        <w:t>m</w:t>
      </w:r>
    </w:p>
    <w:p w14:paraId="74772D19" w14:textId="775CB0C2" w:rsidR="005A3BE8" w:rsidRPr="005A3BE8" w:rsidRDefault="005A3BE8" w:rsidP="005A3BE8">
      <w:pPr>
        <w:pStyle w:val="PBACHeading10"/>
        <w:keepNext w:val="0"/>
        <w:keepLines w:val="0"/>
        <w:ind w:firstLine="0"/>
        <w:jc w:val="both"/>
        <w:outlineLvl w:val="9"/>
        <w:rPr>
          <w:b w:val="0"/>
          <w:sz w:val="24"/>
          <w:szCs w:val="24"/>
        </w:rPr>
      </w:pPr>
      <w:bookmarkStart w:id="2" w:name="_Hlk99362773"/>
      <w:r>
        <w:rPr>
          <w:b w:val="0"/>
          <w:sz w:val="24"/>
          <w:szCs w:val="24"/>
        </w:rPr>
        <w:t>That the PBAC:</w:t>
      </w:r>
    </w:p>
    <w:p w14:paraId="7C00CEE7" w14:textId="001A7DDA" w:rsidR="001A4CC3" w:rsidRPr="00A90A71" w:rsidRDefault="00FD71F5" w:rsidP="001C4EE5">
      <w:pPr>
        <w:pStyle w:val="PBACHeading10"/>
        <w:keepNext w:val="0"/>
        <w:keepLines w:val="0"/>
        <w:numPr>
          <w:ilvl w:val="1"/>
          <w:numId w:val="12"/>
        </w:numPr>
        <w:ind w:left="720" w:hanging="720"/>
        <w:jc w:val="both"/>
        <w:outlineLvl w:val="9"/>
        <w:rPr>
          <w:b w:val="0"/>
          <w:sz w:val="24"/>
          <w:szCs w:val="24"/>
        </w:rPr>
      </w:pPr>
      <w:bookmarkStart w:id="3" w:name="_Hlk99363399"/>
      <w:r w:rsidRPr="00EC479B">
        <w:rPr>
          <w:sz w:val="24"/>
          <w:szCs w:val="24"/>
        </w:rPr>
        <w:t>Consider</w:t>
      </w:r>
      <w:r w:rsidR="001A4CC3" w:rsidRPr="00EC479B">
        <w:rPr>
          <w:b w:val="0"/>
          <w:sz w:val="24"/>
          <w:szCs w:val="24"/>
        </w:rPr>
        <w:t xml:space="preserve"> the </w:t>
      </w:r>
      <w:hyperlink r:id="rId8" w:history="1">
        <w:r w:rsidR="00D76DFD">
          <w:rPr>
            <w:rStyle w:val="Hyperlink"/>
            <w:b w:val="0"/>
            <w:sz w:val="24"/>
            <w:szCs w:val="24"/>
          </w:rPr>
          <w:t>draft report</w:t>
        </w:r>
      </w:hyperlink>
      <w:r w:rsidR="001A4CC3" w:rsidRPr="00EC479B">
        <w:rPr>
          <w:b w:val="0"/>
          <w:sz w:val="24"/>
          <w:szCs w:val="24"/>
        </w:rPr>
        <w:t xml:space="preserve"> for the </w:t>
      </w:r>
      <w:r w:rsidR="005B45C4">
        <w:rPr>
          <w:b w:val="0"/>
          <w:sz w:val="24"/>
          <w:szCs w:val="24"/>
        </w:rPr>
        <w:t>Post-market Review (</w:t>
      </w:r>
      <w:r w:rsidR="009F391E">
        <w:rPr>
          <w:b w:val="0"/>
          <w:iCs/>
          <w:sz w:val="24"/>
          <w:szCs w:val="24"/>
        </w:rPr>
        <w:t>PMR</w:t>
      </w:r>
      <w:r w:rsidR="005B45C4">
        <w:rPr>
          <w:b w:val="0"/>
          <w:iCs/>
          <w:sz w:val="24"/>
          <w:szCs w:val="24"/>
        </w:rPr>
        <w:t>)</w:t>
      </w:r>
      <w:r w:rsidR="009F391E">
        <w:rPr>
          <w:b w:val="0"/>
          <w:iCs/>
          <w:sz w:val="24"/>
          <w:szCs w:val="24"/>
        </w:rPr>
        <w:t xml:space="preserve"> </w:t>
      </w:r>
      <w:r w:rsidR="001A4CC3" w:rsidRPr="00A90A71">
        <w:rPr>
          <w:b w:val="0"/>
          <w:iCs/>
          <w:sz w:val="24"/>
          <w:szCs w:val="24"/>
        </w:rPr>
        <w:t>of medicines for smoking cessation</w:t>
      </w:r>
      <w:r w:rsidR="001A4CC3" w:rsidRPr="00EC479B">
        <w:rPr>
          <w:b w:val="0"/>
          <w:i/>
          <w:sz w:val="24"/>
          <w:szCs w:val="24"/>
        </w:rPr>
        <w:t xml:space="preserve"> </w:t>
      </w:r>
      <w:r w:rsidR="001A4CC3" w:rsidRPr="00EC479B">
        <w:rPr>
          <w:b w:val="0"/>
          <w:sz w:val="24"/>
          <w:szCs w:val="24"/>
        </w:rPr>
        <w:t>(</w:t>
      </w:r>
      <w:r w:rsidR="009F391E">
        <w:rPr>
          <w:b w:val="0"/>
          <w:sz w:val="24"/>
          <w:szCs w:val="24"/>
        </w:rPr>
        <w:t>“</w:t>
      </w:r>
      <w:r w:rsidR="001A4CC3" w:rsidRPr="00EC479B">
        <w:rPr>
          <w:b w:val="0"/>
          <w:sz w:val="24"/>
          <w:szCs w:val="24"/>
        </w:rPr>
        <w:t>the Review</w:t>
      </w:r>
      <w:r w:rsidR="009F391E">
        <w:rPr>
          <w:b w:val="0"/>
          <w:sz w:val="24"/>
          <w:szCs w:val="24"/>
        </w:rPr>
        <w:t>”</w:t>
      </w:r>
      <w:r w:rsidR="001A4CC3" w:rsidRPr="00EC479B">
        <w:rPr>
          <w:b w:val="0"/>
          <w:sz w:val="24"/>
          <w:szCs w:val="24"/>
        </w:rPr>
        <w:t>)</w:t>
      </w:r>
      <w:r w:rsidR="00A864CC">
        <w:rPr>
          <w:b w:val="0"/>
          <w:sz w:val="24"/>
          <w:szCs w:val="24"/>
        </w:rPr>
        <w:t xml:space="preserve"> addressing Review terms of reference (ToRs) 1-3</w:t>
      </w:r>
      <w:r w:rsidR="001A4CC3" w:rsidRPr="00EC479B">
        <w:rPr>
          <w:b w:val="0"/>
          <w:sz w:val="24"/>
          <w:szCs w:val="24"/>
        </w:rPr>
        <w:t>.</w:t>
      </w:r>
      <w:r w:rsidR="00660979">
        <w:rPr>
          <w:b w:val="0"/>
          <w:sz w:val="24"/>
          <w:szCs w:val="24"/>
        </w:rPr>
        <w:t xml:space="preserve"> </w:t>
      </w:r>
    </w:p>
    <w:bookmarkEnd w:id="3"/>
    <w:p w14:paraId="3DA87742" w14:textId="35D4ED0F" w:rsidR="001A4CC3" w:rsidRPr="00C54E88" w:rsidRDefault="00FD71F5" w:rsidP="001C4EE5">
      <w:pPr>
        <w:pStyle w:val="PBACHeading10"/>
        <w:keepNext w:val="0"/>
        <w:keepLines w:val="0"/>
        <w:numPr>
          <w:ilvl w:val="1"/>
          <w:numId w:val="12"/>
        </w:numPr>
        <w:ind w:left="720" w:hanging="720"/>
        <w:jc w:val="both"/>
        <w:outlineLvl w:val="9"/>
        <w:rPr>
          <w:sz w:val="24"/>
          <w:szCs w:val="24"/>
        </w:rPr>
      </w:pPr>
      <w:r w:rsidRPr="00C65A16">
        <w:rPr>
          <w:sz w:val="24"/>
          <w:szCs w:val="24"/>
        </w:rPr>
        <w:t>Note</w:t>
      </w:r>
      <w:r w:rsidR="001A4CC3" w:rsidRPr="00C65A16">
        <w:rPr>
          <w:sz w:val="24"/>
          <w:szCs w:val="24"/>
        </w:rPr>
        <w:t xml:space="preserve"> </w:t>
      </w:r>
      <w:r w:rsidR="001A4CC3" w:rsidRPr="00C54E88">
        <w:rPr>
          <w:b w:val="0"/>
          <w:sz w:val="24"/>
          <w:szCs w:val="24"/>
        </w:rPr>
        <w:t xml:space="preserve">the </w:t>
      </w:r>
      <w:r w:rsidR="00B800D0" w:rsidRPr="00B800D0">
        <w:rPr>
          <w:b w:val="0"/>
          <w:bCs/>
          <w:color w:val="000000"/>
          <w:w w:val="53"/>
          <w:sz w:val="24"/>
          <w:szCs w:val="24"/>
          <w:shd w:val="solid" w:color="000000" w:fill="000000"/>
          <w:fitText w:val="410" w:id="-1402820096"/>
          <w14:textFill>
            <w14:solidFill>
              <w14:srgbClr w14:val="000000">
                <w14:alpha w14:val="100000"/>
              </w14:srgbClr>
            </w14:solidFill>
          </w14:textFill>
        </w:rPr>
        <w:t>|||  |||</w:t>
      </w:r>
      <w:r w:rsidR="001A4CC3" w:rsidRPr="00C54E88">
        <w:rPr>
          <w:b w:val="0"/>
          <w:sz w:val="24"/>
          <w:szCs w:val="24"/>
        </w:rPr>
        <w:t xml:space="preserve"> submission (and associated economic model) along with the evaluation commentary</w:t>
      </w:r>
      <w:r w:rsidR="009F391E" w:rsidRPr="00C54E88">
        <w:rPr>
          <w:sz w:val="24"/>
          <w:szCs w:val="24"/>
        </w:rPr>
        <w:t>.</w:t>
      </w:r>
    </w:p>
    <w:p w14:paraId="07709E00" w14:textId="13AC3EEF" w:rsidR="009F648A" w:rsidRPr="00A90A71" w:rsidRDefault="00FD71F5" w:rsidP="001C4EE5">
      <w:pPr>
        <w:pStyle w:val="PBACHeading10"/>
        <w:keepNext w:val="0"/>
        <w:keepLines w:val="0"/>
        <w:numPr>
          <w:ilvl w:val="1"/>
          <w:numId w:val="12"/>
        </w:numPr>
        <w:ind w:left="720" w:hanging="720"/>
        <w:jc w:val="both"/>
        <w:outlineLvl w:val="9"/>
        <w:rPr>
          <w:sz w:val="24"/>
          <w:szCs w:val="24"/>
        </w:rPr>
      </w:pPr>
      <w:r w:rsidRPr="00A90A71">
        <w:rPr>
          <w:sz w:val="24"/>
          <w:szCs w:val="24"/>
        </w:rPr>
        <w:t>Consider</w:t>
      </w:r>
      <w:r w:rsidR="009F648A" w:rsidRPr="00A90A71">
        <w:rPr>
          <w:sz w:val="24"/>
          <w:szCs w:val="24"/>
        </w:rPr>
        <w:t xml:space="preserve"> </w:t>
      </w:r>
      <w:r w:rsidR="009F648A" w:rsidRPr="00A90A71">
        <w:rPr>
          <w:b w:val="0"/>
          <w:bCs/>
          <w:sz w:val="24"/>
          <w:szCs w:val="24"/>
        </w:rPr>
        <w:t xml:space="preserve">the </w:t>
      </w:r>
      <w:bookmarkStart w:id="4" w:name="_Hlk102986055"/>
      <w:r w:rsidR="009F648A" w:rsidRPr="001458D9">
        <w:rPr>
          <w:b w:val="0"/>
          <w:bCs/>
          <w:i/>
          <w:iCs/>
          <w:sz w:val="24"/>
          <w:szCs w:val="24"/>
        </w:rPr>
        <w:t>Cost-effectiveness Review</w:t>
      </w:r>
      <w:r w:rsidR="00D123C6">
        <w:rPr>
          <w:b w:val="0"/>
          <w:bCs/>
          <w:i/>
          <w:iCs/>
          <w:sz w:val="24"/>
          <w:szCs w:val="24"/>
        </w:rPr>
        <w:t xml:space="preserve"> </w:t>
      </w:r>
      <w:r w:rsidR="009F648A" w:rsidRPr="001458D9">
        <w:rPr>
          <w:b w:val="0"/>
          <w:bCs/>
          <w:i/>
          <w:iCs/>
          <w:sz w:val="24"/>
          <w:szCs w:val="24"/>
        </w:rPr>
        <w:t xml:space="preserve">of Specified Combinations of Smoking Cessation Medicines and Estimates for the </w:t>
      </w:r>
      <w:r w:rsidR="005D5685" w:rsidRPr="001458D9">
        <w:rPr>
          <w:b w:val="0"/>
          <w:bCs/>
          <w:i/>
          <w:iCs/>
          <w:sz w:val="24"/>
          <w:szCs w:val="24"/>
        </w:rPr>
        <w:t>Pharmaceutical Benefits Scheme</w:t>
      </w:r>
      <w:r w:rsidR="00C071FC">
        <w:rPr>
          <w:b w:val="0"/>
          <w:bCs/>
          <w:sz w:val="24"/>
          <w:szCs w:val="24"/>
        </w:rPr>
        <w:t xml:space="preserve"> </w:t>
      </w:r>
      <w:r w:rsidR="005D5685" w:rsidRPr="001458D9">
        <w:rPr>
          <w:b w:val="0"/>
          <w:bCs/>
          <w:sz w:val="24"/>
          <w:szCs w:val="24"/>
        </w:rPr>
        <w:t>(</w:t>
      </w:r>
      <w:r w:rsidR="009F648A" w:rsidRPr="001458D9">
        <w:rPr>
          <w:b w:val="0"/>
          <w:bCs/>
          <w:sz w:val="24"/>
          <w:szCs w:val="24"/>
        </w:rPr>
        <w:t>PBS</w:t>
      </w:r>
      <w:r w:rsidR="005D5685" w:rsidRPr="001458D9">
        <w:rPr>
          <w:b w:val="0"/>
          <w:bCs/>
          <w:sz w:val="24"/>
          <w:szCs w:val="24"/>
        </w:rPr>
        <w:t>)</w:t>
      </w:r>
      <w:r w:rsidR="00A62238">
        <w:rPr>
          <w:b w:val="0"/>
          <w:bCs/>
          <w:sz w:val="24"/>
          <w:szCs w:val="24"/>
        </w:rPr>
        <w:t xml:space="preserve"> </w:t>
      </w:r>
      <w:r w:rsidR="009F648A" w:rsidRPr="00A90A71">
        <w:rPr>
          <w:b w:val="0"/>
          <w:bCs/>
          <w:sz w:val="24"/>
          <w:szCs w:val="24"/>
        </w:rPr>
        <w:t>report</w:t>
      </w:r>
      <w:bookmarkEnd w:id="4"/>
      <w:r w:rsidR="00A864CC">
        <w:rPr>
          <w:b w:val="0"/>
          <w:bCs/>
          <w:sz w:val="24"/>
          <w:szCs w:val="24"/>
        </w:rPr>
        <w:t xml:space="preserve"> conducted under ToR 4 of the Review.</w:t>
      </w:r>
    </w:p>
    <w:p w14:paraId="1C9FF184" w14:textId="3458D68E" w:rsidR="009F648A" w:rsidRPr="00A90A71" w:rsidRDefault="00FD71F5" w:rsidP="001C4EE5">
      <w:pPr>
        <w:pStyle w:val="PBACHeading10"/>
        <w:keepNext w:val="0"/>
        <w:keepLines w:val="0"/>
        <w:numPr>
          <w:ilvl w:val="1"/>
          <w:numId w:val="12"/>
        </w:numPr>
        <w:ind w:left="720" w:hanging="720"/>
        <w:jc w:val="both"/>
        <w:outlineLvl w:val="9"/>
        <w:rPr>
          <w:sz w:val="24"/>
          <w:szCs w:val="24"/>
        </w:rPr>
      </w:pPr>
      <w:r w:rsidRPr="00F927AC">
        <w:rPr>
          <w:sz w:val="24"/>
          <w:szCs w:val="24"/>
        </w:rPr>
        <w:t>Note</w:t>
      </w:r>
      <w:r w:rsidR="009F648A" w:rsidRPr="00A90A71">
        <w:rPr>
          <w:sz w:val="24"/>
          <w:szCs w:val="24"/>
        </w:rPr>
        <w:t xml:space="preserve"> </w:t>
      </w:r>
      <w:r w:rsidR="009F648A" w:rsidRPr="00A90A71">
        <w:rPr>
          <w:b w:val="0"/>
          <w:bCs/>
          <w:sz w:val="24"/>
          <w:szCs w:val="24"/>
        </w:rPr>
        <w:t xml:space="preserve">the </w:t>
      </w:r>
      <w:r w:rsidR="005826ED" w:rsidRPr="00A90A71">
        <w:rPr>
          <w:b w:val="0"/>
          <w:bCs/>
          <w:sz w:val="24"/>
          <w:szCs w:val="24"/>
        </w:rPr>
        <w:t xml:space="preserve">Drug Utilisation Sub-Committee (DUSC) and Economics Sub-Committee (ESC) </w:t>
      </w:r>
      <w:r w:rsidR="009F648A" w:rsidRPr="00A90A71">
        <w:rPr>
          <w:b w:val="0"/>
          <w:bCs/>
          <w:sz w:val="24"/>
          <w:szCs w:val="24"/>
        </w:rPr>
        <w:t xml:space="preserve">advice </w:t>
      </w:r>
      <w:r w:rsidR="005826ED" w:rsidRPr="00A90A71">
        <w:rPr>
          <w:b w:val="0"/>
          <w:bCs/>
          <w:sz w:val="24"/>
          <w:szCs w:val="24"/>
        </w:rPr>
        <w:t>from the June 2021 and February 2022 meetings</w:t>
      </w:r>
      <w:r w:rsidR="002A56DB" w:rsidRPr="00A90A71">
        <w:rPr>
          <w:b w:val="0"/>
          <w:bCs/>
          <w:sz w:val="24"/>
          <w:szCs w:val="24"/>
        </w:rPr>
        <w:t>.</w:t>
      </w:r>
    </w:p>
    <w:p w14:paraId="7F80FD35" w14:textId="5E588A99" w:rsidR="009A4BD4" w:rsidRPr="00A90A71" w:rsidRDefault="00FD71F5" w:rsidP="001C4EE5">
      <w:pPr>
        <w:pStyle w:val="PBACHeading10"/>
        <w:keepNext w:val="0"/>
        <w:keepLines w:val="0"/>
        <w:numPr>
          <w:ilvl w:val="1"/>
          <w:numId w:val="12"/>
        </w:numPr>
        <w:ind w:left="720" w:hanging="720"/>
        <w:jc w:val="both"/>
        <w:outlineLvl w:val="9"/>
        <w:rPr>
          <w:sz w:val="24"/>
          <w:szCs w:val="24"/>
        </w:rPr>
      </w:pPr>
      <w:r>
        <w:rPr>
          <w:sz w:val="24"/>
          <w:szCs w:val="24"/>
        </w:rPr>
        <w:t>Note</w:t>
      </w:r>
      <w:r w:rsidR="009A4BD4">
        <w:rPr>
          <w:sz w:val="24"/>
          <w:szCs w:val="24"/>
        </w:rPr>
        <w:t xml:space="preserve"> </w:t>
      </w:r>
      <w:r w:rsidR="009A4BD4">
        <w:rPr>
          <w:b w:val="0"/>
          <w:bCs/>
          <w:sz w:val="24"/>
          <w:szCs w:val="24"/>
        </w:rPr>
        <w:t xml:space="preserve">the </w:t>
      </w:r>
      <w:r w:rsidR="000A3F7C">
        <w:rPr>
          <w:b w:val="0"/>
          <w:bCs/>
          <w:sz w:val="24"/>
          <w:szCs w:val="24"/>
        </w:rPr>
        <w:t>s</w:t>
      </w:r>
      <w:r w:rsidR="009A4BD4">
        <w:rPr>
          <w:b w:val="0"/>
          <w:bCs/>
          <w:sz w:val="24"/>
          <w:szCs w:val="24"/>
        </w:rPr>
        <w:t xml:space="preserve">ponsor </w:t>
      </w:r>
      <w:r w:rsidR="009A4BD4" w:rsidRPr="009A4BD4">
        <w:rPr>
          <w:b w:val="0"/>
          <w:bCs/>
          <w:sz w:val="24"/>
          <w:szCs w:val="24"/>
        </w:rPr>
        <w:t xml:space="preserve">pre-sub-committee </w:t>
      </w:r>
      <w:r w:rsidR="009A4BD4" w:rsidRPr="00A90A71">
        <w:rPr>
          <w:b w:val="0"/>
          <w:bCs/>
          <w:sz w:val="24"/>
          <w:szCs w:val="24"/>
        </w:rPr>
        <w:t>responses</w:t>
      </w:r>
      <w:r w:rsidR="009A4BD4" w:rsidRPr="00A90A71">
        <w:rPr>
          <w:b w:val="0"/>
          <w:bCs/>
          <w:snapToGrid/>
          <w:sz w:val="24"/>
          <w:szCs w:val="24"/>
        </w:rPr>
        <w:t xml:space="preserve"> (PSCRs)</w:t>
      </w:r>
      <w:r w:rsidR="009A4BD4">
        <w:rPr>
          <w:rFonts w:ascii="Times New Roman" w:hAnsi="Times New Roman" w:cs="Times New Roman"/>
          <w:b w:val="0"/>
          <w:bCs/>
          <w:snapToGrid/>
          <w:sz w:val="24"/>
          <w:szCs w:val="24"/>
        </w:rPr>
        <w:t xml:space="preserve"> </w:t>
      </w:r>
      <w:r w:rsidR="009A4BD4" w:rsidRPr="009A4BD4">
        <w:rPr>
          <w:b w:val="0"/>
          <w:bCs/>
          <w:sz w:val="24"/>
          <w:szCs w:val="24"/>
        </w:rPr>
        <w:t>from the June 2021 and February 2022 meetings.</w:t>
      </w:r>
    </w:p>
    <w:p w14:paraId="0DD7B6F2" w14:textId="32E66E0A" w:rsidR="00BC4DEA" w:rsidRDefault="00FD71F5" w:rsidP="001C4EE5">
      <w:pPr>
        <w:pStyle w:val="PBACHeading10"/>
        <w:keepNext w:val="0"/>
        <w:keepLines w:val="0"/>
        <w:numPr>
          <w:ilvl w:val="1"/>
          <w:numId w:val="12"/>
        </w:numPr>
        <w:ind w:left="720" w:hanging="720"/>
        <w:jc w:val="both"/>
        <w:outlineLvl w:val="9"/>
        <w:rPr>
          <w:sz w:val="24"/>
          <w:szCs w:val="24"/>
        </w:rPr>
      </w:pPr>
      <w:r w:rsidRPr="00A90A71">
        <w:rPr>
          <w:sz w:val="24"/>
          <w:szCs w:val="24"/>
        </w:rPr>
        <w:t>Note</w:t>
      </w:r>
      <w:r w:rsidR="00BC4DEA" w:rsidRPr="00A90A71">
        <w:rPr>
          <w:sz w:val="24"/>
          <w:szCs w:val="24"/>
        </w:rPr>
        <w:t xml:space="preserve"> </w:t>
      </w:r>
      <w:r w:rsidR="00BC4DEA" w:rsidRPr="00A90A71">
        <w:rPr>
          <w:b w:val="0"/>
          <w:bCs/>
          <w:sz w:val="24"/>
          <w:szCs w:val="24"/>
        </w:rPr>
        <w:t xml:space="preserve">the </w:t>
      </w:r>
      <w:r w:rsidR="000A3F7C">
        <w:rPr>
          <w:b w:val="0"/>
          <w:bCs/>
          <w:sz w:val="24"/>
          <w:szCs w:val="24"/>
        </w:rPr>
        <w:t>s</w:t>
      </w:r>
      <w:r w:rsidR="00BC4DEA" w:rsidRPr="00A90A71">
        <w:rPr>
          <w:b w:val="0"/>
          <w:bCs/>
          <w:sz w:val="24"/>
          <w:szCs w:val="24"/>
        </w:rPr>
        <w:t>ponsor pre-</w:t>
      </w:r>
      <w:r w:rsidR="00D0080E" w:rsidRPr="00A90A71">
        <w:rPr>
          <w:b w:val="0"/>
          <w:bCs/>
          <w:sz w:val="24"/>
          <w:szCs w:val="24"/>
        </w:rPr>
        <w:t>PBAC response</w:t>
      </w:r>
      <w:r w:rsidR="00BC4DEA" w:rsidRPr="00A90A71">
        <w:rPr>
          <w:sz w:val="24"/>
          <w:szCs w:val="24"/>
        </w:rPr>
        <w:t>.</w:t>
      </w:r>
    </w:p>
    <w:p w14:paraId="24EF41EF" w14:textId="3646824E" w:rsidR="005A3BE8" w:rsidRPr="00A90A71" w:rsidRDefault="00FD71F5" w:rsidP="001C4EE5">
      <w:pPr>
        <w:pStyle w:val="PBACHeading10"/>
        <w:keepNext w:val="0"/>
        <w:keepLines w:val="0"/>
        <w:numPr>
          <w:ilvl w:val="1"/>
          <w:numId w:val="12"/>
        </w:numPr>
        <w:ind w:left="720" w:hanging="720"/>
        <w:jc w:val="both"/>
        <w:outlineLvl w:val="9"/>
        <w:rPr>
          <w:sz w:val="24"/>
          <w:szCs w:val="24"/>
        </w:rPr>
      </w:pPr>
      <w:r>
        <w:rPr>
          <w:sz w:val="24"/>
          <w:szCs w:val="24"/>
        </w:rPr>
        <w:t>Note</w:t>
      </w:r>
      <w:r w:rsidR="005A3BE8">
        <w:rPr>
          <w:sz w:val="24"/>
          <w:szCs w:val="24"/>
        </w:rPr>
        <w:t xml:space="preserve"> </w:t>
      </w:r>
      <w:r w:rsidR="005A3BE8" w:rsidRPr="005A3BE8">
        <w:rPr>
          <w:b w:val="0"/>
          <w:bCs/>
          <w:sz w:val="24"/>
          <w:szCs w:val="24"/>
        </w:rPr>
        <w:t xml:space="preserve">stakeholder input to the </w:t>
      </w:r>
      <w:r w:rsidR="00A96711">
        <w:rPr>
          <w:b w:val="0"/>
          <w:bCs/>
          <w:sz w:val="24"/>
          <w:szCs w:val="24"/>
        </w:rPr>
        <w:t>PMR</w:t>
      </w:r>
      <w:r w:rsidR="001B7FEE">
        <w:rPr>
          <w:b w:val="0"/>
          <w:bCs/>
          <w:sz w:val="24"/>
          <w:szCs w:val="24"/>
        </w:rPr>
        <w:t>.</w:t>
      </w:r>
    </w:p>
    <w:p w14:paraId="13952870" w14:textId="786B5548" w:rsidR="005763AD" w:rsidRPr="001C0253" w:rsidRDefault="00FD71F5" w:rsidP="001C0253">
      <w:pPr>
        <w:pStyle w:val="PBACHeading10"/>
        <w:keepNext w:val="0"/>
        <w:keepLines w:val="0"/>
        <w:numPr>
          <w:ilvl w:val="1"/>
          <w:numId w:val="12"/>
        </w:numPr>
        <w:ind w:left="720" w:hanging="720"/>
        <w:jc w:val="both"/>
        <w:outlineLvl w:val="9"/>
        <w:rPr>
          <w:bCs/>
          <w:i/>
        </w:rPr>
      </w:pPr>
      <w:r w:rsidRPr="00A90A71">
        <w:rPr>
          <w:sz w:val="24"/>
          <w:szCs w:val="24"/>
        </w:rPr>
        <w:t>Comment</w:t>
      </w:r>
      <w:r w:rsidR="00D0080E" w:rsidRPr="00A90A71">
        <w:rPr>
          <w:sz w:val="24"/>
          <w:szCs w:val="24"/>
        </w:rPr>
        <w:t xml:space="preserve"> </w:t>
      </w:r>
      <w:r w:rsidR="00D0080E" w:rsidRPr="00A90A71">
        <w:rPr>
          <w:b w:val="0"/>
          <w:bCs/>
          <w:sz w:val="24"/>
          <w:szCs w:val="24"/>
        </w:rPr>
        <w:t xml:space="preserve">on the </w:t>
      </w:r>
      <w:r w:rsidR="005763AD">
        <w:rPr>
          <w:b w:val="0"/>
          <w:bCs/>
          <w:sz w:val="24"/>
          <w:szCs w:val="24"/>
        </w:rPr>
        <w:t xml:space="preserve">Review ‘options’ proposed by the Review </w:t>
      </w:r>
      <w:r w:rsidR="00C962BB">
        <w:rPr>
          <w:b w:val="0"/>
          <w:bCs/>
          <w:sz w:val="24"/>
          <w:szCs w:val="24"/>
        </w:rPr>
        <w:t>r</w:t>
      </w:r>
      <w:r w:rsidR="005763AD">
        <w:rPr>
          <w:b w:val="0"/>
          <w:bCs/>
          <w:sz w:val="24"/>
          <w:szCs w:val="24"/>
        </w:rPr>
        <w:t xml:space="preserve">eference </w:t>
      </w:r>
      <w:r w:rsidR="00C962BB">
        <w:rPr>
          <w:b w:val="0"/>
          <w:bCs/>
          <w:sz w:val="24"/>
          <w:szCs w:val="24"/>
        </w:rPr>
        <w:t>g</w:t>
      </w:r>
      <w:r w:rsidR="005763AD">
        <w:rPr>
          <w:b w:val="0"/>
          <w:bCs/>
          <w:sz w:val="24"/>
          <w:szCs w:val="24"/>
        </w:rPr>
        <w:t>roup</w:t>
      </w:r>
      <w:r w:rsidR="00602C8F">
        <w:rPr>
          <w:b w:val="0"/>
          <w:bCs/>
          <w:sz w:val="24"/>
          <w:szCs w:val="24"/>
        </w:rPr>
        <w:t xml:space="preserve"> </w:t>
      </w:r>
      <w:r w:rsidR="00602C8F" w:rsidRPr="00602C8F">
        <w:rPr>
          <w:b w:val="0"/>
          <w:bCs/>
          <w:sz w:val="24"/>
          <w:szCs w:val="24"/>
        </w:rPr>
        <w:t xml:space="preserve">(refer to </w:t>
      </w:r>
      <w:r w:rsidR="00602C8F" w:rsidRPr="00B836B5">
        <w:rPr>
          <w:b w:val="0"/>
          <w:bCs/>
          <w:sz w:val="24"/>
          <w:szCs w:val="24"/>
        </w:rPr>
        <w:t>pages 3</w:t>
      </w:r>
      <w:r w:rsidR="00123526" w:rsidRPr="00B836B5">
        <w:rPr>
          <w:b w:val="0"/>
          <w:bCs/>
          <w:sz w:val="24"/>
          <w:szCs w:val="24"/>
        </w:rPr>
        <w:t>8</w:t>
      </w:r>
      <w:r w:rsidR="00602C8F" w:rsidRPr="00B836B5">
        <w:rPr>
          <w:b w:val="0"/>
          <w:bCs/>
          <w:sz w:val="24"/>
          <w:szCs w:val="24"/>
        </w:rPr>
        <w:t>-4</w:t>
      </w:r>
      <w:r w:rsidR="00123526" w:rsidRPr="00B836B5">
        <w:rPr>
          <w:b w:val="0"/>
          <w:bCs/>
          <w:sz w:val="24"/>
          <w:szCs w:val="24"/>
        </w:rPr>
        <w:t>4</w:t>
      </w:r>
      <w:r w:rsidR="00602C8F" w:rsidRPr="00602C8F">
        <w:rPr>
          <w:b w:val="0"/>
          <w:bCs/>
          <w:sz w:val="24"/>
          <w:szCs w:val="24"/>
        </w:rPr>
        <w:t xml:space="preserve"> of the </w:t>
      </w:r>
      <w:r w:rsidR="001C0253" w:rsidRPr="001C0253">
        <w:rPr>
          <w:b w:val="0"/>
          <w:i/>
          <w:sz w:val="24"/>
          <w:szCs w:val="24"/>
        </w:rPr>
        <w:t>Report summary and ‘options’ for PBAC consideration</w:t>
      </w:r>
      <w:r w:rsidR="00602C8F" w:rsidRPr="001C0253">
        <w:rPr>
          <w:b w:val="0"/>
          <w:bCs/>
          <w:sz w:val="24"/>
          <w:szCs w:val="24"/>
        </w:rPr>
        <w:t>)</w:t>
      </w:r>
      <w:r w:rsidR="005763AD" w:rsidRPr="001C0253">
        <w:rPr>
          <w:b w:val="0"/>
          <w:bCs/>
          <w:sz w:val="24"/>
          <w:szCs w:val="24"/>
        </w:rPr>
        <w:t xml:space="preserve"> and provide </w:t>
      </w:r>
      <w:r w:rsidR="00582DFF" w:rsidRPr="001C0253">
        <w:rPr>
          <w:sz w:val="24"/>
          <w:szCs w:val="24"/>
        </w:rPr>
        <w:lastRenderedPageBreak/>
        <w:t>a</w:t>
      </w:r>
      <w:r w:rsidR="003A2891" w:rsidRPr="001C0253">
        <w:rPr>
          <w:sz w:val="24"/>
          <w:szCs w:val="24"/>
        </w:rPr>
        <w:t>dvice</w:t>
      </w:r>
      <w:r w:rsidR="005763AD" w:rsidRPr="001C0253">
        <w:rPr>
          <w:b w:val="0"/>
          <w:bCs/>
          <w:sz w:val="24"/>
          <w:szCs w:val="24"/>
        </w:rPr>
        <w:t xml:space="preserve"> on any recommendations to change the current PBS listings for </w:t>
      </w:r>
      <w:r w:rsidR="00104E41" w:rsidRPr="001C0253">
        <w:rPr>
          <w:b w:val="0"/>
          <w:bCs/>
          <w:sz w:val="24"/>
          <w:szCs w:val="24"/>
        </w:rPr>
        <w:t>v</w:t>
      </w:r>
      <w:r w:rsidR="005763AD" w:rsidRPr="001C0253">
        <w:rPr>
          <w:b w:val="0"/>
          <w:bCs/>
          <w:sz w:val="24"/>
          <w:szCs w:val="24"/>
        </w:rPr>
        <w:t>arenicline</w:t>
      </w:r>
      <w:r w:rsidR="001B7FEE" w:rsidRPr="001C0253">
        <w:rPr>
          <w:b w:val="0"/>
          <w:bCs/>
          <w:sz w:val="24"/>
          <w:szCs w:val="24"/>
        </w:rPr>
        <w:t xml:space="preserve"> (VAR)</w:t>
      </w:r>
      <w:r w:rsidR="005763AD" w:rsidRPr="001C0253">
        <w:rPr>
          <w:b w:val="0"/>
          <w:bCs/>
          <w:sz w:val="24"/>
          <w:szCs w:val="24"/>
        </w:rPr>
        <w:t xml:space="preserve"> and</w:t>
      </w:r>
      <w:r w:rsidR="00104E41" w:rsidRPr="001C0253">
        <w:rPr>
          <w:b w:val="0"/>
          <w:bCs/>
          <w:sz w:val="24"/>
          <w:szCs w:val="24"/>
        </w:rPr>
        <w:t>/</w:t>
      </w:r>
      <w:r w:rsidR="005763AD" w:rsidRPr="001C0253">
        <w:rPr>
          <w:b w:val="0"/>
          <w:bCs/>
          <w:sz w:val="24"/>
          <w:szCs w:val="24"/>
        </w:rPr>
        <w:t xml:space="preserve">or </w:t>
      </w:r>
      <w:r w:rsidR="001B7FEE" w:rsidRPr="001C0253">
        <w:rPr>
          <w:b w:val="0"/>
          <w:bCs/>
          <w:sz w:val="24"/>
          <w:szCs w:val="24"/>
        </w:rPr>
        <w:t>nicotine replacement therapy (</w:t>
      </w:r>
      <w:r w:rsidR="005763AD" w:rsidRPr="001C0253">
        <w:rPr>
          <w:b w:val="0"/>
          <w:bCs/>
          <w:sz w:val="24"/>
          <w:szCs w:val="24"/>
        </w:rPr>
        <w:t>NRT</w:t>
      </w:r>
      <w:r w:rsidR="001B7FEE" w:rsidRPr="001C0253">
        <w:rPr>
          <w:b w:val="0"/>
          <w:bCs/>
          <w:sz w:val="24"/>
          <w:szCs w:val="24"/>
        </w:rPr>
        <w:t>)</w:t>
      </w:r>
      <w:r w:rsidR="005763AD" w:rsidRPr="001C0253">
        <w:rPr>
          <w:b w:val="0"/>
          <w:bCs/>
          <w:sz w:val="24"/>
          <w:szCs w:val="24"/>
        </w:rPr>
        <w:t xml:space="preserve">. </w:t>
      </w:r>
    </w:p>
    <w:p w14:paraId="0C433065" w14:textId="743ADEC1" w:rsidR="00D0080E" w:rsidRPr="001C0253" w:rsidRDefault="00FD71F5" w:rsidP="001C0253">
      <w:pPr>
        <w:pStyle w:val="PBACHeading10"/>
        <w:keepNext w:val="0"/>
        <w:keepLines w:val="0"/>
        <w:numPr>
          <w:ilvl w:val="1"/>
          <w:numId w:val="12"/>
        </w:numPr>
        <w:ind w:left="720" w:hanging="720"/>
        <w:jc w:val="both"/>
        <w:outlineLvl w:val="9"/>
        <w:rPr>
          <w:bCs/>
          <w:i/>
          <w:iCs/>
        </w:rPr>
      </w:pPr>
      <w:r w:rsidRPr="00297E0D">
        <w:rPr>
          <w:sz w:val="24"/>
          <w:szCs w:val="24"/>
        </w:rPr>
        <w:t>Note</w:t>
      </w:r>
      <w:r w:rsidR="005763AD">
        <w:rPr>
          <w:b w:val="0"/>
          <w:bCs/>
          <w:sz w:val="24"/>
          <w:szCs w:val="24"/>
        </w:rPr>
        <w:t xml:space="preserve"> </w:t>
      </w:r>
      <w:r w:rsidR="005763AD" w:rsidRPr="001C0253">
        <w:rPr>
          <w:b w:val="0"/>
          <w:bCs/>
          <w:sz w:val="24"/>
          <w:szCs w:val="24"/>
        </w:rPr>
        <w:t>the</w:t>
      </w:r>
      <w:r w:rsidR="00104E41">
        <w:rPr>
          <w:b w:val="0"/>
          <w:bCs/>
          <w:sz w:val="24"/>
          <w:szCs w:val="24"/>
        </w:rPr>
        <w:t xml:space="preserve"> draft</w:t>
      </w:r>
      <w:r w:rsidR="00D0080E" w:rsidRPr="00A90A71">
        <w:rPr>
          <w:b w:val="0"/>
          <w:bCs/>
          <w:sz w:val="24"/>
          <w:szCs w:val="24"/>
        </w:rPr>
        <w:t xml:space="preserve"> PBS restrictions </w:t>
      </w:r>
      <w:r w:rsidR="00104E41" w:rsidRPr="00C071FC">
        <w:rPr>
          <w:b w:val="0"/>
          <w:bCs/>
          <w:sz w:val="24"/>
          <w:szCs w:val="24"/>
        </w:rPr>
        <w:t xml:space="preserve">to allow </w:t>
      </w:r>
      <w:r w:rsidR="00D0080E" w:rsidRPr="00C071FC">
        <w:rPr>
          <w:b w:val="0"/>
          <w:bCs/>
          <w:sz w:val="24"/>
          <w:szCs w:val="24"/>
        </w:rPr>
        <w:t>combination</w:t>
      </w:r>
      <w:r w:rsidR="00104E41" w:rsidRPr="00C071FC">
        <w:rPr>
          <w:b w:val="0"/>
          <w:bCs/>
          <w:sz w:val="24"/>
          <w:szCs w:val="24"/>
        </w:rPr>
        <w:t xml:space="preserve"> use of </w:t>
      </w:r>
      <w:r w:rsidR="001B7FEE" w:rsidRPr="00C071FC">
        <w:rPr>
          <w:b w:val="0"/>
          <w:bCs/>
          <w:sz w:val="24"/>
          <w:szCs w:val="24"/>
        </w:rPr>
        <w:t>VAR</w:t>
      </w:r>
      <w:r w:rsidR="00104E41" w:rsidRPr="00C071FC">
        <w:rPr>
          <w:b w:val="0"/>
          <w:bCs/>
          <w:sz w:val="24"/>
          <w:szCs w:val="24"/>
        </w:rPr>
        <w:t xml:space="preserve"> and/or </w:t>
      </w:r>
      <w:r w:rsidR="00297E0D" w:rsidRPr="00C071FC">
        <w:rPr>
          <w:b w:val="0"/>
          <w:bCs/>
          <w:sz w:val="24"/>
          <w:szCs w:val="24"/>
        </w:rPr>
        <w:t>NRT on</w:t>
      </w:r>
      <w:r w:rsidR="00D0080E" w:rsidRPr="00C071FC">
        <w:rPr>
          <w:b w:val="0"/>
          <w:bCs/>
          <w:sz w:val="24"/>
          <w:szCs w:val="24"/>
        </w:rPr>
        <w:t xml:space="preserve"> the PBS</w:t>
      </w:r>
      <w:bookmarkStart w:id="5" w:name="_Hlk112317890"/>
      <w:r w:rsidR="001C0253">
        <w:rPr>
          <w:b w:val="0"/>
          <w:sz w:val="24"/>
          <w:szCs w:val="24"/>
        </w:rPr>
        <w:t>.</w:t>
      </w:r>
      <w:bookmarkEnd w:id="5"/>
    </w:p>
    <w:p w14:paraId="6AB4A2F4" w14:textId="77777777" w:rsidR="00C419AC" w:rsidRPr="0071655B" w:rsidRDefault="00C419AC" w:rsidP="00F927AC">
      <w:pPr>
        <w:pStyle w:val="2Sections"/>
      </w:pPr>
      <w:bookmarkStart w:id="6" w:name="_Hlk99358051"/>
      <w:bookmarkEnd w:id="2"/>
      <w:r w:rsidRPr="0071655B">
        <w:t>Background</w:t>
      </w:r>
    </w:p>
    <w:bookmarkEnd w:id="1"/>
    <w:bookmarkEnd w:id="6"/>
    <w:p w14:paraId="67A3701D" w14:textId="6A42E545" w:rsidR="00D0080E" w:rsidRDefault="00D0080E" w:rsidP="00004FA2">
      <w:pPr>
        <w:pStyle w:val="PBACHeading10"/>
        <w:numPr>
          <w:ilvl w:val="1"/>
          <w:numId w:val="9"/>
        </w:numPr>
        <w:ind w:left="720" w:hanging="720"/>
        <w:jc w:val="both"/>
        <w:outlineLvl w:val="9"/>
        <w:rPr>
          <w:b w:val="0"/>
          <w:bCs/>
          <w:sz w:val="24"/>
          <w:szCs w:val="24"/>
        </w:rPr>
      </w:pPr>
      <w:r w:rsidRPr="00753B88">
        <w:rPr>
          <w:b w:val="0"/>
          <w:sz w:val="24"/>
          <w:szCs w:val="24"/>
        </w:rPr>
        <w:t>There are currently three pharmacological interventions for smoking cessation available on the PBS</w:t>
      </w:r>
      <w:r w:rsidR="00B0724B">
        <w:rPr>
          <w:rFonts w:ascii="Times New Roman" w:hAnsi="Times New Roman" w:cs="Times New Roman"/>
          <w:b w:val="0"/>
          <w:snapToGrid/>
          <w:sz w:val="24"/>
          <w:szCs w:val="24"/>
        </w:rPr>
        <w:t>/</w:t>
      </w:r>
      <w:r w:rsidR="00B0724B" w:rsidRPr="00B0724B">
        <w:rPr>
          <w:b w:val="0"/>
          <w:sz w:val="24"/>
          <w:szCs w:val="24"/>
        </w:rPr>
        <w:t>Repatriation Pharmaceutical Benefits Scheme (RPBS)</w:t>
      </w:r>
      <w:r w:rsidRPr="00753B88">
        <w:rPr>
          <w:b w:val="0"/>
          <w:sz w:val="24"/>
          <w:szCs w:val="24"/>
        </w:rPr>
        <w:t>: NRT</w:t>
      </w:r>
      <w:r>
        <w:rPr>
          <w:b w:val="0"/>
          <w:sz w:val="24"/>
          <w:szCs w:val="24"/>
        </w:rPr>
        <w:t xml:space="preserve"> (in patch, gum, and lozenge form)</w:t>
      </w:r>
      <w:r w:rsidRPr="00753B88">
        <w:rPr>
          <w:b w:val="0"/>
          <w:sz w:val="24"/>
          <w:szCs w:val="24"/>
        </w:rPr>
        <w:t xml:space="preserve">, </w:t>
      </w:r>
      <w:r>
        <w:rPr>
          <w:b w:val="0"/>
          <w:sz w:val="24"/>
          <w:szCs w:val="24"/>
        </w:rPr>
        <w:t>VAR</w:t>
      </w:r>
      <w:r w:rsidRPr="00753B88">
        <w:rPr>
          <w:b w:val="0"/>
          <w:sz w:val="24"/>
          <w:szCs w:val="24"/>
        </w:rPr>
        <w:t xml:space="preserve"> and </w:t>
      </w:r>
      <w:r>
        <w:rPr>
          <w:b w:val="0"/>
          <w:sz w:val="24"/>
          <w:szCs w:val="24"/>
        </w:rPr>
        <w:t>bupropion (BUP)</w:t>
      </w:r>
      <w:r w:rsidRPr="00753B88">
        <w:rPr>
          <w:b w:val="0"/>
          <w:sz w:val="24"/>
          <w:szCs w:val="24"/>
        </w:rPr>
        <w:t>.</w:t>
      </w:r>
      <w:r>
        <w:rPr>
          <w:b w:val="0"/>
          <w:sz w:val="24"/>
          <w:szCs w:val="24"/>
        </w:rPr>
        <w:t xml:space="preserve"> These medicines are presented in </w:t>
      </w:r>
      <w:r w:rsidRPr="00590DF8">
        <w:rPr>
          <w:b w:val="0"/>
          <w:bCs/>
          <w:sz w:val="24"/>
          <w:szCs w:val="24"/>
        </w:rPr>
        <w:t>Table 1.</w:t>
      </w:r>
    </w:p>
    <w:p w14:paraId="7E456701" w14:textId="4CE678F6" w:rsidR="00146BAC" w:rsidRPr="00146BAC" w:rsidRDefault="00D0080E" w:rsidP="00146BAC">
      <w:pPr>
        <w:spacing w:after="120"/>
        <w:rPr>
          <w:rFonts w:ascii="Arial Narrow" w:hAnsi="Arial Narrow"/>
          <w:b/>
          <w:bCs/>
          <w:sz w:val="20"/>
          <w:szCs w:val="20"/>
        </w:rPr>
      </w:pPr>
      <w:r w:rsidRPr="00A90A71">
        <w:rPr>
          <w:rFonts w:ascii="Arial Narrow" w:hAnsi="Arial Narrow"/>
          <w:b/>
          <w:bCs/>
          <w:sz w:val="20"/>
          <w:szCs w:val="20"/>
        </w:rPr>
        <w:t xml:space="preserve">Table </w:t>
      </w:r>
      <w:r w:rsidRPr="00A90A71">
        <w:rPr>
          <w:rFonts w:ascii="Arial Narrow" w:hAnsi="Arial Narrow"/>
          <w:b/>
          <w:bCs/>
          <w:noProof/>
          <w:sz w:val="20"/>
          <w:szCs w:val="20"/>
        </w:rPr>
        <w:t>1</w:t>
      </w:r>
      <w:r w:rsidRPr="00A90A71">
        <w:rPr>
          <w:rFonts w:ascii="Arial Narrow" w:hAnsi="Arial Narrow"/>
          <w:b/>
          <w:bCs/>
          <w:sz w:val="20"/>
          <w:szCs w:val="20"/>
        </w:rPr>
        <w:t>: Medicines for smoking cessation listed on the PBS</w:t>
      </w:r>
      <w:r w:rsidR="00B0724B">
        <w:t>/</w:t>
      </w:r>
      <w:r w:rsidR="00B0724B" w:rsidRPr="00B0724B">
        <w:rPr>
          <w:rFonts w:ascii="Arial Narrow" w:hAnsi="Arial Narrow"/>
          <w:b/>
          <w:bCs/>
          <w:sz w:val="20"/>
          <w:szCs w:val="20"/>
        </w:rPr>
        <w:t>RPBS</w:t>
      </w:r>
    </w:p>
    <w:tbl>
      <w:tblPr>
        <w:tblStyle w:val="TableGridLight2"/>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B.1"/>
        <w:tblDescription w:val="Biologic medicines listed on the PBS, including Active ingredient Brand name &amp; strength Company PBS item "/>
      </w:tblPr>
      <w:tblGrid>
        <w:gridCol w:w="2406"/>
        <w:gridCol w:w="3258"/>
        <w:gridCol w:w="1985"/>
        <w:gridCol w:w="1367"/>
      </w:tblGrid>
      <w:tr w:rsidR="00D0080E" w:rsidRPr="002A4E9F" w14:paraId="03259F6B" w14:textId="77777777" w:rsidTr="00936485">
        <w:trPr>
          <w:cantSplit/>
          <w:tblHeader/>
        </w:trPr>
        <w:tc>
          <w:tcPr>
            <w:tcW w:w="1334" w:type="pct"/>
            <w:shd w:val="clear" w:color="auto" w:fill="auto"/>
            <w:hideMark/>
          </w:tcPr>
          <w:p w14:paraId="0209EC79" w14:textId="7C329C8D" w:rsidR="00D0080E" w:rsidRPr="001A55E1" w:rsidRDefault="00D0080E" w:rsidP="00936485">
            <w:pPr>
              <w:pStyle w:val="02TableHEADINGcentred"/>
              <w:keepLines/>
              <w:ind w:left="0"/>
              <w:jc w:val="left"/>
              <w:rPr>
                <w:sz w:val="20"/>
                <w:szCs w:val="20"/>
              </w:rPr>
            </w:pPr>
            <w:r w:rsidRPr="001A55E1">
              <w:rPr>
                <w:sz w:val="20"/>
                <w:szCs w:val="20"/>
              </w:rPr>
              <w:t>Brand, strength</w:t>
            </w:r>
            <w:r w:rsidR="001C0253">
              <w:rPr>
                <w:sz w:val="20"/>
                <w:szCs w:val="20"/>
              </w:rPr>
              <w:t xml:space="preserve"> </w:t>
            </w:r>
            <w:r w:rsidRPr="001A55E1">
              <w:rPr>
                <w:sz w:val="20"/>
                <w:szCs w:val="20"/>
              </w:rPr>
              <w:t>[pack size]</w:t>
            </w:r>
          </w:p>
        </w:tc>
        <w:tc>
          <w:tcPr>
            <w:tcW w:w="1807" w:type="pct"/>
            <w:shd w:val="clear" w:color="auto" w:fill="auto"/>
          </w:tcPr>
          <w:p w14:paraId="51C19015" w14:textId="77777777" w:rsidR="00D0080E" w:rsidRPr="001A55E1" w:rsidRDefault="00D0080E" w:rsidP="00936485">
            <w:pPr>
              <w:pStyle w:val="02TableHEADINGcentred"/>
              <w:keepLines/>
              <w:ind w:left="0"/>
              <w:jc w:val="left"/>
              <w:rPr>
                <w:sz w:val="20"/>
                <w:szCs w:val="20"/>
              </w:rPr>
            </w:pPr>
            <w:r w:rsidRPr="001A55E1">
              <w:rPr>
                <w:sz w:val="20"/>
                <w:szCs w:val="20"/>
              </w:rPr>
              <w:t>Sponsor</w:t>
            </w:r>
          </w:p>
        </w:tc>
        <w:tc>
          <w:tcPr>
            <w:tcW w:w="1101" w:type="pct"/>
          </w:tcPr>
          <w:p w14:paraId="09C16354" w14:textId="77777777" w:rsidR="00D0080E" w:rsidRPr="001A55E1" w:rsidDel="00893C7E" w:rsidRDefault="00D0080E" w:rsidP="00936485">
            <w:pPr>
              <w:pStyle w:val="02TableHEADINGcentred"/>
              <w:keepLines/>
              <w:ind w:left="0"/>
              <w:jc w:val="left"/>
              <w:rPr>
                <w:sz w:val="20"/>
                <w:szCs w:val="20"/>
              </w:rPr>
            </w:pPr>
            <w:r w:rsidRPr="001A55E1">
              <w:rPr>
                <w:sz w:val="20"/>
                <w:szCs w:val="20"/>
              </w:rPr>
              <w:t>PBS Item number</w:t>
            </w:r>
          </w:p>
        </w:tc>
        <w:tc>
          <w:tcPr>
            <w:tcW w:w="758" w:type="pct"/>
            <w:shd w:val="clear" w:color="auto" w:fill="auto"/>
            <w:hideMark/>
          </w:tcPr>
          <w:p w14:paraId="5B0C54FF" w14:textId="77777777" w:rsidR="00D0080E" w:rsidRPr="001A55E1" w:rsidRDefault="00D0080E" w:rsidP="00936485">
            <w:pPr>
              <w:pStyle w:val="02TableHEADINGcentred"/>
              <w:keepLines/>
              <w:jc w:val="left"/>
              <w:rPr>
                <w:sz w:val="20"/>
                <w:szCs w:val="20"/>
              </w:rPr>
            </w:pPr>
            <w:r w:rsidRPr="001A55E1">
              <w:rPr>
                <w:sz w:val="20"/>
                <w:szCs w:val="20"/>
              </w:rPr>
              <w:t>DPMQ</w:t>
            </w:r>
          </w:p>
        </w:tc>
      </w:tr>
      <w:tr w:rsidR="00D0080E" w:rsidRPr="002A4E9F" w14:paraId="1A2296B4" w14:textId="77777777" w:rsidTr="00936485">
        <w:trPr>
          <w:cantSplit/>
          <w:tblHeader/>
        </w:trPr>
        <w:tc>
          <w:tcPr>
            <w:tcW w:w="5000" w:type="pct"/>
            <w:gridSpan w:val="4"/>
          </w:tcPr>
          <w:p w14:paraId="55618B1C" w14:textId="77777777" w:rsidR="00D0080E" w:rsidRPr="001A55E1" w:rsidDel="00893C7E" w:rsidRDefault="00D0080E" w:rsidP="00936485">
            <w:pPr>
              <w:pStyle w:val="02TableHEADINGcentred"/>
              <w:keepLines/>
              <w:ind w:left="0"/>
              <w:jc w:val="both"/>
              <w:rPr>
                <w:sz w:val="20"/>
                <w:szCs w:val="20"/>
              </w:rPr>
            </w:pPr>
            <w:r w:rsidRPr="001A55E1">
              <w:rPr>
                <w:rFonts w:cstheme="minorHAnsi"/>
                <w:sz w:val="20"/>
                <w:szCs w:val="20"/>
              </w:rPr>
              <w:t>NRT – Patch</w:t>
            </w:r>
          </w:p>
        </w:tc>
      </w:tr>
      <w:tr w:rsidR="00D0080E" w:rsidRPr="002A4E9F" w14:paraId="3DA9E678" w14:textId="77777777" w:rsidTr="00936485">
        <w:trPr>
          <w:cantSplit/>
          <w:trHeight w:val="380"/>
        </w:trPr>
        <w:tc>
          <w:tcPr>
            <w:tcW w:w="1334" w:type="pct"/>
            <w:hideMark/>
          </w:tcPr>
          <w:p w14:paraId="3BFC4697"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Nicorette 16hr Invisipatch®, 25mg/16 hours [28]</w:t>
            </w:r>
          </w:p>
        </w:tc>
        <w:tc>
          <w:tcPr>
            <w:tcW w:w="1807" w:type="pct"/>
          </w:tcPr>
          <w:p w14:paraId="582CE878"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Johnson &amp; Johnson Pacific Pty Limited</w:t>
            </w:r>
          </w:p>
        </w:tc>
        <w:tc>
          <w:tcPr>
            <w:tcW w:w="1101" w:type="pct"/>
          </w:tcPr>
          <w:p w14:paraId="4DDF26B9"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10076H</w:t>
            </w:r>
          </w:p>
        </w:tc>
        <w:tc>
          <w:tcPr>
            <w:tcW w:w="758" w:type="pct"/>
            <w:hideMark/>
          </w:tcPr>
          <w:p w14:paraId="04DD6CF7"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$49.96</w:t>
            </w:r>
          </w:p>
        </w:tc>
      </w:tr>
      <w:tr w:rsidR="00D0080E" w:rsidRPr="002A4E9F" w14:paraId="71705AB7" w14:textId="77777777" w:rsidTr="00936485">
        <w:trPr>
          <w:cantSplit/>
          <w:trHeight w:val="472"/>
        </w:trPr>
        <w:tc>
          <w:tcPr>
            <w:tcW w:w="1334" w:type="pct"/>
          </w:tcPr>
          <w:p w14:paraId="39FB5FE9"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Nicotinell Step 2®, 14mg/24 hours [28]</w:t>
            </w:r>
          </w:p>
        </w:tc>
        <w:tc>
          <w:tcPr>
            <w:tcW w:w="1807" w:type="pct"/>
          </w:tcPr>
          <w:p w14:paraId="7B9B5112"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Orion Laboratories Pty Ltd</w:t>
            </w:r>
          </w:p>
        </w:tc>
        <w:tc>
          <w:tcPr>
            <w:tcW w:w="1101" w:type="pct"/>
          </w:tcPr>
          <w:p w14:paraId="1082212B"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5572G</w:t>
            </w:r>
          </w:p>
        </w:tc>
        <w:tc>
          <w:tcPr>
            <w:tcW w:w="758" w:type="pct"/>
          </w:tcPr>
          <w:p w14:paraId="6B3F2B63"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$49.96</w:t>
            </w:r>
          </w:p>
        </w:tc>
      </w:tr>
      <w:tr w:rsidR="00D0080E" w:rsidRPr="002A4E9F" w14:paraId="2575204F" w14:textId="77777777" w:rsidTr="00936485">
        <w:trPr>
          <w:cantSplit/>
          <w:trHeight w:val="422"/>
        </w:trPr>
        <w:tc>
          <w:tcPr>
            <w:tcW w:w="1334" w:type="pct"/>
          </w:tcPr>
          <w:p w14:paraId="7E551217"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Nicotinell Step 1®, 21mg/24 hours [28]</w:t>
            </w:r>
          </w:p>
        </w:tc>
        <w:tc>
          <w:tcPr>
            <w:tcW w:w="1807" w:type="pct"/>
          </w:tcPr>
          <w:p w14:paraId="20A4070D"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Orion Laboratories Pty Ltd</w:t>
            </w:r>
          </w:p>
        </w:tc>
        <w:tc>
          <w:tcPr>
            <w:tcW w:w="1101" w:type="pct"/>
          </w:tcPr>
          <w:p w14:paraId="4FAF3997"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3414Q</w:t>
            </w:r>
          </w:p>
          <w:p w14:paraId="104134B8"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5571F</w:t>
            </w:r>
          </w:p>
        </w:tc>
        <w:tc>
          <w:tcPr>
            <w:tcW w:w="758" w:type="pct"/>
          </w:tcPr>
          <w:p w14:paraId="309028AC"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$49.96</w:t>
            </w:r>
          </w:p>
        </w:tc>
      </w:tr>
      <w:tr w:rsidR="00D0080E" w:rsidRPr="002A4E9F" w14:paraId="4D1B46DB" w14:textId="77777777" w:rsidTr="00936485">
        <w:trPr>
          <w:cantSplit/>
          <w:trHeight w:val="473"/>
        </w:trPr>
        <w:tc>
          <w:tcPr>
            <w:tcW w:w="1334" w:type="pct"/>
          </w:tcPr>
          <w:p w14:paraId="196537AA"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Nicabate P®, 21mg/24 hours [28]</w:t>
            </w:r>
          </w:p>
        </w:tc>
        <w:tc>
          <w:tcPr>
            <w:tcW w:w="1807" w:type="pct"/>
          </w:tcPr>
          <w:p w14:paraId="5B153ABD"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GlaxoSmithKline Australia Pty Ltd</w:t>
            </w:r>
          </w:p>
        </w:tc>
        <w:tc>
          <w:tcPr>
            <w:tcW w:w="1101" w:type="pct"/>
          </w:tcPr>
          <w:p w14:paraId="587B5786"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5465P</w:t>
            </w:r>
          </w:p>
        </w:tc>
        <w:tc>
          <w:tcPr>
            <w:tcW w:w="758" w:type="pct"/>
          </w:tcPr>
          <w:p w14:paraId="0ED99AFB"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$49.96</w:t>
            </w:r>
          </w:p>
        </w:tc>
      </w:tr>
      <w:tr w:rsidR="00D0080E" w:rsidRPr="002A4E9F" w14:paraId="52C96A39" w14:textId="77777777" w:rsidTr="00936485">
        <w:trPr>
          <w:cantSplit/>
          <w:trHeight w:val="423"/>
        </w:trPr>
        <w:tc>
          <w:tcPr>
            <w:tcW w:w="1334" w:type="pct"/>
          </w:tcPr>
          <w:p w14:paraId="2A7A17D3"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Nicotinell Step 3®, 7mg/24 hours [28]</w:t>
            </w:r>
          </w:p>
        </w:tc>
        <w:tc>
          <w:tcPr>
            <w:tcW w:w="1807" w:type="pct"/>
          </w:tcPr>
          <w:p w14:paraId="28F0D272"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Orion Laboratories Pty Ltd</w:t>
            </w:r>
          </w:p>
        </w:tc>
        <w:tc>
          <w:tcPr>
            <w:tcW w:w="1101" w:type="pct"/>
          </w:tcPr>
          <w:p w14:paraId="39C61C42"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5573H</w:t>
            </w:r>
          </w:p>
        </w:tc>
        <w:tc>
          <w:tcPr>
            <w:tcW w:w="758" w:type="pct"/>
          </w:tcPr>
          <w:p w14:paraId="0036D657"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$49.96</w:t>
            </w:r>
          </w:p>
        </w:tc>
      </w:tr>
      <w:tr w:rsidR="003F50CE" w:rsidRPr="002A4E9F" w14:paraId="70317A9F" w14:textId="77777777" w:rsidTr="003F50CE">
        <w:trPr>
          <w:cantSplit/>
          <w:trHeight w:val="293"/>
        </w:trPr>
        <w:tc>
          <w:tcPr>
            <w:tcW w:w="1334" w:type="pct"/>
          </w:tcPr>
          <w:p w14:paraId="622AC66D" w14:textId="28A82B72" w:rsidR="003F50CE" w:rsidRPr="001A55E1" w:rsidRDefault="003F50CE" w:rsidP="00936485">
            <w:pPr>
              <w:pStyle w:val="05Tabletext"/>
              <w:keepNext/>
              <w:keepLines/>
              <w:spacing w:before="0"/>
              <w:ind w:left="0" w:right="0"/>
              <w:jc w:val="both"/>
              <w:rPr>
                <w:rFonts w:cstheme="minorHAnsi"/>
                <w:sz w:val="20"/>
                <w:szCs w:val="20"/>
              </w:rPr>
            </w:pPr>
            <w:r w:rsidRPr="001A55E1">
              <w:rPr>
                <w:rFonts w:cstheme="minorHAnsi"/>
                <w:sz w:val="20"/>
                <w:szCs w:val="20"/>
              </w:rPr>
              <w:t xml:space="preserve">QuitX® </w:t>
            </w:r>
            <w:r>
              <w:rPr>
                <w:rFonts w:cstheme="minorHAnsi"/>
                <w:sz w:val="20"/>
                <w:szCs w:val="20"/>
              </w:rPr>
              <w:t>21</w:t>
            </w:r>
            <w:r w:rsidRPr="001A55E1">
              <w:rPr>
                <w:rFonts w:cstheme="minorHAnsi"/>
                <w:sz w:val="20"/>
                <w:szCs w:val="20"/>
              </w:rPr>
              <w:t xml:space="preserve">mg/24 hours [7] </w:t>
            </w:r>
            <w:r w:rsidRPr="003F50CE">
              <w:rPr>
                <w:rFonts w:cstheme="minorHAnsi"/>
                <w:sz w:val="20"/>
                <w:szCs w:val="20"/>
                <w:vertAlign w:val="superscript"/>
              </w:rPr>
              <w:t>a</w:t>
            </w:r>
          </w:p>
        </w:tc>
        <w:tc>
          <w:tcPr>
            <w:tcW w:w="1807" w:type="pct"/>
          </w:tcPr>
          <w:p w14:paraId="1E0B3976" w14:textId="14B6A97C" w:rsidR="003F50CE" w:rsidRPr="001A55E1" w:rsidRDefault="003F50CE" w:rsidP="00936485">
            <w:pPr>
              <w:pStyle w:val="05Tabletext"/>
              <w:keepNext/>
              <w:keepLines/>
              <w:spacing w:before="0"/>
              <w:ind w:left="0" w:right="0"/>
              <w:jc w:val="both"/>
              <w:rPr>
                <w:rFonts w:cstheme="minorHAnsi"/>
                <w:sz w:val="20"/>
                <w:szCs w:val="20"/>
              </w:rPr>
            </w:pPr>
            <w:r w:rsidRPr="001A55E1">
              <w:rPr>
                <w:rFonts w:cstheme="minorHAnsi"/>
                <w:sz w:val="20"/>
                <w:szCs w:val="20"/>
              </w:rPr>
              <w:t>Alphapharm Pty Ltd</w:t>
            </w:r>
          </w:p>
        </w:tc>
        <w:tc>
          <w:tcPr>
            <w:tcW w:w="1101" w:type="pct"/>
          </w:tcPr>
          <w:p w14:paraId="2FA832FE" w14:textId="0ABA39BC" w:rsidR="003F50CE" w:rsidRPr="001A55E1" w:rsidRDefault="003F50CE" w:rsidP="00936485">
            <w:pPr>
              <w:pStyle w:val="05Tabletext"/>
              <w:keepNext/>
              <w:keepLines/>
              <w:ind w:left="0" w:right="0"/>
              <w:jc w:val="both"/>
              <w:rPr>
                <w:rFonts w:cstheme="minorHAnsi"/>
                <w:sz w:val="20"/>
                <w:szCs w:val="20"/>
              </w:rPr>
            </w:pPr>
            <w:r>
              <w:rPr>
                <w:rFonts w:cstheme="minorHAnsi"/>
                <w:sz w:val="20"/>
                <w:szCs w:val="20"/>
              </w:rPr>
              <w:t>4573Q</w:t>
            </w:r>
          </w:p>
        </w:tc>
        <w:tc>
          <w:tcPr>
            <w:tcW w:w="758" w:type="pct"/>
          </w:tcPr>
          <w:p w14:paraId="62B90CEB" w14:textId="1EFC0ED1" w:rsidR="003F50CE" w:rsidRPr="001A55E1" w:rsidRDefault="003F50CE" w:rsidP="00936485">
            <w:pPr>
              <w:pStyle w:val="05Tabletext"/>
              <w:keepNext/>
              <w:keepLines/>
              <w:ind w:left="0" w:right="0"/>
              <w:jc w:val="both"/>
              <w:rPr>
                <w:rFonts w:cstheme="minorHAnsi"/>
                <w:sz w:val="20"/>
                <w:szCs w:val="20"/>
              </w:rPr>
            </w:pPr>
            <w:r>
              <w:rPr>
                <w:rFonts w:cstheme="minorHAnsi"/>
                <w:sz w:val="20"/>
                <w:szCs w:val="20"/>
              </w:rPr>
              <w:t>$58.68</w:t>
            </w:r>
          </w:p>
        </w:tc>
      </w:tr>
      <w:tr w:rsidR="00D0080E" w:rsidRPr="002A4E9F" w14:paraId="4CE7AC6D" w14:textId="77777777" w:rsidTr="00936485">
        <w:trPr>
          <w:cantSplit/>
          <w:trHeight w:val="231"/>
        </w:trPr>
        <w:tc>
          <w:tcPr>
            <w:tcW w:w="1334" w:type="pct"/>
          </w:tcPr>
          <w:p w14:paraId="13FCE367"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 xml:space="preserve">QuitX® 14mg/24 hours [7] </w:t>
            </w:r>
            <w:r w:rsidRPr="001A55E1">
              <w:rPr>
                <w:rFonts w:cstheme="minorHAnsi"/>
                <w:sz w:val="20"/>
                <w:szCs w:val="20"/>
                <w:vertAlign w:val="superscript"/>
              </w:rPr>
              <w:t>a</w:t>
            </w:r>
          </w:p>
        </w:tc>
        <w:tc>
          <w:tcPr>
            <w:tcW w:w="1807" w:type="pct"/>
          </w:tcPr>
          <w:p w14:paraId="67ACAE59" w14:textId="77777777" w:rsidR="00D0080E" w:rsidRPr="001A55E1" w:rsidRDefault="00D0080E" w:rsidP="00936485">
            <w:pPr>
              <w:jc w:val="both"/>
              <w:rPr>
                <w:rFonts w:ascii="Arial Narrow" w:eastAsia="Calibri" w:hAnsi="Arial Narrow" w:cstheme="minorHAnsi"/>
                <w:sz w:val="20"/>
                <w:szCs w:val="20"/>
              </w:rPr>
            </w:pPr>
            <w:r w:rsidRPr="001A55E1">
              <w:rPr>
                <w:rFonts w:ascii="Arial Narrow" w:eastAsia="Calibri" w:hAnsi="Arial Narrow" w:cstheme="minorHAnsi"/>
                <w:sz w:val="20"/>
                <w:szCs w:val="20"/>
              </w:rPr>
              <w:t>Alphapharm Pty Ltd</w:t>
            </w:r>
          </w:p>
        </w:tc>
        <w:tc>
          <w:tcPr>
            <w:tcW w:w="1101" w:type="pct"/>
          </w:tcPr>
          <w:p w14:paraId="66A9748E"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4572P</w:t>
            </w:r>
          </w:p>
        </w:tc>
        <w:tc>
          <w:tcPr>
            <w:tcW w:w="758" w:type="pct"/>
          </w:tcPr>
          <w:p w14:paraId="0DE95ED4"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$55.72</w:t>
            </w:r>
          </w:p>
        </w:tc>
      </w:tr>
      <w:tr w:rsidR="00D0080E" w:rsidRPr="002A4E9F" w14:paraId="68653E24" w14:textId="77777777" w:rsidTr="00936485">
        <w:trPr>
          <w:cantSplit/>
          <w:trHeight w:val="121"/>
        </w:trPr>
        <w:tc>
          <w:tcPr>
            <w:tcW w:w="1334" w:type="pct"/>
          </w:tcPr>
          <w:p w14:paraId="6ECEC163"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QuitX® 7mg/24 hours [7]</w:t>
            </w:r>
            <w:r w:rsidRPr="001A55E1">
              <w:rPr>
                <w:rFonts w:cstheme="minorHAnsi"/>
                <w:sz w:val="20"/>
                <w:szCs w:val="20"/>
                <w:vertAlign w:val="superscript"/>
              </w:rPr>
              <w:t xml:space="preserve"> a</w:t>
            </w:r>
          </w:p>
        </w:tc>
        <w:tc>
          <w:tcPr>
            <w:tcW w:w="1807" w:type="pct"/>
          </w:tcPr>
          <w:p w14:paraId="0CDDF378"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Alphapharm Pty Ltd</w:t>
            </w:r>
          </w:p>
        </w:tc>
        <w:tc>
          <w:tcPr>
            <w:tcW w:w="1101" w:type="pct"/>
          </w:tcPr>
          <w:p w14:paraId="39D209DA"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4571N</w:t>
            </w:r>
          </w:p>
        </w:tc>
        <w:tc>
          <w:tcPr>
            <w:tcW w:w="758" w:type="pct"/>
          </w:tcPr>
          <w:p w14:paraId="49D0C012"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$52.56</w:t>
            </w:r>
          </w:p>
        </w:tc>
      </w:tr>
      <w:tr w:rsidR="00D0080E" w:rsidRPr="002A4E9F" w14:paraId="1FDD8ACF" w14:textId="77777777" w:rsidTr="00936485">
        <w:trPr>
          <w:cantSplit/>
        </w:trPr>
        <w:tc>
          <w:tcPr>
            <w:tcW w:w="5000" w:type="pct"/>
            <w:gridSpan w:val="4"/>
          </w:tcPr>
          <w:p w14:paraId="0F0DCF7C" w14:textId="77777777" w:rsidR="00D0080E" w:rsidRPr="001A55E1" w:rsidRDefault="00D0080E" w:rsidP="00936485">
            <w:pPr>
              <w:pStyle w:val="05Tabletext"/>
              <w:keepNext/>
              <w:keepLines/>
              <w:ind w:left="0" w:right="0"/>
              <w:jc w:val="both"/>
              <w:rPr>
                <w:rFonts w:cstheme="minorHAnsi"/>
                <w:b/>
                <w:bCs/>
                <w:sz w:val="20"/>
                <w:szCs w:val="20"/>
              </w:rPr>
            </w:pPr>
            <w:r w:rsidRPr="001A55E1">
              <w:rPr>
                <w:rFonts w:cstheme="minorHAnsi"/>
                <w:b/>
                <w:bCs/>
                <w:sz w:val="20"/>
                <w:szCs w:val="20"/>
              </w:rPr>
              <w:t>NRT – Lozenge</w:t>
            </w:r>
          </w:p>
        </w:tc>
      </w:tr>
      <w:tr w:rsidR="00D0080E" w:rsidRPr="002A4E9F" w14:paraId="30AF08F9" w14:textId="77777777" w:rsidTr="00936485">
        <w:trPr>
          <w:cantSplit/>
          <w:trHeight w:val="157"/>
        </w:trPr>
        <w:tc>
          <w:tcPr>
            <w:tcW w:w="1334" w:type="pct"/>
            <w:hideMark/>
          </w:tcPr>
          <w:p w14:paraId="1122FAF9"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Nicotinell®, 2mg [216]</w:t>
            </w:r>
          </w:p>
        </w:tc>
        <w:tc>
          <w:tcPr>
            <w:tcW w:w="1807" w:type="pct"/>
          </w:tcPr>
          <w:p w14:paraId="0602D8C9"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Orion Laboratories Pty Ltd</w:t>
            </w:r>
          </w:p>
        </w:tc>
        <w:tc>
          <w:tcPr>
            <w:tcW w:w="1101" w:type="pct"/>
          </w:tcPr>
          <w:p w14:paraId="36433E95"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11617K</w:t>
            </w:r>
          </w:p>
        </w:tc>
        <w:tc>
          <w:tcPr>
            <w:tcW w:w="758" w:type="pct"/>
            <w:hideMark/>
          </w:tcPr>
          <w:p w14:paraId="4CC4B05F"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$49.96</w:t>
            </w:r>
          </w:p>
        </w:tc>
      </w:tr>
      <w:tr w:rsidR="00D0080E" w:rsidRPr="002A4E9F" w14:paraId="09361434" w14:textId="77777777" w:rsidTr="00936485">
        <w:trPr>
          <w:cantSplit/>
          <w:trHeight w:val="188"/>
        </w:trPr>
        <w:tc>
          <w:tcPr>
            <w:tcW w:w="1334" w:type="pct"/>
          </w:tcPr>
          <w:p w14:paraId="45F817D7"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Nicotinell®, 4mg [216]</w:t>
            </w:r>
          </w:p>
        </w:tc>
        <w:tc>
          <w:tcPr>
            <w:tcW w:w="1807" w:type="pct"/>
          </w:tcPr>
          <w:p w14:paraId="59B775B6"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Orion Laboratories Pty Ltd</w:t>
            </w:r>
          </w:p>
        </w:tc>
        <w:tc>
          <w:tcPr>
            <w:tcW w:w="1101" w:type="pct"/>
          </w:tcPr>
          <w:p w14:paraId="6E2BA274"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11619M</w:t>
            </w:r>
          </w:p>
        </w:tc>
        <w:tc>
          <w:tcPr>
            <w:tcW w:w="758" w:type="pct"/>
          </w:tcPr>
          <w:p w14:paraId="1B042618"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$49.96</w:t>
            </w:r>
          </w:p>
        </w:tc>
      </w:tr>
      <w:tr w:rsidR="00D0080E" w:rsidRPr="002A4E9F" w14:paraId="11F2F0E2" w14:textId="77777777" w:rsidTr="00936485">
        <w:trPr>
          <w:cantSplit/>
        </w:trPr>
        <w:tc>
          <w:tcPr>
            <w:tcW w:w="5000" w:type="pct"/>
            <w:gridSpan w:val="4"/>
          </w:tcPr>
          <w:p w14:paraId="7AB1CC2E" w14:textId="77777777" w:rsidR="00D0080E" w:rsidRPr="001A55E1" w:rsidRDefault="00D0080E" w:rsidP="00936485">
            <w:pPr>
              <w:pStyle w:val="05Tabletext"/>
              <w:keepNext/>
              <w:keepLines/>
              <w:ind w:left="0" w:right="0"/>
              <w:jc w:val="both"/>
              <w:rPr>
                <w:rFonts w:cstheme="minorHAnsi"/>
                <w:b/>
                <w:bCs/>
                <w:sz w:val="20"/>
                <w:szCs w:val="20"/>
              </w:rPr>
            </w:pPr>
            <w:r w:rsidRPr="001A55E1">
              <w:rPr>
                <w:rFonts w:cstheme="minorHAnsi"/>
                <w:b/>
                <w:bCs/>
                <w:sz w:val="20"/>
                <w:szCs w:val="20"/>
              </w:rPr>
              <w:t>NRT – Chewing gum</w:t>
            </w:r>
          </w:p>
        </w:tc>
      </w:tr>
      <w:tr w:rsidR="00D0080E" w:rsidRPr="002A4E9F" w14:paraId="7A308F2D" w14:textId="77777777" w:rsidTr="00936485">
        <w:trPr>
          <w:cantSplit/>
          <w:trHeight w:val="238"/>
        </w:trPr>
        <w:tc>
          <w:tcPr>
            <w:tcW w:w="1334" w:type="pct"/>
          </w:tcPr>
          <w:p w14:paraId="300FBE6E"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Nicotinell®, 2mg [216]</w:t>
            </w:r>
          </w:p>
        </w:tc>
        <w:tc>
          <w:tcPr>
            <w:tcW w:w="1807" w:type="pct"/>
          </w:tcPr>
          <w:p w14:paraId="670961DE"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Orion Laboratories Pty Ltd</w:t>
            </w:r>
          </w:p>
        </w:tc>
        <w:tc>
          <w:tcPr>
            <w:tcW w:w="1101" w:type="pct"/>
          </w:tcPr>
          <w:p w14:paraId="6DFC6EAB"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11618L</w:t>
            </w:r>
          </w:p>
        </w:tc>
        <w:tc>
          <w:tcPr>
            <w:tcW w:w="758" w:type="pct"/>
          </w:tcPr>
          <w:p w14:paraId="082E7AFA"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$68.90</w:t>
            </w:r>
          </w:p>
        </w:tc>
      </w:tr>
      <w:tr w:rsidR="00D0080E" w:rsidRPr="002A4E9F" w14:paraId="2A715432" w14:textId="77777777" w:rsidTr="00936485">
        <w:trPr>
          <w:cantSplit/>
          <w:trHeight w:val="115"/>
        </w:trPr>
        <w:tc>
          <w:tcPr>
            <w:tcW w:w="1334" w:type="pct"/>
          </w:tcPr>
          <w:p w14:paraId="33F1A0B1" w14:textId="77777777" w:rsidR="00D0080E" w:rsidRPr="00846B35"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Nicotinell®, 4mg [216]</w:t>
            </w:r>
          </w:p>
        </w:tc>
        <w:tc>
          <w:tcPr>
            <w:tcW w:w="1807" w:type="pct"/>
          </w:tcPr>
          <w:p w14:paraId="57AE7D24"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Orion Laboratories Pty Ltd</w:t>
            </w:r>
          </w:p>
        </w:tc>
        <w:tc>
          <w:tcPr>
            <w:tcW w:w="1101" w:type="pct"/>
          </w:tcPr>
          <w:p w14:paraId="5C03BBEC"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11612E</w:t>
            </w:r>
          </w:p>
        </w:tc>
        <w:tc>
          <w:tcPr>
            <w:tcW w:w="758" w:type="pct"/>
          </w:tcPr>
          <w:p w14:paraId="164D3184"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$49.96</w:t>
            </w:r>
          </w:p>
        </w:tc>
      </w:tr>
      <w:tr w:rsidR="00D0080E" w:rsidRPr="002A4E9F" w14:paraId="1C809214" w14:textId="77777777" w:rsidTr="00936485">
        <w:trPr>
          <w:cantSplit/>
          <w:trHeight w:val="273"/>
        </w:trPr>
        <w:tc>
          <w:tcPr>
            <w:tcW w:w="5000" w:type="pct"/>
            <w:gridSpan w:val="4"/>
          </w:tcPr>
          <w:p w14:paraId="58B7C154" w14:textId="77777777" w:rsidR="00D0080E" w:rsidRPr="001A55E1" w:rsidRDefault="00D0080E" w:rsidP="00936485">
            <w:pPr>
              <w:pStyle w:val="05Tabletext"/>
              <w:keepNext/>
              <w:keepLines/>
              <w:ind w:left="0" w:right="0"/>
              <w:jc w:val="both"/>
              <w:rPr>
                <w:rFonts w:cstheme="minorHAnsi"/>
                <w:b/>
                <w:bCs/>
                <w:sz w:val="20"/>
                <w:szCs w:val="20"/>
              </w:rPr>
            </w:pPr>
            <w:r w:rsidRPr="001A55E1">
              <w:rPr>
                <w:rFonts w:cstheme="minorHAnsi"/>
                <w:b/>
                <w:bCs/>
                <w:sz w:val="20"/>
                <w:szCs w:val="20"/>
              </w:rPr>
              <w:t>V</w:t>
            </w:r>
            <w:r>
              <w:rPr>
                <w:rFonts w:cstheme="minorHAnsi"/>
                <w:b/>
                <w:bCs/>
                <w:sz w:val="20"/>
                <w:szCs w:val="20"/>
              </w:rPr>
              <w:t>arenicline</w:t>
            </w:r>
            <w:r w:rsidRPr="001A55E1">
              <w:rPr>
                <w:rFonts w:cstheme="minorHAnsi"/>
                <w:b/>
                <w:bCs/>
                <w:sz w:val="20"/>
                <w:szCs w:val="20"/>
              </w:rPr>
              <w:t xml:space="preserve"> – Tablet</w:t>
            </w:r>
          </w:p>
        </w:tc>
      </w:tr>
      <w:tr w:rsidR="00D0080E" w:rsidRPr="002A4E9F" w14:paraId="28322BBF" w14:textId="77777777" w:rsidTr="00936485">
        <w:trPr>
          <w:cantSplit/>
          <w:trHeight w:val="703"/>
        </w:trPr>
        <w:tc>
          <w:tcPr>
            <w:tcW w:w="1334" w:type="pct"/>
          </w:tcPr>
          <w:p w14:paraId="0B70C596"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 xml:space="preserve">Champix®, 500microgram tablet [11] (&amp;) varenicline 1mg tablet [42] </w:t>
            </w:r>
            <w:r w:rsidRPr="001A55E1">
              <w:rPr>
                <w:rFonts w:cstheme="minorHAnsi"/>
                <w:sz w:val="20"/>
                <w:szCs w:val="20"/>
                <w:vertAlign w:val="superscript"/>
              </w:rPr>
              <w:t>b</w:t>
            </w:r>
          </w:p>
        </w:tc>
        <w:tc>
          <w:tcPr>
            <w:tcW w:w="1807" w:type="pct"/>
          </w:tcPr>
          <w:p w14:paraId="0058C770"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Pfizer Australia Pty Ltd</w:t>
            </w:r>
          </w:p>
        </w:tc>
        <w:tc>
          <w:tcPr>
            <w:tcW w:w="1101" w:type="pct"/>
          </w:tcPr>
          <w:p w14:paraId="68E7D326"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9128K</w:t>
            </w:r>
          </w:p>
        </w:tc>
        <w:tc>
          <w:tcPr>
            <w:tcW w:w="758" w:type="pct"/>
          </w:tcPr>
          <w:p w14:paraId="209C533E"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$87.24</w:t>
            </w:r>
          </w:p>
        </w:tc>
      </w:tr>
      <w:tr w:rsidR="00D0080E" w:rsidRPr="002A4E9F" w14:paraId="00E7BBAA" w14:textId="77777777" w:rsidTr="00936485">
        <w:trPr>
          <w:cantSplit/>
          <w:trHeight w:val="310"/>
        </w:trPr>
        <w:tc>
          <w:tcPr>
            <w:tcW w:w="1334" w:type="pct"/>
            <w:vMerge w:val="restart"/>
          </w:tcPr>
          <w:p w14:paraId="27C4F709"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 xml:space="preserve">Champix®, varenicline 1mg [56] </w:t>
            </w:r>
            <w:r w:rsidRPr="001A55E1">
              <w:rPr>
                <w:rFonts w:cstheme="minorHAnsi"/>
                <w:sz w:val="20"/>
                <w:szCs w:val="20"/>
                <w:vertAlign w:val="superscript"/>
              </w:rPr>
              <w:t>c</w:t>
            </w:r>
          </w:p>
        </w:tc>
        <w:tc>
          <w:tcPr>
            <w:tcW w:w="1807" w:type="pct"/>
            <w:vMerge w:val="restart"/>
          </w:tcPr>
          <w:p w14:paraId="4A45D409" w14:textId="77777777" w:rsidR="00D0080E" w:rsidRPr="001A55E1" w:rsidRDefault="00D0080E" w:rsidP="00936485">
            <w:pPr>
              <w:pStyle w:val="05Tabletext"/>
              <w:keepNext/>
              <w:keepLines/>
              <w:spacing w:before="0"/>
              <w:ind w:left="0" w:right="0"/>
              <w:jc w:val="both"/>
              <w:rPr>
                <w:rFonts w:cstheme="minorHAnsi"/>
                <w:sz w:val="20"/>
                <w:szCs w:val="20"/>
              </w:rPr>
            </w:pPr>
            <w:r w:rsidRPr="001A55E1">
              <w:rPr>
                <w:rFonts w:cstheme="minorHAnsi"/>
                <w:sz w:val="20"/>
                <w:szCs w:val="20"/>
              </w:rPr>
              <w:t xml:space="preserve">Pfizer Australia Pty Ltd </w:t>
            </w:r>
          </w:p>
        </w:tc>
        <w:tc>
          <w:tcPr>
            <w:tcW w:w="1101" w:type="pct"/>
          </w:tcPr>
          <w:p w14:paraId="73E426D9"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5469W</w:t>
            </w:r>
          </w:p>
        </w:tc>
        <w:tc>
          <w:tcPr>
            <w:tcW w:w="758" w:type="pct"/>
          </w:tcPr>
          <w:p w14:paraId="12B33AE9"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$100.69</w:t>
            </w:r>
          </w:p>
        </w:tc>
      </w:tr>
      <w:tr w:rsidR="00D0080E" w:rsidRPr="002A4E9F" w14:paraId="62DF2E83" w14:textId="77777777" w:rsidTr="00936485">
        <w:trPr>
          <w:cantSplit/>
          <w:trHeight w:val="227"/>
        </w:trPr>
        <w:tc>
          <w:tcPr>
            <w:tcW w:w="1334" w:type="pct"/>
            <w:vMerge/>
          </w:tcPr>
          <w:p w14:paraId="55171304" w14:textId="77777777" w:rsidR="00D0080E" w:rsidRPr="001A55E1" w:rsidRDefault="00D0080E" w:rsidP="00936485">
            <w:pPr>
              <w:pStyle w:val="05Tabletext"/>
              <w:keepNext/>
              <w:keepLines/>
              <w:spacing w:before="0"/>
              <w:ind w:left="0" w:right="0"/>
              <w:jc w:val="both"/>
              <w:rPr>
                <w:rFonts w:cstheme="minorHAnsi"/>
                <w:sz w:val="20"/>
                <w:szCs w:val="20"/>
              </w:rPr>
            </w:pPr>
          </w:p>
        </w:tc>
        <w:tc>
          <w:tcPr>
            <w:tcW w:w="1807" w:type="pct"/>
            <w:vMerge/>
          </w:tcPr>
          <w:p w14:paraId="71416B60" w14:textId="77777777" w:rsidR="00D0080E" w:rsidRPr="001A55E1" w:rsidRDefault="00D0080E" w:rsidP="00936485">
            <w:pPr>
              <w:pStyle w:val="05Tabletext"/>
              <w:keepNext/>
              <w:keepLines/>
              <w:spacing w:before="0"/>
              <w:ind w:left="0" w:right="0"/>
              <w:jc w:val="both"/>
              <w:rPr>
                <w:rFonts w:cstheme="minorHAnsi"/>
                <w:sz w:val="20"/>
                <w:szCs w:val="20"/>
              </w:rPr>
            </w:pPr>
          </w:p>
        </w:tc>
        <w:tc>
          <w:tcPr>
            <w:tcW w:w="1101" w:type="pct"/>
          </w:tcPr>
          <w:p w14:paraId="75C12EE5"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9129L</w:t>
            </w:r>
          </w:p>
        </w:tc>
        <w:tc>
          <w:tcPr>
            <w:tcW w:w="758" w:type="pct"/>
          </w:tcPr>
          <w:p w14:paraId="0F30EC20"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$193.16</w:t>
            </w:r>
          </w:p>
        </w:tc>
      </w:tr>
      <w:tr w:rsidR="00D0080E" w:rsidRPr="002A4E9F" w14:paraId="01ECA8A9" w14:textId="77777777" w:rsidTr="00936485">
        <w:trPr>
          <w:cantSplit/>
        </w:trPr>
        <w:tc>
          <w:tcPr>
            <w:tcW w:w="5000" w:type="pct"/>
            <w:gridSpan w:val="4"/>
          </w:tcPr>
          <w:p w14:paraId="27083BD9" w14:textId="77777777" w:rsidR="00D0080E" w:rsidRPr="001A55E1" w:rsidRDefault="00D0080E" w:rsidP="00936485">
            <w:pPr>
              <w:pStyle w:val="05Tabletext"/>
              <w:keepNext/>
              <w:keepLines/>
              <w:ind w:left="0" w:right="0"/>
              <w:jc w:val="both"/>
              <w:rPr>
                <w:rFonts w:cstheme="minorHAnsi"/>
                <w:b/>
                <w:bCs/>
                <w:sz w:val="20"/>
                <w:szCs w:val="20"/>
              </w:rPr>
            </w:pPr>
            <w:r w:rsidRPr="001A55E1">
              <w:rPr>
                <w:rFonts w:cstheme="minorHAnsi"/>
                <w:b/>
                <w:bCs/>
                <w:sz w:val="20"/>
                <w:szCs w:val="20"/>
              </w:rPr>
              <w:t>B</w:t>
            </w:r>
            <w:r>
              <w:rPr>
                <w:rFonts w:cstheme="minorHAnsi"/>
                <w:b/>
                <w:bCs/>
                <w:sz w:val="20"/>
                <w:szCs w:val="20"/>
              </w:rPr>
              <w:t>upropion</w:t>
            </w:r>
            <w:r w:rsidRPr="001A55E1">
              <w:rPr>
                <w:rFonts w:cstheme="minorHAnsi"/>
                <w:b/>
                <w:bCs/>
                <w:sz w:val="20"/>
                <w:szCs w:val="20"/>
              </w:rPr>
              <w:t xml:space="preserve"> – Modified release tablet</w:t>
            </w:r>
          </w:p>
        </w:tc>
      </w:tr>
      <w:tr w:rsidR="00D0080E" w:rsidRPr="002A4E9F" w14:paraId="0CA48DE5" w14:textId="77777777" w:rsidTr="00936485">
        <w:trPr>
          <w:cantSplit/>
          <w:trHeight w:val="299"/>
        </w:trPr>
        <w:tc>
          <w:tcPr>
            <w:tcW w:w="1334" w:type="pct"/>
          </w:tcPr>
          <w:p w14:paraId="6F0F110A"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Zyban®, 150mg [30]</w:t>
            </w:r>
          </w:p>
        </w:tc>
        <w:tc>
          <w:tcPr>
            <w:tcW w:w="1807" w:type="pct"/>
          </w:tcPr>
          <w:p w14:paraId="300DAEF0"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Aspen Pharmacare Australia Pty Limited</w:t>
            </w:r>
          </w:p>
        </w:tc>
        <w:tc>
          <w:tcPr>
            <w:tcW w:w="1101" w:type="pct"/>
          </w:tcPr>
          <w:p w14:paraId="17FCF2CC"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8465M</w:t>
            </w:r>
          </w:p>
        </w:tc>
        <w:tc>
          <w:tcPr>
            <w:tcW w:w="758" w:type="pct"/>
          </w:tcPr>
          <w:p w14:paraId="5DFB4C22"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$63.52</w:t>
            </w:r>
          </w:p>
        </w:tc>
      </w:tr>
      <w:tr w:rsidR="00D0080E" w:rsidRPr="002A4E9F" w14:paraId="5ED488BE" w14:textId="77777777" w:rsidTr="00936485">
        <w:trPr>
          <w:cantSplit/>
          <w:trHeight w:val="262"/>
        </w:trPr>
        <w:tc>
          <w:tcPr>
            <w:tcW w:w="1334" w:type="pct"/>
          </w:tcPr>
          <w:p w14:paraId="1FE43FFE"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Zyban®, 150mg [90]</w:t>
            </w:r>
          </w:p>
        </w:tc>
        <w:tc>
          <w:tcPr>
            <w:tcW w:w="1807" w:type="pct"/>
          </w:tcPr>
          <w:p w14:paraId="1277B6C9"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Aspen Pharmacare Australia Pty Limited</w:t>
            </w:r>
          </w:p>
        </w:tc>
        <w:tc>
          <w:tcPr>
            <w:tcW w:w="1101" w:type="pct"/>
          </w:tcPr>
          <w:p w14:paraId="15AC09C0"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8710K</w:t>
            </w:r>
          </w:p>
        </w:tc>
        <w:tc>
          <w:tcPr>
            <w:tcW w:w="758" w:type="pct"/>
          </w:tcPr>
          <w:p w14:paraId="03FEBE3B" w14:textId="77777777" w:rsidR="00D0080E" w:rsidRPr="001A55E1" w:rsidRDefault="00D0080E" w:rsidP="00936485">
            <w:pPr>
              <w:pStyle w:val="05Tabletext"/>
              <w:keepNext/>
              <w:keepLines/>
              <w:ind w:left="0" w:right="0"/>
              <w:jc w:val="both"/>
              <w:rPr>
                <w:rFonts w:cstheme="minorHAnsi"/>
                <w:sz w:val="20"/>
                <w:szCs w:val="20"/>
              </w:rPr>
            </w:pPr>
            <w:r w:rsidRPr="001A55E1">
              <w:rPr>
                <w:rFonts w:cstheme="minorHAnsi"/>
                <w:sz w:val="20"/>
                <w:szCs w:val="20"/>
              </w:rPr>
              <w:t>$169.11</w:t>
            </w:r>
          </w:p>
        </w:tc>
      </w:tr>
    </w:tbl>
    <w:p w14:paraId="3616F20D" w14:textId="5F9C3679" w:rsidR="00D0080E" w:rsidRDefault="00D0080E" w:rsidP="00B0724B">
      <w:pPr>
        <w:pStyle w:val="Footnotes"/>
        <w:spacing w:after="0"/>
        <w:contextualSpacing w:val="0"/>
        <w:jc w:val="both"/>
        <w:rPr>
          <w:rFonts w:ascii="Arial Narrow" w:hAnsi="Arial Narrow"/>
          <w:sz w:val="19"/>
          <w:szCs w:val="19"/>
          <w:lang w:val="en-AU"/>
        </w:rPr>
      </w:pPr>
      <w:r w:rsidRPr="00B0724B">
        <w:rPr>
          <w:rFonts w:ascii="Arial Narrow" w:hAnsi="Arial Narrow"/>
          <w:sz w:val="19"/>
          <w:szCs w:val="19"/>
          <w:lang w:val="en-AU"/>
        </w:rPr>
        <w:t xml:space="preserve">As of </w:t>
      </w:r>
      <w:r w:rsidR="00B0724B">
        <w:rPr>
          <w:rFonts w:ascii="Arial Narrow" w:hAnsi="Arial Narrow"/>
          <w:sz w:val="19"/>
          <w:szCs w:val="19"/>
          <w:lang w:val="en-AU"/>
        </w:rPr>
        <w:t>13</w:t>
      </w:r>
      <w:r w:rsidRPr="00B0724B">
        <w:rPr>
          <w:rFonts w:ascii="Arial Narrow" w:hAnsi="Arial Narrow"/>
          <w:sz w:val="19"/>
          <w:szCs w:val="19"/>
          <w:lang w:val="en-AU"/>
        </w:rPr>
        <w:t xml:space="preserve"> </w:t>
      </w:r>
      <w:r w:rsidR="003F50CE" w:rsidRPr="00B0724B">
        <w:rPr>
          <w:rFonts w:ascii="Arial Narrow" w:hAnsi="Arial Narrow"/>
          <w:sz w:val="19"/>
          <w:szCs w:val="19"/>
          <w:lang w:val="en-AU"/>
        </w:rPr>
        <w:t>May</w:t>
      </w:r>
      <w:r w:rsidRPr="00B0724B">
        <w:rPr>
          <w:rFonts w:ascii="Arial Narrow" w:hAnsi="Arial Narrow"/>
          <w:sz w:val="19"/>
          <w:szCs w:val="19"/>
          <w:lang w:val="en-AU"/>
        </w:rPr>
        <w:t xml:space="preserve"> 2022</w:t>
      </w:r>
      <w:r w:rsidR="00B0724B" w:rsidRPr="00B0724B">
        <w:rPr>
          <w:rFonts w:ascii="Arial Narrow" w:hAnsi="Arial Narrow"/>
          <w:sz w:val="19"/>
          <w:szCs w:val="19"/>
          <w:lang w:val="en-AU"/>
        </w:rPr>
        <w:t>.</w:t>
      </w:r>
      <w:r w:rsidR="00B0724B">
        <w:rPr>
          <w:rFonts w:ascii="Arial Narrow" w:hAnsi="Arial Narrow"/>
          <w:sz w:val="19"/>
          <w:szCs w:val="19"/>
          <w:lang w:val="en-AU"/>
        </w:rPr>
        <w:t xml:space="preserve"> </w:t>
      </w:r>
      <w:r w:rsidRPr="00B0724B">
        <w:rPr>
          <w:rFonts w:ascii="Arial Narrow" w:hAnsi="Arial Narrow"/>
          <w:sz w:val="19"/>
          <w:szCs w:val="19"/>
          <w:lang w:val="en-AU"/>
        </w:rPr>
        <w:t>DPMQ = Dispensed Price for Maximum Quantity</w:t>
      </w:r>
      <w:r w:rsidR="00B0724B" w:rsidRPr="00B0724B">
        <w:rPr>
          <w:rFonts w:ascii="Arial Narrow" w:hAnsi="Arial Narrow"/>
          <w:sz w:val="19"/>
          <w:szCs w:val="19"/>
          <w:lang w:val="en-AU"/>
        </w:rPr>
        <w:t xml:space="preserve"> </w:t>
      </w:r>
      <w:r w:rsidRPr="00B0724B">
        <w:rPr>
          <w:rFonts w:ascii="Arial Narrow" w:hAnsi="Arial Narrow"/>
          <w:sz w:val="19"/>
          <w:szCs w:val="19"/>
          <w:vertAlign w:val="superscript"/>
          <w:lang w:val="en-AU"/>
        </w:rPr>
        <w:t xml:space="preserve">a </w:t>
      </w:r>
      <w:r w:rsidRPr="00B0724B">
        <w:rPr>
          <w:rFonts w:ascii="Arial Narrow" w:hAnsi="Arial Narrow"/>
          <w:sz w:val="19"/>
          <w:szCs w:val="19"/>
          <w:lang w:val="en-AU"/>
        </w:rPr>
        <w:t xml:space="preserve">Repatriation Care items </w:t>
      </w:r>
      <w:r w:rsidRPr="00B0724B">
        <w:rPr>
          <w:rFonts w:ascii="Arial Narrow" w:hAnsi="Arial Narrow"/>
          <w:sz w:val="19"/>
          <w:szCs w:val="19"/>
          <w:vertAlign w:val="superscript"/>
          <w:lang w:val="en-AU"/>
        </w:rPr>
        <w:t xml:space="preserve">b </w:t>
      </w:r>
      <w:r w:rsidRPr="00B0724B">
        <w:rPr>
          <w:rFonts w:ascii="Arial Narrow" w:hAnsi="Arial Narrow"/>
          <w:sz w:val="19"/>
          <w:szCs w:val="19"/>
          <w:lang w:val="en-AU"/>
        </w:rPr>
        <w:t xml:space="preserve">Initiation Pack </w:t>
      </w:r>
      <w:r w:rsidRPr="00B0724B">
        <w:rPr>
          <w:rFonts w:ascii="Arial Narrow" w:hAnsi="Arial Narrow"/>
          <w:sz w:val="19"/>
          <w:szCs w:val="19"/>
          <w:vertAlign w:val="superscript"/>
          <w:lang w:val="en-AU"/>
        </w:rPr>
        <w:t xml:space="preserve">c </w:t>
      </w:r>
      <w:r w:rsidRPr="00B0724B">
        <w:rPr>
          <w:rFonts w:ascii="Arial Narrow" w:hAnsi="Arial Narrow"/>
          <w:sz w:val="19"/>
          <w:szCs w:val="19"/>
          <w:lang w:val="en-AU"/>
        </w:rPr>
        <w:t>Continuation Pack</w:t>
      </w:r>
    </w:p>
    <w:p w14:paraId="06E2B60C" w14:textId="77777777" w:rsidR="00E36CB9" w:rsidRPr="00B0724B" w:rsidRDefault="00E36CB9" w:rsidP="00B0724B">
      <w:pPr>
        <w:pStyle w:val="Footnotes"/>
        <w:spacing w:after="0"/>
        <w:contextualSpacing w:val="0"/>
        <w:jc w:val="both"/>
        <w:rPr>
          <w:rFonts w:ascii="Arial Narrow" w:hAnsi="Arial Narrow"/>
          <w:sz w:val="19"/>
          <w:szCs w:val="19"/>
          <w:lang w:val="en-AU"/>
        </w:rPr>
      </w:pPr>
    </w:p>
    <w:p w14:paraId="2950A8C7" w14:textId="77777777" w:rsidR="00D0080E" w:rsidRDefault="00D0080E" w:rsidP="00004FA2">
      <w:pPr>
        <w:pStyle w:val="PBACHeading10"/>
        <w:keepNext w:val="0"/>
        <w:keepLines w:val="0"/>
        <w:numPr>
          <w:ilvl w:val="1"/>
          <w:numId w:val="9"/>
        </w:numPr>
        <w:ind w:left="720" w:hanging="720"/>
        <w:jc w:val="both"/>
        <w:outlineLvl w:val="9"/>
        <w:rPr>
          <w:b w:val="0"/>
          <w:sz w:val="24"/>
          <w:szCs w:val="24"/>
        </w:rPr>
      </w:pPr>
      <w:r>
        <w:rPr>
          <w:b w:val="0"/>
          <w:sz w:val="24"/>
          <w:szCs w:val="24"/>
        </w:rPr>
        <w:lastRenderedPageBreak/>
        <w:t>In July 2017, the PBAC</w:t>
      </w:r>
      <w:r w:rsidRPr="00643B53">
        <w:rPr>
          <w:b w:val="0"/>
          <w:sz w:val="24"/>
          <w:szCs w:val="24"/>
        </w:rPr>
        <w:t xml:space="preserve"> deferred a major submission for the listing</w:t>
      </w:r>
      <w:r>
        <w:rPr>
          <w:b w:val="0"/>
          <w:sz w:val="24"/>
          <w:szCs w:val="24"/>
        </w:rPr>
        <w:t xml:space="preserve"> of NRT</w:t>
      </w:r>
      <w:r w:rsidRPr="00643B53">
        <w:rPr>
          <w:b w:val="0"/>
          <w:sz w:val="24"/>
          <w:szCs w:val="24"/>
        </w:rPr>
        <w:t xml:space="preserve"> in the form of gum and lozenges (2</w:t>
      </w:r>
      <w:r>
        <w:rPr>
          <w:b w:val="0"/>
          <w:sz w:val="24"/>
          <w:szCs w:val="24"/>
        </w:rPr>
        <w:t xml:space="preserve"> </w:t>
      </w:r>
      <w:r w:rsidRPr="00643B53">
        <w:rPr>
          <w:b w:val="0"/>
          <w:sz w:val="24"/>
          <w:szCs w:val="24"/>
        </w:rPr>
        <w:t>mg and 4</w:t>
      </w:r>
      <w:r>
        <w:rPr>
          <w:b w:val="0"/>
          <w:sz w:val="24"/>
          <w:szCs w:val="24"/>
        </w:rPr>
        <w:t xml:space="preserve"> </w:t>
      </w:r>
      <w:r w:rsidRPr="00643B53">
        <w:rPr>
          <w:b w:val="0"/>
          <w:sz w:val="24"/>
          <w:szCs w:val="24"/>
        </w:rPr>
        <w:t>mg strengths) on the PBS. The PBAC noted that the efficacy of nicotine lozenges and gum significantly improved when used in combination with nicotine patches, but that no evidence was provided in the submission about the cost-effectiveness of combination NRT.</w:t>
      </w:r>
    </w:p>
    <w:p w14:paraId="16679BC8" w14:textId="77777777" w:rsidR="00D0080E" w:rsidRPr="000E0096" w:rsidRDefault="00D0080E" w:rsidP="00004FA2">
      <w:pPr>
        <w:pStyle w:val="PBACHeading10"/>
        <w:keepNext w:val="0"/>
        <w:keepLines w:val="0"/>
        <w:numPr>
          <w:ilvl w:val="1"/>
          <w:numId w:val="9"/>
        </w:numPr>
        <w:ind w:left="720" w:hanging="720"/>
        <w:jc w:val="both"/>
        <w:outlineLvl w:val="9"/>
        <w:rPr>
          <w:b w:val="0"/>
          <w:sz w:val="24"/>
          <w:szCs w:val="24"/>
        </w:rPr>
      </w:pPr>
      <w:r w:rsidRPr="000E0096">
        <w:rPr>
          <w:b w:val="0"/>
          <w:sz w:val="24"/>
          <w:szCs w:val="24"/>
        </w:rPr>
        <w:t>In March 2018, the PBAC recommended the listing of nicotine gum and lozenges as monotherapies on the PBS for treating nicotine dependence. The PBAC considered that a broader review of PBS-listed nicotine dependence treatments, in the context of the current clinical guidelines, would help inform whether the current subsidy arrangements should be altered to better support smoking cessation.</w:t>
      </w:r>
    </w:p>
    <w:p w14:paraId="1FD0180E" w14:textId="4232BE0B" w:rsidR="00D0080E" w:rsidRPr="00062287" w:rsidRDefault="00D0080E" w:rsidP="00004FA2">
      <w:pPr>
        <w:pStyle w:val="PBACHeading10"/>
        <w:keepNext w:val="0"/>
        <w:keepLines w:val="0"/>
        <w:numPr>
          <w:ilvl w:val="1"/>
          <w:numId w:val="9"/>
        </w:numPr>
        <w:ind w:left="720" w:hanging="720"/>
        <w:jc w:val="both"/>
        <w:outlineLvl w:val="9"/>
        <w:rPr>
          <w:b w:val="0"/>
          <w:sz w:val="24"/>
          <w:szCs w:val="24"/>
        </w:rPr>
      </w:pPr>
      <w:r>
        <w:rPr>
          <w:b w:val="0"/>
          <w:sz w:val="24"/>
          <w:szCs w:val="24"/>
        </w:rPr>
        <w:t>The final ToRs for the PMR</w:t>
      </w:r>
      <w:r w:rsidRPr="00643B53">
        <w:rPr>
          <w:b w:val="0"/>
          <w:sz w:val="24"/>
          <w:szCs w:val="24"/>
        </w:rPr>
        <w:t xml:space="preserve"> of medi</w:t>
      </w:r>
      <w:r>
        <w:rPr>
          <w:b w:val="0"/>
          <w:sz w:val="24"/>
          <w:szCs w:val="24"/>
        </w:rPr>
        <w:t xml:space="preserve">cines for smoking cessation were </w:t>
      </w:r>
      <w:r w:rsidRPr="00643B53">
        <w:rPr>
          <w:b w:val="0"/>
          <w:sz w:val="24"/>
          <w:szCs w:val="24"/>
        </w:rPr>
        <w:t>approved by the Minister f</w:t>
      </w:r>
      <w:r>
        <w:rPr>
          <w:b w:val="0"/>
          <w:sz w:val="24"/>
          <w:szCs w:val="24"/>
        </w:rPr>
        <w:t>or Health on 24 February 2020 as follows:</w:t>
      </w:r>
    </w:p>
    <w:p w14:paraId="0D37A71B" w14:textId="77777777" w:rsidR="00D0080E" w:rsidRDefault="00D0080E" w:rsidP="00A864CC">
      <w:pPr>
        <w:pStyle w:val="PBACHeading10"/>
        <w:numPr>
          <w:ilvl w:val="0"/>
          <w:numId w:val="13"/>
        </w:numPr>
        <w:spacing w:after="0"/>
        <w:jc w:val="both"/>
        <w:outlineLvl w:val="9"/>
        <w:rPr>
          <w:b w:val="0"/>
          <w:sz w:val="24"/>
          <w:szCs w:val="24"/>
        </w:rPr>
      </w:pPr>
      <w:r w:rsidRPr="00643B53">
        <w:rPr>
          <w:b w:val="0"/>
          <w:sz w:val="24"/>
          <w:szCs w:val="24"/>
        </w:rPr>
        <w:t>Collate the current clinical guidelines for medicines for smoking cessation and compare these to the Therapeutic Goods Administration (TGA) and PBS restrictions for these medicines</w:t>
      </w:r>
      <w:r>
        <w:rPr>
          <w:b w:val="0"/>
          <w:sz w:val="24"/>
          <w:szCs w:val="24"/>
        </w:rPr>
        <w:t>.</w:t>
      </w:r>
    </w:p>
    <w:p w14:paraId="2B127E5E" w14:textId="77777777" w:rsidR="00D0080E" w:rsidRDefault="00D0080E" w:rsidP="001C4EE5">
      <w:pPr>
        <w:pStyle w:val="PBACHeading10"/>
        <w:numPr>
          <w:ilvl w:val="0"/>
          <w:numId w:val="13"/>
        </w:numPr>
        <w:spacing w:after="0"/>
        <w:jc w:val="both"/>
        <w:outlineLvl w:val="9"/>
        <w:rPr>
          <w:b w:val="0"/>
          <w:sz w:val="24"/>
          <w:szCs w:val="24"/>
        </w:rPr>
      </w:pPr>
      <w:r w:rsidRPr="00643B53">
        <w:rPr>
          <w:b w:val="0"/>
          <w:sz w:val="24"/>
          <w:szCs w:val="24"/>
        </w:rPr>
        <w:t>Review the utilisation of PBS-listed medicines for smoking cessation including but not limited to patient demographics, time on treatment, and the proportion using PBS</w:t>
      </w:r>
      <w:r>
        <w:rPr>
          <w:b w:val="0"/>
          <w:sz w:val="24"/>
          <w:szCs w:val="24"/>
        </w:rPr>
        <w:t>-</w:t>
      </w:r>
      <w:r w:rsidRPr="00643B53">
        <w:rPr>
          <w:b w:val="0"/>
          <w:sz w:val="24"/>
          <w:szCs w:val="24"/>
        </w:rPr>
        <w:t>subsidised combination treatment.</w:t>
      </w:r>
    </w:p>
    <w:p w14:paraId="7F86A187" w14:textId="77777777" w:rsidR="00D0080E" w:rsidRDefault="00D0080E" w:rsidP="001C4EE5">
      <w:pPr>
        <w:pStyle w:val="PBACHeading10"/>
        <w:numPr>
          <w:ilvl w:val="0"/>
          <w:numId w:val="13"/>
        </w:numPr>
        <w:spacing w:after="0"/>
        <w:jc w:val="both"/>
        <w:outlineLvl w:val="9"/>
        <w:rPr>
          <w:b w:val="0"/>
          <w:sz w:val="24"/>
          <w:szCs w:val="24"/>
        </w:rPr>
      </w:pPr>
      <w:r w:rsidRPr="00643B53">
        <w:rPr>
          <w:b w:val="0"/>
          <w:sz w:val="24"/>
          <w:szCs w:val="24"/>
        </w:rPr>
        <w:t xml:space="preserve">Review the efficacy and safety of </w:t>
      </w:r>
      <w:r>
        <w:rPr>
          <w:b w:val="0"/>
          <w:sz w:val="24"/>
          <w:szCs w:val="24"/>
        </w:rPr>
        <w:t>NRT</w:t>
      </w:r>
      <w:r w:rsidRPr="00643B53">
        <w:rPr>
          <w:b w:val="0"/>
          <w:sz w:val="24"/>
          <w:szCs w:val="24"/>
        </w:rPr>
        <w:t xml:space="preserve">, </w:t>
      </w:r>
      <w:r>
        <w:rPr>
          <w:b w:val="0"/>
          <w:sz w:val="24"/>
          <w:szCs w:val="24"/>
        </w:rPr>
        <w:t>VAR</w:t>
      </w:r>
      <w:r w:rsidRPr="00643B53">
        <w:rPr>
          <w:b w:val="0"/>
          <w:sz w:val="24"/>
          <w:szCs w:val="24"/>
        </w:rPr>
        <w:t xml:space="preserve"> and </w:t>
      </w:r>
      <w:r>
        <w:rPr>
          <w:b w:val="0"/>
          <w:sz w:val="24"/>
          <w:szCs w:val="24"/>
        </w:rPr>
        <w:t>BUP</w:t>
      </w:r>
      <w:r w:rsidRPr="00643B53">
        <w:rPr>
          <w:b w:val="0"/>
          <w:sz w:val="24"/>
          <w:szCs w:val="24"/>
        </w:rPr>
        <w:t xml:space="preserve"> for smoking cessation including combination therapies not currently PBS</w:t>
      </w:r>
      <w:r>
        <w:rPr>
          <w:b w:val="0"/>
          <w:sz w:val="24"/>
          <w:szCs w:val="24"/>
        </w:rPr>
        <w:t>-</w:t>
      </w:r>
      <w:r w:rsidRPr="00643B53">
        <w:rPr>
          <w:b w:val="0"/>
          <w:sz w:val="24"/>
          <w:szCs w:val="24"/>
        </w:rPr>
        <w:t>subsidised.</w:t>
      </w:r>
    </w:p>
    <w:p w14:paraId="6AEFBFE3" w14:textId="77777777" w:rsidR="00D0080E" w:rsidRPr="00E57F8D" w:rsidRDefault="00D0080E" w:rsidP="00A864CC">
      <w:pPr>
        <w:pStyle w:val="PBACHeading10"/>
        <w:numPr>
          <w:ilvl w:val="0"/>
          <w:numId w:val="13"/>
        </w:numPr>
        <w:ind w:hanging="357"/>
        <w:jc w:val="both"/>
        <w:outlineLvl w:val="9"/>
        <w:rPr>
          <w:b w:val="0"/>
          <w:sz w:val="24"/>
          <w:szCs w:val="24"/>
        </w:rPr>
      </w:pPr>
      <w:r w:rsidRPr="00643B53">
        <w:rPr>
          <w:b w:val="0"/>
          <w:sz w:val="24"/>
          <w:szCs w:val="24"/>
        </w:rPr>
        <w:t>Subject to th</w:t>
      </w:r>
      <w:r>
        <w:rPr>
          <w:b w:val="0"/>
          <w:sz w:val="24"/>
          <w:szCs w:val="24"/>
        </w:rPr>
        <w:t>e findings of ToRs</w:t>
      </w:r>
      <w:r w:rsidRPr="00643B53">
        <w:rPr>
          <w:b w:val="0"/>
          <w:sz w:val="24"/>
          <w:szCs w:val="24"/>
        </w:rPr>
        <w:t xml:space="preserve"> 1, 2 and 3, </w:t>
      </w:r>
      <w:r>
        <w:rPr>
          <w:b w:val="0"/>
          <w:sz w:val="24"/>
          <w:szCs w:val="24"/>
        </w:rPr>
        <w:t>r</w:t>
      </w:r>
      <w:r w:rsidRPr="00643B53">
        <w:rPr>
          <w:b w:val="0"/>
          <w:sz w:val="24"/>
          <w:szCs w:val="24"/>
        </w:rPr>
        <w:t>eview the cost-effectiveness of medicines for smoking cessation.</w:t>
      </w:r>
    </w:p>
    <w:p w14:paraId="0AA14D72" w14:textId="671CF4D8" w:rsidR="00D0080E" w:rsidRPr="00A90A71" w:rsidRDefault="00D0080E" w:rsidP="00A90A71">
      <w:pPr>
        <w:spacing w:after="120"/>
        <w:ind w:left="720"/>
        <w:rPr>
          <w:rFonts w:asciiTheme="minorHAnsi" w:hAnsiTheme="minorHAnsi" w:cstheme="minorHAnsi"/>
          <w:b/>
        </w:rPr>
      </w:pPr>
      <w:r w:rsidRPr="00A90A71">
        <w:rPr>
          <w:rFonts w:asciiTheme="minorHAnsi" w:hAnsiTheme="minorHAnsi" w:cstheme="minorHAnsi"/>
        </w:rPr>
        <w:t>Note: E</w:t>
      </w:r>
      <w:r w:rsidRPr="00F927AC">
        <w:rPr>
          <w:rFonts w:ascii="Cambria Math" w:hAnsi="Cambria Math" w:cs="Cambria Math"/>
        </w:rPr>
        <w:t>‑</w:t>
      </w:r>
      <w:r w:rsidRPr="00A90A71">
        <w:rPr>
          <w:rFonts w:asciiTheme="minorHAnsi" w:hAnsiTheme="minorHAnsi" w:cstheme="minorHAnsi"/>
        </w:rPr>
        <w:t xml:space="preserve">cigarette devices and nicotine liquids </w:t>
      </w:r>
      <w:r w:rsidR="00B455F0">
        <w:rPr>
          <w:rFonts w:asciiTheme="minorHAnsi" w:hAnsiTheme="minorHAnsi" w:cstheme="minorHAnsi"/>
        </w:rPr>
        <w:t>we</w:t>
      </w:r>
      <w:r w:rsidRPr="00A90A71">
        <w:rPr>
          <w:rFonts w:asciiTheme="minorHAnsi" w:hAnsiTheme="minorHAnsi" w:cstheme="minorHAnsi"/>
        </w:rPr>
        <w:t>re out of scope of this PMR.</w:t>
      </w:r>
    </w:p>
    <w:p w14:paraId="6924CA21" w14:textId="42F8FFE4" w:rsidR="00D0080E" w:rsidRPr="00746759" w:rsidRDefault="00D0080E" w:rsidP="00004FA2">
      <w:pPr>
        <w:pStyle w:val="PBACHeading10"/>
        <w:keepNext w:val="0"/>
        <w:keepLines w:val="0"/>
        <w:numPr>
          <w:ilvl w:val="1"/>
          <w:numId w:val="9"/>
        </w:numPr>
        <w:ind w:left="720" w:hanging="720"/>
        <w:jc w:val="both"/>
        <w:outlineLvl w:val="9"/>
        <w:rPr>
          <w:b w:val="0"/>
          <w:sz w:val="24"/>
          <w:szCs w:val="24"/>
        </w:rPr>
      </w:pPr>
      <w:r w:rsidRPr="00746759">
        <w:rPr>
          <w:b w:val="0"/>
          <w:sz w:val="24"/>
          <w:szCs w:val="24"/>
        </w:rPr>
        <w:t xml:space="preserve">The department commissioned two independent contractors, the Centre for Health Economics Research and Evaluation (CHERE) and the University of South Australia (UniSA), to undertake research to inform the Review findings </w:t>
      </w:r>
      <w:r w:rsidR="00C071FC">
        <w:rPr>
          <w:b w:val="0"/>
          <w:sz w:val="24"/>
          <w:szCs w:val="24"/>
        </w:rPr>
        <w:t xml:space="preserve">for </w:t>
      </w:r>
      <w:r w:rsidRPr="00746759">
        <w:rPr>
          <w:b w:val="0"/>
          <w:sz w:val="24"/>
          <w:szCs w:val="24"/>
        </w:rPr>
        <w:t>ToR</w:t>
      </w:r>
      <w:r w:rsidR="00C071FC">
        <w:rPr>
          <w:b w:val="0"/>
          <w:sz w:val="24"/>
          <w:szCs w:val="24"/>
        </w:rPr>
        <w:t>s 1-3</w:t>
      </w:r>
      <w:r w:rsidRPr="00746759">
        <w:rPr>
          <w:b w:val="0"/>
          <w:sz w:val="24"/>
          <w:szCs w:val="24"/>
        </w:rPr>
        <w:t xml:space="preserve">. The CHERE was contracted to provide a </w:t>
      </w:r>
      <w:r w:rsidR="00E1182B" w:rsidRPr="00746759">
        <w:rPr>
          <w:b w:val="0"/>
          <w:sz w:val="24"/>
          <w:szCs w:val="24"/>
        </w:rPr>
        <w:t>r</w:t>
      </w:r>
      <w:r w:rsidRPr="00746759">
        <w:rPr>
          <w:b w:val="0"/>
          <w:sz w:val="24"/>
          <w:szCs w:val="24"/>
        </w:rPr>
        <w:t xml:space="preserve">eport addressing ToRs 1 and 3 and UniSA provided a </w:t>
      </w:r>
      <w:r w:rsidR="00E1182B" w:rsidRPr="00746759">
        <w:rPr>
          <w:b w:val="0"/>
          <w:sz w:val="24"/>
          <w:szCs w:val="24"/>
        </w:rPr>
        <w:t>r</w:t>
      </w:r>
      <w:r w:rsidRPr="00746759">
        <w:rPr>
          <w:b w:val="0"/>
          <w:sz w:val="24"/>
          <w:szCs w:val="24"/>
        </w:rPr>
        <w:t>eport addressing ToR 2.</w:t>
      </w:r>
    </w:p>
    <w:p w14:paraId="436B4B46" w14:textId="41A4441C" w:rsidR="00D0080E" w:rsidRPr="005E0EED" w:rsidRDefault="00D0080E" w:rsidP="00004FA2">
      <w:pPr>
        <w:pStyle w:val="PBACHeading10"/>
        <w:keepNext w:val="0"/>
        <w:keepLines w:val="0"/>
        <w:numPr>
          <w:ilvl w:val="1"/>
          <w:numId w:val="9"/>
        </w:numPr>
        <w:ind w:left="720" w:hanging="720"/>
        <w:jc w:val="both"/>
        <w:outlineLvl w:val="9"/>
        <w:rPr>
          <w:b w:val="0"/>
          <w:sz w:val="24"/>
          <w:szCs w:val="24"/>
        </w:rPr>
      </w:pPr>
      <w:r w:rsidRPr="00EC479B">
        <w:rPr>
          <w:b w:val="0"/>
          <w:sz w:val="24"/>
          <w:szCs w:val="24"/>
        </w:rPr>
        <w:t xml:space="preserve">An independent </w:t>
      </w:r>
      <w:r w:rsidR="00C962BB">
        <w:rPr>
          <w:b w:val="0"/>
          <w:sz w:val="24"/>
          <w:szCs w:val="24"/>
        </w:rPr>
        <w:t>r</w:t>
      </w:r>
      <w:r w:rsidR="004E0E8E">
        <w:rPr>
          <w:b w:val="0"/>
          <w:sz w:val="24"/>
          <w:szCs w:val="24"/>
        </w:rPr>
        <w:t xml:space="preserve">eference </w:t>
      </w:r>
      <w:r w:rsidR="00C962BB">
        <w:rPr>
          <w:b w:val="0"/>
          <w:sz w:val="24"/>
          <w:szCs w:val="24"/>
        </w:rPr>
        <w:t>g</w:t>
      </w:r>
      <w:r w:rsidR="004E0E8E">
        <w:rPr>
          <w:b w:val="0"/>
          <w:sz w:val="24"/>
          <w:szCs w:val="24"/>
        </w:rPr>
        <w:t>roup</w:t>
      </w:r>
      <w:r>
        <w:rPr>
          <w:b w:val="0"/>
          <w:sz w:val="24"/>
          <w:szCs w:val="24"/>
        </w:rPr>
        <w:t xml:space="preserve"> </w:t>
      </w:r>
      <w:r w:rsidRPr="00EC479B">
        <w:rPr>
          <w:b w:val="0"/>
          <w:sz w:val="24"/>
          <w:szCs w:val="24"/>
        </w:rPr>
        <w:t xml:space="preserve">was established to guide and provide advice to the Review. The </w:t>
      </w:r>
      <w:r w:rsidR="00C962BB">
        <w:rPr>
          <w:b w:val="0"/>
          <w:sz w:val="24"/>
          <w:szCs w:val="24"/>
        </w:rPr>
        <w:t>r</w:t>
      </w:r>
      <w:r w:rsidR="004E0E8E">
        <w:rPr>
          <w:b w:val="0"/>
          <w:sz w:val="24"/>
          <w:szCs w:val="24"/>
        </w:rPr>
        <w:t xml:space="preserve">eference </w:t>
      </w:r>
      <w:r w:rsidR="00C962BB">
        <w:rPr>
          <w:b w:val="0"/>
          <w:sz w:val="24"/>
          <w:szCs w:val="24"/>
        </w:rPr>
        <w:t>g</w:t>
      </w:r>
      <w:r w:rsidR="004E0E8E">
        <w:rPr>
          <w:b w:val="0"/>
          <w:sz w:val="24"/>
          <w:szCs w:val="24"/>
        </w:rPr>
        <w:t>roup</w:t>
      </w:r>
      <w:r w:rsidRPr="00EC479B">
        <w:rPr>
          <w:b w:val="0"/>
          <w:sz w:val="24"/>
          <w:szCs w:val="24"/>
        </w:rPr>
        <w:t xml:space="preserve"> provided </w:t>
      </w:r>
      <w:r w:rsidRPr="005A0DDC">
        <w:rPr>
          <w:b w:val="0"/>
          <w:sz w:val="24"/>
          <w:szCs w:val="24"/>
        </w:rPr>
        <w:t xml:space="preserve">advice on issues raised by stakeholders, </w:t>
      </w:r>
      <w:r>
        <w:rPr>
          <w:b w:val="0"/>
          <w:sz w:val="24"/>
          <w:szCs w:val="24"/>
        </w:rPr>
        <w:t>considered the evidence provided addressing each ToR</w:t>
      </w:r>
      <w:r w:rsidR="00B455F0">
        <w:rPr>
          <w:b w:val="0"/>
          <w:sz w:val="24"/>
          <w:szCs w:val="24"/>
        </w:rPr>
        <w:t>,</w:t>
      </w:r>
      <w:r>
        <w:rPr>
          <w:b w:val="0"/>
          <w:sz w:val="24"/>
          <w:szCs w:val="24"/>
        </w:rPr>
        <w:t xml:space="preserve"> and guided the development of the d</w:t>
      </w:r>
      <w:r w:rsidRPr="00EC479B">
        <w:rPr>
          <w:b w:val="0"/>
          <w:sz w:val="24"/>
          <w:szCs w:val="24"/>
        </w:rPr>
        <w:t xml:space="preserve">raft </w:t>
      </w:r>
      <w:r w:rsidR="00E1182B">
        <w:rPr>
          <w:b w:val="0"/>
          <w:sz w:val="24"/>
          <w:szCs w:val="24"/>
        </w:rPr>
        <w:t>r</w:t>
      </w:r>
      <w:r w:rsidRPr="00EC479B">
        <w:rPr>
          <w:b w:val="0"/>
          <w:sz w:val="24"/>
          <w:szCs w:val="24"/>
        </w:rPr>
        <w:t>eport.</w:t>
      </w:r>
    </w:p>
    <w:p w14:paraId="06339CDE" w14:textId="3C35DCCE" w:rsidR="00D0080E" w:rsidRPr="00EC479B" w:rsidRDefault="00D0080E" w:rsidP="00004FA2">
      <w:pPr>
        <w:pStyle w:val="PBACHeading10"/>
        <w:keepNext w:val="0"/>
        <w:keepLines w:val="0"/>
        <w:numPr>
          <w:ilvl w:val="1"/>
          <w:numId w:val="9"/>
        </w:numPr>
        <w:ind w:left="720" w:hanging="720"/>
        <w:jc w:val="both"/>
        <w:outlineLvl w:val="9"/>
        <w:rPr>
          <w:b w:val="0"/>
          <w:sz w:val="24"/>
          <w:szCs w:val="24"/>
        </w:rPr>
      </w:pPr>
      <w:r w:rsidRPr="00EC479B">
        <w:rPr>
          <w:b w:val="0"/>
          <w:sz w:val="24"/>
          <w:szCs w:val="24"/>
        </w:rPr>
        <w:t>In line with the published P</w:t>
      </w:r>
      <w:r>
        <w:rPr>
          <w:b w:val="0"/>
          <w:sz w:val="24"/>
          <w:szCs w:val="24"/>
        </w:rPr>
        <w:t>MR</w:t>
      </w:r>
      <w:r w:rsidRPr="00EC479B">
        <w:rPr>
          <w:b w:val="0"/>
          <w:sz w:val="24"/>
          <w:szCs w:val="24"/>
        </w:rPr>
        <w:t xml:space="preserve"> </w:t>
      </w:r>
      <w:r w:rsidR="00C74E66">
        <w:rPr>
          <w:b w:val="0"/>
          <w:sz w:val="24"/>
          <w:szCs w:val="24"/>
        </w:rPr>
        <w:t>f</w:t>
      </w:r>
      <w:r w:rsidRPr="00EC479B">
        <w:rPr>
          <w:b w:val="0"/>
          <w:sz w:val="24"/>
          <w:szCs w:val="24"/>
        </w:rPr>
        <w:t xml:space="preserve">ramework, there were </w:t>
      </w:r>
      <w:r w:rsidR="00EF02C3" w:rsidRPr="00EC479B">
        <w:rPr>
          <w:b w:val="0"/>
          <w:sz w:val="24"/>
          <w:szCs w:val="24"/>
        </w:rPr>
        <w:t>several</w:t>
      </w:r>
      <w:r w:rsidRPr="00EC479B">
        <w:rPr>
          <w:b w:val="0"/>
          <w:sz w:val="24"/>
          <w:szCs w:val="24"/>
        </w:rPr>
        <w:t xml:space="preserve"> opportunities for stakeholder consultation including: </w:t>
      </w:r>
    </w:p>
    <w:p w14:paraId="05159B5D" w14:textId="5D901726" w:rsidR="00D0080E" w:rsidRPr="00EC479B" w:rsidRDefault="00A864CC" w:rsidP="00004FA2">
      <w:pPr>
        <w:pStyle w:val="PBACHeading10"/>
        <w:keepNext w:val="0"/>
        <w:keepLines w:val="0"/>
        <w:numPr>
          <w:ilvl w:val="0"/>
          <w:numId w:val="10"/>
        </w:numPr>
        <w:spacing w:after="0"/>
        <w:jc w:val="both"/>
        <w:outlineLvl w:val="9"/>
        <w:rPr>
          <w:b w:val="0"/>
          <w:sz w:val="24"/>
          <w:szCs w:val="24"/>
        </w:rPr>
      </w:pPr>
      <w:r>
        <w:rPr>
          <w:b w:val="0"/>
          <w:sz w:val="24"/>
          <w:szCs w:val="24"/>
        </w:rPr>
        <w:t>t</w:t>
      </w:r>
      <w:r w:rsidR="00D0080E" w:rsidRPr="00EC479B">
        <w:rPr>
          <w:b w:val="0"/>
          <w:sz w:val="24"/>
          <w:szCs w:val="24"/>
        </w:rPr>
        <w:t>o comment on the draft ToR</w:t>
      </w:r>
      <w:r w:rsidR="00D0080E">
        <w:rPr>
          <w:b w:val="0"/>
          <w:sz w:val="24"/>
          <w:szCs w:val="24"/>
        </w:rPr>
        <w:t>s</w:t>
      </w:r>
    </w:p>
    <w:p w14:paraId="28F5E06E" w14:textId="50663CB1" w:rsidR="00D0080E" w:rsidRPr="00EC479B" w:rsidRDefault="00A864CC" w:rsidP="00004FA2">
      <w:pPr>
        <w:pStyle w:val="PBACHeading10"/>
        <w:keepNext w:val="0"/>
        <w:keepLines w:val="0"/>
        <w:numPr>
          <w:ilvl w:val="0"/>
          <w:numId w:val="10"/>
        </w:numPr>
        <w:spacing w:after="0"/>
        <w:jc w:val="both"/>
        <w:outlineLvl w:val="9"/>
        <w:rPr>
          <w:b w:val="0"/>
          <w:sz w:val="24"/>
          <w:szCs w:val="24"/>
        </w:rPr>
      </w:pPr>
      <w:r>
        <w:rPr>
          <w:b w:val="0"/>
          <w:sz w:val="24"/>
          <w:szCs w:val="24"/>
        </w:rPr>
        <w:t>a</w:t>
      </w:r>
      <w:r w:rsidR="00D0080E" w:rsidRPr="00EC479B">
        <w:rPr>
          <w:b w:val="0"/>
          <w:sz w:val="24"/>
          <w:szCs w:val="24"/>
        </w:rPr>
        <w:t xml:space="preserve"> public submission process addressing the Review</w:t>
      </w:r>
      <w:r w:rsidR="00D0080E">
        <w:rPr>
          <w:b w:val="0"/>
          <w:sz w:val="24"/>
          <w:szCs w:val="24"/>
        </w:rPr>
        <w:t xml:space="preserve"> and the final ToRs</w:t>
      </w:r>
    </w:p>
    <w:p w14:paraId="7BAFA4CA" w14:textId="3A9DDC5A" w:rsidR="00D0080E" w:rsidRPr="00EC479B" w:rsidRDefault="00A864CC" w:rsidP="00004FA2">
      <w:pPr>
        <w:pStyle w:val="PBACHeading10"/>
        <w:keepNext w:val="0"/>
        <w:keepLines w:val="0"/>
        <w:numPr>
          <w:ilvl w:val="0"/>
          <w:numId w:val="10"/>
        </w:numPr>
        <w:spacing w:after="0"/>
        <w:jc w:val="both"/>
        <w:outlineLvl w:val="9"/>
        <w:rPr>
          <w:b w:val="0"/>
          <w:sz w:val="24"/>
          <w:szCs w:val="24"/>
        </w:rPr>
      </w:pPr>
      <w:r>
        <w:rPr>
          <w:b w:val="0"/>
          <w:sz w:val="24"/>
          <w:szCs w:val="24"/>
        </w:rPr>
        <w:t>a</w:t>
      </w:r>
      <w:r w:rsidR="00D0080E" w:rsidRPr="00EC479B">
        <w:rPr>
          <w:b w:val="0"/>
          <w:sz w:val="24"/>
          <w:szCs w:val="24"/>
        </w:rPr>
        <w:t xml:space="preserve"> </w:t>
      </w:r>
      <w:r w:rsidR="00172837">
        <w:rPr>
          <w:b w:val="0"/>
          <w:sz w:val="24"/>
          <w:szCs w:val="24"/>
        </w:rPr>
        <w:t>s</w:t>
      </w:r>
      <w:r w:rsidR="00D0080E" w:rsidRPr="00EC479B">
        <w:rPr>
          <w:b w:val="0"/>
          <w:sz w:val="24"/>
          <w:szCs w:val="24"/>
        </w:rPr>
        <w:t xml:space="preserve">takeholder </w:t>
      </w:r>
      <w:r w:rsidR="00172837">
        <w:rPr>
          <w:b w:val="0"/>
          <w:sz w:val="24"/>
          <w:szCs w:val="24"/>
        </w:rPr>
        <w:t>f</w:t>
      </w:r>
      <w:r w:rsidR="00D0080E" w:rsidRPr="00EC479B">
        <w:rPr>
          <w:b w:val="0"/>
          <w:sz w:val="24"/>
          <w:szCs w:val="24"/>
        </w:rPr>
        <w:t xml:space="preserve">orum held </w:t>
      </w:r>
      <w:r w:rsidR="00D0080E">
        <w:rPr>
          <w:b w:val="0"/>
          <w:sz w:val="24"/>
          <w:szCs w:val="24"/>
        </w:rPr>
        <w:t>via webinar on 3 December 2020</w:t>
      </w:r>
    </w:p>
    <w:p w14:paraId="1C51C881" w14:textId="4624D55C" w:rsidR="00D0080E" w:rsidRDefault="00A864CC" w:rsidP="00A864CC">
      <w:pPr>
        <w:pStyle w:val="PBACHeading10"/>
        <w:keepNext w:val="0"/>
        <w:keepLines w:val="0"/>
        <w:numPr>
          <w:ilvl w:val="0"/>
          <w:numId w:val="10"/>
        </w:numPr>
        <w:jc w:val="both"/>
        <w:outlineLvl w:val="9"/>
        <w:rPr>
          <w:b w:val="0"/>
          <w:sz w:val="24"/>
          <w:szCs w:val="24"/>
        </w:rPr>
      </w:pPr>
      <w:r>
        <w:rPr>
          <w:b w:val="0"/>
          <w:sz w:val="24"/>
          <w:szCs w:val="24"/>
        </w:rPr>
        <w:t>t</w:t>
      </w:r>
      <w:r w:rsidR="00D0080E">
        <w:rPr>
          <w:b w:val="0"/>
          <w:sz w:val="24"/>
          <w:szCs w:val="24"/>
        </w:rPr>
        <w:t xml:space="preserve">o comment on the draft </w:t>
      </w:r>
      <w:r w:rsidR="00E1182B">
        <w:rPr>
          <w:b w:val="0"/>
          <w:sz w:val="24"/>
          <w:szCs w:val="24"/>
        </w:rPr>
        <w:t>r</w:t>
      </w:r>
      <w:r w:rsidR="00D0080E">
        <w:rPr>
          <w:b w:val="0"/>
          <w:sz w:val="24"/>
          <w:szCs w:val="24"/>
        </w:rPr>
        <w:t>eport.</w:t>
      </w:r>
    </w:p>
    <w:p w14:paraId="328041AE" w14:textId="3EB88891" w:rsidR="00660979" w:rsidRPr="00660979" w:rsidRDefault="00660979" w:rsidP="00004FA2">
      <w:pPr>
        <w:numPr>
          <w:ilvl w:val="1"/>
          <w:numId w:val="9"/>
        </w:numPr>
        <w:overflowPunct w:val="0"/>
        <w:autoSpaceDE w:val="0"/>
        <w:autoSpaceDN w:val="0"/>
        <w:adjustRightInd w:val="0"/>
        <w:spacing w:after="120"/>
        <w:ind w:left="720" w:hanging="720"/>
        <w:jc w:val="both"/>
        <w:textAlignment w:val="baseline"/>
        <w:rPr>
          <w:rFonts w:ascii="Calibri" w:hAnsi="Calibri" w:cs="Calibri"/>
          <w:snapToGrid w:val="0"/>
        </w:rPr>
      </w:pPr>
      <w:r w:rsidRPr="00660979">
        <w:rPr>
          <w:rFonts w:ascii="Calibri" w:hAnsi="Calibri" w:cs="Calibri"/>
          <w:snapToGrid w:val="0"/>
        </w:rPr>
        <w:lastRenderedPageBreak/>
        <w:t xml:space="preserve">Stakeholder comments are published </w:t>
      </w:r>
      <w:r w:rsidR="000C5D22">
        <w:rPr>
          <w:rFonts w:ascii="Calibri" w:hAnsi="Calibri" w:cs="Calibri"/>
          <w:snapToGrid w:val="0"/>
        </w:rPr>
        <w:t xml:space="preserve">in full </w:t>
      </w:r>
      <w:r w:rsidRPr="00660979">
        <w:rPr>
          <w:rFonts w:ascii="Calibri" w:hAnsi="Calibri" w:cs="Calibri"/>
          <w:snapToGrid w:val="0"/>
        </w:rPr>
        <w:t xml:space="preserve">on the </w:t>
      </w:r>
      <w:hyperlink r:id="rId9" w:history="1">
        <w:r w:rsidRPr="00660979">
          <w:rPr>
            <w:rFonts w:ascii="Calibri" w:hAnsi="Calibri" w:cs="Calibri"/>
            <w:snapToGrid w:val="0"/>
            <w:color w:val="0000FF"/>
            <w:u w:val="single"/>
          </w:rPr>
          <w:t>Review's public consultation page</w:t>
        </w:r>
      </w:hyperlink>
      <w:r w:rsidRPr="00660979">
        <w:rPr>
          <w:rFonts w:ascii="Calibri" w:hAnsi="Calibri" w:cs="Calibri"/>
          <w:snapToGrid w:val="0"/>
        </w:rPr>
        <w:t xml:space="preserve">. Stakeholder feedback is also summarised in the </w:t>
      </w:r>
      <w:r w:rsidR="00A864CC">
        <w:rPr>
          <w:rFonts w:ascii="Calibri" w:hAnsi="Calibri" w:cs="Calibri"/>
          <w:snapToGrid w:val="0"/>
        </w:rPr>
        <w:t>final</w:t>
      </w:r>
      <w:r w:rsidRPr="00660979">
        <w:rPr>
          <w:rFonts w:ascii="Calibri" w:hAnsi="Calibri" w:cs="Calibri"/>
          <w:snapToGrid w:val="0"/>
        </w:rPr>
        <w:t xml:space="preserve"> </w:t>
      </w:r>
      <w:r w:rsidR="00DB3EE8">
        <w:rPr>
          <w:rFonts w:ascii="Calibri" w:hAnsi="Calibri" w:cs="Calibri"/>
          <w:snapToGrid w:val="0"/>
        </w:rPr>
        <w:t xml:space="preserve">Review </w:t>
      </w:r>
      <w:r w:rsidR="00E1182B">
        <w:rPr>
          <w:rFonts w:ascii="Calibri" w:hAnsi="Calibri" w:cs="Calibri"/>
          <w:snapToGrid w:val="0"/>
        </w:rPr>
        <w:t>r</w:t>
      </w:r>
      <w:r w:rsidRPr="00660979">
        <w:rPr>
          <w:rFonts w:ascii="Calibri" w:hAnsi="Calibri" w:cs="Calibri"/>
          <w:snapToGrid w:val="0"/>
        </w:rPr>
        <w:t>eport as follows:</w:t>
      </w:r>
    </w:p>
    <w:p w14:paraId="7D646CE6" w14:textId="651A3DF1" w:rsidR="00660979" w:rsidRPr="00B836B5" w:rsidRDefault="00660979" w:rsidP="00676D8C">
      <w:pPr>
        <w:pStyle w:val="PBACHeading10"/>
        <w:keepNext w:val="0"/>
        <w:keepLines w:val="0"/>
        <w:numPr>
          <w:ilvl w:val="0"/>
          <w:numId w:val="10"/>
        </w:numPr>
        <w:spacing w:after="0"/>
        <w:jc w:val="both"/>
        <w:outlineLvl w:val="9"/>
        <w:rPr>
          <w:b w:val="0"/>
          <w:sz w:val="24"/>
          <w:szCs w:val="24"/>
        </w:rPr>
      </w:pPr>
      <w:r w:rsidRPr="00B836B5">
        <w:rPr>
          <w:b w:val="0"/>
          <w:sz w:val="24"/>
          <w:szCs w:val="24"/>
        </w:rPr>
        <w:t xml:space="preserve">Report </w:t>
      </w:r>
      <w:r w:rsidR="00D123C6" w:rsidRPr="00B836B5">
        <w:rPr>
          <w:b w:val="0"/>
          <w:sz w:val="24"/>
          <w:szCs w:val="24"/>
        </w:rPr>
        <w:t>s</w:t>
      </w:r>
      <w:r w:rsidRPr="00B836B5">
        <w:rPr>
          <w:b w:val="0"/>
          <w:sz w:val="24"/>
          <w:szCs w:val="24"/>
        </w:rPr>
        <w:t>ummary – pages 1</w:t>
      </w:r>
      <w:r w:rsidR="00123526" w:rsidRPr="00B836B5">
        <w:rPr>
          <w:b w:val="0"/>
          <w:sz w:val="24"/>
          <w:szCs w:val="24"/>
        </w:rPr>
        <w:t>1</w:t>
      </w:r>
      <w:r w:rsidRPr="00B836B5">
        <w:rPr>
          <w:b w:val="0"/>
          <w:sz w:val="24"/>
          <w:szCs w:val="24"/>
        </w:rPr>
        <w:t>, 1</w:t>
      </w:r>
      <w:r w:rsidR="00123526" w:rsidRPr="00B836B5">
        <w:rPr>
          <w:b w:val="0"/>
          <w:sz w:val="24"/>
          <w:szCs w:val="24"/>
        </w:rPr>
        <w:t>4</w:t>
      </w:r>
      <w:r w:rsidR="002C646B" w:rsidRPr="00B836B5">
        <w:rPr>
          <w:b w:val="0"/>
          <w:sz w:val="24"/>
          <w:szCs w:val="24"/>
        </w:rPr>
        <w:t xml:space="preserve">, </w:t>
      </w:r>
      <w:r w:rsidRPr="00B836B5">
        <w:rPr>
          <w:b w:val="0"/>
          <w:sz w:val="24"/>
          <w:szCs w:val="24"/>
        </w:rPr>
        <w:t>3</w:t>
      </w:r>
      <w:r w:rsidR="00123526" w:rsidRPr="00B836B5">
        <w:rPr>
          <w:b w:val="0"/>
          <w:sz w:val="24"/>
          <w:szCs w:val="24"/>
        </w:rPr>
        <w:t>3</w:t>
      </w:r>
      <w:r w:rsidR="00B836B5" w:rsidRPr="00B836B5">
        <w:rPr>
          <w:b w:val="0"/>
          <w:sz w:val="24"/>
          <w:szCs w:val="24"/>
        </w:rPr>
        <w:t>-34</w:t>
      </w:r>
      <w:r w:rsidR="002C646B" w:rsidRPr="00B836B5">
        <w:rPr>
          <w:b w:val="0"/>
          <w:sz w:val="24"/>
          <w:szCs w:val="24"/>
        </w:rPr>
        <w:t xml:space="preserve"> and 36</w:t>
      </w:r>
      <w:r w:rsidR="00B836B5" w:rsidRPr="00B836B5">
        <w:rPr>
          <w:b w:val="0"/>
          <w:sz w:val="24"/>
          <w:szCs w:val="24"/>
        </w:rPr>
        <w:t>-37</w:t>
      </w:r>
    </w:p>
    <w:p w14:paraId="10B2B8B5" w14:textId="4EF3A503" w:rsidR="00660979" w:rsidRPr="00B836B5" w:rsidRDefault="00660979" w:rsidP="00676D8C">
      <w:pPr>
        <w:pStyle w:val="PBACHeading10"/>
        <w:keepNext w:val="0"/>
        <w:keepLines w:val="0"/>
        <w:numPr>
          <w:ilvl w:val="0"/>
          <w:numId w:val="10"/>
        </w:numPr>
        <w:spacing w:after="0"/>
        <w:jc w:val="both"/>
        <w:outlineLvl w:val="9"/>
        <w:rPr>
          <w:b w:val="0"/>
          <w:sz w:val="24"/>
          <w:szCs w:val="24"/>
        </w:rPr>
      </w:pPr>
      <w:r w:rsidRPr="00B836B5">
        <w:rPr>
          <w:b w:val="0"/>
          <w:sz w:val="24"/>
          <w:szCs w:val="24"/>
        </w:rPr>
        <w:t xml:space="preserve">Background </w:t>
      </w:r>
      <w:r w:rsidR="00B13BFC" w:rsidRPr="00B836B5">
        <w:rPr>
          <w:b w:val="0"/>
          <w:sz w:val="24"/>
          <w:szCs w:val="24"/>
        </w:rPr>
        <w:t>r</w:t>
      </w:r>
      <w:r w:rsidRPr="00B836B5">
        <w:rPr>
          <w:b w:val="0"/>
          <w:sz w:val="24"/>
          <w:szCs w:val="24"/>
        </w:rPr>
        <w:t>eport – pages 8-9</w:t>
      </w:r>
    </w:p>
    <w:p w14:paraId="3364A2B0" w14:textId="31282A44" w:rsidR="00660979" w:rsidRPr="00B836B5" w:rsidRDefault="00660979" w:rsidP="00676D8C">
      <w:pPr>
        <w:pStyle w:val="PBACHeading10"/>
        <w:keepNext w:val="0"/>
        <w:keepLines w:val="0"/>
        <w:numPr>
          <w:ilvl w:val="0"/>
          <w:numId w:val="10"/>
        </w:numPr>
        <w:spacing w:after="0"/>
        <w:jc w:val="both"/>
        <w:outlineLvl w:val="9"/>
        <w:rPr>
          <w:b w:val="0"/>
          <w:sz w:val="24"/>
          <w:szCs w:val="24"/>
        </w:rPr>
      </w:pPr>
      <w:r w:rsidRPr="00B836B5">
        <w:rPr>
          <w:b w:val="0"/>
          <w:sz w:val="24"/>
          <w:szCs w:val="24"/>
        </w:rPr>
        <w:t xml:space="preserve">ToR 1 </w:t>
      </w:r>
      <w:r w:rsidR="00B13BFC" w:rsidRPr="00B836B5">
        <w:rPr>
          <w:b w:val="0"/>
          <w:sz w:val="24"/>
          <w:szCs w:val="24"/>
        </w:rPr>
        <w:t>r</w:t>
      </w:r>
      <w:r w:rsidRPr="00B836B5">
        <w:rPr>
          <w:b w:val="0"/>
          <w:sz w:val="24"/>
          <w:szCs w:val="24"/>
        </w:rPr>
        <w:t>eport – page 7</w:t>
      </w:r>
    </w:p>
    <w:p w14:paraId="36C216D9" w14:textId="685FEDE6" w:rsidR="00660979" w:rsidRPr="00B836B5" w:rsidRDefault="00660979" w:rsidP="00676D8C">
      <w:pPr>
        <w:pStyle w:val="PBACHeading10"/>
        <w:keepNext w:val="0"/>
        <w:keepLines w:val="0"/>
        <w:numPr>
          <w:ilvl w:val="0"/>
          <w:numId w:val="10"/>
        </w:numPr>
        <w:spacing w:after="0"/>
        <w:jc w:val="both"/>
        <w:outlineLvl w:val="9"/>
        <w:rPr>
          <w:b w:val="0"/>
          <w:sz w:val="24"/>
          <w:szCs w:val="24"/>
        </w:rPr>
      </w:pPr>
      <w:r w:rsidRPr="00B836B5">
        <w:rPr>
          <w:b w:val="0"/>
          <w:sz w:val="24"/>
          <w:szCs w:val="24"/>
        </w:rPr>
        <w:t xml:space="preserve">ToR 2 </w:t>
      </w:r>
      <w:r w:rsidR="00B13BFC" w:rsidRPr="00B836B5">
        <w:rPr>
          <w:b w:val="0"/>
          <w:sz w:val="24"/>
          <w:szCs w:val="24"/>
        </w:rPr>
        <w:t>r</w:t>
      </w:r>
      <w:r w:rsidRPr="00B836B5">
        <w:rPr>
          <w:b w:val="0"/>
          <w:sz w:val="24"/>
          <w:szCs w:val="24"/>
        </w:rPr>
        <w:t>eport – pages 6-7</w:t>
      </w:r>
    </w:p>
    <w:p w14:paraId="6CCFBE9E" w14:textId="3EC5E4DB" w:rsidR="00660979" w:rsidRPr="00B836B5" w:rsidRDefault="00660979" w:rsidP="00DB3EE8">
      <w:pPr>
        <w:pStyle w:val="PBACHeading10"/>
        <w:keepNext w:val="0"/>
        <w:keepLines w:val="0"/>
        <w:numPr>
          <w:ilvl w:val="0"/>
          <w:numId w:val="10"/>
        </w:numPr>
        <w:spacing w:after="0"/>
        <w:jc w:val="both"/>
        <w:outlineLvl w:val="9"/>
        <w:rPr>
          <w:b w:val="0"/>
          <w:sz w:val="24"/>
          <w:szCs w:val="24"/>
        </w:rPr>
      </w:pPr>
      <w:r w:rsidRPr="00B836B5">
        <w:rPr>
          <w:b w:val="0"/>
          <w:sz w:val="24"/>
          <w:szCs w:val="24"/>
        </w:rPr>
        <w:t xml:space="preserve">ToR 3 </w:t>
      </w:r>
      <w:r w:rsidR="00B13BFC" w:rsidRPr="00B836B5">
        <w:rPr>
          <w:b w:val="0"/>
          <w:sz w:val="24"/>
          <w:szCs w:val="24"/>
        </w:rPr>
        <w:t>r</w:t>
      </w:r>
      <w:r w:rsidRPr="00B836B5">
        <w:rPr>
          <w:b w:val="0"/>
          <w:sz w:val="24"/>
          <w:szCs w:val="24"/>
        </w:rPr>
        <w:t>eport – pages 2</w:t>
      </w:r>
      <w:r w:rsidR="00B836B5" w:rsidRPr="00B836B5">
        <w:rPr>
          <w:b w:val="0"/>
          <w:sz w:val="24"/>
          <w:szCs w:val="24"/>
        </w:rPr>
        <w:t>4</w:t>
      </w:r>
      <w:r w:rsidRPr="00B836B5">
        <w:rPr>
          <w:b w:val="0"/>
          <w:sz w:val="24"/>
          <w:szCs w:val="24"/>
        </w:rPr>
        <w:t>-2</w:t>
      </w:r>
      <w:r w:rsidR="00B836B5" w:rsidRPr="00B836B5">
        <w:rPr>
          <w:b w:val="0"/>
          <w:sz w:val="24"/>
          <w:szCs w:val="24"/>
        </w:rPr>
        <w:t>5</w:t>
      </w:r>
    </w:p>
    <w:p w14:paraId="7BCC10C6" w14:textId="7FF46770" w:rsidR="00B13BFC" w:rsidRPr="00B836B5" w:rsidRDefault="00B13BFC" w:rsidP="00DB3EE8">
      <w:pPr>
        <w:pStyle w:val="PBACHeading10"/>
        <w:keepNext w:val="0"/>
        <w:keepLines w:val="0"/>
        <w:numPr>
          <w:ilvl w:val="0"/>
          <w:numId w:val="10"/>
        </w:numPr>
        <w:jc w:val="both"/>
        <w:outlineLvl w:val="9"/>
        <w:rPr>
          <w:b w:val="0"/>
          <w:sz w:val="24"/>
          <w:szCs w:val="24"/>
        </w:rPr>
      </w:pPr>
      <w:r w:rsidRPr="00B836B5">
        <w:rPr>
          <w:b w:val="0"/>
          <w:sz w:val="24"/>
          <w:szCs w:val="24"/>
        </w:rPr>
        <w:t>ToR 4 report – page 16</w:t>
      </w:r>
      <w:r w:rsidR="00D123C6" w:rsidRPr="00B836B5">
        <w:rPr>
          <w:b w:val="0"/>
          <w:sz w:val="24"/>
          <w:szCs w:val="24"/>
        </w:rPr>
        <w:t>.</w:t>
      </w:r>
    </w:p>
    <w:p w14:paraId="0DF2B273" w14:textId="249589D1" w:rsidR="00D0080E" w:rsidRDefault="00D0080E" w:rsidP="00004FA2">
      <w:pPr>
        <w:pStyle w:val="PBACHeading10"/>
        <w:keepNext w:val="0"/>
        <w:keepLines w:val="0"/>
        <w:numPr>
          <w:ilvl w:val="1"/>
          <w:numId w:val="9"/>
        </w:numPr>
        <w:ind w:left="720" w:hanging="720"/>
        <w:jc w:val="both"/>
        <w:outlineLvl w:val="9"/>
        <w:rPr>
          <w:b w:val="0"/>
          <w:sz w:val="24"/>
          <w:szCs w:val="24"/>
        </w:rPr>
      </w:pPr>
      <w:r>
        <w:rPr>
          <w:b w:val="0"/>
          <w:sz w:val="24"/>
          <w:szCs w:val="24"/>
        </w:rPr>
        <w:t xml:space="preserve">The following areas of the department were consulted during the formulation of the Review’s draft ToRs and on the draft </w:t>
      </w:r>
      <w:r w:rsidR="00750C42">
        <w:rPr>
          <w:b w:val="0"/>
          <w:sz w:val="24"/>
          <w:szCs w:val="24"/>
        </w:rPr>
        <w:t>r</w:t>
      </w:r>
      <w:r>
        <w:rPr>
          <w:b w:val="0"/>
          <w:sz w:val="24"/>
          <w:szCs w:val="24"/>
        </w:rPr>
        <w:t>eport:</w:t>
      </w:r>
    </w:p>
    <w:p w14:paraId="32B4A731" w14:textId="63049382" w:rsidR="00D0080E" w:rsidRDefault="00D0080E" w:rsidP="00DB3EE8">
      <w:pPr>
        <w:pStyle w:val="PBACHeading10"/>
        <w:keepNext w:val="0"/>
        <w:keepLines w:val="0"/>
        <w:numPr>
          <w:ilvl w:val="0"/>
          <w:numId w:val="10"/>
        </w:numPr>
        <w:spacing w:after="0"/>
        <w:ind w:left="1077" w:hanging="357"/>
        <w:jc w:val="both"/>
        <w:outlineLvl w:val="9"/>
        <w:rPr>
          <w:b w:val="0"/>
          <w:sz w:val="24"/>
          <w:szCs w:val="24"/>
        </w:rPr>
      </w:pPr>
      <w:r>
        <w:rPr>
          <w:b w:val="0"/>
          <w:sz w:val="24"/>
          <w:szCs w:val="24"/>
        </w:rPr>
        <w:t xml:space="preserve">Tobacco Control Section - </w:t>
      </w:r>
      <w:r w:rsidRPr="007B2D4B">
        <w:rPr>
          <w:b w:val="0"/>
          <w:sz w:val="24"/>
          <w:szCs w:val="24"/>
        </w:rPr>
        <w:t>Alcohol, Tobacco and Other Drugs Branch</w:t>
      </w:r>
    </w:p>
    <w:p w14:paraId="577ECC3B" w14:textId="0368988C" w:rsidR="00D0080E" w:rsidRDefault="00D0080E" w:rsidP="00DB3EE8">
      <w:pPr>
        <w:pStyle w:val="PBACHeading10"/>
        <w:keepNext w:val="0"/>
        <w:keepLines w:val="0"/>
        <w:numPr>
          <w:ilvl w:val="0"/>
          <w:numId w:val="10"/>
        </w:numPr>
        <w:spacing w:after="0"/>
        <w:jc w:val="both"/>
        <w:outlineLvl w:val="9"/>
        <w:rPr>
          <w:b w:val="0"/>
          <w:sz w:val="24"/>
          <w:szCs w:val="24"/>
        </w:rPr>
      </w:pPr>
      <w:r>
        <w:rPr>
          <w:b w:val="0"/>
          <w:sz w:val="24"/>
          <w:szCs w:val="24"/>
        </w:rPr>
        <w:t>Tackling Indigenous Smoking P</w:t>
      </w:r>
      <w:r w:rsidRPr="007B2D4B">
        <w:rPr>
          <w:b w:val="0"/>
          <w:sz w:val="24"/>
          <w:szCs w:val="24"/>
        </w:rPr>
        <w:t>rogram</w:t>
      </w:r>
      <w:r>
        <w:rPr>
          <w:b w:val="0"/>
          <w:sz w:val="24"/>
          <w:szCs w:val="24"/>
        </w:rPr>
        <w:t xml:space="preserve">: </w:t>
      </w:r>
      <w:r w:rsidRPr="007B2D4B">
        <w:rPr>
          <w:b w:val="0"/>
          <w:sz w:val="24"/>
          <w:szCs w:val="24"/>
        </w:rPr>
        <w:t>Child and Family Health Section</w:t>
      </w:r>
      <w:r>
        <w:t xml:space="preserve"> - </w:t>
      </w:r>
      <w:r w:rsidRPr="007B2D4B">
        <w:rPr>
          <w:b w:val="0"/>
          <w:sz w:val="24"/>
          <w:szCs w:val="24"/>
        </w:rPr>
        <w:t>Health Plan, Earl</w:t>
      </w:r>
      <w:r>
        <w:rPr>
          <w:b w:val="0"/>
          <w:sz w:val="24"/>
          <w:szCs w:val="24"/>
        </w:rPr>
        <w:t>y Years and Engagement Branch</w:t>
      </w:r>
    </w:p>
    <w:p w14:paraId="366DCD93" w14:textId="607EAC05" w:rsidR="00D0080E" w:rsidRDefault="00D0080E" w:rsidP="00DB3EE8">
      <w:pPr>
        <w:pStyle w:val="PBACHeading10"/>
        <w:keepNext w:val="0"/>
        <w:keepLines w:val="0"/>
        <w:numPr>
          <w:ilvl w:val="0"/>
          <w:numId w:val="10"/>
        </w:numPr>
        <w:spacing w:after="0"/>
        <w:jc w:val="both"/>
        <w:outlineLvl w:val="9"/>
        <w:rPr>
          <w:b w:val="0"/>
          <w:sz w:val="24"/>
          <w:szCs w:val="24"/>
        </w:rPr>
      </w:pPr>
      <w:r w:rsidRPr="007B2D4B">
        <w:rPr>
          <w:b w:val="0"/>
          <w:sz w:val="24"/>
          <w:szCs w:val="24"/>
        </w:rPr>
        <w:t>Supply Programs Section – Pharmacy Branch</w:t>
      </w:r>
    </w:p>
    <w:p w14:paraId="2D744796" w14:textId="009B36C0" w:rsidR="00D0080E" w:rsidRDefault="00D123C6" w:rsidP="00DB3EE8">
      <w:pPr>
        <w:pStyle w:val="PBACHeading10"/>
        <w:keepNext w:val="0"/>
        <w:keepLines w:val="0"/>
        <w:numPr>
          <w:ilvl w:val="0"/>
          <w:numId w:val="10"/>
        </w:numPr>
        <w:ind w:left="1077" w:hanging="357"/>
        <w:jc w:val="both"/>
        <w:outlineLvl w:val="9"/>
        <w:rPr>
          <w:b w:val="0"/>
          <w:sz w:val="24"/>
          <w:szCs w:val="24"/>
        </w:rPr>
      </w:pPr>
      <w:r>
        <w:rPr>
          <w:b w:val="0"/>
          <w:sz w:val="24"/>
          <w:szCs w:val="24"/>
        </w:rPr>
        <w:t>t</w:t>
      </w:r>
      <w:r w:rsidR="00D0080E">
        <w:rPr>
          <w:b w:val="0"/>
          <w:sz w:val="24"/>
          <w:szCs w:val="24"/>
        </w:rPr>
        <w:t>he TGA</w:t>
      </w:r>
      <w:r w:rsidR="00DB3EE8">
        <w:rPr>
          <w:b w:val="0"/>
          <w:sz w:val="24"/>
          <w:szCs w:val="24"/>
        </w:rPr>
        <w:t>.</w:t>
      </w:r>
    </w:p>
    <w:p w14:paraId="60EB0E65" w14:textId="71E6F0DF" w:rsidR="00D0080E" w:rsidRPr="00347725" w:rsidRDefault="00D0080E" w:rsidP="00004FA2">
      <w:pPr>
        <w:pStyle w:val="PBACHeading10"/>
        <w:keepNext w:val="0"/>
        <w:keepLines w:val="0"/>
        <w:numPr>
          <w:ilvl w:val="1"/>
          <w:numId w:val="9"/>
        </w:numPr>
        <w:ind w:left="720" w:hanging="720"/>
        <w:jc w:val="both"/>
        <w:outlineLvl w:val="9"/>
        <w:rPr>
          <w:b w:val="0"/>
          <w:sz w:val="24"/>
          <w:szCs w:val="24"/>
        </w:rPr>
      </w:pPr>
      <w:r w:rsidRPr="00347725">
        <w:rPr>
          <w:b w:val="0"/>
          <w:sz w:val="24"/>
          <w:szCs w:val="24"/>
        </w:rPr>
        <w:t>In June 2021, the</w:t>
      </w:r>
      <w:r>
        <w:rPr>
          <w:b w:val="0"/>
          <w:sz w:val="24"/>
          <w:szCs w:val="24"/>
        </w:rPr>
        <w:t xml:space="preserve"> DUSC and ESC </w:t>
      </w:r>
      <w:r w:rsidRPr="00347725">
        <w:rPr>
          <w:b w:val="0"/>
          <w:sz w:val="24"/>
          <w:szCs w:val="24"/>
        </w:rPr>
        <w:t xml:space="preserve">considered the PMR of medicines for smoking cessation </w:t>
      </w:r>
      <w:r w:rsidR="00D123C6">
        <w:rPr>
          <w:b w:val="0"/>
          <w:sz w:val="24"/>
          <w:szCs w:val="24"/>
        </w:rPr>
        <w:t xml:space="preserve">draft </w:t>
      </w:r>
      <w:r w:rsidR="00750C42">
        <w:rPr>
          <w:b w:val="0"/>
          <w:sz w:val="24"/>
          <w:szCs w:val="24"/>
        </w:rPr>
        <w:t>r</w:t>
      </w:r>
      <w:r w:rsidRPr="00347725">
        <w:rPr>
          <w:b w:val="0"/>
          <w:sz w:val="24"/>
          <w:szCs w:val="24"/>
        </w:rPr>
        <w:t>eport</w:t>
      </w:r>
      <w:r w:rsidR="00886C8A">
        <w:rPr>
          <w:b w:val="0"/>
          <w:sz w:val="24"/>
          <w:szCs w:val="24"/>
        </w:rPr>
        <w:t xml:space="preserve"> </w:t>
      </w:r>
      <w:r w:rsidR="00110ED9">
        <w:rPr>
          <w:b w:val="0"/>
          <w:sz w:val="24"/>
          <w:szCs w:val="24"/>
        </w:rPr>
        <w:t>including the</w:t>
      </w:r>
      <w:r w:rsidRPr="00347725">
        <w:rPr>
          <w:b w:val="0"/>
          <w:sz w:val="24"/>
          <w:szCs w:val="24"/>
        </w:rPr>
        <w:t xml:space="preserve"> key findings and the </w:t>
      </w:r>
      <w:r w:rsidR="00D76DFD">
        <w:rPr>
          <w:b w:val="0"/>
          <w:sz w:val="24"/>
          <w:szCs w:val="24"/>
        </w:rPr>
        <w:t>‘</w:t>
      </w:r>
      <w:r w:rsidRPr="00347725">
        <w:rPr>
          <w:b w:val="0"/>
          <w:sz w:val="24"/>
          <w:szCs w:val="24"/>
        </w:rPr>
        <w:t>options</w:t>
      </w:r>
      <w:r w:rsidR="00D76DFD">
        <w:rPr>
          <w:b w:val="0"/>
          <w:sz w:val="24"/>
          <w:szCs w:val="24"/>
        </w:rPr>
        <w:t>’</w:t>
      </w:r>
      <w:r w:rsidRPr="00347725">
        <w:rPr>
          <w:b w:val="0"/>
          <w:sz w:val="24"/>
          <w:szCs w:val="24"/>
        </w:rPr>
        <w:t xml:space="preserve"> proposed by the </w:t>
      </w:r>
      <w:r w:rsidR="00C962BB">
        <w:rPr>
          <w:b w:val="0"/>
          <w:sz w:val="24"/>
          <w:szCs w:val="24"/>
        </w:rPr>
        <w:t>r</w:t>
      </w:r>
      <w:r w:rsidR="004E0E8E">
        <w:rPr>
          <w:b w:val="0"/>
          <w:sz w:val="24"/>
          <w:szCs w:val="24"/>
        </w:rPr>
        <w:t xml:space="preserve">eference </w:t>
      </w:r>
      <w:r w:rsidR="00C962BB">
        <w:rPr>
          <w:b w:val="0"/>
          <w:sz w:val="24"/>
          <w:szCs w:val="24"/>
        </w:rPr>
        <w:t>g</w:t>
      </w:r>
      <w:r w:rsidR="004E0E8E">
        <w:rPr>
          <w:b w:val="0"/>
          <w:sz w:val="24"/>
          <w:szCs w:val="24"/>
        </w:rPr>
        <w:t>roup</w:t>
      </w:r>
      <w:r w:rsidRPr="00347725">
        <w:rPr>
          <w:b w:val="0"/>
          <w:sz w:val="24"/>
          <w:szCs w:val="24"/>
        </w:rPr>
        <w:t xml:space="preserve">. In addition, the ESC was asked to consider if a </w:t>
      </w:r>
      <w:r w:rsidR="00D123C6">
        <w:rPr>
          <w:b w:val="0"/>
          <w:sz w:val="24"/>
          <w:szCs w:val="24"/>
        </w:rPr>
        <w:t>cost-effectiveness review (</w:t>
      </w:r>
      <w:r w:rsidRPr="00347725">
        <w:rPr>
          <w:b w:val="0"/>
          <w:sz w:val="24"/>
          <w:szCs w:val="24"/>
        </w:rPr>
        <w:t>CER</w:t>
      </w:r>
      <w:r w:rsidR="00D123C6">
        <w:rPr>
          <w:b w:val="0"/>
          <w:sz w:val="24"/>
          <w:szCs w:val="24"/>
        </w:rPr>
        <w:t>)</w:t>
      </w:r>
      <w:r w:rsidRPr="00347725">
        <w:rPr>
          <w:b w:val="0"/>
          <w:sz w:val="24"/>
          <w:szCs w:val="24"/>
        </w:rPr>
        <w:t xml:space="preserve"> of medicines for smoking cessation should be progressed under ToR 4 of the PMR and if considered necessary, advise on the approach to be undertaken and potential medicine comparisons to be evaluated.</w:t>
      </w:r>
    </w:p>
    <w:p w14:paraId="34942EC8" w14:textId="77777777" w:rsidR="00D0080E" w:rsidRPr="00864085" w:rsidRDefault="00D0080E" w:rsidP="00004FA2">
      <w:pPr>
        <w:pStyle w:val="PBACHeading10"/>
        <w:keepNext w:val="0"/>
        <w:keepLines w:val="0"/>
        <w:numPr>
          <w:ilvl w:val="1"/>
          <w:numId w:val="9"/>
        </w:numPr>
        <w:ind w:left="720" w:hanging="720"/>
        <w:jc w:val="both"/>
        <w:outlineLvl w:val="9"/>
        <w:rPr>
          <w:b w:val="0"/>
          <w:sz w:val="24"/>
          <w:szCs w:val="24"/>
        </w:rPr>
      </w:pPr>
      <w:r>
        <w:rPr>
          <w:b w:val="0"/>
          <w:sz w:val="24"/>
          <w:szCs w:val="24"/>
        </w:rPr>
        <w:t xml:space="preserve">The </w:t>
      </w:r>
      <w:r w:rsidRPr="00347725">
        <w:rPr>
          <w:b w:val="0"/>
          <w:sz w:val="24"/>
          <w:szCs w:val="24"/>
        </w:rPr>
        <w:t>ESC provided the following advice on a potential future CER under</w:t>
      </w:r>
      <w:r>
        <w:rPr>
          <w:b w:val="0"/>
          <w:sz w:val="24"/>
          <w:szCs w:val="24"/>
        </w:rPr>
        <w:t xml:space="preserve"> ToR</w:t>
      </w:r>
      <w:r w:rsidRPr="00347725">
        <w:rPr>
          <w:b w:val="0"/>
          <w:sz w:val="24"/>
          <w:szCs w:val="24"/>
        </w:rPr>
        <w:t xml:space="preserve"> 4 of the PMR:</w:t>
      </w:r>
    </w:p>
    <w:p w14:paraId="33D36C53" w14:textId="470760E2" w:rsidR="00D0080E" w:rsidRPr="00DB3EE8" w:rsidRDefault="00D0080E" w:rsidP="00DB3EE8">
      <w:pPr>
        <w:pStyle w:val="PBACHeading10"/>
        <w:keepNext w:val="0"/>
        <w:keepLines w:val="0"/>
        <w:numPr>
          <w:ilvl w:val="0"/>
          <w:numId w:val="10"/>
        </w:numPr>
        <w:spacing w:after="0"/>
        <w:ind w:left="1077" w:hanging="357"/>
        <w:jc w:val="both"/>
        <w:outlineLvl w:val="9"/>
        <w:rPr>
          <w:rFonts w:ascii="Calibri" w:hAnsi="Calibri"/>
          <w:b w:val="0"/>
          <w:bCs/>
          <w:iCs/>
          <w:sz w:val="24"/>
          <w:szCs w:val="24"/>
        </w:rPr>
      </w:pPr>
      <w:r w:rsidRPr="00DB3EE8">
        <w:rPr>
          <w:rFonts w:ascii="Calibri" w:hAnsi="Calibri"/>
          <w:b w:val="0"/>
          <w:bCs/>
          <w:iCs/>
          <w:sz w:val="24"/>
          <w:szCs w:val="24"/>
        </w:rPr>
        <w:t xml:space="preserve">In considering options 2 and 3, the ESC advised that a cost-effectiveness analysis of </w:t>
      </w:r>
      <w:r w:rsidRPr="00DB3EE8">
        <w:rPr>
          <w:b w:val="0"/>
          <w:bCs/>
          <w:sz w:val="24"/>
          <w:szCs w:val="24"/>
        </w:rPr>
        <w:t>combination</w:t>
      </w:r>
      <w:r w:rsidRPr="00DB3EE8">
        <w:rPr>
          <w:rFonts w:ascii="Calibri" w:hAnsi="Calibri"/>
          <w:b w:val="0"/>
          <w:bCs/>
          <w:iCs/>
          <w:sz w:val="24"/>
          <w:szCs w:val="24"/>
        </w:rPr>
        <w:t xml:space="preserve"> NRT </w:t>
      </w:r>
      <w:r w:rsidR="00D76DFD" w:rsidRPr="00DB3EE8">
        <w:rPr>
          <w:rFonts w:ascii="Calibri" w:hAnsi="Calibri"/>
          <w:b w:val="0"/>
          <w:bCs/>
          <w:iCs/>
          <w:sz w:val="24"/>
          <w:szCs w:val="24"/>
        </w:rPr>
        <w:t xml:space="preserve">(NRT+NRT) </w:t>
      </w:r>
      <w:r w:rsidRPr="00DB3EE8">
        <w:rPr>
          <w:rFonts w:ascii="Calibri" w:hAnsi="Calibri"/>
          <w:b w:val="0"/>
          <w:bCs/>
          <w:i/>
          <w:sz w:val="24"/>
          <w:szCs w:val="24"/>
        </w:rPr>
        <w:t>versus</w:t>
      </w:r>
      <w:r w:rsidRPr="00DB3EE8">
        <w:rPr>
          <w:rFonts w:ascii="Calibri" w:hAnsi="Calibri"/>
          <w:b w:val="0"/>
          <w:bCs/>
          <w:iCs/>
          <w:sz w:val="24"/>
          <w:szCs w:val="24"/>
        </w:rPr>
        <w:t xml:space="preserve"> NRT monotherapy</w:t>
      </w:r>
      <w:r w:rsidR="00B60480">
        <w:rPr>
          <w:rFonts w:ascii="Calibri" w:hAnsi="Calibri"/>
          <w:b w:val="0"/>
          <w:bCs/>
          <w:iCs/>
          <w:sz w:val="24"/>
          <w:szCs w:val="24"/>
        </w:rPr>
        <w:t>,</w:t>
      </w:r>
      <w:r w:rsidRPr="00DB3EE8">
        <w:rPr>
          <w:rFonts w:ascii="Calibri" w:hAnsi="Calibri"/>
          <w:b w:val="0"/>
          <w:bCs/>
          <w:iCs/>
          <w:sz w:val="24"/>
          <w:szCs w:val="24"/>
        </w:rPr>
        <w:t xml:space="preserve"> and </w:t>
      </w:r>
      <w:r w:rsidR="00B60480">
        <w:rPr>
          <w:rFonts w:ascii="Calibri" w:hAnsi="Calibri"/>
          <w:b w:val="0"/>
          <w:bCs/>
          <w:iCs/>
          <w:sz w:val="24"/>
          <w:szCs w:val="24"/>
        </w:rPr>
        <w:t xml:space="preserve">varenicline and NRT in </w:t>
      </w:r>
      <w:r w:rsidRPr="00DB3EE8">
        <w:rPr>
          <w:rFonts w:ascii="Calibri" w:hAnsi="Calibri"/>
          <w:b w:val="0"/>
          <w:bCs/>
          <w:iCs/>
          <w:sz w:val="24"/>
          <w:szCs w:val="24"/>
        </w:rPr>
        <w:t xml:space="preserve">combination </w:t>
      </w:r>
      <w:r w:rsidR="00B60480">
        <w:rPr>
          <w:rFonts w:ascii="Calibri" w:hAnsi="Calibri"/>
          <w:b w:val="0"/>
          <w:bCs/>
          <w:iCs/>
          <w:sz w:val="24"/>
          <w:szCs w:val="24"/>
        </w:rPr>
        <w:t>(</w:t>
      </w:r>
      <w:r w:rsidRPr="00DB3EE8">
        <w:rPr>
          <w:rFonts w:ascii="Calibri" w:hAnsi="Calibri"/>
          <w:b w:val="0"/>
          <w:bCs/>
          <w:iCs/>
          <w:sz w:val="24"/>
          <w:szCs w:val="24"/>
        </w:rPr>
        <w:t>VAR+NRT</w:t>
      </w:r>
      <w:r w:rsidR="00B60480">
        <w:rPr>
          <w:rFonts w:ascii="Calibri" w:hAnsi="Calibri"/>
          <w:b w:val="0"/>
          <w:bCs/>
          <w:iCs/>
          <w:sz w:val="24"/>
          <w:szCs w:val="24"/>
        </w:rPr>
        <w:t>)</w:t>
      </w:r>
      <w:r w:rsidRPr="00DB3EE8">
        <w:rPr>
          <w:rFonts w:ascii="Calibri" w:hAnsi="Calibri"/>
          <w:b w:val="0"/>
          <w:bCs/>
          <w:iCs/>
          <w:sz w:val="24"/>
          <w:szCs w:val="24"/>
        </w:rPr>
        <w:t xml:space="preserve"> </w:t>
      </w:r>
      <w:r w:rsidRPr="00DB3EE8">
        <w:rPr>
          <w:rFonts w:ascii="Calibri" w:hAnsi="Calibri"/>
          <w:b w:val="0"/>
          <w:bCs/>
          <w:i/>
          <w:sz w:val="24"/>
          <w:szCs w:val="24"/>
        </w:rPr>
        <w:t>versus</w:t>
      </w:r>
      <w:r w:rsidRPr="00DB3EE8">
        <w:rPr>
          <w:rFonts w:ascii="Calibri" w:hAnsi="Calibri"/>
          <w:b w:val="0"/>
          <w:bCs/>
          <w:iCs/>
          <w:sz w:val="24"/>
          <w:szCs w:val="24"/>
        </w:rPr>
        <w:t xml:space="preserve"> VAR</w:t>
      </w:r>
      <w:r w:rsidR="00E84393">
        <w:rPr>
          <w:rFonts w:ascii="Calibri" w:hAnsi="Calibri"/>
          <w:b w:val="0"/>
          <w:bCs/>
          <w:iCs/>
          <w:sz w:val="24"/>
          <w:szCs w:val="24"/>
        </w:rPr>
        <w:t xml:space="preserve"> monotherapy,</w:t>
      </w:r>
      <w:r w:rsidRPr="00DB3EE8">
        <w:rPr>
          <w:rFonts w:ascii="Calibri" w:hAnsi="Calibri"/>
          <w:b w:val="0"/>
          <w:bCs/>
          <w:iCs/>
          <w:sz w:val="24"/>
          <w:szCs w:val="24"/>
        </w:rPr>
        <w:t xml:space="preserve"> should be progressed under ToR 4 of the Review.</w:t>
      </w:r>
    </w:p>
    <w:p w14:paraId="7FDCFAED" w14:textId="2103DC55" w:rsidR="006D6519" w:rsidRPr="00DB3EE8" w:rsidRDefault="00D0080E" w:rsidP="00DB3EE8">
      <w:pPr>
        <w:pStyle w:val="PBACHeading10"/>
        <w:keepNext w:val="0"/>
        <w:keepLines w:val="0"/>
        <w:numPr>
          <w:ilvl w:val="0"/>
          <w:numId w:val="10"/>
        </w:numPr>
        <w:spacing w:after="0"/>
        <w:ind w:left="1077" w:hanging="357"/>
        <w:jc w:val="both"/>
        <w:outlineLvl w:val="9"/>
        <w:rPr>
          <w:rFonts w:ascii="Calibri" w:hAnsi="Calibri"/>
          <w:b w:val="0"/>
          <w:bCs/>
          <w:sz w:val="24"/>
          <w:szCs w:val="24"/>
        </w:rPr>
      </w:pPr>
      <w:r w:rsidRPr="00DB3EE8">
        <w:rPr>
          <w:rFonts w:ascii="Calibri" w:hAnsi="Calibri"/>
          <w:b w:val="0"/>
          <w:bCs/>
          <w:sz w:val="24"/>
          <w:szCs w:val="24"/>
        </w:rPr>
        <w:t xml:space="preserve">The ESC considered a confidential submission to the Review </w:t>
      </w:r>
      <w:r w:rsidR="00B800D0" w:rsidRPr="00B800D0">
        <w:rPr>
          <w:rFonts w:ascii="Calibri" w:hAnsi="Calibri"/>
          <w:b w:val="0"/>
          <w:bCs/>
          <w:color w:val="000000"/>
          <w:w w:val="57"/>
          <w:sz w:val="24"/>
          <w:szCs w:val="24"/>
          <w:shd w:val="solid" w:color="000000" w:fill="000000"/>
          <w:fitText w:val="1200" w:id="-1402819840"/>
          <w14:textFill>
            <w14:solidFill>
              <w14:srgbClr w14:val="000000">
                <w14:alpha w14:val="100000"/>
              </w14:srgbClr>
            </w14:solidFill>
          </w14:textFill>
        </w:rPr>
        <w:t>|||||||||  ||||||||</w:t>
      </w:r>
      <w:r w:rsidR="00B800D0" w:rsidRPr="00B800D0">
        <w:rPr>
          <w:rFonts w:ascii="Calibri" w:hAnsi="Calibri"/>
          <w:b w:val="0"/>
          <w:bCs/>
          <w:color w:val="000000"/>
          <w:spacing w:val="5"/>
          <w:w w:val="57"/>
          <w:sz w:val="24"/>
          <w:szCs w:val="24"/>
          <w:shd w:val="solid" w:color="000000" w:fill="000000"/>
          <w:fitText w:val="1200" w:id="-1402819840"/>
          <w14:textFill>
            <w14:solidFill>
              <w14:srgbClr w14:val="000000">
                <w14:alpha w14:val="100000"/>
              </w14:srgbClr>
            </w14:solidFill>
          </w14:textFill>
        </w:rPr>
        <w:t>|</w:t>
      </w:r>
      <w:r w:rsidR="00B800D0">
        <w:rPr>
          <w:rFonts w:ascii="Calibri" w:hAnsi="Calibri"/>
          <w:b w:val="0"/>
          <w:bCs/>
          <w:sz w:val="24"/>
          <w:szCs w:val="24"/>
        </w:rPr>
        <w:t xml:space="preserve"> </w:t>
      </w:r>
      <w:r w:rsidRPr="00DB3EE8">
        <w:rPr>
          <w:rFonts w:ascii="Calibri" w:hAnsi="Calibri"/>
          <w:b w:val="0"/>
          <w:bCs/>
          <w:sz w:val="24"/>
          <w:szCs w:val="24"/>
        </w:rPr>
        <w:t>that included a cost-effectiveness analys</w:t>
      </w:r>
      <w:r w:rsidR="00E36CB9">
        <w:rPr>
          <w:rFonts w:ascii="Calibri" w:hAnsi="Calibri"/>
          <w:b w:val="0"/>
          <w:bCs/>
          <w:sz w:val="24"/>
          <w:szCs w:val="24"/>
        </w:rPr>
        <w:t>i</w:t>
      </w:r>
      <w:r w:rsidRPr="00DB3EE8">
        <w:rPr>
          <w:rFonts w:ascii="Calibri" w:hAnsi="Calibri"/>
          <w:b w:val="0"/>
          <w:bCs/>
          <w:sz w:val="24"/>
          <w:szCs w:val="24"/>
        </w:rPr>
        <w:t xml:space="preserve">s of </w:t>
      </w:r>
      <w:r w:rsidR="00B800D0" w:rsidRPr="00B800D0">
        <w:rPr>
          <w:rFonts w:ascii="Calibri" w:hAnsi="Calibri"/>
          <w:b w:val="0"/>
          <w:bCs/>
          <w:iCs/>
          <w:color w:val="000000"/>
          <w:spacing w:val="1"/>
          <w:w w:val="55"/>
          <w:sz w:val="24"/>
          <w:szCs w:val="24"/>
          <w:shd w:val="solid" w:color="000000" w:fill="000000"/>
          <w:fitText w:val="2780" w:id="-1402819838"/>
          <w14:textFill>
            <w14:solidFill>
              <w14:srgbClr w14:val="000000">
                <w14:alpha w14:val="100000"/>
              </w14:srgbClr>
            </w14:solidFill>
          </w14:textFill>
        </w:rPr>
        <w:t>||||||||||||||||||||||  |||||||||||||||||||||</w:t>
      </w:r>
      <w:r w:rsidR="00B800D0" w:rsidRPr="00B800D0">
        <w:rPr>
          <w:rFonts w:ascii="Calibri" w:hAnsi="Calibri"/>
          <w:b w:val="0"/>
          <w:bCs/>
          <w:iCs/>
          <w:color w:val="000000"/>
          <w:spacing w:val="4"/>
          <w:w w:val="55"/>
          <w:sz w:val="24"/>
          <w:szCs w:val="24"/>
          <w:shd w:val="solid" w:color="000000" w:fill="000000"/>
          <w:fitText w:val="2780" w:id="-1402819838"/>
          <w14:textFill>
            <w14:solidFill>
              <w14:srgbClr w14:val="000000">
                <w14:alpha w14:val="100000"/>
              </w14:srgbClr>
            </w14:solidFill>
          </w14:textFill>
        </w:rPr>
        <w:t>|</w:t>
      </w:r>
      <w:r w:rsidRPr="00B800D0">
        <w:rPr>
          <w:rFonts w:ascii="Calibri" w:hAnsi="Calibri"/>
          <w:b w:val="0"/>
          <w:bCs/>
          <w:sz w:val="24"/>
          <w:szCs w:val="24"/>
        </w:rPr>
        <w:t>.</w:t>
      </w:r>
      <w:r w:rsidRPr="00DB3EE8">
        <w:rPr>
          <w:rFonts w:ascii="Calibri" w:hAnsi="Calibri"/>
          <w:b w:val="0"/>
          <w:bCs/>
          <w:sz w:val="24"/>
          <w:szCs w:val="24"/>
        </w:rPr>
        <w:t xml:space="preserve"> The ESC noted that the </w:t>
      </w:r>
      <w:r w:rsidR="00B800D0" w:rsidRPr="00B800D0">
        <w:rPr>
          <w:rFonts w:ascii="Calibri" w:hAnsi="Calibri"/>
          <w:b w:val="0"/>
          <w:bCs/>
          <w:iCs/>
          <w:sz w:val="24"/>
          <w:szCs w:val="24"/>
          <w:highlight w:val="black"/>
        </w:rPr>
        <w:t>xxxxxx</w:t>
      </w:r>
      <w:r w:rsidRPr="00DB3EE8">
        <w:rPr>
          <w:rFonts w:ascii="Calibri" w:hAnsi="Calibri"/>
          <w:b w:val="0"/>
          <w:bCs/>
          <w:iCs/>
          <w:sz w:val="24"/>
          <w:szCs w:val="24"/>
        </w:rPr>
        <w:t xml:space="preserve"> cost-effectiveness</w:t>
      </w:r>
      <w:r w:rsidRPr="00DB3EE8">
        <w:rPr>
          <w:rFonts w:ascii="Calibri" w:hAnsi="Calibri"/>
          <w:b w:val="0"/>
          <w:bCs/>
          <w:sz w:val="24"/>
          <w:szCs w:val="24"/>
        </w:rPr>
        <w:t xml:space="preserve"> submission had not been evaluated by an external evaluation group. </w:t>
      </w:r>
    </w:p>
    <w:p w14:paraId="0D05F4B4" w14:textId="0A145FAA" w:rsidR="00D0080E" w:rsidRPr="00DB3EE8" w:rsidRDefault="00D0080E" w:rsidP="00DB3EE8">
      <w:pPr>
        <w:pStyle w:val="PBACHeading10"/>
        <w:keepNext w:val="0"/>
        <w:keepLines w:val="0"/>
        <w:numPr>
          <w:ilvl w:val="0"/>
          <w:numId w:val="10"/>
        </w:numPr>
        <w:ind w:left="1077" w:hanging="357"/>
        <w:jc w:val="both"/>
        <w:outlineLvl w:val="9"/>
        <w:rPr>
          <w:rFonts w:ascii="Calibri" w:hAnsi="Calibri"/>
          <w:b w:val="0"/>
          <w:bCs/>
          <w:iCs/>
          <w:sz w:val="24"/>
          <w:szCs w:val="24"/>
        </w:rPr>
      </w:pPr>
      <w:r w:rsidRPr="00DB3EE8">
        <w:rPr>
          <w:rFonts w:ascii="Calibri" w:hAnsi="Calibri"/>
          <w:b w:val="0"/>
          <w:bCs/>
          <w:iCs/>
          <w:sz w:val="24"/>
          <w:szCs w:val="24"/>
        </w:rPr>
        <w:t xml:space="preserve">The ESC suggested </w:t>
      </w:r>
      <w:r w:rsidR="00D76DFD" w:rsidRPr="00DB3EE8">
        <w:rPr>
          <w:rFonts w:ascii="Calibri" w:hAnsi="Calibri"/>
          <w:b w:val="0"/>
          <w:bCs/>
          <w:iCs/>
          <w:sz w:val="24"/>
          <w:szCs w:val="24"/>
        </w:rPr>
        <w:t xml:space="preserve">that </w:t>
      </w:r>
      <w:r w:rsidR="006D6519" w:rsidRPr="00DB3EE8">
        <w:rPr>
          <w:rFonts w:ascii="Calibri" w:hAnsi="Calibri"/>
          <w:b w:val="0"/>
          <w:bCs/>
          <w:sz w:val="24"/>
          <w:szCs w:val="24"/>
        </w:rPr>
        <w:t>the</w:t>
      </w:r>
      <w:r w:rsidRPr="00DB3EE8">
        <w:rPr>
          <w:rFonts w:ascii="Calibri" w:hAnsi="Calibri"/>
          <w:b w:val="0"/>
          <w:bCs/>
          <w:sz w:val="24"/>
          <w:szCs w:val="24"/>
        </w:rPr>
        <w:t xml:space="preserve"> evaluation commentary of the </w:t>
      </w:r>
      <w:r w:rsidR="00B800D0" w:rsidRPr="00B800D0">
        <w:rPr>
          <w:rFonts w:ascii="Calibri" w:hAnsi="Calibri"/>
          <w:b w:val="0"/>
          <w:bCs/>
          <w:iCs/>
          <w:sz w:val="24"/>
          <w:szCs w:val="24"/>
          <w:highlight w:val="black"/>
        </w:rPr>
        <w:t>xxxxxx</w:t>
      </w:r>
      <w:r w:rsidRPr="00DB3EE8">
        <w:rPr>
          <w:rFonts w:ascii="Calibri" w:hAnsi="Calibri"/>
          <w:b w:val="0"/>
          <w:bCs/>
          <w:sz w:val="24"/>
          <w:szCs w:val="24"/>
        </w:rPr>
        <w:t xml:space="preserve"> submission and</w:t>
      </w:r>
      <w:r w:rsidRPr="00DB3EE8">
        <w:rPr>
          <w:rFonts w:ascii="Calibri" w:hAnsi="Calibri"/>
          <w:b w:val="0"/>
          <w:bCs/>
          <w:iCs/>
          <w:sz w:val="24"/>
          <w:szCs w:val="24"/>
        </w:rPr>
        <w:t xml:space="preserve"> any additional modelled comparisons should be provided to the ESC and the PBAC for consideration at a future meeting.</w:t>
      </w:r>
    </w:p>
    <w:p w14:paraId="388951D7" w14:textId="73E87F5C" w:rsidR="00D0080E" w:rsidRPr="00437E90" w:rsidRDefault="00D0080E" w:rsidP="00004FA2">
      <w:pPr>
        <w:pStyle w:val="PBACHeading10"/>
        <w:keepNext w:val="0"/>
        <w:keepLines w:val="0"/>
        <w:numPr>
          <w:ilvl w:val="1"/>
          <w:numId w:val="9"/>
        </w:numPr>
        <w:ind w:left="720" w:hanging="720"/>
        <w:jc w:val="both"/>
        <w:outlineLvl w:val="9"/>
        <w:rPr>
          <w:b w:val="0"/>
          <w:iCs/>
          <w:sz w:val="24"/>
          <w:szCs w:val="24"/>
        </w:rPr>
      </w:pPr>
      <w:r w:rsidRPr="00437E90">
        <w:rPr>
          <w:b w:val="0"/>
          <w:iCs/>
          <w:sz w:val="24"/>
          <w:szCs w:val="24"/>
        </w:rPr>
        <w:t xml:space="preserve">The ESC </w:t>
      </w:r>
      <w:r w:rsidR="00D123C6">
        <w:rPr>
          <w:b w:val="0"/>
          <w:iCs/>
          <w:sz w:val="24"/>
          <w:szCs w:val="24"/>
        </w:rPr>
        <w:t xml:space="preserve">also </w:t>
      </w:r>
      <w:r w:rsidRPr="00437E90">
        <w:rPr>
          <w:b w:val="0"/>
          <w:iCs/>
          <w:sz w:val="24"/>
          <w:szCs w:val="24"/>
        </w:rPr>
        <w:t>provided specific comments on the Review options:</w:t>
      </w:r>
    </w:p>
    <w:p w14:paraId="071584A5" w14:textId="38010339" w:rsidR="00D0080E" w:rsidRPr="00DB3EE8" w:rsidRDefault="00D0080E" w:rsidP="00DB3EE8">
      <w:pPr>
        <w:pStyle w:val="PBACHeading10"/>
        <w:keepNext w:val="0"/>
        <w:keepLines w:val="0"/>
        <w:numPr>
          <w:ilvl w:val="0"/>
          <w:numId w:val="10"/>
        </w:numPr>
        <w:spacing w:after="0"/>
        <w:ind w:left="1077" w:hanging="357"/>
        <w:jc w:val="both"/>
        <w:outlineLvl w:val="9"/>
        <w:rPr>
          <w:rFonts w:ascii="Calibri" w:hAnsi="Calibri" w:cs="Calibri"/>
          <w:b w:val="0"/>
          <w:bCs/>
          <w:iCs/>
          <w:sz w:val="24"/>
          <w:szCs w:val="24"/>
        </w:rPr>
      </w:pPr>
      <w:r w:rsidRPr="00DB3EE8">
        <w:rPr>
          <w:rFonts w:ascii="Calibri" w:hAnsi="Calibri" w:cs="Calibri"/>
          <w:b w:val="0"/>
          <w:bCs/>
          <w:iCs/>
          <w:sz w:val="24"/>
          <w:szCs w:val="24"/>
        </w:rPr>
        <w:t xml:space="preserve">Option 1: </w:t>
      </w:r>
      <w:r w:rsidRPr="00DB3EE8">
        <w:rPr>
          <w:rFonts w:ascii="Calibri" w:hAnsi="Calibri"/>
          <w:b w:val="0"/>
          <w:bCs/>
          <w:iCs/>
          <w:sz w:val="24"/>
          <w:szCs w:val="24"/>
        </w:rPr>
        <w:t>The</w:t>
      </w:r>
      <w:r w:rsidRPr="00DB3EE8">
        <w:rPr>
          <w:rFonts w:ascii="Calibri" w:hAnsi="Calibri" w:cs="Calibri"/>
          <w:b w:val="0"/>
          <w:bCs/>
          <w:iCs/>
          <w:sz w:val="24"/>
          <w:szCs w:val="24"/>
        </w:rPr>
        <w:t xml:space="preserve"> ESC noted that while longer durations and additional courses per 12-month period of PBS-subsidised NRT were supported by </w:t>
      </w:r>
      <w:r w:rsidR="000A3F7C" w:rsidRPr="00DB3EE8">
        <w:rPr>
          <w:rFonts w:ascii="Calibri" w:hAnsi="Calibri" w:cs="Calibri"/>
          <w:b w:val="0"/>
          <w:bCs/>
          <w:iCs/>
          <w:sz w:val="24"/>
          <w:szCs w:val="24"/>
        </w:rPr>
        <w:t>s</w:t>
      </w:r>
      <w:r w:rsidRPr="00DB3EE8">
        <w:rPr>
          <w:rFonts w:ascii="Calibri" w:hAnsi="Calibri" w:cs="Calibri"/>
          <w:b w:val="0"/>
          <w:bCs/>
          <w:iCs/>
          <w:sz w:val="24"/>
          <w:szCs w:val="24"/>
        </w:rPr>
        <w:t xml:space="preserve">ponsors, stakeholders </w:t>
      </w:r>
      <w:r w:rsidRPr="00DB3EE8">
        <w:rPr>
          <w:rFonts w:ascii="Calibri" w:hAnsi="Calibri" w:cs="Calibri"/>
          <w:b w:val="0"/>
          <w:bCs/>
          <w:iCs/>
          <w:sz w:val="24"/>
          <w:szCs w:val="24"/>
        </w:rPr>
        <w:lastRenderedPageBreak/>
        <w:t>and in clinical guidelines, the</w:t>
      </w:r>
      <w:r w:rsidR="00746759" w:rsidRPr="00DB3EE8">
        <w:rPr>
          <w:rFonts w:ascii="Calibri" w:hAnsi="Calibri" w:cs="Calibri"/>
          <w:b w:val="0"/>
          <w:bCs/>
          <w:iCs/>
          <w:sz w:val="24"/>
          <w:szCs w:val="24"/>
        </w:rPr>
        <w:t>re was limited</w:t>
      </w:r>
      <w:r w:rsidRPr="00DB3EE8">
        <w:rPr>
          <w:rFonts w:ascii="Calibri" w:hAnsi="Calibri" w:cs="Calibri"/>
          <w:b w:val="0"/>
          <w:bCs/>
          <w:iCs/>
          <w:sz w:val="24"/>
          <w:szCs w:val="24"/>
        </w:rPr>
        <w:t xml:space="preserve"> evidence from </w:t>
      </w:r>
      <w:r w:rsidR="007141E3" w:rsidRPr="00DB3EE8">
        <w:rPr>
          <w:rFonts w:ascii="Calibri" w:hAnsi="Calibri" w:cs="Calibri"/>
          <w:b w:val="0"/>
          <w:bCs/>
          <w:iCs/>
          <w:sz w:val="24"/>
          <w:szCs w:val="24"/>
        </w:rPr>
        <w:t xml:space="preserve">the </w:t>
      </w:r>
      <w:r w:rsidRPr="00DB3EE8">
        <w:rPr>
          <w:rFonts w:ascii="Calibri" w:hAnsi="Calibri" w:cs="Calibri"/>
          <w:b w:val="0"/>
          <w:bCs/>
          <w:iCs/>
          <w:sz w:val="24"/>
          <w:szCs w:val="24"/>
        </w:rPr>
        <w:t>ToR 3</w:t>
      </w:r>
      <w:r w:rsidR="007141E3" w:rsidRPr="00DB3EE8">
        <w:rPr>
          <w:rFonts w:ascii="Calibri" w:hAnsi="Calibri" w:cs="Calibri"/>
          <w:b w:val="0"/>
          <w:bCs/>
          <w:iCs/>
          <w:sz w:val="24"/>
          <w:szCs w:val="24"/>
        </w:rPr>
        <w:t xml:space="preserve"> report</w:t>
      </w:r>
      <w:r w:rsidRPr="00DB3EE8">
        <w:rPr>
          <w:rFonts w:ascii="Calibri" w:hAnsi="Calibri" w:cs="Calibri"/>
          <w:b w:val="0"/>
          <w:bCs/>
          <w:iCs/>
          <w:sz w:val="24"/>
          <w:szCs w:val="24"/>
        </w:rPr>
        <w:t xml:space="preserve"> </w:t>
      </w:r>
      <w:r w:rsidR="00746759" w:rsidRPr="00DB3EE8">
        <w:rPr>
          <w:rFonts w:ascii="Calibri" w:hAnsi="Calibri" w:cs="Calibri"/>
          <w:b w:val="0"/>
          <w:bCs/>
          <w:iCs/>
          <w:sz w:val="24"/>
          <w:szCs w:val="24"/>
        </w:rPr>
        <w:t>to support this option.</w:t>
      </w:r>
    </w:p>
    <w:p w14:paraId="38E395BD" w14:textId="77777777" w:rsidR="00D0080E" w:rsidRPr="00DB3EE8" w:rsidRDefault="00D0080E" w:rsidP="00DB3EE8">
      <w:pPr>
        <w:pStyle w:val="PBACHeading10"/>
        <w:keepNext w:val="0"/>
        <w:keepLines w:val="0"/>
        <w:numPr>
          <w:ilvl w:val="0"/>
          <w:numId w:val="10"/>
        </w:numPr>
        <w:spacing w:after="0"/>
        <w:ind w:left="1077" w:hanging="357"/>
        <w:jc w:val="both"/>
        <w:outlineLvl w:val="9"/>
        <w:rPr>
          <w:rFonts w:ascii="Calibri" w:hAnsi="Calibri" w:cs="Calibri"/>
          <w:b w:val="0"/>
          <w:bCs/>
          <w:iCs/>
          <w:sz w:val="24"/>
          <w:szCs w:val="24"/>
        </w:rPr>
      </w:pPr>
      <w:r w:rsidRPr="00DB3EE8">
        <w:rPr>
          <w:rFonts w:ascii="Calibri" w:hAnsi="Calibri" w:cs="Calibri"/>
          <w:b w:val="0"/>
          <w:bCs/>
          <w:iCs/>
          <w:sz w:val="24"/>
          <w:szCs w:val="24"/>
        </w:rPr>
        <w:t xml:space="preserve">Option 2: The ESC noted that there was some evidence to clinically support combination NRT (option 2a) however, the evidence to support double patching (option 2b) was limited and varied according to the different strengths compared. The ESC therefore supported </w:t>
      </w:r>
      <w:bookmarkStart w:id="7" w:name="_Hlk99360218"/>
      <w:r w:rsidRPr="00DB3EE8">
        <w:rPr>
          <w:rFonts w:ascii="Calibri" w:hAnsi="Calibri" w:cs="Calibri"/>
          <w:b w:val="0"/>
          <w:bCs/>
          <w:iCs/>
          <w:sz w:val="24"/>
          <w:szCs w:val="24"/>
        </w:rPr>
        <w:t>PBS-subsidised combination NRT</w:t>
      </w:r>
      <w:bookmarkEnd w:id="7"/>
      <w:r w:rsidRPr="00DB3EE8">
        <w:rPr>
          <w:rFonts w:ascii="Calibri" w:hAnsi="Calibri" w:cs="Calibri"/>
          <w:b w:val="0"/>
          <w:bCs/>
          <w:iCs/>
          <w:sz w:val="24"/>
          <w:szCs w:val="24"/>
        </w:rPr>
        <w:t xml:space="preserve"> provided it was found to be cost-effective. </w:t>
      </w:r>
    </w:p>
    <w:p w14:paraId="21F826C0" w14:textId="37D213C7" w:rsidR="009F0844" w:rsidRPr="00DB3EE8" w:rsidRDefault="00D0080E" w:rsidP="00DB3EE8">
      <w:pPr>
        <w:pStyle w:val="PBACHeading10"/>
        <w:keepNext w:val="0"/>
        <w:keepLines w:val="0"/>
        <w:numPr>
          <w:ilvl w:val="0"/>
          <w:numId w:val="10"/>
        </w:numPr>
        <w:spacing w:after="0"/>
        <w:ind w:left="1077" w:hanging="357"/>
        <w:jc w:val="both"/>
        <w:outlineLvl w:val="9"/>
        <w:rPr>
          <w:rFonts w:ascii="Calibri" w:hAnsi="Calibri" w:cs="Calibri"/>
          <w:b w:val="0"/>
          <w:bCs/>
          <w:iCs/>
          <w:sz w:val="24"/>
          <w:szCs w:val="24"/>
        </w:rPr>
      </w:pPr>
      <w:r w:rsidRPr="00DB3EE8">
        <w:rPr>
          <w:rFonts w:ascii="Calibri" w:hAnsi="Calibri" w:cs="Calibri"/>
          <w:b w:val="0"/>
          <w:bCs/>
          <w:iCs/>
          <w:sz w:val="24"/>
          <w:szCs w:val="24"/>
        </w:rPr>
        <w:t xml:space="preserve">Option 3: The ESC noted the </w:t>
      </w:r>
      <w:r w:rsidR="00750C42" w:rsidRPr="00DB3EE8">
        <w:rPr>
          <w:rFonts w:ascii="Calibri" w:hAnsi="Calibri" w:cs="Calibri"/>
          <w:b w:val="0"/>
          <w:bCs/>
          <w:iCs/>
          <w:sz w:val="24"/>
          <w:szCs w:val="24"/>
        </w:rPr>
        <w:t>r</w:t>
      </w:r>
      <w:r w:rsidRPr="00DB3EE8">
        <w:rPr>
          <w:rFonts w:ascii="Calibri" w:hAnsi="Calibri" w:cs="Calibri"/>
          <w:b w:val="0"/>
          <w:bCs/>
          <w:iCs/>
          <w:sz w:val="24"/>
          <w:szCs w:val="24"/>
        </w:rPr>
        <w:t>eport findings that VAR+NRT ha</w:t>
      </w:r>
      <w:r w:rsidR="00805998" w:rsidRPr="00DB3EE8">
        <w:rPr>
          <w:rFonts w:ascii="Calibri" w:hAnsi="Calibri" w:cs="Calibri"/>
          <w:b w:val="0"/>
          <w:bCs/>
          <w:iCs/>
          <w:sz w:val="24"/>
          <w:szCs w:val="24"/>
        </w:rPr>
        <w:t>d</w:t>
      </w:r>
      <w:r w:rsidRPr="00DB3EE8">
        <w:rPr>
          <w:rFonts w:ascii="Calibri" w:hAnsi="Calibri" w:cs="Calibri"/>
          <w:b w:val="0"/>
          <w:bCs/>
          <w:iCs/>
          <w:sz w:val="24"/>
          <w:szCs w:val="24"/>
        </w:rPr>
        <w:t xml:space="preserve"> greater efficacy than VAR monotherapy and therefore supported option 3 (PBS-subsidised VAR+NRT) subject to a finding of acceptable cost-effectiveness.</w:t>
      </w:r>
    </w:p>
    <w:p w14:paraId="12560F35" w14:textId="176252C1" w:rsidR="000C3C98" w:rsidRPr="00DB3EE8" w:rsidRDefault="000C3C98" w:rsidP="00DB3EE8">
      <w:pPr>
        <w:pStyle w:val="PBACHeading10"/>
        <w:keepNext w:val="0"/>
        <w:keepLines w:val="0"/>
        <w:numPr>
          <w:ilvl w:val="0"/>
          <w:numId w:val="10"/>
        </w:numPr>
        <w:spacing w:after="0"/>
        <w:ind w:left="1077" w:hanging="357"/>
        <w:jc w:val="both"/>
        <w:outlineLvl w:val="9"/>
        <w:rPr>
          <w:rFonts w:ascii="Calibri" w:hAnsi="Calibri" w:cs="Calibri"/>
          <w:b w:val="0"/>
          <w:bCs/>
          <w:iCs/>
          <w:sz w:val="24"/>
          <w:szCs w:val="24"/>
        </w:rPr>
      </w:pPr>
      <w:r w:rsidRPr="00DB3EE8">
        <w:rPr>
          <w:rFonts w:ascii="Calibri" w:hAnsi="Calibri" w:cs="Calibri"/>
          <w:b w:val="0"/>
          <w:bCs/>
          <w:iCs/>
          <w:sz w:val="24"/>
          <w:szCs w:val="24"/>
        </w:rPr>
        <w:t xml:space="preserve">Option 4: </w:t>
      </w:r>
      <w:r w:rsidR="00602C8F" w:rsidRPr="00DB3EE8">
        <w:rPr>
          <w:rFonts w:ascii="Calibri" w:hAnsi="Calibri" w:cs="Calibri"/>
          <w:b w:val="0"/>
          <w:bCs/>
          <w:iCs/>
          <w:sz w:val="24"/>
          <w:szCs w:val="24"/>
        </w:rPr>
        <w:t>The ESC supported option 4.</w:t>
      </w:r>
    </w:p>
    <w:p w14:paraId="6E540FEE" w14:textId="0B9465EE" w:rsidR="00D0080E" w:rsidRPr="00DB3EE8" w:rsidRDefault="00D0080E" w:rsidP="00DB3EE8">
      <w:pPr>
        <w:pStyle w:val="PBACHeading10"/>
        <w:keepNext w:val="0"/>
        <w:keepLines w:val="0"/>
        <w:numPr>
          <w:ilvl w:val="0"/>
          <w:numId w:val="10"/>
        </w:numPr>
        <w:spacing w:after="0"/>
        <w:ind w:left="1077" w:hanging="357"/>
        <w:jc w:val="both"/>
        <w:outlineLvl w:val="9"/>
        <w:rPr>
          <w:rFonts w:ascii="Calibri" w:hAnsi="Calibri" w:cs="Calibri"/>
          <w:b w:val="0"/>
          <w:bCs/>
          <w:iCs/>
          <w:sz w:val="24"/>
          <w:szCs w:val="24"/>
        </w:rPr>
      </w:pPr>
      <w:r w:rsidRPr="00DB3EE8">
        <w:rPr>
          <w:rFonts w:ascii="Calibri" w:hAnsi="Calibri" w:cs="Calibri"/>
          <w:b w:val="0"/>
          <w:bCs/>
          <w:iCs/>
          <w:sz w:val="24"/>
          <w:szCs w:val="24"/>
        </w:rPr>
        <w:t>Option</w:t>
      </w:r>
      <w:r w:rsidR="00D76DFD" w:rsidRPr="00DB3EE8">
        <w:rPr>
          <w:rFonts w:ascii="Calibri" w:hAnsi="Calibri" w:cs="Calibri"/>
          <w:b w:val="0"/>
          <w:bCs/>
          <w:iCs/>
          <w:sz w:val="24"/>
          <w:szCs w:val="24"/>
        </w:rPr>
        <w:t xml:space="preserve"> </w:t>
      </w:r>
      <w:r w:rsidRPr="00DB3EE8">
        <w:rPr>
          <w:rFonts w:ascii="Calibri" w:hAnsi="Calibri" w:cs="Calibri"/>
          <w:b w:val="0"/>
          <w:bCs/>
          <w:iCs/>
          <w:sz w:val="24"/>
          <w:szCs w:val="24"/>
        </w:rPr>
        <w:t xml:space="preserve">5: The ESC noted that while option 5 (the PBS listing of NRT inhaler/inhalator and/or mouth spray) was supported by stakeholders, the evidence from ToR 3 showed that there was no statistically significant difference in efficacy between NRT inhaler/inhalator and placebo and that these products </w:t>
      </w:r>
      <w:r w:rsidR="00805998" w:rsidRPr="00DB3EE8">
        <w:rPr>
          <w:rFonts w:ascii="Calibri" w:hAnsi="Calibri" w:cs="Calibri"/>
          <w:b w:val="0"/>
          <w:bCs/>
          <w:iCs/>
          <w:sz w:val="24"/>
          <w:szCs w:val="24"/>
        </w:rPr>
        <w:t>we</w:t>
      </w:r>
      <w:r w:rsidRPr="00DB3EE8">
        <w:rPr>
          <w:rFonts w:ascii="Calibri" w:hAnsi="Calibri" w:cs="Calibri"/>
          <w:b w:val="0"/>
          <w:bCs/>
          <w:iCs/>
          <w:sz w:val="24"/>
          <w:szCs w:val="24"/>
        </w:rPr>
        <w:t xml:space="preserve">re available </w:t>
      </w:r>
      <w:r w:rsidR="002D278B" w:rsidRPr="00DB3EE8">
        <w:rPr>
          <w:rFonts w:ascii="Calibri" w:hAnsi="Calibri" w:cs="Calibri"/>
          <w:b w:val="0"/>
          <w:bCs/>
          <w:iCs/>
          <w:sz w:val="24"/>
          <w:szCs w:val="24"/>
        </w:rPr>
        <w:t>over</w:t>
      </w:r>
      <w:r w:rsidR="0078520F">
        <w:rPr>
          <w:rFonts w:ascii="Calibri" w:hAnsi="Calibri" w:cs="Calibri"/>
          <w:b w:val="0"/>
          <w:bCs/>
          <w:iCs/>
          <w:sz w:val="24"/>
          <w:szCs w:val="24"/>
        </w:rPr>
        <w:t>-</w:t>
      </w:r>
      <w:r w:rsidR="002D278B">
        <w:rPr>
          <w:rFonts w:ascii="Calibri" w:hAnsi="Calibri" w:cs="Calibri"/>
          <w:b w:val="0"/>
          <w:bCs/>
          <w:iCs/>
          <w:sz w:val="24"/>
          <w:szCs w:val="24"/>
        </w:rPr>
        <w:t>the</w:t>
      </w:r>
      <w:r w:rsidR="0078520F">
        <w:rPr>
          <w:rFonts w:ascii="Calibri" w:hAnsi="Calibri" w:cs="Calibri"/>
          <w:b w:val="0"/>
          <w:bCs/>
          <w:iCs/>
          <w:sz w:val="24"/>
          <w:szCs w:val="24"/>
        </w:rPr>
        <w:t>-</w:t>
      </w:r>
      <w:r w:rsidR="002D278B">
        <w:rPr>
          <w:rFonts w:ascii="Calibri" w:hAnsi="Calibri" w:cs="Calibri"/>
          <w:b w:val="0"/>
          <w:bCs/>
          <w:iCs/>
          <w:sz w:val="24"/>
          <w:szCs w:val="24"/>
        </w:rPr>
        <w:t>counter</w:t>
      </w:r>
      <w:r w:rsidR="001147B4" w:rsidRPr="00DB3EE8">
        <w:rPr>
          <w:rFonts w:ascii="Calibri" w:hAnsi="Calibri" w:cs="Calibri"/>
          <w:b w:val="0"/>
          <w:bCs/>
          <w:iCs/>
          <w:sz w:val="24"/>
          <w:szCs w:val="24"/>
        </w:rPr>
        <w:t xml:space="preserve"> (</w:t>
      </w:r>
      <w:r w:rsidRPr="00DB3EE8">
        <w:rPr>
          <w:rFonts w:ascii="Calibri" w:hAnsi="Calibri" w:cs="Calibri"/>
          <w:b w:val="0"/>
          <w:bCs/>
          <w:iCs/>
          <w:sz w:val="24"/>
          <w:szCs w:val="24"/>
        </w:rPr>
        <w:t>OTC</w:t>
      </w:r>
      <w:r w:rsidR="001147B4" w:rsidRPr="00DB3EE8">
        <w:rPr>
          <w:rFonts w:ascii="Calibri" w:hAnsi="Calibri" w:cs="Calibri"/>
          <w:b w:val="0"/>
          <w:bCs/>
          <w:iCs/>
          <w:sz w:val="24"/>
          <w:szCs w:val="24"/>
        </w:rPr>
        <w:t>)</w:t>
      </w:r>
      <w:r w:rsidRPr="00DB3EE8">
        <w:rPr>
          <w:rFonts w:ascii="Calibri" w:hAnsi="Calibri" w:cs="Calibri"/>
          <w:b w:val="0"/>
          <w:bCs/>
          <w:iCs/>
          <w:sz w:val="24"/>
          <w:szCs w:val="24"/>
        </w:rPr>
        <w:t>.</w:t>
      </w:r>
    </w:p>
    <w:p w14:paraId="007EAD70" w14:textId="292FC3D3" w:rsidR="00FC051B" w:rsidRPr="00DB3EE8" w:rsidRDefault="00FC051B" w:rsidP="00DB3EE8">
      <w:pPr>
        <w:pStyle w:val="PBACHeading10"/>
        <w:keepNext w:val="0"/>
        <w:keepLines w:val="0"/>
        <w:numPr>
          <w:ilvl w:val="0"/>
          <w:numId w:val="10"/>
        </w:numPr>
        <w:ind w:left="1077" w:hanging="357"/>
        <w:jc w:val="both"/>
        <w:outlineLvl w:val="9"/>
        <w:rPr>
          <w:rFonts w:ascii="Calibri" w:hAnsi="Calibri" w:cs="Calibri"/>
          <w:b w:val="0"/>
          <w:bCs/>
          <w:iCs/>
          <w:sz w:val="24"/>
          <w:szCs w:val="24"/>
        </w:rPr>
      </w:pPr>
      <w:r w:rsidRPr="00DB3EE8">
        <w:rPr>
          <w:rFonts w:ascii="Calibri" w:hAnsi="Calibri" w:cs="Calibri"/>
          <w:b w:val="0"/>
          <w:bCs/>
          <w:iCs/>
          <w:sz w:val="24"/>
          <w:szCs w:val="24"/>
        </w:rPr>
        <w:t xml:space="preserve">Option 6: </w:t>
      </w:r>
      <w:r w:rsidR="00602C8F" w:rsidRPr="00DB3EE8">
        <w:rPr>
          <w:rFonts w:ascii="Calibri" w:hAnsi="Calibri" w:cs="Calibri"/>
          <w:b w:val="0"/>
          <w:bCs/>
          <w:iCs/>
          <w:sz w:val="24"/>
          <w:szCs w:val="24"/>
        </w:rPr>
        <w:t>The ESC supported option</w:t>
      </w:r>
      <w:r w:rsidR="004F7872" w:rsidRPr="00DB3EE8">
        <w:rPr>
          <w:rFonts w:ascii="Calibri" w:hAnsi="Calibri" w:cs="Calibri"/>
          <w:b w:val="0"/>
          <w:bCs/>
          <w:iCs/>
          <w:sz w:val="24"/>
          <w:szCs w:val="24"/>
        </w:rPr>
        <w:t xml:space="preserve"> 6</w:t>
      </w:r>
      <w:r w:rsidRPr="00DB3EE8">
        <w:rPr>
          <w:rFonts w:ascii="Calibri" w:hAnsi="Calibri" w:cs="Calibri"/>
          <w:b w:val="0"/>
          <w:bCs/>
          <w:iCs/>
          <w:sz w:val="24"/>
          <w:szCs w:val="24"/>
        </w:rPr>
        <w:t>.</w:t>
      </w:r>
    </w:p>
    <w:p w14:paraId="1B8ACBBA" w14:textId="78FB47A4" w:rsidR="00E54360" w:rsidRPr="00C65A16" w:rsidRDefault="00D0080E" w:rsidP="00A45320">
      <w:pPr>
        <w:pStyle w:val="PBACHeading10"/>
        <w:keepNext w:val="0"/>
        <w:keepLines w:val="0"/>
        <w:numPr>
          <w:ilvl w:val="1"/>
          <w:numId w:val="9"/>
        </w:numPr>
        <w:ind w:left="720" w:hanging="720"/>
        <w:jc w:val="both"/>
        <w:outlineLvl w:val="9"/>
        <w:rPr>
          <w:b w:val="0"/>
          <w:sz w:val="24"/>
          <w:szCs w:val="24"/>
        </w:rPr>
      </w:pPr>
      <w:r w:rsidRPr="00C65A16">
        <w:rPr>
          <w:b w:val="0"/>
          <w:sz w:val="24"/>
          <w:szCs w:val="24"/>
        </w:rPr>
        <w:t xml:space="preserve">In August 2021, the department engaged the services of </w:t>
      </w:r>
      <w:bookmarkStart w:id="8" w:name="_Hlk101265306"/>
      <w:r w:rsidRPr="00C65A16">
        <w:rPr>
          <w:b w:val="0"/>
          <w:sz w:val="24"/>
          <w:szCs w:val="24"/>
        </w:rPr>
        <w:t>the Centre for Health Economics</w:t>
      </w:r>
      <w:r w:rsidR="007141E3" w:rsidRPr="00C65A16">
        <w:rPr>
          <w:b w:val="0"/>
          <w:sz w:val="24"/>
          <w:szCs w:val="24"/>
        </w:rPr>
        <w:t xml:space="preserve"> (CHE)</w:t>
      </w:r>
      <w:r w:rsidRPr="00C65A16">
        <w:rPr>
          <w:b w:val="0"/>
          <w:sz w:val="24"/>
          <w:szCs w:val="24"/>
        </w:rPr>
        <w:t xml:space="preserve">, Monash University to undertake an economic evaluation of the </w:t>
      </w:r>
      <w:r w:rsidR="00B800D0" w:rsidRPr="00B800D0">
        <w:rPr>
          <w:b w:val="0"/>
          <w:sz w:val="24"/>
          <w:szCs w:val="24"/>
          <w:highlight w:val="black"/>
        </w:rPr>
        <w:t>xxxxxx</w:t>
      </w:r>
      <w:r w:rsidRPr="00C65A16">
        <w:rPr>
          <w:b w:val="0"/>
          <w:sz w:val="24"/>
          <w:szCs w:val="24"/>
        </w:rPr>
        <w:t xml:space="preserve"> submission and prepare an evaluation commentary </w:t>
      </w:r>
      <w:bookmarkEnd w:id="8"/>
      <w:r w:rsidRPr="00C65A16">
        <w:rPr>
          <w:b w:val="0"/>
          <w:sz w:val="24"/>
          <w:szCs w:val="24"/>
        </w:rPr>
        <w:t xml:space="preserve">for consideration by the ESC and the PBAC. </w:t>
      </w:r>
      <w:bookmarkStart w:id="9" w:name="_Hlk101266273"/>
      <w:r w:rsidRPr="00C65A16">
        <w:rPr>
          <w:b w:val="0"/>
          <w:sz w:val="24"/>
          <w:szCs w:val="24"/>
        </w:rPr>
        <w:t>The commentary</w:t>
      </w:r>
      <w:r w:rsidR="00E54360" w:rsidRPr="00C65A16">
        <w:rPr>
          <w:b w:val="0"/>
          <w:sz w:val="24"/>
          <w:szCs w:val="24"/>
        </w:rPr>
        <w:t xml:space="preserve"> </w:t>
      </w:r>
      <w:r w:rsidR="008A6972" w:rsidRPr="00C65A16">
        <w:rPr>
          <w:b w:val="0"/>
          <w:sz w:val="24"/>
          <w:szCs w:val="24"/>
        </w:rPr>
        <w:t xml:space="preserve">raised several concerns </w:t>
      </w:r>
      <w:r w:rsidR="00EA17BF" w:rsidRPr="00C65A16">
        <w:rPr>
          <w:b w:val="0"/>
          <w:sz w:val="24"/>
          <w:szCs w:val="24"/>
        </w:rPr>
        <w:t xml:space="preserve">regarding </w:t>
      </w:r>
      <w:r w:rsidR="008A6972" w:rsidRPr="00C65A16">
        <w:rPr>
          <w:b w:val="0"/>
          <w:sz w:val="24"/>
          <w:szCs w:val="24"/>
        </w:rPr>
        <w:t xml:space="preserve">the </w:t>
      </w:r>
      <w:r w:rsidR="004E1B3C" w:rsidRPr="00C65A16">
        <w:rPr>
          <w:b w:val="0"/>
          <w:sz w:val="24"/>
          <w:szCs w:val="24"/>
        </w:rPr>
        <w:t>cost-effectiveness</w:t>
      </w:r>
      <w:r w:rsidR="008A6972" w:rsidRPr="00C65A16">
        <w:rPr>
          <w:b w:val="0"/>
          <w:sz w:val="24"/>
          <w:szCs w:val="24"/>
        </w:rPr>
        <w:t xml:space="preserve"> </w:t>
      </w:r>
      <w:r w:rsidR="00EA17BF" w:rsidRPr="00C65A16">
        <w:rPr>
          <w:b w:val="0"/>
          <w:sz w:val="24"/>
          <w:szCs w:val="24"/>
        </w:rPr>
        <w:t xml:space="preserve">analysis and noted </w:t>
      </w:r>
      <w:r w:rsidR="008A6972" w:rsidRPr="00C65A16">
        <w:rPr>
          <w:b w:val="0"/>
          <w:sz w:val="24"/>
          <w:szCs w:val="24"/>
        </w:rPr>
        <w:t xml:space="preserve">several model inputs were outdated. </w:t>
      </w:r>
      <w:bookmarkEnd w:id="9"/>
      <w:r w:rsidR="00504653" w:rsidRPr="00C65A16">
        <w:rPr>
          <w:b w:val="0"/>
          <w:sz w:val="24"/>
          <w:szCs w:val="24"/>
        </w:rPr>
        <w:t xml:space="preserve">The submitted model’s base case </w:t>
      </w:r>
      <w:r w:rsidR="004E1B3C" w:rsidRPr="00C65A16">
        <w:rPr>
          <w:b w:val="0"/>
          <w:sz w:val="24"/>
          <w:szCs w:val="24"/>
        </w:rPr>
        <w:t>incremental cost-effectiveness ratio (</w:t>
      </w:r>
      <w:r w:rsidR="00504653" w:rsidRPr="00C65A16">
        <w:rPr>
          <w:b w:val="0"/>
          <w:sz w:val="24"/>
          <w:szCs w:val="24"/>
        </w:rPr>
        <w:t>ICER</w:t>
      </w:r>
      <w:r w:rsidR="004E1B3C" w:rsidRPr="00C65A16">
        <w:rPr>
          <w:b w:val="0"/>
          <w:sz w:val="24"/>
          <w:szCs w:val="24"/>
        </w:rPr>
        <w:t>)</w:t>
      </w:r>
      <w:r w:rsidR="00504653" w:rsidRPr="00C65A16">
        <w:rPr>
          <w:b w:val="0"/>
          <w:sz w:val="24"/>
          <w:szCs w:val="24"/>
        </w:rPr>
        <w:t xml:space="preserve"> was estimated to be </w:t>
      </w:r>
      <w:r w:rsidR="00B800D0" w:rsidRPr="00B800D0">
        <w:rPr>
          <w:b w:val="0"/>
          <w:color w:val="000000"/>
          <w:w w:val="58"/>
          <w:sz w:val="24"/>
          <w:szCs w:val="24"/>
          <w:shd w:val="solid" w:color="000000" w:fill="000000"/>
          <w:fitText w:val="1090" w:id="-1402819071"/>
          <w14:textFill>
            <w14:solidFill>
              <w14:srgbClr w14:val="000000">
                <w14:alpha w14:val="100000"/>
              </w14:srgbClr>
            </w14:solidFill>
          </w14:textFill>
        </w:rPr>
        <w:t>||||||||  ||||||||</w:t>
      </w:r>
      <w:r w:rsidR="00B800D0" w:rsidRPr="00B800D0">
        <w:rPr>
          <w:b w:val="0"/>
          <w:sz w:val="24"/>
          <w:szCs w:val="24"/>
        </w:rPr>
        <w:t xml:space="preserve"> </w:t>
      </w:r>
      <w:r w:rsidR="00974827" w:rsidRPr="00B800D0">
        <w:rPr>
          <w:b w:val="0"/>
          <w:sz w:val="24"/>
          <w:szCs w:val="24"/>
        </w:rPr>
        <w:t>per</w:t>
      </w:r>
      <w:r w:rsidR="00974827">
        <w:rPr>
          <w:b w:val="0"/>
          <w:sz w:val="24"/>
          <w:szCs w:val="24"/>
        </w:rPr>
        <w:t xml:space="preserve"> quality-adjusted life-year (</w:t>
      </w:r>
      <w:r w:rsidR="00504653" w:rsidRPr="00C65A16">
        <w:rPr>
          <w:b w:val="0"/>
          <w:sz w:val="24"/>
          <w:szCs w:val="24"/>
        </w:rPr>
        <w:t>QALY</w:t>
      </w:r>
      <w:r w:rsidR="00974827">
        <w:rPr>
          <w:b w:val="0"/>
          <w:sz w:val="24"/>
          <w:szCs w:val="24"/>
        </w:rPr>
        <w:t>)</w:t>
      </w:r>
      <w:r w:rsidR="00504653" w:rsidRPr="00C65A16">
        <w:rPr>
          <w:b w:val="0"/>
          <w:sz w:val="24"/>
          <w:szCs w:val="24"/>
        </w:rPr>
        <w:t xml:space="preserve"> </w:t>
      </w:r>
      <w:r w:rsidR="00974827" w:rsidRPr="00974827">
        <w:rPr>
          <w:b w:val="0"/>
          <w:sz w:val="24"/>
          <w:szCs w:val="24"/>
        </w:rPr>
        <w:t xml:space="preserve">for </w:t>
      </w:r>
      <w:r w:rsidR="00B800D0" w:rsidRPr="00B800D0">
        <w:rPr>
          <w:b w:val="0"/>
          <w:color w:val="000000"/>
          <w:w w:val="58"/>
          <w:sz w:val="24"/>
          <w:szCs w:val="24"/>
          <w:shd w:val="solid" w:color="000000" w:fill="000000"/>
          <w:fitText w:val="1220" w:id="-1402818816"/>
          <w14:textFill>
            <w14:solidFill>
              <w14:srgbClr w14:val="000000">
                <w14:alpha w14:val="100000"/>
              </w14:srgbClr>
            </w14:solidFill>
          </w14:textFill>
        </w:rPr>
        <w:t>|||||||||  |||||||||</w:t>
      </w:r>
      <w:r w:rsidR="00B800D0">
        <w:rPr>
          <w:b w:val="0"/>
          <w:sz w:val="24"/>
          <w:szCs w:val="24"/>
        </w:rPr>
        <w:t xml:space="preserve"> </w:t>
      </w:r>
      <w:r w:rsidR="00504653" w:rsidRPr="00C65A16">
        <w:rPr>
          <w:b w:val="0"/>
          <w:sz w:val="24"/>
          <w:szCs w:val="24"/>
        </w:rPr>
        <w:t xml:space="preserve">over </w:t>
      </w:r>
      <w:r w:rsidR="004E1B3C" w:rsidRPr="00C65A16">
        <w:rPr>
          <w:b w:val="0"/>
          <w:sz w:val="24"/>
          <w:szCs w:val="24"/>
        </w:rPr>
        <w:t xml:space="preserve">a </w:t>
      </w:r>
      <w:r w:rsidR="00B800D0" w:rsidRPr="00B800D0">
        <w:rPr>
          <w:b w:val="0"/>
          <w:sz w:val="24"/>
          <w:szCs w:val="24"/>
          <w:highlight w:val="black"/>
        </w:rPr>
        <w:t>xxxxxxx</w:t>
      </w:r>
      <w:r w:rsidR="004E1B3C" w:rsidRPr="00C65A16">
        <w:rPr>
          <w:b w:val="0"/>
          <w:sz w:val="24"/>
          <w:szCs w:val="24"/>
        </w:rPr>
        <w:t xml:space="preserve"> time horizon</w:t>
      </w:r>
      <w:r w:rsidR="00504653" w:rsidRPr="00C65A16">
        <w:rPr>
          <w:b w:val="0"/>
          <w:sz w:val="24"/>
          <w:szCs w:val="24"/>
        </w:rPr>
        <w:t xml:space="preserve">. </w:t>
      </w:r>
    </w:p>
    <w:p w14:paraId="57ADEFEF" w14:textId="75B8BE81" w:rsidR="00D0080E" w:rsidRPr="00746759" w:rsidRDefault="00D0080E" w:rsidP="00004FA2">
      <w:pPr>
        <w:pStyle w:val="PBACHeading10"/>
        <w:keepNext w:val="0"/>
        <w:keepLines w:val="0"/>
        <w:numPr>
          <w:ilvl w:val="1"/>
          <w:numId w:val="9"/>
        </w:numPr>
        <w:ind w:left="720" w:hanging="720"/>
        <w:jc w:val="both"/>
        <w:outlineLvl w:val="9"/>
        <w:rPr>
          <w:b w:val="0"/>
          <w:sz w:val="24"/>
          <w:szCs w:val="24"/>
        </w:rPr>
      </w:pPr>
      <w:r w:rsidRPr="00C65A16">
        <w:rPr>
          <w:b w:val="0"/>
          <w:sz w:val="24"/>
          <w:szCs w:val="24"/>
        </w:rPr>
        <w:t>Due to the issues</w:t>
      </w:r>
      <w:r w:rsidR="00EA17BF" w:rsidRPr="00C65A16">
        <w:rPr>
          <w:b w:val="0"/>
          <w:sz w:val="24"/>
          <w:szCs w:val="24"/>
        </w:rPr>
        <w:t xml:space="preserve"> raised in the </w:t>
      </w:r>
      <w:r w:rsidR="004E1B3C" w:rsidRPr="00C65A16">
        <w:rPr>
          <w:b w:val="0"/>
          <w:sz w:val="24"/>
          <w:szCs w:val="24"/>
        </w:rPr>
        <w:t xml:space="preserve">evaluation </w:t>
      </w:r>
      <w:r w:rsidR="00EA17BF" w:rsidRPr="00C65A16">
        <w:rPr>
          <w:b w:val="0"/>
          <w:sz w:val="24"/>
          <w:szCs w:val="24"/>
        </w:rPr>
        <w:t>commentary of</w:t>
      </w:r>
      <w:r w:rsidRPr="00C65A16">
        <w:rPr>
          <w:b w:val="0"/>
          <w:sz w:val="24"/>
          <w:szCs w:val="24"/>
        </w:rPr>
        <w:t xml:space="preserve"> the </w:t>
      </w:r>
      <w:r w:rsidR="00B800D0" w:rsidRPr="00B800D0">
        <w:rPr>
          <w:b w:val="0"/>
          <w:sz w:val="24"/>
          <w:szCs w:val="24"/>
          <w:highlight w:val="black"/>
        </w:rPr>
        <w:t>xxxxxx</w:t>
      </w:r>
      <w:r w:rsidRPr="00C65A16">
        <w:rPr>
          <w:b w:val="0"/>
          <w:sz w:val="24"/>
          <w:szCs w:val="24"/>
        </w:rPr>
        <w:t xml:space="preserve"> submission</w:t>
      </w:r>
      <w:r w:rsidRPr="00746759">
        <w:rPr>
          <w:b w:val="0"/>
          <w:sz w:val="24"/>
          <w:szCs w:val="24"/>
        </w:rPr>
        <w:t>, the C</w:t>
      </w:r>
      <w:r w:rsidR="007141E3" w:rsidRPr="00746759">
        <w:rPr>
          <w:b w:val="0"/>
          <w:sz w:val="24"/>
          <w:szCs w:val="24"/>
        </w:rPr>
        <w:t>HE</w:t>
      </w:r>
      <w:r w:rsidRPr="00746759">
        <w:rPr>
          <w:b w:val="0"/>
          <w:sz w:val="24"/>
          <w:szCs w:val="24"/>
        </w:rPr>
        <w:t xml:space="preserve">, Monash University was contracted to conduct a </w:t>
      </w:r>
      <w:r w:rsidRPr="00B60480">
        <w:rPr>
          <w:b w:val="0"/>
          <w:i/>
          <w:iCs/>
          <w:sz w:val="24"/>
          <w:szCs w:val="24"/>
        </w:rPr>
        <w:t xml:space="preserve">CER of specified combinations of medicines for smoking cessation and estimates </w:t>
      </w:r>
      <w:r w:rsidR="006D6519" w:rsidRPr="00B60480">
        <w:rPr>
          <w:b w:val="0"/>
          <w:i/>
          <w:iCs/>
          <w:sz w:val="24"/>
          <w:szCs w:val="24"/>
        </w:rPr>
        <w:t>of the cost to</w:t>
      </w:r>
      <w:r w:rsidRPr="00B60480">
        <w:rPr>
          <w:b w:val="0"/>
          <w:i/>
          <w:iCs/>
          <w:sz w:val="24"/>
          <w:szCs w:val="24"/>
        </w:rPr>
        <w:t xml:space="preserve"> the PBS</w:t>
      </w:r>
      <w:r w:rsidR="002C646B">
        <w:rPr>
          <w:b w:val="0"/>
          <w:sz w:val="24"/>
          <w:szCs w:val="24"/>
        </w:rPr>
        <w:t xml:space="preserve"> under ToR 4 of the Review</w:t>
      </w:r>
      <w:r w:rsidRPr="00746759">
        <w:rPr>
          <w:b w:val="0"/>
          <w:sz w:val="24"/>
          <w:szCs w:val="24"/>
        </w:rPr>
        <w:t xml:space="preserve">. The purpose of the CER </w:t>
      </w:r>
      <w:r w:rsidR="00805998" w:rsidRPr="00746759">
        <w:rPr>
          <w:b w:val="0"/>
          <w:sz w:val="24"/>
          <w:szCs w:val="24"/>
        </w:rPr>
        <w:t>wa</w:t>
      </w:r>
      <w:r w:rsidRPr="00746759">
        <w:rPr>
          <w:b w:val="0"/>
          <w:sz w:val="24"/>
          <w:szCs w:val="24"/>
        </w:rPr>
        <w:t>s to provide the PBAC with information on the cost-effectiveness of PBS-listed therapies (VAR and NRT), administered either as monotherapy or combination therapy.</w:t>
      </w:r>
    </w:p>
    <w:p w14:paraId="46DA920B" w14:textId="77777777" w:rsidR="00D0080E" w:rsidRPr="00B83C38" w:rsidRDefault="00D0080E" w:rsidP="00004FA2">
      <w:pPr>
        <w:pStyle w:val="PBACHeading10"/>
        <w:keepNext w:val="0"/>
        <w:keepLines w:val="0"/>
        <w:numPr>
          <w:ilvl w:val="1"/>
          <w:numId w:val="9"/>
        </w:numPr>
        <w:ind w:left="720" w:hanging="720"/>
        <w:jc w:val="both"/>
        <w:outlineLvl w:val="9"/>
        <w:rPr>
          <w:b w:val="0"/>
          <w:sz w:val="24"/>
          <w:szCs w:val="24"/>
        </w:rPr>
      </w:pPr>
      <w:r w:rsidRPr="00B83C38">
        <w:rPr>
          <w:b w:val="0"/>
          <w:sz w:val="24"/>
          <w:szCs w:val="24"/>
        </w:rPr>
        <w:t xml:space="preserve">The </w:t>
      </w:r>
      <w:r>
        <w:rPr>
          <w:b w:val="0"/>
          <w:sz w:val="24"/>
          <w:szCs w:val="24"/>
        </w:rPr>
        <w:t>CER</w:t>
      </w:r>
      <w:r w:rsidRPr="00B83C38">
        <w:rPr>
          <w:b w:val="0"/>
          <w:sz w:val="24"/>
          <w:szCs w:val="24"/>
        </w:rPr>
        <w:t xml:space="preserve"> assessed the cost-effectiveness of the following comparisons of medicines for smoking cessation:</w:t>
      </w:r>
    </w:p>
    <w:p w14:paraId="4A219141" w14:textId="77777777" w:rsidR="00D0080E" w:rsidRPr="0067749F" w:rsidRDefault="00D0080E" w:rsidP="00E36CB9">
      <w:pPr>
        <w:pStyle w:val="PBACHeading10"/>
        <w:keepNext w:val="0"/>
        <w:keepLines w:val="0"/>
        <w:numPr>
          <w:ilvl w:val="0"/>
          <w:numId w:val="10"/>
        </w:numPr>
        <w:spacing w:after="0"/>
        <w:ind w:left="1077" w:hanging="357"/>
        <w:jc w:val="both"/>
        <w:outlineLvl w:val="9"/>
        <w:rPr>
          <w:b w:val="0"/>
          <w:sz w:val="24"/>
          <w:szCs w:val="24"/>
        </w:rPr>
      </w:pPr>
      <w:r w:rsidRPr="0067749F">
        <w:rPr>
          <w:b w:val="0"/>
          <w:sz w:val="24"/>
          <w:szCs w:val="24"/>
        </w:rPr>
        <w:t>V</w:t>
      </w:r>
      <w:r>
        <w:rPr>
          <w:b w:val="0"/>
          <w:sz w:val="24"/>
          <w:szCs w:val="24"/>
        </w:rPr>
        <w:t>AR</w:t>
      </w:r>
      <w:r w:rsidRPr="0067749F">
        <w:rPr>
          <w:b w:val="0"/>
          <w:sz w:val="24"/>
          <w:szCs w:val="24"/>
        </w:rPr>
        <w:t xml:space="preserve"> </w:t>
      </w:r>
      <w:r w:rsidRPr="0067749F">
        <w:rPr>
          <w:b w:val="0"/>
          <w:i/>
          <w:sz w:val="24"/>
          <w:szCs w:val="24"/>
        </w:rPr>
        <w:t>versus</w:t>
      </w:r>
      <w:r w:rsidRPr="0067749F">
        <w:rPr>
          <w:b w:val="0"/>
          <w:sz w:val="24"/>
          <w:szCs w:val="24"/>
        </w:rPr>
        <w:t xml:space="preserve"> NRT</w:t>
      </w:r>
    </w:p>
    <w:p w14:paraId="04CE3B9D" w14:textId="77777777" w:rsidR="00D0080E" w:rsidRPr="0067749F" w:rsidRDefault="00D0080E" w:rsidP="00E36CB9">
      <w:pPr>
        <w:pStyle w:val="PBACHeading10"/>
        <w:keepNext w:val="0"/>
        <w:keepLines w:val="0"/>
        <w:numPr>
          <w:ilvl w:val="0"/>
          <w:numId w:val="10"/>
        </w:numPr>
        <w:spacing w:after="0"/>
        <w:ind w:left="1077" w:hanging="357"/>
        <w:jc w:val="both"/>
        <w:outlineLvl w:val="9"/>
        <w:rPr>
          <w:b w:val="0"/>
          <w:sz w:val="24"/>
          <w:szCs w:val="24"/>
        </w:rPr>
      </w:pPr>
      <w:r w:rsidRPr="0067749F">
        <w:rPr>
          <w:b w:val="0"/>
          <w:sz w:val="24"/>
          <w:szCs w:val="24"/>
        </w:rPr>
        <w:t>V</w:t>
      </w:r>
      <w:r>
        <w:rPr>
          <w:b w:val="0"/>
          <w:sz w:val="24"/>
          <w:szCs w:val="24"/>
        </w:rPr>
        <w:t>AR</w:t>
      </w:r>
      <w:r w:rsidRPr="0067749F">
        <w:rPr>
          <w:b w:val="0"/>
          <w:sz w:val="24"/>
          <w:szCs w:val="24"/>
        </w:rPr>
        <w:t xml:space="preserve">+NRT </w:t>
      </w:r>
      <w:r w:rsidRPr="00E36CB9">
        <w:rPr>
          <w:b w:val="0"/>
          <w:sz w:val="24"/>
          <w:szCs w:val="24"/>
        </w:rPr>
        <w:t>versus</w:t>
      </w:r>
      <w:r w:rsidRPr="0067749F">
        <w:rPr>
          <w:b w:val="0"/>
          <w:sz w:val="24"/>
          <w:szCs w:val="24"/>
        </w:rPr>
        <w:t xml:space="preserve"> </w:t>
      </w:r>
      <w:r>
        <w:rPr>
          <w:b w:val="0"/>
          <w:sz w:val="24"/>
          <w:szCs w:val="24"/>
        </w:rPr>
        <w:t>VAR</w:t>
      </w:r>
    </w:p>
    <w:p w14:paraId="76D1B712" w14:textId="77777777" w:rsidR="00D0080E" w:rsidRPr="0067749F" w:rsidRDefault="00D0080E" w:rsidP="00E36CB9">
      <w:pPr>
        <w:pStyle w:val="PBACHeading10"/>
        <w:keepNext w:val="0"/>
        <w:keepLines w:val="0"/>
        <w:numPr>
          <w:ilvl w:val="0"/>
          <w:numId w:val="10"/>
        </w:numPr>
        <w:spacing w:after="0"/>
        <w:ind w:left="1077" w:hanging="357"/>
        <w:jc w:val="both"/>
        <w:outlineLvl w:val="9"/>
        <w:rPr>
          <w:b w:val="0"/>
          <w:sz w:val="24"/>
          <w:szCs w:val="24"/>
        </w:rPr>
      </w:pPr>
      <w:r>
        <w:rPr>
          <w:b w:val="0"/>
          <w:sz w:val="24"/>
          <w:szCs w:val="24"/>
        </w:rPr>
        <w:t xml:space="preserve">VAR+NRT </w:t>
      </w:r>
      <w:r w:rsidRPr="00E36CB9">
        <w:rPr>
          <w:b w:val="0"/>
          <w:sz w:val="24"/>
          <w:szCs w:val="24"/>
        </w:rPr>
        <w:t>versus</w:t>
      </w:r>
      <w:r w:rsidRPr="0067749F">
        <w:rPr>
          <w:b w:val="0"/>
          <w:sz w:val="24"/>
          <w:szCs w:val="24"/>
        </w:rPr>
        <w:t xml:space="preserve"> NRT</w:t>
      </w:r>
    </w:p>
    <w:p w14:paraId="666920DA" w14:textId="77777777" w:rsidR="00D0080E" w:rsidRDefault="00D0080E" w:rsidP="00E36CB9">
      <w:pPr>
        <w:pStyle w:val="PBACHeading10"/>
        <w:keepNext w:val="0"/>
        <w:keepLines w:val="0"/>
        <w:numPr>
          <w:ilvl w:val="0"/>
          <w:numId w:val="10"/>
        </w:numPr>
        <w:spacing w:after="0"/>
        <w:ind w:left="1077" w:hanging="357"/>
        <w:jc w:val="both"/>
        <w:outlineLvl w:val="9"/>
        <w:rPr>
          <w:b w:val="0"/>
          <w:sz w:val="24"/>
          <w:szCs w:val="24"/>
        </w:rPr>
      </w:pPr>
      <w:r>
        <w:rPr>
          <w:b w:val="0"/>
          <w:sz w:val="24"/>
          <w:szCs w:val="24"/>
        </w:rPr>
        <w:t>NRT</w:t>
      </w:r>
      <w:r w:rsidRPr="0067749F">
        <w:rPr>
          <w:b w:val="0"/>
          <w:sz w:val="24"/>
          <w:szCs w:val="24"/>
        </w:rPr>
        <w:t xml:space="preserve">+NRT </w:t>
      </w:r>
      <w:r w:rsidRPr="00E36CB9">
        <w:rPr>
          <w:b w:val="0"/>
          <w:sz w:val="24"/>
          <w:szCs w:val="24"/>
        </w:rPr>
        <w:t>versus</w:t>
      </w:r>
      <w:r w:rsidRPr="0067749F">
        <w:rPr>
          <w:b w:val="0"/>
          <w:sz w:val="24"/>
          <w:szCs w:val="24"/>
        </w:rPr>
        <w:t xml:space="preserve"> </w:t>
      </w:r>
      <w:r>
        <w:rPr>
          <w:b w:val="0"/>
          <w:sz w:val="24"/>
          <w:szCs w:val="24"/>
        </w:rPr>
        <w:t>VAR</w:t>
      </w:r>
    </w:p>
    <w:p w14:paraId="6A1E3A03" w14:textId="77777777" w:rsidR="00D0080E" w:rsidRPr="0067749F" w:rsidRDefault="00D0080E" w:rsidP="00E36CB9">
      <w:pPr>
        <w:pStyle w:val="PBACHeading10"/>
        <w:keepNext w:val="0"/>
        <w:keepLines w:val="0"/>
        <w:numPr>
          <w:ilvl w:val="0"/>
          <w:numId w:val="10"/>
        </w:numPr>
        <w:spacing w:after="0"/>
        <w:ind w:left="1077" w:hanging="357"/>
        <w:jc w:val="both"/>
        <w:outlineLvl w:val="9"/>
        <w:rPr>
          <w:b w:val="0"/>
          <w:sz w:val="24"/>
          <w:szCs w:val="24"/>
        </w:rPr>
      </w:pPr>
      <w:r>
        <w:rPr>
          <w:b w:val="0"/>
          <w:sz w:val="24"/>
          <w:szCs w:val="24"/>
        </w:rPr>
        <w:t xml:space="preserve">NRT+NRT </w:t>
      </w:r>
      <w:r w:rsidRPr="00E36CB9">
        <w:rPr>
          <w:b w:val="0"/>
          <w:sz w:val="24"/>
          <w:szCs w:val="24"/>
        </w:rPr>
        <w:t>versus</w:t>
      </w:r>
      <w:r>
        <w:rPr>
          <w:b w:val="0"/>
          <w:sz w:val="24"/>
          <w:szCs w:val="24"/>
        </w:rPr>
        <w:t xml:space="preserve"> NRT</w:t>
      </w:r>
    </w:p>
    <w:p w14:paraId="24A477BB" w14:textId="12791666" w:rsidR="00D0080E" w:rsidRPr="00586553" w:rsidRDefault="00D0080E" w:rsidP="00E36CB9">
      <w:pPr>
        <w:pStyle w:val="PBACHeading10"/>
        <w:keepNext w:val="0"/>
        <w:keepLines w:val="0"/>
        <w:numPr>
          <w:ilvl w:val="0"/>
          <w:numId w:val="10"/>
        </w:numPr>
        <w:ind w:left="1077" w:hanging="357"/>
        <w:jc w:val="both"/>
        <w:outlineLvl w:val="9"/>
        <w:rPr>
          <w:b w:val="0"/>
          <w:sz w:val="24"/>
          <w:szCs w:val="24"/>
        </w:rPr>
      </w:pPr>
      <w:r w:rsidRPr="0067749F">
        <w:rPr>
          <w:b w:val="0"/>
          <w:sz w:val="24"/>
          <w:szCs w:val="24"/>
        </w:rPr>
        <w:t>V</w:t>
      </w:r>
      <w:r>
        <w:rPr>
          <w:b w:val="0"/>
          <w:sz w:val="24"/>
          <w:szCs w:val="24"/>
        </w:rPr>
        <w:t>AR+NRT and NRT+NRT</w:t>
      </w:r>
      <w:r w:rsidRPr="0067749F">
        <w:rPr>
          <w:b w:val="0"/>
          <w:sz w:val="24"/>
          <w:szCs w:val="24"/>
        </w:rPr>
        <w:t xml:space="preserve"> </w:t>
      </w:r>
      <w:r w:rsidRPr="00E36CB9">
        <w:rPr>
          <w:b w:val="0"/>
          <w:sz w:val="24"/>
          <w:szCs w:val="24"/>
        </w:rPr>
        <w:t>versus</w:t>
      </w:r>
      <w:r w:rsidRPr="0067749F">
        <w:rPr>
          <w:b w:val="0"/>
          <w:sz w:val="24"/>
          <w:szCs w:val="24"/>
        </w:rPr>
        <w:t xml:space="preserve"> </w:t>
      </w:r>
      <w:r>
        <w:rPr>
          <w:b w:val="0"/>
          <w:sz w:val="24"/>
          <w:szCs w:val="24"/>
        </w:rPr>
        <w:t>VAR+NRT</w:t>
      </w:r>
      <w:r w:rsidR="00E36CB9">
        <w:rPr>
          <w:b w:val="0"/>
          <w:sz w:val="24"/>
          <w:szCs w:val="24"/>
        </w:rPr>
        <w:t>.</w:t>
      </w:r>
    </w:p>
    <w:p w14:paraId="54921753" w14:textId="77777777" w:rsidR="00D0080E" w:rsidRPr="00BE14B4" w:rsidRDefault="00D0080E" w:rsidP="00D0080E">
      <w:pPr>
        <w:tabs>
          <w:tab w:val="left" w:pos="851"/>
          <w:tab w:val="left" w:pos="1701"/>
          <w:tab w:val="left" w:pos="2552"/>
        </w:tabs>
        <w:spacing w:after="120"/>
        <w:ind w:left="709"/>
        <w:jc w:val="both"/>
        <w:rPr>
          <w:rFonts w:asciiTheme="minorHAnsi" w:hAnsiTheme="minorHAnsi" w:cstheme="minorHAnsi"/>
          <w:lang w:eastAsia="en-AU"/>
        </w:rPr>
      </w:pPr>
      <w:r w:rsidRPr="00BE14B4">
        <w:rPr>
          <w:rFonts w:asciiTheme="minorHAnsi" w:hAnsiTheme="minorHAnsi" w:cstheme="minorHAnsi"/>
          <w:lang w:eastAsia="en-AU"/>
        </w:rPr>
        <w:lastRenderedPageBreak/>
        <w:t>And thus, provided evidence on the cost</w:t>
      </w:r>
      <w:r>
        <w:rPr>
          <w:rFonts w:asciiTheme="minorHAnsi" w:hAnsiTheme="minorHAnsi" w:cstheme="minorHAnsi"/>
          <w:lang w:eastAsia="en-AU"/>
        </w:rPr>
        <w:t>-</w:t>
      </w:r>
      <w:r w:rsidRPr="00BE14B4">
        <w:rPr>
          <w:rFonts w:asciiTheme="minorHAnsi" w:hAnsiTheme="minorHAnsi" w:cstheme="minorHAnsi"/>
          <w:lang w:eastAsia="en-AU"/>
        </w:rPr>
        <w:t>effectiveness of the potential PBS listing of</w:t>
      </w:r>
      <w:r>
        <w:rPr>
          <w:rFonts w:asciiTheme="minorHAnsi" w:hAnsiTheme="minorHAnsi" w:cstheme="minorHAnsi"/>
          <w:lang w:eastAsia="en-AU"/>
        </w:rPr>
        <w:t xml:space="preserve"> the following scenarios:</w:t>
      </w:r>
    </w:p>
    <w:p w14:paraId="0395B58E" w14:textId="77777777" w:rsidR="00D0080E" w:rsidRPr="00BE14B4" w:rsidRDefault="00D0080E" w:rsidP="00004FA2">
      <w:pPr>
        <w:pStyle w:val="PBACHeading10"/>
        <w:keepNext w:val="0"/>
        <w:keepLines w:val="0"/>
        <w:numPr>
          <w:ilvl w:val="0"/>
          <w:numId w:val="11"/>
        </w:numPr>
        <w:spacing w:after="0"/>
        <w:jc w:val="both"/>
        <w:outlineLvl w:val="9"/>
        <w:rPr>
          <w:b w:val="0"/>
          <w:sz w:val="24"/>
          <w:szCs w:val="24"/>
        </w:rPr>
      </w:pPr>
      <w:r>
        <w:rPr>
          <w:b w:val="0"/>
          <w:sz w:val="24"/>
          <w:szCs w:val="24"/>
        </w:rPr>
        <w:t>VAR+NRT</w:t>
      </w:r>
      <w:r w:rsidRPr="00BE14B4">
        <w:rPr>
          <w:b w:val="0"/>
          <w:sz w:val="24"/>
          <w:szCs w:val="24"/>
        </w:rPr>
        <w:t xml:space="preserve"> only</w:t>
      </w:r>
    </w:p>
    <w:p w14:paraId="2162B95E" w14:textId="77777777" w:rsidR="00D0080E" w:rsidRPr="00F66E51" w:rsidRDefault="00D0080E" w:rsidP="00004FA2">
      <w:pPr>
        <w:pStyle w:val="PBACHeading10"/>
        <w:keepNext w:val="0"/>
        <w:keepLines w:val="0"/>
        <w:numPr>
          <w:ilvl w:val="0"/>
          <w:numId w:val="11"/>
        </w:numPr>
        <w:spacing w:after="0"/>
        <w:jc w:val="both"/>
        <w:outlineLvl w:val="9"/>
        <w:rPr>
          <w:b w:val="0"/>
          <w:sz w:val="24"/>
          <w:szCs w:val="24"/>
        </w:rPr>
      </w:pPr>
      <w:r w:rsidRPr="00BE14B4">
        <w:rPr>
          <w:b w:val="0"/>
          <w:sz w:val="24"/>
          <w:szCs w:val="24"/>
        </w:rPr>
        <w:t>NRT</w:t>
      </w:r>
      <w:r>
        <w:rPr>
          <w:b w:val="0"/>
          <w:sz w:val="24"/>
          <w:szCs w:val="24"/>
        </w:rPr>
        <w:t>+NRT</w:t>
      </w:r>
      <w:r w:rsidRPr="00BE14B4">
        <w:rPr>
          <w:b w:val="0"/>
          <w:sz w:val="24"/>
          <w:szCs w:val="24"/>
        </w:rPr>
        <w:t xml:space="preserve"> only</w:t>
      </w:r>
    </w:p>
    <w:p w14:paraId="636E0823" w14:textId="744B3605" w:rsidR="00D0080E" w:rsidRPr="0021464D" w:rsidRDefault="00D0080E" w:rsidP="00004FA2">
      <w:pPr>
        <w:pStyle w:val="PBACHeading10"/>
        <w:keepNext w:val="0"/>
        <w:keepLines w:val="0"/>
        <w:numPr>
          <w:ilvl w:val="0"/>
          <w:numId w:val="11"/>
        </w:numPr>
        <w:jc w:val="both"/>
        <w:outlineLvl w:val="9"/>
        <w:rPr>
          <w:b w:val="0"/>
          <w:sz w:val="24"/>
          <w:szCs w:val="24"/>
        </w:rPr>
      </w:pPr>
      <w:r w:rsidRPr="00BE14B4">
        <w:rPr>
          <w:b w:val="0"/>
          <w:sz w:val="24"/>
          <w:szCs w:val="24"/>
        </w:rPr>
        <w:t xml:space="preserve">both </w:t>
      </w:r>
      <w:r>
        <w:rPr>
          <w:b w:val="0"/>
          <w:sz w:val="24"/>
          <w:szCs w:val="24"/>
        </w:rPr>
        <w:t>VAR+</w:t>
      </w:r>
      <w:r w:rsidRPr="00BE14B4">
        <w:rPr>
          <w:b w:val="0"/>
          <w:sz w:val="24"/>
          <w:szCs w:val="24"/>
        </w:rPr>
        <w:t>NRT</w:t>
      </w:r>
      <w:r>
        <w:rPr>
          <w:b w:val="0"/>
          <w:sz w:val="24"/>
          <w:szCs w:val="24"/>
        </w:rPr>
        <w:t xml:space="preserve"> and</w:t>
      </w:r>
      <w:r w:rsidR="007F4B5F">
        <w:rPr>
          <w:b w:val="0"/>
          <w:sz w:val="24"/>
          <w:szCs w:val="24"/>
        </w:rPr>
        <w:t xml:space="preserve"> </w:t>
      </w:r>
      <w:r>
        <w:rPr>
          <w:b w:val="0"/>
          <w:sz w:val="24"/>
          <w:szCs w:val="24"/>
        </w:rPr>
        <w:t>NRT+NRT</w:t>
      </w:r>
      <w:r w:rsidR="00E36CB9">
        <w:rPr>
          <w:b w:val="0"/>
          <w:sz w:val="24"/>
          <w:szCs w:val="24"/>
        </w:rPr>
        <w:t>.</w:t>
      </w:r>
    </w:p>
    <w:p w14:paraId="7B2BB744" w14:textId="3E55CB72" w:rsidR="00D0080E" w:rsidRDefault="00D0080E" w:rsidP="00A90A71">
      <w:pPr>
        <w:tabs>
          <w:tab w:val="left" w:pos="851"/>
          <w:tab w:val="left" w:pos="1701"/>
          <w:tab w:val="left" w:pos="2552"/>
        </w:tabs>
        <w:spacing w:after="120"/>
        <w:ind w:left="720"/>
        <w:jc w:val="both"/>
        <w:rPr>
          <w:rFonts w:ascii="Arial" w:hAnsi="Arial"/>
          <w:b/>
          <w:i/>
          <w:sz w:val="22"/>
        </w:rPr>
      </w:pPr>
      <w:r w:rsidRPr="00BE14B4">
        <w:rPr>
          <w:rFonts w:asciiTheme="minorHAnsi" w:hAnsiTheme="minorHAnsi" w:cstheme="minorHAnsi"/>
          <w:lang w:eastAsia="en-AU"/>
        </w:rPr>
        <w:t>The research also provided estimates of the likely financial implications to the PBS of such listings.</w:t>
      </w:r>
    </w:p>
    <w:p w14:paraId="3DE0F062" w14:textId="7C6AA4F5" w:rsidR="00716B0D" w:rsidRDefault="00E072B6" w:rsidP="00A90A71">
      <w:pPr>
        <w:keepNext/>
        <w:spacing w:before="120" w:after="120"/>
        <w:jc w:val="both"/>
        <w:outlineLvl w:val="1"/>
      </w:pPr>
      <w:bookmarkStart w:id="10" w:name="_Hlk99535605"/>
      <w:r w:rsidRPr="00A90A71">
        <w:rPr>
          <w:rFonts w:asciiTheme="minorHAnsi" w:hAnsiTheme="minorHAnsi" w:cstheme="minorHAnsi"/>
          <w:b/>
          <w:i/>
          <w:sz w:val="28"/>
          <w:szCs w:val="28"/>
        </w:rPr>
        <w:t>Varenicline shortage</w:t>
      </w:r>
    </w:p>
    <w:bookmarkEnd w:id="10"/>
    <w:p w14:paraId="576B2FA9" w14:textId="3D2E259A" w:rsidR="00716B0D" w:rsidRPr="00A90A71" w:rsidRDefault="00903523" w:rsidP="00CC0DD5">
      <w:pPr>
        <w:pStyle w:val="PBACHeading10"/>
        <w:keepNext w:val="0"/>
        <w:keepLines w:val="0"/>
        <w:numPr>
          <w:ilvl w:val="1"/>
          <w:numId w:val="9"/>
        </w:numPr>
        <w:ind w:left="720" w:hanging="720"/>
        <w:jc w:val="both"/>
        <w:outlineLvl w:val="9"/>
        <w:rPr>
          <w:b w:val="0"/>
          <w:sz w:val="24"/>
          <w:szCs w:val="24"/>
        </w:rPr>
      </w:pPr>
      <w:r w:rsidRPr="00A90A71">
        <w:rPr>
          <w:b w:val="0"/>
          <w:sz w:val="24"/>
          <w:szCs w:val="24"/>
        </w:rPr>
        <w:t>There is currently one PBS</w:t>
      </w:r>
      <w:r w:rsidR="008A0955">
        <w:rPr>
          <w:b w:val="0"/>
          <w:sz w:val="24"/>
          <w:szCs w:val="24"/>
        </w:rPr>
        <w:t>-</w:t>
      </w:r>
      <w:r w:rsidRPr="00A90A71">
        <w:rPr>
          <w:b w:val="0"/>
          <w:sz w:val="24"/>
          <w:szCs w:val="24"/>
        </w:rPr>
        <w:t xml:space="preserve">listed brand of </w:t>
      </w:r>
      <w:r w:rsidR="00E45B83">
        <w:rPr>
          <w:b w:val="0"/>
          <w:sz w:val="24"/>
          <w:szCs w:val="24"/>
        </w:rPr>
        <w:t>VAR</w:t>
      </w:r>
      <w:r w:rsidRPr="00A90A71">
        <w:rPr>
          <w:b w:val="0"/>
          <w:sz w:val="24"/>
          <w:szCs w:val="24"/>
        </w:rPr>
        <w:t xml:space="preserve"> (</w:t>
      </w:r>
      <w:r w:rsidR="008A0955">
        <w:rPr>
          <w:b w:val="0"/>
          <w:sz w:val="24"/>
          <w:szCs w:val="24"/>
        </w:rPr>
        <w:t xml:space="preserve">i.e., </w:t>
      </w:r>
      <w:r w:rsidRPr="00A90A71">
        <w:rPr>
          <w:b w:val="0"/>
          <w:sz w:val="24"/>
          <w:szCs w:val="24"/>
        </w:rPr>
        <w:t>Champix) which has been under a supply shortage since 4 June 2021</w:t>
      </w:r>
      <w:r w:rsidR="004B0520">
        <w:rPr>
          <w:b w:val="0"/>
          <w:sz w:val="24"/>
          <w:szCs w:val="24"/>
        </w:rPr>
        <w:t xml:space="preserve">. This </w:t>
      </w:r>
      <w:r w:rsidRPr="00A90A71">
        <w:rPr>
          <w:b w:val="0"/>
          <w:sz w:val="24"/>
          <w:szCs w:val="24"/>
        </w:rPr>
        <w:t>is expected to persist until 31 October 2023.</w:t>
      </w:r>
      <w:r w:rsidR="00266E43" w:rsidRPr="00A90A71">
        <w:rPr>
          <w:b w:val="0"/>
          <w:sz w:val="24"/>
          <w:szCs w:val="24"/>
        </w:rPr>
        <w:t xml:space="preserve"> </w:t>
      </w:r>
    </w:p>
    <w:p w14:paraId="1CD65B1A" w14:textId="56A4ED4E" w:rsidR="007141E3" w:rsidRDefault="00A90A71" w:rsidP="00A90A71">
      <w:pPr>
        <w:pStyle w:val="PBACHeading10"/>
        <w:keepNext w:val="0"/>
        <w:keepLines w:val="0"/>
        <w:numPr>
          <w:ilvl w:val="1"/>
          <w:numId w:val="9"/>
        </w:numPr>
        <w:ind w:left="720" w:hanging="720"/>
        <w:jc w:val="both"/>
        <w:outlineLvl w:val="9"/>
        <w:rPr>
          <w:b w:val="0"/>
          <w:sz w:val="24"/>
          <w:szCs w:val="24"/>
        </w:rPr>
      </w:pPr>
      <w:bookmarkStart w:id="11" w:name="_Hlk95840704"/>
      <w:r>
        <w:rPr>
          <w:b w:val="0"/>
          <w:sz w:val="24"/>
          <w:szCs w:val="24"/>
        </w:rPr>
        <w:t>Figure 1 below show</w:t>
      </w:r>
      <w:r w:rsidR="008A0955">
        <w:rPr>
          <w:b w:val="0"/>
          <w:sz w:val="24"/>
          <w:szCs w:val="24"/>
        </w:rPr>
        <w:t>s</w:t>
      </w:r>
      <w:r>
        <w:rPr>
          <w:b w:val="0"/>
          <w:sz w:val="24"/>
          <w:szCs w:val="24"/>
        </w:rPr>
        <w:t xml:space="preserve"> that </w:t>
      </w:r>
      <w:r w:rsidR="00716B0D" w:rsidRPr="00A90A71">
        <w:rPr>
          <w:b w:val="0"/>
          <w:sz w:val="24"/>
          <w:szCs w:val="24"/>
        </w:rPr>
        <w:t xml:space="preserve">utilisation of </w:t>
      </w:r>
      <w:r w:rsidR="007141E3">
        <w:rPr>
          <w:b w:val="0"/>
          <w:sz w:val="24"/>
          <w:szCs w:val="24"/>
        </w:rPr>
        <w:t>VAR on the PBS has dec</w:t>
      </w:r>
      <w:r w:rsidR="00F86D5D">
        <w:rPr>
          <w:b w:val="0"/>
          <w:sz w:val="24"/>
          <w:szCs w:val="24"/>
        </w:rPr>
        <w:t>lined</w:t>
      </w:r>
      <w:r w:rsidR="007141E3">
        <w:rPr>
          <w:b w:val="0"/>
          <w:sz w:val="24"/>
          <w:szCs w:val="24"/>
        </w:rPr>
        <w:t xml:space="preserve"> from approximately 2</w:t>
      </w:r>
      <w:r w:rsidR="00F86D5D">
        <w:rPr>
          <w:b w:val="0"/>
          <w:sz w:val="24"/>
          <w:szCs w:val="24"/>
        </w:rPr>
        <w:t>2</w:t>
      </w:r>
      <w:r w:rsidR="007141E3">
        <w:rPr>
          <w:b w:val="0"/>
          <w:sz w:val="24"/>
          <w:szCs w:val="24"/>
        </w:rPr>
        <w:t>,000 scripts per month</w:t>
      </w:r>
      <w:r w:rsidR="00F86D5D">
        <w:rPr>
          <w:b w:val="0"/>
          <w:sz w:val="24"/>
          <w:szCs w:val="24"/>
        </w:rPr>
        <w:t>,</w:t>
      </w:r>
      <w:r w:rsidR="007141E3">
        <w:rPr>
          <w:b w:val="0"/>
          <w:sz w:val="24"/>
          <w:szCs w:val="24"/>
        </w:rPr>
        <w:t xml:space="preserve"> before the shortage of VAR</w:t>
      </w:r>
      <w:r w:rsidR="00F86D5D">
        <w:rPr>
          <w:b w:val="0"/>
          <w:sz w:val="24"/>
          <w:szCs w:val="24"/>
        </w:rPr>
        <w:t>,</w:t>
      </w:r>
      <w:r w:rsidR="007141E3">
        <w:rPr>
          <w:b w:val="0"/>
          <w:sz w:val="24"/>
          <w:szCs w:val="24"/>
        </w:rPr>
        <w:t xml:space="preserve"> to approximately 500 scripts per month in February 2022; whilst use of BUP has increased</w:t>
      </w:r>
      <w:r w:rsidR="00F86D5D">
        <w:rPr>
          <w:b w:val="0"/>
          <w:sz w:val="24"/>
          <w:szCs w:val="24"/>
        </w:rPr>
        <w:t xml:space="preserve"> from approximately 2,000 scripts per month to approximately 6,500 scripts per month over the same period.</w:t>
      </w:r>
    </w:p>
    <w:bookmarkEnd w:id="11"/>
    <w:p w14:paraId="7A050971" w14:textId="60007D77" w:rsidR="00A90A71" w:rsidRPr="001007C0" w:rsidRDefault="00A90A71" w:rsidP="001007C0">
      <w:pPr>
        <w:spacing w:after="120"/>
        <w:rPr>
          <w:rFonts w:ascii="Arial Narrow" w:hAnsi="Arial Narrow" w:cstheme="minorHAnsi"/>
          <w:b/>
          <w:bCs/>
          <w:sz w:val="20"/>
          <w:szCs w:val="20"/>
        </w:rPr>
      </w:pPr>
      <w:r w:rsidRPr="000C12B4">
        <w:rPr>
          <w:rFonts w:ascii="Arial Narrow" w:hAnsi="Arial Narrow" w:cstheme="minorHAnsi"/>
          <w:b/>
          <w:bCs/>
          <w:sz w:val="20"/>
          <w:szCs w:val="20"/>
        </w:rPr>
        <w:t xml:space="preserve">Figure 1: </w:t>
      </w:r>
      <w:r w:rsidRPr="000C12B4">
        <w:rPr>
          <w:rFonts w:ascii="Arial Narrow" w:hAnsi="Arial Narrow" w:cs="Calibri"/>
          <w:b/>
          <w:bCs/>
          <w:color w:val="000000"/>
          <w:sz w:val="20"/>
          <w:szCs w:val="20"/>
          <w:lang w:eastAsia="en-AU"/>
        </w:rPr>
        <w:t>Services (</w:t>
      </w:r>
      <w:r w:rsidR="00E36CB9">
        <w:rPr>
          <w:rFonts w:ascii="Arial Narrow" w:hAnsi="Arial Narrow" w:cs="Calibri"/>
          <w:b/>
          <w:bCs/>
          <w:color w:val="000000"/>
          <w:sz w:val="20"/>
          <w:szCs w:val="20"/>
          <w:lang w:eastAsia="en-AU"/>
        </w:rPr>
        <w:t>s</w:t>
      </w:r>
      <w:r w:rsidRPr="000C12B4">
        <w:rPr>
          <w:rFonts w:ascii="Arial Narrow" w:hAnsi="Arial Narrow" w:cs="Calibri"/>
          <w:b/>
          <w:bCs/>
          <w:color w:val="000000"/>
          <w:sz w:val="20"/>
          <w:szCs w:val="20"/>
          <w:lang w:eastAsia="en-AU"/>
        </w:rPr>
        <w:t>cripts) from S</w:t>
      </w:r>
      <w:r w:rsidR="004E1B3C">
        <w:rPr>
          <w:rFonts w:ascii="Arial Narrow" w:hAnsi="Arial Narrow" w:cs="Calibri"/>
          <w:b/>
          <w:bCs/>
          <w:color w:val="000000"/>
          <w:sz w:val="20"/>
          <w:szCs w:val="20"/>
          <w:lang w:eastAsia="en-AU"/>
        </w:rPr>
        <w:t xml:space="preserve">ervices </w:t>
      </w:r>
      <w:r w:rsidRPr="000C12B4">
        <w:rPr>
          <w:rFonts w:ascii="Arial Narrow" w:hAnsi="Arial Narrow" w:cs="Calibri"/>
          <w:b/>
          <w:bCs/>
          <w:color w:val="000000"/>
          <w:sz w:val="20"/>
          <w:szCs w:val="20"/>
          <w:lang w:eastAsia="en-AU"/>
        </w:rPr>
        <w:t>A</w:t>
      </w:r>
      <w:r w:rsidR="004E1B3C">
        <w:rPr>
          <w:rFonts w:ascii="Arial Narrow" w:hAnsi="Arial Narrow" w:cs="Calibri"/>
          <w:b/>
          <w:bCs/>
          <w:color w:val="000000"/>
          <w:sz w:val="20"/>
          <w:szCs w:val="20"/>
          <w:lang w:eastAsia="en-AU"/>
        </w:rPr>
        <w:t>ustralia</w:t>
      </w:r>
      <w:r w:rsidRPr="000C12B4">
        <w:rPr>
          <w:rFonts w:ascii="Arial Narrow" w:hAnsi="Arial Narrow" w:cs="Calibri"/>
          <w:b/>
          <w:bCs/>
          <w:color w:val="000000"/>
          <w:sz w:val="20"/>
          <w:szCs w:val="20"/>
          <w:lang w:eastAsia="en-AU"/>
        </w:rPr>
        <w:t xml:space="preserve"> data - based on date of processing</w:t>
      </w:r>
    </w:p>
    <w:p w14:paraId="2442C531" w14:textId="6C5AABA3" w:rsidR="00A90A71" w:rsidRPr="00A90A71" w:rsidRDefault="00752D3D" w:rsidP="00A90A71">
      <w:pPr>
        <w:jc w:val="both"/>
        <w:rPr>
          <w:rFonts w:ascii="Arial Narrow" w:hAnsi="Arial Narrow" w:cs="Calibri"/>
          <w:b/>
          <w:bCs/>
          <w:color w:val="000000"/>
          <w:sz w:val="20"/>
          <w:szCs w:val="20"/>
          <w:lang w:eastAsia="en-AU"/>
        </w:rPr>
      </w:pPr>
      <w:r>
        <w:rPr>
          <w:rFonts w:ascii="Arial Narrow" w:hAnsi="Arial Narrow" w:cs="Calibri"/>
          <w:b/>
          <w:bCs/>
          <w:noProof/>
          <w:color w:val="000000"/>
          <w:sz w:val="20"/>
          <w:szCs w:val="20"/>
          <w:lang w:eastAsia="en-AU"/>
        </w:rPr>
        <w:drawing>
          <wp:inline distT="0" distB="0" distL="0" distR="0" wp14:anchorId="6D777869" wp14:editId="1B533913">
            <wp:extent cx="5715000" cy="3149600"/>
            <wp:effectExtent l="0" t="0" r="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9C07E9" w14:textId="7A082949" w:rsidR="00A90A71" w:rsidRPr="000F4C09" w:rsidRDefault="00B0724B" w:rsidP="000F4C09">
      <w:pPr>
        <w:spacing w:after="120"/>
        <w:jc w:val="both"/>
        <w:rPr>
          <w:rFonts w:ascii="Arial Narrow" w:hAnsi="Arial Narrow" w:cstheme="minorHAnsi"/>
          <w:b/>
          <w:bCs/>
          <w:sz w:val="20"/>
          <w:szCs w:val="20"/>
        </w:rPr>
      </w:pPr>
      <w:r w:rsidRPr="00B0724B">
        <w:rPr>
          <w:rFonts w:ascii="Arial Narrow" w:hAnsi="Arial Narrow" w:cstheme="minorHAnsi"/>
          <w:bCs/>
          <w:sz w:val="20"/>
          <w:szCs w:val="20"/>
        </w:rPr>
        <w:t xml:space="preserve">Note: </w:t>
      </w:r>
      <w:r w:rsidRPr="00B0724B">
        <w:rPr>
          <w:rFonts w:ascii="Arial Narrow" w:hAnsi="Arial Narrow" w:cstheme="minorHAnsi"/>
          <w:sz w:val="20"/>
          <w:szCs w:val="20"/>
        </w:rPr>
        <w:t>NRT service numbers include</w:t>
      </w:r>
      <w:r w:rsidRPr="00B0724B">
        <w:rPr>
          <w:rFonts w:ascii="Arial Narrow" w:hAnsi="Arial Narrow" w:cstheme="minorHAnsi"/>
          <w:b/>
          <w:bCs/>
          <w:sz w:val="20"/>
          <w:szCs w:val="20"/>
        </w:rPr>
        <w:t xml:space="preserve"> </w:t>
      </w:r>
      <w:r w:rsidR="002E19F8">
        <w:rPr>
          <w:rFonts w:ascii="Arial Narrow" w:hAnsi="Arial Narrow" w:cstheme="minorHAnsi"/>
          <w:sz w:val="20"/>
          <w:szCs w:val="20"/>
        </w:rPr>
        <w:t xml:space="preserve">both PBS and </w:t>
      </w:r>
      <w:r w:rsidRPr="00B0724B">
        <w:rPr>
          <w:rFonts w:ascii="Arial Narrow" w:hAnsi="Arial Narrow" w:cstheme="minorHAnsi"/>
          <w:sz w:val="20"/>
          <w:szCs w:val="20"/>
        </w:rPr>
        <w:t>RPBS items</w:t>
      </w:r>
      <w:r>
        <w:rPr>
          <w:rFonts w:ascii="Arial Narrow" w:hAnsi="Arial Narrow" w:cstheme="minorHAnsi"/>
          <w:sz w:val="20"/>
          <w:szCs w:val="20"/>
        </w:rPr>
        <w:t>.</w:t>
      </w:r>
    </w:p>
    <w:p w14:paraId="7CD684C8" w14:textId="352788BB" w:rsidR="005E2CA3" w:rsidRPr="005E2CA3" w:rsidRDefault="005E2CA3" w:rsidP="005E2CA3">
      <w:pPr>
        <w:pStyle w:val="PBACHeading10"/>
        <w:keepNext w:val="0"/>
        <w:keepLines w:val="0"/>
        <w:numPr>
          <w:ilvl w:val="1"/>
          <w:numId w:val="9"/>
        </w:numPr>
        <w:ind w:left="720" w:hanging="720"/>
        <w:jc w:val="both"/>
        <w:outlineLvl w:val="9"/>
        <w:rPr>
          <w:b w:val="0"/>
          <w:sz w:val="24"/>
          <w:szCs w:val="24"/>
        </w:rPr>
      </w:pPr>
      <w:bookmarkStart w:id="12" w:name="_Hlk99359948"/>
      <w:r w:rsidRPr="005E2CA3">
        <w:rPr>
          <w:b w:val="0"/>
          <w:sz w:val="24"/>
          <w:szCs w:val="24"/>
        </w:rPr>
        <w:t>In March 2022, the PBAC recommended the listing of a section 19A product (VAR, 1 mg tablet, APO-Varenicline (Canada)) at the requested price for the duration of the section 19A approval (expiry date: 28 February 2023)</w:t>
      </w:r>
      <w:r w:rsidR="00F86D5D">
        <w:rPr>
          <w:b w:val="0"/>
          <w:sz w:val="24"/>
          <w:szCs w:val="24"/>
        </w:rPr>
        <w:t>,</w:t>
      </w:r>
      <w:r w:rsidRPr="005E2CA3">
        <w:rPr>
          <w:b w:val="0"/>
          <w:sz w:val="24"/>
          <w:szCs w:val="24"/>
        </w:rPr>
        <w:t xml:space="preserve"> as an alternative brand to Champix (VAR, 1 mg tablet). The Section 19A product w</w:t>
      </w:r>
      <w:r w:rsidR="00805998">
        <w:rPr>
          <w:b w:val="0"/>
          <w:sz w:val="24"/>
          <w:szCs w:val="24"/>
        </w:rPr>
        <w:t>ould</w:t>
      </w:r>
      <w:r w:rsidRPr="005E2CA3">
        <w:rPr>
          <w:b w:val="0"/>
          <w:sz w:val="24"/>
          <w:szCs w:val="24"/>
        </w:rPr>
        <w:t xml:space="preserve"> have the same PBS restrictions as the registered Champix product in shortage. The PBAC noted that the </w:t>
      </w:r>
      <w:r w:rsidRPr="005E2CA3">
        <w:rPr>
          <w:b w:val="0"/>
          <w:sz w:val="24"/>
          <w:szCs w:val="24"/>
        </w:rPr>
        <w:lastRenderedPageBreak/>
        <w:t>section 19A approval applie</w:t>
      </w:r>
      <w:r w:rsidR="00805998">
        <w:rPr>
          <w:b w:val="0"/>
          <w:sz w:val="24"/>
          <w:szCs w:val="24"/>
        </w:rPr>
        <w:t>d</w:t>
      </w:r>
      <w:r w:rsidRPr="005E2CA3">
        <w:rPr>
          <w:b w:val="0"/>
          <w:sz w:val="24"/>
          <w:szCs w:val="24"/>
        </w:rPr>
        <w:t xml:space="preserve"> only in respect to the continuation pack and that the section 19A product would only be accessible to patients who ha</w:t>
      </w:r>
      <w:r w:rsidR="00805998">
        <w:rPr>
          <w:b w:val="0"/>
          <w:sz w:val="24"/>
          <w:szCs w:val="24"/>
        </w:rPr>
        <w:t>d</w:t>
      </w:r>
      <w:r w:rsidRPr="005E2CA3">
        <w:rPr>
          <w:b w:val="0"/>
          <w:sz w:val="24"/>
          <w:szCs w:val="24"/>
        </w:rPr>
        <w:t xml:space="preserve"> </w:t>
      </w:r>
      <w:r w:rsidR="007273A4">
        <w:rPr>
          <w:b w:val="0"/>
          <w:sz w:val="24"/>
          <w:szCs w:val="24"/>
        </w:rPr>
        <w:t>received treatment</w:t>
      </w:r>
      <w:r w:rsidRPr="005E2CA3">
        <w:rPr>
          <w:b w:val="0"/>
          <w:sz w:val="24"/>
          <w:szCs w:val="24"/>
        </w:rPr>
        <w:t xml:space="preserve"> </w:t>
      </w:r>
      <w:r w:rsidR="007273A4">
        <w:rPr>
          <w:b w:val="0"/>
          <w:sz w:val="24"/>
          <w:szCs w:val="24"/>
        </w:rPr>
        <w:t>with</w:t>
      </w:r>
      <w:r w:rsidRPr="005E2CA3">
        <w:rPr>
          <w:b w:val="0"/>
          <w:sz w:val="24"/>
          <w:szCs w:val="24"/>
        </w:rPr>
        <w:t xml:space="preserve"> the initiation pack</w:t>
      </w:r>
      <w:r w:rsidR="007273A4">
        <w:rPr>
          <w:b w:val="0"/>
          <w:sz w:val="24"/>
          <w:szCs w:val="24"/>
        </w:rPr>
        <w:t>,</w:t>
      </w:r>
      <w:r w:rsidRPr="005E2CA3">
        <w:rPr>
          <w:b w:val="0"/>
          <w:sz w:val="24"/>
          <w:szCs w:val="24"/>
        </w:rPr>
        <w:t xml:space="preserve"> as required under the current PBS restrictions.</w:t>
      </w:r>
    </w:p>
    <w:p w14:paraId="5C25F7FA" w14:textId="5E9107F2" w:rsidR="0060086A" w:rsidRPr="0060086A" w:rsidRDefault="0060086A" w:rsidP="0060086A">
      <w:pPr>
        <w:keepNext/>
        <w:spacing w:before="120" w:after="120"/>
        <w:jc w:val="both"/>
        <w:outlineLvl w:val="1"/>
        <w:rPr>
          <w:rFonts w:asciiTheme="minorHAnsi" w:hAnsiTheme="minorHAnsi" w:cstheme="minorHAnsi"/>
          <w:b/>
          <w:i/>
          <w:sz w:val="28"/>
          <w:szCs w:val="28"/>
        </w:rPr>
      </w:pPr>
      <w:r>
        <w:rPr>
          <w:rFonts w:asciiTheme="minorHAnsi" w:hAnsiTheme="minorHAnsi" w:cstheme="minorHAnsi"/>
          <w:b/>
          <w:i/>
          <w:sz w:val="28"/>
          <w:szCs w:val="28"/>
        </w:rPr>
        <w:t xml:space="preserve">Queensland Quitline: </w:t>
      </w:r>
      <w:r w:rsidR="00F86D5D">
        <w:rPr>
          <w:rFonts w:asciiTheme="minorHAnsi" w:hAnsiTheme="minorHAnsi" w:cstheme="minorHAnsi"/>
          <w:b/>
          <w:i/>
          <w:sz w:val="28"/>
          <w:szCs w:val="28"/>
        </w:rPr>
        <w:t>‘</w:t>
      </w:r>
      <w:r w:rsidRPr="0060086A">
        <w:rPr>
          <w:rFonts w:asciiTheme="minorHAnsi" w:hAnsiTheme="minorHAnsi" w:cstheme="minorHAnsi"/>
          <w:b/>
          <w:i/>
          <w:sz w:val="28"/>
          <w:szCs w:val="28"/>
        </w:rPr>
        <w:t>Intensive Quit Support Program</w:t>
      </w:r>
      <w:r w:rsidR="00F86D5D">
        <w:rPr>
          <w:rFonts w:asciiTheme="minorHAnsi" w:hAnsiTheme="minorHAnsi" w:cstheme="minorHAnsi"/>
          <w:b/>
          <w:i/>
          <w:sz w:val="28"/>
          <w:szCs w:val="28"/>
        </w:rPr>
        <w:t>’</w:t>
      </w:r>
    </w:p>
    <w:p w14:paraId="5F54A56A" w14:textId="3777E0A6" w:rsidR="00A45320" w:rsidRPr="008A0955" w:rsidRDefault="007C74B9" w:rsidP="008A0955">
      <w:pPr>
        <w:pStyle w:val="PBACHeading10"/>
        <w:keepNext w:val="0"/>
        <w:keepLines w:val="0"/>
        <w:numPr>
          <w:ilvl w:val="1"/>
          <w:numId w:val="9"/>
        </w:numPr>
        <w:ind w:left="720" w:hanging="720"/>
        <w:jc w:val="both"/>
        <w:outlineLvl w:val="9"/>
        <w:rPr>
          <w:b w:val="0"/>
          <w:sz w:val="24"/>
          <w:szCs w:val="24"/>
        </w:rPr>
      </w:pPr>
      <w:r w:rsidRPr="007C74B9">
        <w:rPr>
          <w:b w:val="0"/>
          <w:sz w:val="24"/>
          <w:szCs w:val="24"/>
        </w:rPr>
        <w:t xml:space="preserve">As part of Review </w:t>
      </w:r>
      <w:r w:rsidR="0060086A">
        <w:rPr>
          <w:b w:val="0"/>
          <w:sz w:val="24"/>
          <w:szCs w:val="24"/>
        </w:rPr>
        <w:t>o</w:t>
      </w:r>
      <w:r w:rsidRPr="007C74B9">
        <w:rPr>
          <w:b w:val="0"/>
          <w:sz w:val="24"/>
          <w:szCs w:val="24"/>
        </w:rPr>
        <w:t xml:space="preserve">ption </w:t>
      </w:r>
      <w:r w:rsidR="00FC051B">
        <w:rPr>
          <w:b w:val="0"/>
          <w:sz w:val="24"/>
          <w:szCs w:val="24"/>
        </w:rPr>
        <w:t>6</w:t>
      </w:r>
      <w:r w:rsidRPr="007C74B9">
        <w:rPr>
          <w:b w:val="0"/>
          <w:sz w:val="24"/>
          <w:szCs w:val="24"/>
        </w:rPr>
        <w:t xml:space="preserve">, the department contacted </w:t>
      </w:r>
      <w:r w:rsidR="0060086A">
        <w:rPr>
          <w:b w:val="0"/>
          <w:sz w:val="24"/>
          <w:szCs w:val="24"/>
        </w:rPr>
        <w:t>Queensland (</w:t>
      </w:r>
      <w:r w:rsidRPr="007C74B9">
        <w:rPr>
          <w:b w:val="0"/>
          <w:sz w:val="24"/>
          <w:szCs w:val="24"/>
        </w:rPr>
        <w:t>QLD</w:t>
      </w:r>
      <w:r w:rsidR="0060086A">
        <w:rPr>
          <w:b w:val="0"/>
          <w:sz w:val="24"/>
          <w:szCs w:val="24"/>
        </w:rPr>
        <w:t>)</w:t>
      </w:r>
      <w:r w:rsidRPr="007C74B9">
        <w:rPr>
          <w:b w:val="0"/>
          <w:sz w:val="24"/>
          <w:szCs w:val="24"/>
        </w:rPr>
        <w:t xml:space="preserve"> Health in</w:t>
      </w:r>
      <w:r w:rsidR="00BA7DB9">
        <w:rPr>
          <w:b w:val="0"/>
          <w:sz w:val="24"/>
          <w:szCs w:val="24"/>
        </w:rPr>
        <w:t xml:space="preserve"> </w:t>
      </w:r>
      <w:r w:rsidRPr="007C74B9">
        <w:rPr>
          <w:b w:val="0"/>
          <w:sz w:val="24"/>
          <w:szCs w:val="24"/>
        </w:rPr>
        <w:t xml:space="preserve">January 2022 regarding </w:t>
      </w:r>
      <w:r w:rsidR="00695AF7">
        <w:rPr>
          <w:b w:val="0"/>
          <w:sz w:val="24"/>
          <w:szCs w:val="24"/>
        </w:rPr>
        <w:t>the evaluation of its</w:t>
      </w:r>
      <w:r w:rsidRPr="007C74B9">
        <w:rPr>
          <w:b w:val="0"/>
          <w:sz w:val="24"/>
          <w:szCs w:val="24"/>
        </w:rPr>
        <w:t xml:space="preserve"> </w:t>
      </w:r>
      <w:r w:rsidRPr="00A62238">
        <w:rPr>
          <w:b w:val="0"/>
          <w:i/>
          <w:iCs/>
          <w:sz w:val="24"/>
          <w:szCs w:val="24"/>
        </w:rPr>
        <w:t xml:space="preserve">Intensive Quit Support </w:t>
      </w:r>
      <w:r w:rsidRPr="00746759">
        <w:rPr>
          <w:b w:val="0"/>
          <w:i/>
          <w:iCs/>
          <w:sz w:val="24"/>
          <w:szCs w:val="24"/>
        </w:rPr>
        <w:t>Program</w:t>
      </w:r>
      <w:r w:rsidRPr="00746759">
        <w:rPr>
          <w:b w:val="0"/>
          <w:sz w:val="24"/>
          <w:szCs w:val="24"/>
        </w:rPr>
        <w:t xml:space="preserve">. The department was advised that evaluation of the regional, </w:t>
      </w:r>
      <w:r w:rsidR="0060086A" w:rsidRPr="00746759">
        <w:rPr>
          <w:b w:val="0"/>
          <w:sz w:val="24"/>
          <w:szCs w:val="24"/>
        </w:rPr>
        <w:t>rural,</w:t>
      </w:r>
      <w:r w:rsidRPr="00746759">
        <w:rPr>
          <w:b w:val="0"/>
          <w:sz w:val="24"/>
          <w:szCs w:val="24"/>
        </w:rPr>
        <w:t xml:space="preserve"> and remote </w:t>
      </w:r>
      <w:r w:rsidR="0060086A" w:rsidRPr="00746759">
        <w:rPr>
          <w:b w:val="0"/>
          <w:sz w:val="24"/>
          <w:szCs w:val="24"/>
        </w:rPr>
        <w:t>h</w:t>
      </w:r>
      <w:r w:rsidRPr="00746759">
        <w:rPr>
          <w:b w:val="0"/>
          <w:sz w:val="24"/>
          <w:szCs w:val="24"/>
        </w:rPr>
        <w:t xml:space="preserve">ospital and </w:t>
      </w:r>
      <w:r w:rsidR="0060086A" w:rsidRPr="00746759">
        <w:rPr>
          <w:b w:val="0"/>
          <w:sz w:val="24"/>
          <w:szCs w:val="24"/>
        </w:rPr>
        <w:t>h</w:t>
      </w:r>
      <w:r w:rsidRPr="00746759">
        <w:rPr>
          <w:b w:val="0"/>
          <w:sz w:val="24"/>
          <w:szCs w:val="24"/>
        </w:rPr>
        <w:t xml:space="preserve">ealth </w:t>
      </w:r>
      <w:r w:rsidR="0060086A" w:rsidRPr="00746759">
        <w:rPr>
          <w:b w:val="0"/>
          <w:sz w:val="24"/>
          <w:szCs w:val="24"/>
        </w:rPr>
        <w:t>s</w:t>
      </w:r>
      <w:r w:rsidRPr="00746759">
        <w:rPr>
          <w:b w:val="0"/>
          <w:sz w:val="24"/>
          <w:szCs w:val="24"/>
        </w:rPr>
        <w:t xml:space="preserve">ervices cohort was completed in 2021 </w:t>
      </w:r>
      <w:r w:rsidR="00695AF7" w:rsidRPr="00746759">
        <w:rPr>
          <w:b w:val="0"/>
          <w:sz w:val="24"/>
          <w:szCs w:val="24"/>
        </w:rPr>
        <w:t xml:space="preserve">however, </w:t>
      </w:r>
      <w:r w:rsidRPr="00746759">
        <w:rPr>
          <w:b w:val="0"/>
          <w:sz w:val="24"/>
          <w:szCs w:val="24"/>
        </w:rPr>
        <w:t>the report w</w:t>
      </w:r>
      <w:r w:rsidR="00805998" w:rsidRPr="00746759">
        <w:rPr>
          <w:b w:val="0"/>
          <w:sz w:val="24"/>
          <w:szCs w:val="24"/>
        </w:rPr>
        <w:t>ould</w:t>
      </w:r>
      <w:r w:rsidRPr="00746759">
        <w:rPr>
          <w:b w:val="0"/>
          <w:sz w:val="24"/>
          <w:szCs w:val="24"/>
        </w:rPr>
        <w:t xml:space="preserve"> not be made available. QLD Health advised that further investigation</w:t>
      </w:r>
      <w:r w:rsidR="00A45DC3" w:rsidRPr="00746759">
        <w:rPr>
          <w:b w:val="0"/>
          <w:sz w:val="24"/>
          <w:szCs w:val="24"/>
        </w:rPr>
        <w:t xml:space="preserve"> was being undertaken</w:t>
      </w:r>
      <w:r w:rsidRPr="00746759">
        <w:rPr>
          <w:b w:val="0"/>
          <w:sz w:val="24"/>
          <w:szCs w:val="24"/>
        </w:rPr>
        <w:t xml:space="preserve"> in relation </w:t>
      </w:r>
      <w:r w:rsidR="0060086A" w:rsidRPr="00746759">
        <w:rPr>
          <w:b w:val="0"/>
          <w:sz w:val="24"/>
          <w:szCs w:val="24"/>
        </w:rPr>
        <w:t xml:space="preserve">to </w:t>
      </w:r>
      <w:r w:rsidR="00BA7DB9" w:rsidRPr="00746759">
        <w:rPr>
          <w:b w:val="0"/>
          <w:sz w:val="24"/>
          <w:szCs w:val="24"/>
        </w:rPr>
        <w:t>several</w:t>
      </w:r>
      <w:r w:rsidRPr="00746759">
        <w:rPr>
          <w:b w:val="0"/>
          <w:sz w:val="24"/>
          <w:szCs w:val="24"/>
        </w:rPr>
        <w:t xml:space="preserve"> findings within the report</w:t>
      </w:r>
      <w:r w:rsidR="0060086A" w:rsidRPr="00746759">
        <w:rPr>
          <w:b w:val="0"/>
          <w:sz w:val="24"/>
          <w:szCs w:val="24"/>
        </w:rPr>
        <w:t xml:space="preserve">, </w:t>
      </w:r>
      <w:r w:rsidRPr="00746759">
        <w:rPr>
          <w:b w:val="0"/>
          <w:sz w:val="24"/>
          <w:szCs w:val="24"/>
        </w:rPr>
        <w:t>particular</w:t>
      </w:r>
      <w:r w:rsidR="0060086A" w:rsidRPr="00746759">
        <w:rPr>
          <w:b w:val="0"/>
          <w:sz w:val="24"/>
          <w:szCs w:val="24"/>
        </w:rPr>
        <w:t xml:space="preserve">ly </w:t>
      </w:r>
      <w:r w:rsidR="00A45DC3" w:rsidRPr="00746759">
        <w:rPr>
          <w:b w:val="0"/>
          <w:sz w:val="24"/>
          <w:szCs w:val="24"/>
        </w:rPr>
        <w:t xml:space="preserve">around </w:t>
      </w:r>
      <w:r w:rsidRPr="00746759">
        <w:rPr>
          <w:b w:val="0"/>
          <w:sz w:val="24"/>
          <w:szCs w:val="24"/>
        </w:rPr>
        <w:t>the provision of NRT. QLD Health w</w:t>
      </w:r>
      <w:r w:rsidR="00805998" w:rsidRPr="00746759">
        <w:rPr>
          <w:b w:val="0"/>
          <w:sz w:val="24"/>
          <w:szCs w:val="24"/>
        </w:rPr>
        <w:t>ould</w:t>
      </w:r>
      <w:r w:rsidRPr="00746759">
        <w:rPr>
          <w:b w:val="0"/>
          <w:sz w:val="24"/>
          <w:szCs w:val="24"/>
        </w:rPr>
        <w:t xml:space="preserve"> be collaborating with the QLD University of Technology </w:t>
      </w:r>
      <w:r w:rsidR="00F86D5D" w:rsidRPr="00746759">
        <w:rPr>
          <w:b w:val="0"/>
          <w:sz w:val="24"/>
          <w:szCs w:val="24"/>
        </w:rPr>
        <w:t xml:space="preserve">(QUT) </w:t>
      </w:r>
      <w:r w:rsidRPr="00746759">
        <w:rPr>
          <w:b w:val="0"/>
          <w:sz w:val="24"/>
          <w:szCs w:val="24"/>
        </w:rPr>
        <w:t xml:space="preserve">on this project. </w:t>
      </w:r>
    </w:p>
    <w:bookmarkEnd w:id="12"/>
    <w:p w14:paraId="725A62C8" w14:textId="076787EB" w:rsidR="005276A0" w:rsidRDefault="00E45B83" w:rsidP="00417264">
      <w:pPr>
        <w:pStyle w:val="2Sections"/>
      </w:pPr>
      <w:r>
        <w:t>Proposed</w:t>
      </w:r>
      <w:r w:rsidR="005276A0" w:rsidRPr="009D507A">
        <w:t xml:space="preserve"> listing</w:t>
      </w:r>
      <w:r w:rsidR="007F6883">
        <w:t>s</w:t>
      </w:r>
    </w:p>
    <w:p w14:paraId="4F6B04C0" w14:textId="3141199B" w:rsidR="00F40919" w:rsidRDefault="00F40919" w:rsidP="00F40919">
      <w:pPr>
        <w:pStyle w:val="4Bodytextnumbered"/>
        <w:numPr>
          <w:ilvl w:val="1"/>
          <w:numId w:val="23"/>
        </w:numPr>
      </w:pPr>
      <w:bookmarkStart w:id="13" w:name="_Hlk99361771"/>
      <w:bookmarkStart w:id="14" w:name="_Hlk87002940"/>
      <w:bookmarkStart w:id="15" w:name="_Toc93338167"/>
      <w:bookmarkStart w:id="16" w:name="_Hlk86998005"/>
      <w:bookmarkStart w:id="17" w:name="Table_5"/>
      <w:r>
        <w:t xml:space="preserve">The department provided proposed PBS listings for NRT and VAR, </w:t>
      </w:r>
      <w:r w:rsidR="00927E85">
        <w:t xml:space="preserve">to align with </w:t>
      </w:r>
      <w:r>
        <w:t xml:space="preserve">options 1, 2 and 3, for PBAC consideration. These are outlined on </w:t>
      </w:r>
      <w:r w:rsidRPr="00B836B5">
        <w:t>pages 26-</w:t>
      </w:r>
      <w:r w:rsidR="000901F7" w:rsidRPr="00B836B5">
        <w:t>29</w:t>
      </w:r>
      <w:r w:rsidRPr="007F6883">
        <w:t xml:space="preserve"> of the </w:t>
      </w:r>
      <w:r w:rsidR="000901F7">
        <w:t xml:space="preserve">ToR 4 </w:t>
      </w:r>
      <w:r w:rsidRPr="00F40919">
        <w:rPr>
          <w:bCs/>
        </w:rPr>
        <w:t>report</w:t>
      </w:r>
      <w:r>
        <w:t xml:space="preserve">. </w:t>
      </w:r>
    </w:p>
    <w:p w14:paraId="2BD55B73" w14:textId="29682350" w:rsidR="007C74B9" w:rsidRPr="00A62238" w:rsidRDefault="00A05AE9" w:rsidP="007C74B9">
      <w:pPr>
        <w:pStyle w:val="4Bodytextnumbered"/>
        <w:rPr>
          <w:rFonts w:ascii="Times New Roman" w:eastAsia="Times New Roman" w:hAnsi="Times New Roman" w:cs="Times New Roman"/>
          <w:i/>
          <w:iCs/>
          <w:szCs w:val="24"/>
        </w:rPr>
      </w:pPr>
      <w:r>
        <w:rPr>
          <w:rFonts w:cstheme="minorHAnsi"/>
          <w:szCs w:val="24"/>
        </w:rPr>
        <w:t xml:space="preserve">The </w:t>
      </w:r>
      <w:r w:rsidR="007F6883">
        <w:rPr>
          <w:rFonts w:cstheme="minorHAnsi"/>
          <w:szCs w:val="24"/>
        </w:rPr>
        <w:t xml:space="preserve">proposed </w:t>
      </w:r>
      <w:r w:rsidR="006D3032">
        <w:rPr>
          <w:rFonts w:cstheme="minorHAnsi"/>
          <w:szCs w:val="24"/>
        </w:rPr>
        <w:t xml:space="preserve">amendments to the </w:t>
      </w:r>
      <w:r w:rsidR="004F7872">
        <w:rPr>
          <w:rFonts w:cstheme="minorHAnsi"/>
          <w:szCs w:val="24"/>
        </w:rPr>
        <w:t xml:space="preserve">PBS </w:t>
      </w:r>
      <w:r w:rsidR="006D3032">
        <w:rPr>
          <w:rFonts w:cstheme="minorHAnsi"/>
          <w:szCs w:val="24"/>
        </w:rPr>
        <w:t xml:space="preserve">listings </w:t>
      </w:r>
      <w:r>
        <w:rPr>
          <w:rFonts w:cstheme="minorHAnsi"/>
          <w:szCs w:val="24"/>
        </w:rPr>
        <w:t>s</w:t>
      </w:r>
      <w:r w:rsidR="00B455F0">
        <w:rPr>
          <w:rFonts w:cstheme="minorHAnsi"/>
          <w:szCs w:val="24"/>
        </w:rPr>
        <w:t>ought</w:t>
      </w:r>
      <w:r>
        <w:rPr>
          <w:rFonts w:cstheme="minorHAnsi"/>
          <w:szCs w:val="24"/>
        </w:rPr>
        <w:t xml:space="preserve"> to increase </w:t>
      </w:r>
      <w:r w:rsidR="006D3032">
        <w:rPr>
          <w:rFonts w:cstheme="minorHAnsi"/>
          <w:szCs w:val="24"/>
        </w:rPr>
        <w:t xml:space="preserve">the number of treatment attempts for non-Indigenous patients from one </w:t>
      </w:r>
      <w:r w:rsidR="00657CFA">
        <w:rPr>
          <w:rFonts w:cstheme="minorHAnsi"/>
          <w:szCs w:val="24"/>
        </w:rPr>
        <w:t>12</w:t>
      </w:r>
      <w:r w:rsidR="00F40919">
        <w:rPr>
          <w:rFonts w:cstheme="minorHAnsi"/>
          <w:szCs w:val="24"/>
        </w:rPr>
        <w:t>-</w:t>
      </w:r>
      <w:r w:rsidR="00657CFA">
        <w:rPr>
          <w:rFonts w:cstheme="minorHAnsi"/>
          <w:szCs w:val="24"/>
        </w:rPr>
        <w:t xml:space="preserve">week </w:t>
      </w:r>
      <w:r w:rsidR="006D3032">
        <w:rPr>
          <w:rFonts w:cstheme="minorHAnsi"/>
          <w:szCs w:val="24"/>
        </w:rPr>
        <w:t xml:space="preserve">course to </w:t>
      </w:r>
      <w:r w:rsidR="007C74B9" w:rsidRPr="00936485">
        <w:rPr>
          <w:rFonts w:cstheme="minorHAnsi"/>
          <w:szCs w:val="24"/>
        </w:rPr>
        <w:t>two 12-week courses of PBS-subsidised NRT per 12-month period</w:t>
      </w:r>
      <w:r w:rsidR="009448AA">
        <w:rPr>
          <w:rFonts w:cstheme="minorHAnsi"/>
          <w:szCs w:val="24"/>
        </w:rPr>
        <w:t xml:space="preserve">. This </w:t>
      </w:r>
      <w:r w:rsidR="00B455F0">
        <w:rPr>
          <w:rFonts w:cstheme="minorHAnsi"/>
          <w:szCs w:val="24"/>
        </w:rPr>
        <w:t>wa</w:t>
      </w:r>
      <w:r w:rsidR="009448AA">
        <w:rPr>
          <w:rFonts w:cstheme="minorHAnsi"/>
          <w:szCs w:val="24"/>
        </w:rPr>
        <w:t xml:space="preserve">s intended </w:t>
      </w:r>
      <w:r w:rsidR="007C74B9" w:rsidRPr="00936485">
        <w:rPr>
          <w:rFonts w:cstheme="minorHAnsi"/>
          <w:szCs w:val="24"/>
        </w:rPr>
        <w:t xml:space="preserve">as either </w:t>
      </w:r>
      <w:r w:rsidR="00927E85">
        <w:rPr>
          <w:rFonts w:cstheme="minorHAnsi"/>
          <w:szCs w:val="24"/>
        </w:rPr>
        <w:t>NRT</w:t>
      </w:r>
      <w:r w:rsidR="007C74B9" w:rsidRPr="00936485">
        <w:rPr>
          <w:rFonts w:cstheme="minorHAnsi"/>
          <w:szCs w:val="24"/>
        </w:rPr>
        <w:t xml:space="preserve"> monotherapy </w:t>
      </w:r>
      <w:r w:rsidR="006D3032">
        <w:rPr>
          <w:rFonts w:cstheme="minorHAnsi"/>
          <w:szCs w:val="24"/>
        </w:rPr>
        <w:t>(in a single form</w:t>
      </w:r>
      <w:r w:rsidR="00BD3FA7">
        <w:rPr>
          <w:rFonts w:cstheme="minorHAnsi"/>
          <w:szCs w:val="24"/>
        </w:rPr>
        <w:t>)</w:t>
      </w:r>
      <w:r w:rsidR="006D3032">
        <w:rPr>
          <w:rFonts w:cstheme="minorHAnsi"/>
          <w:szCs w:val="24"/>
        </w:rPr>
        <w:t xml:space="preserve"> </w:t>
      </w:r>
      <w:r w:rsidR="007C74B9" w:rsidRPr="00936485">
        <w:rPr>
          <w:rFonts w:cstheme="minorHAnsi"/>
          <w:szCs w:val="24"/>
        </w:rPr>
        <w:t>or as combination therapy (i.e.</w:t>
      </w:r>
      <w:r w:rsidR="007C74B9" w:rsidRPr="00936485" w:rsidDel="004F7872">
        <w:rPr>
          <w:rFonts w:cstheme="minorHAnsi"/>
          <w:szCs w:val="24"/>
        </w:rPr>
        <w:t>,</w:t>
      </w:r>
      <w:r w:rsidR="007C74B9" w:rsidRPr="00936485">
        <w:rPr>
          <w:rFonts w:cstheme="minorHAnsi"/>
          <w:szCs w:val="24"/>
        </w:rPr>
        <w:t xml:space="preserve"> with another NRT product or in combination with VAR). </w:t>
      </w:r>
      <w:r w:rsidR="00A62238">
        <w:rPr>
          <w:rFonts w:cstheme="minorHAnsi"/>
          <w:szCs w:val="24"/>
        </w:rPr>
        <w:t xml:space="preserve">Allowing 24 weeks of </w:t>
      </w:r>
      <w:r w:rsidR="00F86D5D">
        <w:rPr>
          <w:rFonts w:cstheme="minorHAnsi"/>
          <w:szCs w:val="24"/>
        </w:rPr>
        <w:t xml:space="preserve">PBS </w:t>
      </w:r>
      <w:r w:rsidR="00A62238">
        <w:rPr>
          <w:rFonts w:cstheme="minorHAnsi"/>
          <w:szCs w:val="24"/>
        </w:rPr>
        <w:t>NRT per 12-month period</w:t>
      </w:r>
      <w:r w:rsidR="007C74B9" w:rsidRPr="00936485">
        <w:rPr>
          <w:rFonts w:cstheme="minorHAnsi"/>
          <w:szCs w:val="24"/>
        </w:rPr>
        <w:t xml:space="preserve"> would bring the current NRT listings for the general population into line with the current NRT listings for the Aboriginal and Torres </w:t>
      </w:r>
      <w:r w:rsidR="007C74B9" w:rsidRPr="00A62238">
        <w:rPr>
          <w:rFonts w:cstheme="minorHAnsi"/>
          <w:szCs w:val="24"/>
        </w:rPr>
        <w:t xml:space="preserve">Strait </w:t>
      </w:r>
      <w:r w:rsidR="007C74B9" w:rsidRPr="00A62238">
        <w:rPr>
          <w:rFonts w:eastAsia="Times New Roman" w:cstheme="minorHAnsi"/>
          <w:szCs w:val="24"/>
        </w:rPr>
        <w:t>Islander population</w:t>
      </w:r>
      <w:r w:rsidR="00F1763D">
        <w:rPr>
          <w:rFonts w:eastAsia="Times New Roman" w:cstheme="minorHAnsi"/>
          <w:szCs w:val="24"/>
        </w:rPr>
        <w:t>,</w:t>
      </w:r>
      <w:r w:rsidR="00A62238" w:rsidRPr="00A62238">
        <w:rPr>
          <w:rFonts w:eastAsia="Times New Roman" w:cstheme="minorHAnsi"/>
          <w:szCs w:val="24"/>
        </w:rPr>
        <w:t xml:space="preserve"> who already ha</w:t>
      </w:r>
      <w:r w:rsidR="007D464F">
        <w:rPr>
          <w:rFonts w:eastAsia="Times New Roman" w:cstheme="minorHAnsi"/>
          <w:szCs w:val="24"/>
        </w:rPr>
        <w:t>ve</w:t>
      </w:r>
      <w:r w:rsidR="00F86D5D">
        <w:rPr>
          <w:rFonts w:eastAsia="Times New Roman" w:cstheme="minorHAnsi"/>
          <w:szCs w:val="24"/>
        </w:rPr>
        <w:t xml:space="preserve"> </w:t>
      </w:r>
      <w:r w:rsidR="00A62238" w:rsidRPr="00A62238">
        <w:rPr>
          <w:rFonts w:eastAsia="Times New Roman" w:cstheme="minorHAnsi"/>
          <w:szCs w:val="24"/>
        </w:rPr>
        <w:t>access to 24 weeks of PBS-subsidised NRT in a 12-month period</w:t>
      </w:r>
      <w:r w:rsidR="007C74B9" w:rsidRPr="00A62238">
        <w:rPr>
          <w:rFonts w:eastAsia="Times New Roman" w:cstheme="minorHAnsi"/>
          <w:szCs w:val="24"/>
        </w:rPr>
        <w:t>.</w:t>
      </w:r>
    </w:p>
    <w:bookmarkEnd w:id="13"/>
    <w:p w14:paraId="29D488F7" w14:textId="15EBB2B6" w:rsidR="004F2654" w:rsidRDefault="00936485" w:rsidP="00FF3A23">
      <w:pPr>
        <w:pStyle w:val="4Bodytextnumbered"/>
        <w:rPr>
          <w:rFonts w:cstheme="minorHAnsi"/>
          <w:szCs w:val="24"/>
        </w:rPr>
      </w:pPr>
      <w:r>
        <w:rPr>
          <w:rFonts w:cstheme="minorHAnsi"/>
          <w:szCs w:val="24"/>
        </w:rPr>
        <w:t>D</w:t>
      </w:r>
      <w:r w:rsidRPr="00936485">
        <w:rPr>
          <w:rFonts w:cstheme="minorHAnsi"/>
          <w:szCs w:val="24"/>
        </w:rPr>
        <w:t>ouble patching</w:t>
      </w:r>
      <w:r w:rsidR="002116D4">
        <w:rPr>
          <w:rFonts w:cstheme="minorHAnsi"/>
          <w:szCs w:val="24"/>
        </w:rPr>
        <w:t>,</w:t>
      </w:r>
      <w:r w:rsidRPr="00936485">
        <w:rPr>
          <w:rFonts w:cstheme="minorHAnsi"/>
          <w:szCs w:val="24"/>
        </w:rPr>
        <w:t xml:space="preserve"> as combination NRT therapy</w:t>
      </w:r>
      <w:r w:rsidR="002116D4">
        <w:rPr>
          <w:rFonts w:cstheme="minorHAnsi"/>
          <w:szCs w:val="24"/>
        </w:rPr>
        <w:t>,</w:t>
      </w:r>
      <w:r w:rsidRPr="00936485">
        <w:rPr>
          <w:rFonts w:cstheme="minorHAnsi"/>
          <w:szCs w:val="24"/>
        </w:rPr>
        <w:t xml:space="preserve"> under </w:t>
      </w:r>
      <w:r>
        <w:rPr>
          <w:rFonts w:cstheme="minorHAnsi"/>
          <w:szCs w:val="24"/>
        </w:rPr>
        <w:t>o</w:t>
      </w:r>
      <w:r w:rsidRPr="00936485">
        <w:rPr>
          <w:rFonts w:cstheme="minorHAnsi"/>
          <w:szCs w:val="24"/>
        </w:rPr>
        <w:t xml:space="preserve">ption 2b </w:t>
      </w:r>
      <w:r w:rsidR="00B455F0">
        <w:rPr>
          <w:rFonts w:cstheme="minorHAnsi"/>
          <w:szCs w:val="24"/>
        </w:rPr>
        <w:t>was</w:t>
      </w:r>
      <w:r w:rsidRPr="00936485">
        <w:rPr>
          <w:rFonts w:cstheme="minorHAnsi"/>
          <w:szCs w:val="24"/>
        </w:rPr>
        <w:t xml:space="preserve"> not proposed</w:t>
      </w:r>
      <w:r w:rsidR="00657CFA">
        <w:rPr>
          <w:rFonts w:cstheme="minorHAnsi"/>
          <w:szCs w:val="24"/>
        </w:rPr>
        <w:t>.</w:t>
      </w:r>
      <w:r w:rsidRPr="00936485">
        <w:rPr>
          <w:rFonts w:cstheme="minorHAnsi"/>
          <w:szCs w:val="24"/>
        </w:rPr>
        <w:t xml:space="preserve"> </w:t>
      </w:r>
      <w:r w:rsidR="00657CFA">
        <w:rPr>
          <w:rFonts w:cstheme="minorHAnsi"/>
          <w:szCs w:val="24"/>
        </w:rPr>
        <w:t>H</w:t>
      </w:r>
      <w:r w:rsidRPr="00936485">
        <w:rPr>
          <w:rFonts w:cstheme="minorHAnsi"/>
          <w:szCs w:val="24"/>
        </w:rPr>
        <w:t xml:space="preserve">owever, the PBAC </w:t>
      </w:r>
      <w:r w:rsidR="00B455F0">
        <w:rPr>
          <w:rFonts w:cstheme="minorHAnsi"/>
          <w:szCs w:val="24"/>
        </w:rPr>
        <w:t>wa</w:t>
      </w:r>
      <w:r w:rsidRPr="00936485">
        <w:rPr>
          <w:rFonts w:cstheme="minorHAnsi"/>
          <w:szCs w:val="24"/>
        </w:rPr>
        <w:t xml:space="preserve">s asked to consider whether </w:t>
      </w:r>
      <w:r w:rsidR="00657CFA">
        <w:rPr>
          <w:rFonts w:cstheme="minorHAnsi"/>
          <w:szCs w:val="24"/>
        </w:rPr>
        <w:t xml:space="preserve">increases in </w:t>
      </w:r>
      <w:r w:rsidR="00927E85">
        <w:rPr>
          <w:rFonts w:cstheme="minorHAnsi"/>
          <w:szCs w:val="24"/>
        </w:rPr>
        <w:t xml:space="preserve">the </w:t>
      </w:r>
      <w:r w:rsidR="00657CFA">
        <w:rPr>
          <w:rFonts w:cstheme="minorHAnsi"/>
          <w:szCs w:val="24"/>
        </w:rPr>
        <w:t xml:space="preserve">maximum quantity </w:t>
      </w:r>
      <w:r w:rsidRPr="00936485">
        <w:rPr>
          <w:rFonts w:cstheme="minorHAnsi"/>
          <w:szCs w:val="24"/>
        </w:rPr>
        <w:t xml:space="preserve">of the same NRT patch should be </w:t>
      </w:r>
      <w:r w:rsidR="00657CFA">
        <w:rPr>
          <w:rFonts w:cstheme="minorHAnsi"/>
          <w:szCs w:val="24"/>
        </w:rPr>
        <w:t>permitted</w:t>
      </w:r>
      <w:r w:rsidR="00B10D11">
        <w:rPr>
          <w:rFonts w:cstheme="minorHAnsi"/>
          <w:szCs w:val="24"/>
        </w:rPr>
        <w:t xml:space="preserve"> on the PBS</w:t>
      </w:r>
      <w:r w:rsidRPr="00936485">
        <w:rPr>
          <w:rFonts w:cstheme="minorHAnsi"/>
          <w:szCs w:val="24"/>
        </w:rPr>
        <w:t>.</w:t>
      </w:r>
    </w:p>
    <w:bookmarkEnd w:id="14"/>
    <w:bookmarkEnd w:id="15"/>
    <w:bookmarkEnd w:id="16"/>
    <w:bookmarkEnd w:id="17"/>
    <w:p w14:paraId="2691D077" w14:textId="6A16DAC4" w:rsidR="00C7592E" w:rsidRPr="00FB2CCF" w:rsidRDefault="00A04138" w:rsidP="00FB2CCF">
      <w:pPr>
        <w:pStyle w:val="2Sections"/>
      </w:pPr>
      <w:r>
        <w:t xml:space="preserve">Review </w:t>
      </w:r>
      <w:r w:rsidR="00750C42">
        <w:t>r</w:t>
      </w:r>
      <w:r>
        <w:t>eport key findings</w:t>
      </w:r>
      <w:r w:rsidR="00314322">
        <w:t xml:space="preserve"> and </w:t>
      </w:r>
      <w:r w:rsidR="007141E3">
        <w:t>‘</w:t>
      </w:r>
      <w:r w:rsidR="004E0E8E">
        <w:t>o</w:t>
      </w:r>
      <w:r w:rsidR="00314322">
        <w:t>ptions</w:t>
      </w:r>
      <w:r w:rsidR="007141E3">
        <w:t>’</w:t>
      </w:r>
      <w:r w:rsidR="00314322">
        <w:t xml:space="preserve"> for </w:t>
      </w:r>
      <w:r w:rsidR="004E0E8E">
        <w:t xml:space="preserve">the </w:t>
      </w:r>
      <w:r w:rsidR="00314322">
        <w:t>PBAC</w:t>
      </w:r>
    </w:p>
    <w:p w14:paraId="6AA0CA3E" w14:textId="766E4471" w:rsidR="00A04138" w:rsidRDefault="00A04138" w:rsidP="00A04138">
      <w:pPr>
        <w:pStyle w:val="4Bodytextnumbered"/>
      </w:pPr>
      <w:r>
        <w:t xml:space="preserve">The Review </w:t>
      </w:r>
      <w:r w:rsidR="00750C42">
        <w:t>r</w:t>
      </w:r>
      <w:r>
        <w:t>eport provide</w:t>
      </w:r>
      <w:r w:rsidR="00805998">
        <w:t>d</w:t>
      </w:r>
      <w:r>
        <w:t xml:space="preserve"> </w:t>
      </w:r>
      <w:r w:rsidR="00BA7DB9">
        <w:t>several</w:t>
      </w:r>
      <w:r>
        <w:t xml:space="preserve"> key findings for ToRs 1-</w:t>
      </w:r>
      <w:r w:rsidR="00C63072">
        <w:t>4</w:t>
      </w:r>
      <w:r>
        <w:t xml:space="preserve"> (refer to pages </w:t>
      </w:r>
      <w:r w:rsidR="00C63072" w:rsidRPr="005069F9">
        <w:t>9</w:t>
      </w:r>
      <w:r w:rsidRPr="005069F9">
        <w:t>-3</w:t>
      </w:r>
      <w:r w:rsidR="00C63072" w:rsidRPr="005069F9">
        <w:t>7</w:t>
      </w:r>
      <w:r>
        <w:t xml:space="preserve"> of the </w:t>
      </w:r>
      <w:r w:rsidRPr="00F1763D">
        <w:rPr>
          <w:i/>
          <w:iCs/>
        </w:rPr>
        <w:t>Report Summary</w:t>
      </w:r>
      <w:r>
        <w:t xml:space="preserve">). </w:t>
      </w:r>
    </w:p>
    <w:p w14:paraId="7093AAB0" w14:textId="3FF655CD" w:rsidR="007F6883" w:rsidRDefault="00A04138" w:rsidP="007F6883">
      <w:pPr>
        <w:pStyle w:val="4Bodytextnumbered"/>
      </w:pPr>
      <w:r>
        <w:t xml:space="preserve">Review options were developed by the </w:t>
      </w:r>
      <w:r w:rsidR="00C962BB">
        <w:t>r</w:t>
      </w:r>
      <w:r w:rsidR="004E0E8E">
        <w:t xml:space="preserve">eference </w:t>
      </w:r>
      <w:r w:rsidR="00C962BB">
        <w:t>g</w:t>
      </w:r>
      <w:r w:rsidR="004E0E8E">
        <w:t>roup</w:t>
      </w:r>
      <w:r>
        <w:t xml:space="preserve"> following consideration of the available evidence and stakeholder input (refer to pages </w:t>
      </w:r>
      <w:r w:rsidRPr="005069F9">
        <w:t>3</w:t>
      </w:r>
      <w:r w:rsidR="005F6B71" w:rsidRPr="005069F9">
        <w:t>8</w:t>
      </w:r>
      <w:r w:rsidRPr="005069F9">
        <w:t>-4</w:t>
      </w:r>
      <w:r w:rsidR="005F6B71" w:rsidRPr="005069F9">
        <w:t>4</w:t>
      </w:r>
      <w:r>
        <w:t xml:space="preserve"> of the </w:t>
      </w:r>
      <w:r w:rsidRPr="00F1763D">
        <w:rPr>
          <w:i/>
          <w:iCs/>
        </w:rPr>
        <w:t>Report Summary</w:t>
      </w:r>
      <w:r>
        <w:t xml:space="preserve">). These options </w:t>
      </w:r>
      <w:r w:rsidR="00B455F0">
        <w:t>were</w:t>
      </w:r>
      <w:r>
        <w:t xml:space="preserve"> provided to assist the PBAC and its sub-committees in their consideration and formulation of recommendations and advice to government. </w:t>
      </w:r>
    </w:p>
    <w:p w14:paraId="738ABB8B" w14:textId="77777777" w:rsidR="00E952F8" w:rsidRDefault="00E952F8">
      <w:pPr>
        <w:rPr>
          <w:rFonts w:asciiTheme="minorHAnsi" w:hAnsiTheme="minorHAnsi" w:cs="Arial"/>
          <w:b/>
          <w:snapToGrid w:val="0"/>
          <w:sz w:val="32"/>
          <w:szCs w:val="32"/>
        </w:rPr>
      </w:pPr>
      <w:r>
        <w:br w:type="page"/>
      </w:r>
    </w:p>
    <w:p w14:paraId="3194B129" w14:textId="173F541E" w:rsidR="00A04138" w:rsidRPr="005E2CA3" w:rsidRDefault="00A04138" w:rsidP="005E2CA3">
      <w:pPr>
        <w:pStyle w:val="2Sections"/>
      </w:pPr>
      <w:r w:rsidRPr="001666FB">
        <w:lastRenderedPageBreak/>
        <w:t xml:space="preserve">Key findings of the </w:t>
      </w:r>
      <w:r w:rsidR="003A2891">
        <w:t>cost-effectiveness review</w:t>
      </w:r>
    </w:p>
    <w:p w14:paraId="1957F2CC" w14:textId="41037504" w:rsidR="005F6B71" w:rsidRDefault="005F6B71" w:rsidP="007F6883">
      <w:pPr>
        <w:pStyle w:val="4Bodytextnumbered"/>
      </w:pPr>
      <w:r w:rsidRPr="005F6B71">
        <w:t xml:space="preserve">The costs, health outcomes and ICERs for each of the stated comparisons, with a discount rate of 5%, are presented in Table </w:t>
      </w:r>
      <w:r>
        <w:t>2</w:t>
      </w:r>
      <w:r w:rsidRPr="005F6B71">
        <w:t xml:space="preserve"> below. The first reported comparison compared the two major usual care options currently available, VAR </w:t>
      </w:r>
      <w:r w:rsidRPr="00123526">
        <w:rPr>
          <w:i/>
          <w:iCs/>
        </w:rPr>
        <w:t>versus</w:t>
      </w:r>
      <w:r w:rsidRPr="005F6B71">
        <w:t xml:space="preserve"> NRT as the first line therapy, which resulted in an ICER between $55,000 to &lt; $75,000 per QALY. The estimated ICERs for VAR+NRT </w:t>
      </w:r>
      <w:r w:rsidRPr="00123526">
        <w:rPr>
          <w:i/>
          <w:iCs/>
        </w:rPr>
        <w:t>versus</w:t>
      </w:r>
      <w:r w:rsidRPr="005F6B71">
        <w:t xml:space="preserve"> these usual care comparators, VAR and NRT, were within the range of $35,000 to &lt; $45,000; whilst the estimated ICERs for NRT+NRT </w:t>
      </w:r>
      <w:r w:rsidRPr="00B60480">
        <w:rPr>
          <w:i/>
          <w:iCs/>
        </w:rPr>
        <w:t>versus</w:t>
      </w:r>
      <w:r w:rsidRPr="005F6B71">
        <w:t xml:space="preserve"> VAR and NRT were within the range of $15,000 to &lt; $25,000 and $25,000 to &lt; $35,000 respectively. The scenario of listing both VAR+NRT and NRT+NRT compared to listing VAR+NRT alone was found to be both costlier and less effective (i.e., was dominated).</w:t>
      </w:r>
    </w:p>
    <w:p w14:paraId="026C484C" w14:textId="16624DB8" w:rsidR="00A04138" w:rsidRPr="00A04138" w:rsidRDefault="00A04138" w:rsidP="00A04138">
      <w:pPr>
        <w:pStyle w:val="Caption"/>
        <w:rPr>
          <w:rFonts w:ascii="Arial Narrow" w:hAnsi="Arial Narrow" w:cstheme="minorHAnsi"/>
          <w:b/>
          <w:i w:val="0"/>
          <w:sz w:val="20"/>
          <w:szCs w:val="20"/>
        </w:rPr>
      </w:pPr>
      <w:r w:rsidRPr="00A04138">
        <w:rPr>
          <w:rFonts w:ascii="Arial Narrow" w:hAnsi="Arial Narrow" w:cstheme="minorHAnsi"/>
          <w:b/>
          <w:i w:val="0"/>
          <w:sz w:val="20"/>
          <w:szCs w:val="20"/>
        </w:rPr>
        <w:t xml:space="preserve">Table </w:t>
      </w:r>
      <w:r w:rsidR="005E4B36">
        <w:rPr>
          <w:rFonts w:ascii="Arial Narrow" w:hAnsi="Arial Narrow" w:cstheme="minorHAnsi"/>
          <w:b/>
          <w:i w:val="0"/>
          <w:sz w:val="20"/>
          <w:szCs w:val="20"/>
        </w:rPr>
        <w:t>2</w:t>
      </w:r>
      <w:r w:rsidRPr="00A04138">
        <w:rPr>
          <w:rFonts w:ascii="Arial Narrow" w:hAnsi="Arial Narrow" w:cstheme="minorHAnsi"/>
          <w:b/>
          <w:i w:val="0"/>
          <w:sz w:val="20"/>
          <w:szCs w:val="20"/>
        </w:rPr>
        <w:t>: Main cost-effectiveness analysis results (5% discount rate)</w:t>
      </w:r>
    </w:p>
    <w:tbl>
      <w:tblPr>
        <w:tblW w:w="5000" w:type="pct"/>
        <w:tblCellMar>
          <w:left w:w="28" w:type="dxa"/>
          <w:right w:w="28" w:type="dxa"/>
        </w:tblCellMar>
        <w:tblLook w:val="04A0" w:firstRow="1" w:lastRow="0" w:firstColumn="1" w:lastColumn="0" w:noHBand="0" w:noVBand="1"/>
      </w:tblPr>
      <w:tblGrid>
        <w:gridCol w:w="1975"/>
        <w:gridCol w:w="993"/>
        <w:gridCol w:w="992"/>
        <w:gridCol w:w="994"/>
        <w:gridCol w:w="992"/>
        <w:gridCol w:w="992"/>
        <w:gridCol w:w="994"/>
        <w:gridCol w:w="1074"/>
      </w:tblGrid>
      <w:tr w:rsidR="00A04138" w:rsidRPr="00433024" w14:paraId="50FD0C94" w14:textId="77777777" w:rsidTr="00144345">
        <w:trPr>
          <w:trHeight w:val="300"/>
        </w:trPr>
        <w:tc>
          <w:tcPr>
            <w:tcW w:w="109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F1E3E1D" w14:textId="77777777" w:rsidR="00A04138" w:rsidRPr="00433024" w:rsidRDefault="00A04138" w:rsidP="00144345">
            <w:pPr>
              <w:jc w:val="center"/>
              <w:rPr>
                <w:rFonts w:ascii="Arial Narrow" w:hAnsi="Arial Narrow" w:cs="Calibri"/>
                <w:b/>
                <w:bCs/>
                <w:color w:val="000000"/>
                <w:sz w:val="20"/>
                <w:szCs w:val="20"/>
                <w:lang w:eastAsia="zh-CN"/>
              </w:rPr>
            </w:pPr>
            <w:r w:rsidRPr="00433024">
              <w:rPr>
                <w:rFonts w:ascii="Arial Narrow" w:hAnsi="Arial Narrow" w:cs="Calibri"/>
                <w:b/>
                <w:bCs/>
                <w:color w:val="000000"/>
                <w:sz w:val="20"/>
                <w:szCs w:val="20"/>
                <w:lang w:eastAsia="zh-CN"/>
              </w:rPr>
              <w:t>Comparison</w:t>
            </w:r>
          </w:p>
        </w:tc>
        <w:tc>
          <w:tcPr>
            <w:tcW w:w="1654" w:type="pct"/>
            <w:gridSpan w:val="3"/>
            <w:tcBorders>
              <w:top w:val="single" w:sz="8" w:space="0" w:color="auto"/>
              <w:left w:val="nil"/>
              <w:bottom w:val="single" w:sz="8" w:space="0" w:color="auto"/>
              <w:right w:val="single" w:sz="8" w:space="0" w:color="000000"/>
            </w:tcBorders>
            <w:shd w:val="clear" w:color="000000" w:fill="FFFFFF"/>
            <w:vAlign w:val="center"/>
            <w:hideMark/>
          </w:tcPr>
          <w:p w14:paraId="1641A25A" w14:textId="77777777" w:rsidR="00A04138" w:rsidRPr="00433024" w:rsidRDefault="00A04138" w:rsidP="00144345">
            <w:pPr>
              <w:jc w:val="center"/>
              <w:rPr>
                <w:rFonts w:ascii="Arial Narrow" w:hAnsi="Arial Narrow" w:cs="Calibri"/>
                <w:b/>
                <w:bCs/>
                <w:color w:val="000000"/>
                <w:sz w:val="20"/>
                <w:szCs w:val="20"/>
                <w:lang w:eastAsia="zh-CN"/>
              </w:rPr>
            </w:pPr>
            <w:r w:rsidRPr="00433024">
              <w:rPr>
                <w:rFonts w:ascii="Arial Narrow" w:hAnsi="Arial Narrow" w:cs="Calibri"/>
                <w:b/>
                <w:bCs/>
                <w:color w:val="000000"/>
                <w:sz w:val="20"/>
                <w:szCs w:val="20"/>
                <w:lang w:eastAsia="zh-CN"/>
              </w:rPr>
              <w:t>Costs</w:t>
            </w:r>
            <w:r>
              <w:rPr>
                <w:rFonts w:ascii="Arial Narrow" w:hAnsi="Arial Narrow" w:cs="Calibri"/>
                <w:b/>
                <w:bCs/>
                <w:color w:val="000000"/>
                <w:sz w:val="20"/>
                <w:szCs w:val="20"/>
                <w:lang w:eastAsia="zh-CN"/>
              </w:rPr>
              <w:t xml:space="preserve"> ($AU)</w:t>
            </w:r>
          </w:p>
        </w:tc>
        <w:tc>
          <w:tcPr>
            <w:tcW w:w="1653" w:type="pct"/>
            <w:gridSpan w:val="3"/>
            <w:tcBorders>
              <w:top w:val="single" w:sz="8" w:space="0" w:color="auto"/>
              <w:left w:val="nil"/>
              <w:bottom w:val="single" w:sz="8" w:space="0" w:color="auto"/>
              <w:right w:val="single" w:sz="8" w:space="0" w:color="000000"/>
            </w:tcBorders>
            <w:shd w:val="clear" w:color="000000" w:fill="FFFFFF"/>
            <w:vAlign w:val="center"/>
            <w:hideMark/>
          </w:tcPr>
          <w:p w14:paraId="6EFE0992" w14:textId="77777777" w:rsidR="00A04138" w:rsidRPr="00433024" w:rsidRDefault="00A04138" w:rsidP="00144345">
            <w:pPr>
              <w:jc w:val="center"/>
              <w:rPr>
                <w:rFonts w:ascii="Arial Narrow" w:hAnsi="Arial Narrow" w:cs="Calibri"/>
                <w:b/>
                <w:bCs/>
                <w:color w:val="000000"/>
                <w:sz w:val="20"/>
                <w:szCs w:val="20"/>
                <w:lang w:eastAsia="zh-CN"/>
              </w:rPr>
            </w:pPr>
            <w:r w:rsidRPr="00433024">
              <w:rPr>
                <w:rFonts w:ascii="Arial Narrow" w:hAnsi="Arial Narrow" w:cs="Calibri"/>
                <w:b/>
                <w:bCs/>
                <w:color w:val="000000"/>
                <w:sz w:val="20"/>
                <w:szCs w:val="20"/>
                <w:lang w:eastAsia="zh-CN"/>
              </w:rPr>
              <w:t>Health outcomes (QALYs)</w:t>
            </w:r>
          </w:p>
        </w:tc>
        <w:tc>
          <w:tcPr>
            <w:tcW w:w="596" w:type="pct"/>
            <w:vMerge w:val="restart"/>
            <w:tcBorders>
              <w:top w:val="single" w:sz="8" w:space="0" w:color="auto"/>
              <w:left w:val="single" w:sz="8" w:space="0" w:color="auto"/>
              <w:right w:val="single" w:sz="8" w:space="0" w:color="auto"/>
            </w:tcBorders>
            <w:shd w:val="clear" w:color="000000" w:fill="FFFFFF"/>
            <w:vAlign w:val="center"/>
            <w:hideMark/>
          </w:tcPr>
          <w:p w14:paraId="22C20CB1" w14:textId="77777777" w:rsidR="00A04138" w:rsidRDefault="00A04138" w:rsidP="00144345">
            <w:pPr>
              <w:jc w:val="center"/>
              <w:rPr>
                <w:rFonts w:ascii="Arial Narrow" w:hAnsi="Arial Narrow" w:cs="Calibri"/>
                <w:b/>
                <w:bCs/>
                <w:color w:val="000000"/>
                <w:sz w:val="20"/>
                <w:szCs w:val="20"/>
                <w:lang w:eastAsia="zh-CN"/>
              </w:rPr>
            </w:pPr>
            <w:r w:rsidRPr="000D7693">
              <w:rPr>
                <w:rFonts w:ascii="Arial Narrow" w:hAnsi="Arial Narrow"/>
                <w:b/>
                <w:color w:val="000000"/>
                <w:sz w:val="20"/>
              </w:rPr>
              <w:t>ICER</w:t>
            </w:r>
          </w:p>
          <w:p w14:paraId="096DB673" w14:textId="77777777" w:rsidR="00A04138" w:rsidRPr="00433024" w:rsidRDefault="00A04138" w:rsidP="00144345">
            <w:pPr>
              <w:jc w:val="center"/>
              <w:rPr>
                <w:rFonts w:ascii="Arial Narrow" w:hAnsi="Arial Narrow" w:cs="Calibri"/>
                <w:b/>
                <w:bCs/>
                <w:color w:val="000000"/>
                <w:sz w:val="20"/>
                <w:szCs w:val="20"/>
                <w:lang w:eastAsia="zh-CN"/>
              </w:rPr>
            </w:pPr>
            <w:r w:rsidRPr="00433024">
              <w:rPr>
                <w:rFonts w:ascii="Arial Narrow" w:hAnsi="Arial Narrow" w:cs="Calibri"/>
                <w:b/>
                <w:bCs/>
                <w:color w:val="000000"/>
                <w:sz w:val="20"/>
                <w:szCs w:val="20"/>
                <w:lang w:eastAsia="zh-CN"/>
              </w:rPr>
              <w:t>($ per QALY)</w:t>
            </w:r>
          </w:p>
        </w:tc>
      </w:tr>
      <w:tr w:rsidR="00F04B7A" w:rsidRPr="00433024" w14:paraId="4D98D241" w14:textId="77777777" w:rsidTr="00C84EC5">
        <w:trPr>
          <w:trHeight w:val="50"/>
        </w:trPr>
        <w:tc>
          <w:tcPr>
            <w:tcW w:w="1096" w:type="pct"/>
            <w:vMerge/>
            <w:tcBorders>
              <w:top w:val="single" w:sz="8" w:space="0" w:color="auto"/>
              <w:left w:val="single" w:sz="8" w:space="0" w:color="auto"/>
              <w:bottom w:val="single" w:sz="4" w:space="0" w:color="auto"/>
              <w:right w:val="single" w:sz="8" w:space="0" w:color="auto"/>
            </w:tcBorders>
            <w:vAlign w:val="center"/>
            <w:hideMark/>
          </w:tcPr>
          <w:p w14:paraId="16D86974" w14:textId="77777777" w:rsidR="00A04138" w:rsidRPr="00433024" w:rsidRDefault="00A04138" w:rsidP="00144345">
            <w:pPr>
              <w:rPr>
                <w:rFonts w:ascii="Arial Narrow" w:hAnsi="Arial Narrow" w:cs="Calibri"/>
                <w:b/>
                <w:bCs/>
                <w:color w:val="000000"/>
                <w:sz w:val="20"/>
                <w:szCs w:val="20"/>
                <w:lang w:eastAsia="zh-CN"/>
              </w:rPr>
            </w:pPr>
          </w:p>
        </w:tc>
        <w:tc>
          <w:tcPr>
            <w:tcW w:w="551" w:type="pct"/>
            <w:tcBorders>
              <w:top w:val="nil"/>
              <w:left w:val="single" w:sz="8" w:space="0" w:color="auto"/>
              <w:bottom w:val="single" w:sz="4" w:space="0" w:color="auto"/>
              <w:right w:val="single" w:sz="8" w:space="0" w:color="auto"/>
            </w:tcBorders>
            <w:shd w:val="clear" w:color="000000" w:fill="FFFFFF"/>
            <w:vAlign w:val="center"/>
            <w:hideMark/>
          </w:tcPr>
          <w:p w14:paraId="075238E6" w14:textId="77777777" w:rsidR="00A04138" w:rsidRPr="00433024" w:rsidRDefault="00A04138" w:rsidP="00144345">
            <w:pPr>
              <w:jc w:val="center"/>
              <w:rPr>
                <w:rFonts w:ascii="Arial Narrow" w:hAnsi="Arial Narrow" w:cs="Calibri"/>
                <w:b/>
                <w:bCs/>
                <w:color w:val="000000"/>
                <w:sz w:val="20"/>
                <w:szCs w:val="20"/>
                <w:lang w:eastAsia="zh-CN"/>
              </w:rPr>
            </w:pPr>
            <w:r>
              <w:rPr>
                <w:rFonts w:ascii="Arial Narrow" w:hAnsi="Arial Narrow" w:cs="Calibri"/>
                <w:b/>
                <w:bCs/>
                <w:color w:val="000000"/>
                <w:sz w:val="20"/>
                <w:szCs w:val="20"/>
                <w:lang w:eastAsia="zh-CN"/>
              </w:rPr>
              <w:t>Proposed treatment</w:t>
            </w:r>
          </w:p>
        </w:tc>
        <w:tc>
          <w:tcPr>
            <w:tcW w:w="551" w:type="pct"/>
            <w:tcBorders>
              <w:top w:val="nil"/>
              <w:left w:val="single" w:sz="8" w:space="0" w:color="auto"/>
              <w:bottom w:val="single" w:sz="8" w:space="0" w:color="000000"/>
              <w:right w:val="single" w:sz="8" w:space="0" w:color="auto"/>
            </w:tcBorders>
            <w:shd w:val="clear" w:color="000000" w:fill="FFFFFF"/>
            <w:vAlign w:val="center"/>
            <w:hideMark/>
          </w:tcPr>
          <w:p w14:paraId="785D740B" w14:textId="77777777" w:rsidR="00A04138" w:rsidRPr="00433024" w:rsidRDefault="00A04138" w:rsidP="00144345">
            <w:pPr>
              <w:jc w:val="center"/>
              <w:rPr>
                <w:rFonts w:ascii="Arial Narrow" w:hAnsi="Arial Narrow" w:cs="Calibri"/>
                <w:b/>
                <w:bCs/>
                <w:color w:val="000000"/>
                <w:sz w:val="20"/>
                <w:szCs w:val="20"/>
                <w:lang w:eastAsia="zh-CN"/>
              </w:rPr>
            </w:pPr>
            <w:r>
              <w:rPr>
                <w:rFonts w:ascii="Arial Narrow" w:hAnsi="Arial Narrow" w:cs="Calibri"/>
                <w:b/>
                <w:bCs/>
                <w:color w:val="000000"/>
                <w:sz w:val="20"/>
                <w:szCs w:val="20"/>
                <w:lang w:eastAsia="zh-CN"/>
              </w:rPr>
              <w:t>Comparator treatment</w:t>
            </w:r>
          </w:p>
        </w:tc>
        <w:tc>
          <w:tcPr>
            <w:tcW w:w="552" w:type="pct"/>
            <w:tcBorders>
              <w:top w:val="nil"/>
              <w:left w:val="single" w:sz="8" w:space="0" w:color="auto"/>
              <w:bottom w:val="single" w:sz="8" w:space="0" w:color="000000"/>
              <w:right w:val="single" w:sz="8" w:space="0" w:color="auto"/>
            </w:tcBorders>
            <w:shd w:val="clear" w:color="000000" w:fill="FFFFFF"/>
            <w:vAlign w:val="center"/>
            <w:hideMark/>
          </w:tcPr>
          <w:p w14:paraId="3439B572" w14:textId="77777777" w:rsidR="00A04138" w:rsidRPr="00433024" w:rsidRDefault="00A04138" w:rsidP="00144345">
            <w:pPr>
              <w:jc w:val="center"/>
              <w:rPr>
                <w:rFonts w:ascii="Arial Narrow" w:hAnsi="Arial Narrow" w:cs="Calibri"/>
                <w:b/>
                <w:bCs/>
                <w:color w:val="000000"/>
                <w:sz w:val="20"/>
                <w:szCs w:val="20"/>
                <w:lang w:eastAsia="zh-CN"/>
              </w:rPr>
            </w:pPr>
            <w:r>
              <w:rPr>
                <w:rFonts w:ascii="Arial Narrow" w:hAnsi="Arial Narrow" w:cs="Calibri"/>
                <w:b/>
                <w:bCs/>
                <w:color w:val="000000"/>
                <w:sz w:val="20"/>
                <w:szCs w:val="20"/>
                <w:lang w:eastAsia="zh-CN"/>
              </w:rPr>
              <w:t>Diff.</w:t>
            </w:r>
          </w:p>
        </w:tc>
        <w:tc>
          <w:tcPr>
            <w:tcW w:w="551" w:type="pct"/>
            <w:tcBorders>
              <w:top w:val="nil"/>
              <w:left w:val="single" w:sz="8" w:space="0" w:color="auto"/>
              <w:bottom w:val="single" w:sz="8" w:space="0" w:color="000000"/>
              <w:right w:val="single" w:sz="8" w:space="0" w:color="auto"/>
            </w:tcBorders>
            <w:shd w:val="clear" w:color="000000" w:fill="FFFFFF"/>
            <w:vAlign w:val="center"/>
            <w:hideMark/>
          </w:tcPr>
          <w:p w14:paraId="24F29C2D" w14:textId="77777777" w:rsidR="00A04138" w:rsidRPr="00433024" w:rsidRDefault="00A04138" w:rsidP="00144345">
            <w:pPr>
              <w:jc w:val="center"/>
              <w:rPr>
                <w:rFonts w:ascii="Arial Narrow" w:hAnsi="Arial Narrow" w:cs="Calibri"/>
                <w:b/>
                <w:bCs/>
                <w:color w:val="000000"/>
                <w:sz w:val="20"/>
                <w:szCs w:val="20"/>
                <w:lang w:eastAsia="zh-CN"/>
              </w:rPr>
            </w:pPr>
            <w:r>
              <w:rPr>
                <w:rFonts w:ascii="Arial Narrow" w:hAnsi="Arial Narrow" w:cs="Calibri"/>
                <w:b/>
                <w:bCs/>
                <w:color w:val="000000"/>
                <w:sz w:val="20"/>
                <w:szCs w:val="20"/>
                <w:lang w:eastAsia="zh-CN"/>
              </w:rPr>
              <w:t>Proposed treatment</w:t>
            </w:r>
          </w:p>
        </w:tc>
        <w:tc>
          <w:tcPr>
            <w:tcW w:w="551" w:type="pct"/>
            <w:tcBorders>
              <w:top w:val="nil"/>
              <w:left w:val="single" w:sz="8" w:space="0" w:color="auto"/>
              <w:bottom w:val="single" w:sz="8" w:space="0" w:color="000000"/>
              <w:right w:val="single" w:sz="8" w:space="0" w:color="auto"/>
            </w:tcBorders>
            <w:shd w:val="clear" w:color="000000" w:fill="FFFFFF"/>
            <w:vAlign w:val="center"/>
            <w:hideMark/>
          </w:tcPr>
          <w:p w14:paraId="0A5E21F3" w14:textId="77777777" w:rsidR="00A04138" w:rsidRPr="00433024" w:rsidRDefault="00A04138" w:rsidP="00144345">
            <w:pPr>
              <w:jc w:val="center"/>
              <w:rPr>
                <w:rFonts w:ascii="Arial Narrow" w:hAnsi="Arial Narrow" w:cs="Calibri"/>
                <w:b/>
                <w:bCs/>
                <w:color w:val="000000"/>
                <w:sz w:val="20"/>
                <w:szCs w:val="20"/>
                <w:lang w:eastAsia="zh-CN"/>
              </w:rPr>
            </w:pPr>
            <w:r w:rsidRPr="00433024">
              <w:rPr>
                <w:rFonts w:ascii="Arial Narrow" w:hAnsi="Arial Narrow" w:cs="Calibri"/>
                <w:b/>
                <w:bCs/>
                <w:color w:val="000000"/>
                <w:sz w:val="20"/>
                <w:szCs w:val="20"/>
                <w:lang w:eastAsia="zh-CN"/>
              </w:rPr>
              <w:t>Comparator</w:t>
            </w:r>
          </w:p>
          <w:p w14:paraId="58491236" w14:textId="77777777" w:rsidR="00A04138" w:rsidRPr="00433024" w:rsidRDefault="00A04138" w:rsidP="00144345">
            <w:pPr>
              <w:jc w:val="center"/>
              <w:rPr>
                <w:rFonts w:ascii="Arial Narrow" w:hAnsi="Arial Narrow" w:cs="Calibri"/>
                <w:b/>
                <w:bCs/>
                <w:color w:val="000000"/>
                <w:sz w:val="20"/>
                <w:szCs w:val="20"/>
                <w:lang w:eastAsia="zh-CN"/>
              </w:rPr>
            </w:pPr>
            <w:r>
              <w:rPr>
                <w:rFonts w:ascii="Arial Narrow" w:hAnsi="Arial Narrow" w:cs="Calibri"/>
                <w:b/>
                <w:bCs/>
                <w:color w:val="000000"/>
                <w:sz w:val="20"/>
                <w:szCs w:val="20"/>
                <w:lang w:eastAsia="zh-CN"/>
              </w:rPr>
              <w:t>treatment</w:t>
            </w:r>
          </w:p>
        </w:tc>
        <w:tc>
          <w:tcPr>
            <w:tcW w:w="552" w:type="pct"/>
            <w:tcBorders>
              <w:top w:val="nil"/>
              <w:left w:val="single" w:sz="8" w:space="0" w:color="auto"/>
              <w:bottom w:val="single" w:sz="8" w:space="0" w:color="000000"/>
              <w:right w:val="single" w:sz="8" w:space="0" w:color="auto"/>
            </w:tcBorders>
            <w:shd w:val="clear" w:color="000000" w:fill="FFFFFF"/>
            <w:vAlign w:val="center"/>
            <w:hideMark/>
          </w:tcPr>
          <w:p w14:paraId="064C7E88" w14:textId="77777777" w:rsidR="00A04138" w:rsidRPr="00433024" w:rsidRDefault="00A04138" w:rsidP="00144345">
            <w:pPr>
              <w:jc w:val="center"/>
              <w:rPr>
                <w:rFonts w:ascii="Arial Narrow" w:hAnsi="Arial Narrow" w:cs="Calibri"/>
                <w:b/>
                <w:bCs/>
                <w:color w:val="000000"/>
                <w:sz w:val="20"/>
                <w:szCs w:val="20"/>
                <w:lang w:eastAsia="zh-CN"/>
              </w:rPr>
            </w:pPr>
            <w:r>
              <w:rPr>
                <w:rFonts w:ascii="Arial Narrow" w:hAnsi="Arial Narrow" w:cs="Calibri"/>
                <w:b/>
                <w:bCs/>
                <w:color w:val="000000"/>
                <w:sz w:val="20"/>
                <w:szCs w:val="20"/>
                <w:lang w:eastAsia="zh-CN"/>
              </w:rPr>
              <w:t>Diff.</w:t>
            </w:r>
          </w:p>
        </w:tc>
        <w:tc>
          <w:tcPr>
            <w:tcW w:w="596" w:type="pct"/>
            <w:vMerge/>
            <w:tcBorders>
              <w:left w:val="single" w:sz="8" w:space="0" w:color="auto"/>
              <w:bottom w:val="single" w:sz="8" w:space="0" w:color="000000"/>
              <w:right w:val="single" w:sz="8" w:space="0" w:color="auto"/>
            </w:tcBorders>
            <w:vAlign w:val="center"/>
            <w:hideMark/>
          </w:tcPr>
          <w:p w14:paraId="3F9EE3E0" w14:textId="77777777" w:rsidR="00A04138" w:rsidRPr="00433024" w:rsidRDefault="00A04138" w:rsidP="00144345">
            <w:pPr>
              <w:rPr>
                <w:rFonts w:ascii="Arial Narrow" w:hAnsi="Arial Narrow" w:cs="Calibri"/>
                <w:b/>
                <w:bCs/>
                <w:color w:val="000000"/>
                <w:sz w:val="20"/>
                <w:szCs w:val="20"/>
                <w:lang w:eastAsia="zh-CN"/>
              </w:rPr>
            </w:pPr>
          </w:p>
        </w:tc>
      </w:tr>
      <w:tr w:rsidR="00C84EC5" w:rsidRPr="00433024" w14:paraId="22D15045" w14:textId="77777777" w:rsidTr="00C84EC5">
        <w:trPr>
          <w:trHeight w:val="50"/>
        </w:trPr>
        <w:tc>
          <w:tcPr>
            <w:tcW w:w="1096"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7AC6E532" w14:textId="6EB8604C" w:rsidR="00F63813" w:rsidRPr="00433024" w:rsidRDefault="00F63813" w:rsidP="00F63813">
            <w:pPr>
              <w:rPr>
                <w:rFonts w:ascii="Arial Narrow" w:hAnsi="Arial Narrow" w:cs="Calibri"/>
                <w:color w:val="000000"/>
                <w:sz w:val="20"/>
                <w:szCs w:val="20"/>
                <w:lang w:eastAsia="zh-CN"/>
              </w:rPr>
            </w:pPr>
            <w:r w:rsidRPr="00433024">
              <w:rPr>
                <w:rFonts w:ascii="Arial Narrow" w:hAnsi="Arial Narrow" w:cs="Calibri"/>
                <w:color w:val="000000"/>
                <w:sz w:val="20"/>
                <w:szCs w:val="20"/>
              </w:rPr>
              <w:t>(VAR) vs (NRT)</w:t>
            </w:r>
            <w:r>
              <w:rPr>
                <w:rFonts w:ascii="Arial Narrow" w:hAnsi="Arial Narrow" w:cs="Calibri"/>
                <w:color w:val="000000"/>
                <w:sz w:val="20"/>
                <w:szCs w:val="20"/>
              </w:rPr>
              <w:t xml:space="preserve"> </w:t>
            </w:r>
            <w:r w:rsidRPr="00433024">
              <w:rPr>
                <w:rFonts w:ascii="Arial Narrow" w:hAnsi="Arial Narrow" w:cs="Calibri"/>
                <w:color w:val="000000"/>
                <w:sz w:val="20"/>
                <w:szCs w:val="20"/>
                <w:vertAlign w:val="superscript"/>
              </w:rPr>
              <w:t xml:space="preserve">a </w:t>
            </w:r>
          </w:p>
        </w:tc>
        <w:tc>
          <w:tcPr>
            <w:tcW w:w="551" w:type="pct"/>
            <w:tcBorders>
              <w:top w:val="single" w:sz="4" w:space="0" w:color="auto"/>
              <w:left w:val="nil"/>
              <w:bottom w:val="single" w:sz="8" w:space="0" w:color="auto"/>
              <w:right w:val="single" w:sz="8" w:space="0" w:color="auto"/>
            </w:tcBorders>
            <w:shd w:val="solid" w:color="000000" w:fill="000000"/>
            <w:vAlign w:val="center"/>
            <w:hideMark/>
          </w:tcPr>
          <w:p w14:paraId="3B53AA59" w14:textId="0370013D" w:rsidR="00F63813" w:rsidRPr="00B800D0" w:rsidRDefault="00B800D0" w:rsidP="00F63813">
            <w:pPr>
              <w:jc w:val="center"/>
              <w:rPr>
                <w:rFonts w:ascii="Arial Narrow" w:hAnsi="Arial Narrow" w:cs="Calibri"/>
                <w:color w:val="000000"/>
                <w:sz w:val="20"/>
                <w:szCs w:val="20"/>
                <w:lang w:eastAsia="zh-CN"/>
              </w:rPr>
            </w:pPr>
            <w:r w:rsidRPr="00B800D0">
              <w:rPr>
                <w:rFonts w:ascii="Arial Narrow" w:hAnsi="Arial Narrow" w:cs="Calibri"/>
                <w:color w:val="000000"/>
                <w:spacing w:val="104"/>
                <w:sz w:val="20"/>
                <w:szCs w:val="20"/>
                <w:fitText w:val="190" w:id="-1402818048"/>
                <w14:textFill>
                  <w14:solidFill>
                    <w14:srgbClr w14:val="000000">
                      <w14:alpha w14:val="100000"/>
                    </w14:srgbClr>
                  </w14:solidFill>
                </w14:textFill>
              </w:rPr>
              <w:t>|</w:t>
            </w:r>
            <w:r w:rsidRPr="00B800D0">
              <w:rPr>
                <w:rFonts w:ascii="Arial Narrow" w:hAnsi="Arial Narrow" w:cs="Calibri"/>
                <w:color w:val="000000"/>
                <w:sz w:val="20"/>
                <w:szCs w:val="20"/>
                <w:fitText w:val="190" w:id="-1402818048"/>
                <w14:textFill>
                  <w14:solidFill>
                    <w14:srgbClr w14:val="000000">
                      <w14:alpha w14:val="100000"/>
                    </w14:srgbClr>
                  </w14:solidFill>
                </w14:textFill>
              </w:rPr>
              <w:t>|</w:t>
            </w:r>
          </w:p>
        </w:tc>
        <w:tc>
          <w:tcPr>
            <w:tcW w:w="551" w:type="pct"/>
            <w:tcBorders>
              <w:top w:val="single" w:sz="8" w:space="0" w:color="000000"/>
              <w:left w:val="nil"/>
              <w:bottom w:val="single" w:sz="8" w:space="0" w:color="auto"/>
              <w:right w:val="single" w:sz="8" w:space="0" w:color="auto"/>
            </w:tcBorders>
            <w:shd w:val="solid" w:color="000000" w:fill="000000"/>
            <w:vAlign w:val="center"/>
            <w:hideMark/>
          </w:tcPr>
          <w:p w14:paraId="13BAE37D" w14:textId="77F94BC1" w:rsidR="00F63813" w:rsidRPr="00B800D0" w:rsidRDefault="00B800D0" w:rsidP="00F63813">
            <w:pPr>
              <w:jc w:val="center"/>
              <w:rPr>
                <w:rFonts w:ascii="Arial Narrow" w:hAnsi="Arial Narrow" w:cs="Calibri"/>
                <w:color w:val="000000"/>
                <w:sz w:val="20"/>
                <w:szCs w:val="20"/>
                <w:lang w:eastAsia="zh-CN"/>
              </w:rPr>
            </w:pPr>
            <w:r w:rsidRPr="00B800D0">
              <w:rPr>
                <w:rFonts w:ascii="Arial Narrow" w:hAnsi="Arial Narrow" w:cs="Calibri"/>
                <w:color w:val="000000"/>
                <w:spacing w:val="104"/>
                <w:sz w:val="20"/>
                <w:szCs w:val="20"/>
                <w:fitText w:val="190" w:id="-1402818047"/>
                <w14:textFill>
                  <w14:solidFill>
                    <w14:srgbClr w14:val="000000">
                      <w14:alpha w14:val="100000"/>
                    </w14:srgbClr>
                  </w14:solidFill>
                </w14:textFill>
              </w:rPr>
              <w:t>|</w:t>
            </w:r>
            <w:r w:rsidRPr="00B800D0">
              <w:rPr>
                <w:rFonts w:ascii="Arial Narrow" w:hAnsi="Arial Narrow" w:cs="Calibri"/>
                <w:color w:val="000000"/>
                <w:sz w:val="20"/>
                <w:szCs w:val="20"/>
                <w:fitText w:val="190" w:id="-1402818047"/>
                <w14:textFill>
                  <w14:solidFill>
                    <w14:srgbClr w14:val="000000">
                      <w14:alpha w14:val="100000"/>
                    </w14:srgbClr>
                  </w14:solidFill>
                </w14:textFill>
              </w:rPr>
              <w:t>|</w:t>
            </w:r>
          </w:p>
        </w:tc>
        <w:tc>
          <w:tcPr>
            <w:tcW w:w="552" w:type="pct"/>
            <w:tcBorders>
              <w:top w:val="single" w:sz="8" w:space="0" w:color="000000"/>
              <w:left w:val="nil"/>
              <w:bottom w:val="single" w:sz="8" w:space="0" w:color="auto"/>
              <w:right w:val="single" w:sz="8" w:space="0" w:color="auto"/>
            </w:tcBorders>
            <w:shd w:val="solid" w:color="000000" w:fill="000000"/>
            <w:vAlign w:val="center"/>
            <w:hideMark/>
          </w:tcPr>
          <w:p w14:paraId="03B5ED02" w14:textId="12D95D5E" w:rsidR="00F63813" w:rsidRPr="00B800D0" w:rsidRDefault="00B800D0" w:rsidP="00F63813">
            <w:pPr>
              <w:jc w:val="center"/>
              <w:rPr>
                <w:rFonts w:ascii="Arial Narrow" w:hAnsi="Arial Narrow" w:cs="Calibri"/>
                <w:color w:val="000000"/>
                <w:sz w:val="20"/>
                <w:szCs w:val="20"/>
                <w:lang w:eastAsia="zh-CN"/>
              </w:rPr>
            </w:pPr>
            <w:r w:rsidRPr="00B800D0">
              <w:rPr>
                <w:rFonts w:ascii="Arial Narrow" w:hAnsi="Arial Narrow" w:cs="Calibri"/>
                <w:color w:val="000000"/>
                <w:sz w:val="20"/>
                <w:szCs w:val="20"/>
                <w14:textFill>
                  <w14:solidFill>
                    <w14:srgbClr w14:val="000000">
                      <w14:alpha w14:val="100000"/>
                    </w14:srgbClr>
                  </w14:solidFill>
                </w14:textFill>
              </w:rPr>
              <w:t>|</w:t>
            </w:r>
          </w:p>
        </w:tc>
        <w:tc>
          <w:tcPr>
            <w:tcW w:w="551" w:type="pct"/>
            <w:tcBorders>
              <w:top w:val="single" w:sz="8" w:space="0" w:color="000000"/>
              <w:left w:val="nil"/>
              <w:bottom w:val="single" w:sz="8" w:space="0" w:color="auto"/>
              <w:right w:val="single" w:sz="8" w:space="0" w:color="auto"/>
            </w:tcBorders>
            <w:shd w:val="solid" w:color="000000" w:fill="000000"/>
            <w:vAlign w:val="center"/>
            <w:hideMark/>
          </w:tcPr>
          <w:p w14:paraId="75521AD9" w14:textId="15F45C7D"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hint="eastAsia"/>
                <w:color w:val="000000"/>
                <w:w w:val="15"/>
                <w:sz w:val="20"/>
                <w:szCs w:val="20"/>
                <w:fitText w:val="60" w:id="-1402818046"/>
                <w14:textFill>
                  <w14:solidFill>
                    <w14:srgbClr w14:val="000000">
                      <w14:alpha w14:val="100000"/>
                    </w14:srgbClr>
                  </w14:solidFill>
                </w14:textFill>
              </w:rPr>
              <w:t xml:space="preserve">　</w:t>
            </w:r>
            <w:r w:rsidRPr="00C84EC5">
              <w:rPr>
                <w:rFonts w:ascii="Arial Narrow" w:hAnsi="Arial Narrow" w:cs="Calibri"/>
                <w:color w:val="000000"/>
                <w:w w:val="15"/>
                <w:sz w:val="20"/>
                <w:szCs w:val="20"/>
                <w:fitText w:val="60" w:id="-1402818046"/>
                <w14:textFill>
                  <w14:solidFill>
                    <w14:srgbClr w14:val="000000">
                      <w14:alpha w14:val="100000"/>
                    </w14:srgbClr>
                  </w14:solidFill>
                </w14:textFill>
              </w:rPr>
              <w:t>|</w:t>
            </w:r>
            <w:r w:rsidRPr="00C84EC5">
              <w:rPr>
                <w:rFonts w:ascii="Arial Narrow" w:hAnsi="Arial Narrow" w:cs="Calibri" w:hint="eastAsia"/>
                <w:color w:val="000000"/>
                <w:w w:val="15"/>
                <w:sz w:val="20"/>
                <w:szCs w:val="20"/>
                <w:fitText w:val="60" w:id="-1402818046"/>
                <w14:textFill>
                  <w14:solidFill>
                    <w14:srgbClr w14:val="000000">
                      <w14:alpha w14:val="100000"/>
                    </w14:srgbClr>
                  </w14:solidFill>
                </w14:textFill>
              </w:rPr>
              <w:t xml:space="preserve">　</w:t>
            </w:r>
          </w:p>
        </w:tc>
        <w:tc>
          <w:tcPr>
            <w:tcW w:w="551" w:type="pct"/>
            <w:tcBorders>
              <w:top w:val="single" w:sz="8" w:space="0" w:color="000000"/>
              <w:left w:val="nil"/>
              <w:bottom w:val="single" w:sz="8" w:space="0" w:color="auto"/>
              <w:right w:val="single" w:sz="8" w:space="0" w:color="auto"/>
            </w:tcBorders>
            <w:shd w:val="solid" w:color="000000" w:fill="000000"/>
            <w:vAlign w:val="center"/>
            <w:hideMark/>
          </w:tcPr>
          <w:p w14:paraId="69DCEEB7" w14:textId="5A7ACDCC"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hint="eastAsia"/>
                <w:color w:val="000000"/>
                <w:w w:val="15"/>
                <w:sz w:val="20"/>
                <w:szCs w:val="20"/>
                <w:fitText w:val="60" w:id="-1402817792"/>
                <w14:textFill>
                  <w14:solidFill>
                    <w14:srgbClr w14:val="000000">
                      <w14:alpha w14:val="100000"/>
                    </w14:srgbClr>
                  </w14:solidFill>
                </w14:textFill>
              </w:rPr>
              <w:t xml:space="preserve">　</w:t>
            </w:r>
            <w:r w:rsidRPr="00C84EC5">
              <w:rPr>
                <w:rFonts w:ascii="Arial Narrow" w:hAnsi="Arial Narrow" w:cs="Calibri"/>
                <w:color w:val="000000"/>
                <w:w w:val="15"/>
                <w:sz w:val="20"/>
                <w:szCs w:val="20"/>
                <w:fitText w:val="60" w:id="-1402817792"/>
                <w14:textFill>
                  <w14:solidFill>
                    <w14:srgbClr w14:val="000000">
                      <w14:alpha w14:val="100000"/>
                    </w14:srgbClr>
                  </w14:solidFill>
                </w14:textFill>
              </w:rPr>
              <w:t>|</w:t>
            </w:r>
            <w:r w:rsidRPr="00C84EC5">
              <w:rPr>
                <w:rFonts w:ascii="Arial Narrow" w:hAnsi="Arial Narrow" w:cs="Calibri" w:hint="eastAsia"/>
                <w:color w:val="000000"/>
                <w:w w:val="15"/>
                <w:sz w:val="20"/>
                <w:szCs w:val="20"/>
                <w:fitText w:val="60" w:id="-1402817792"/>
                <w14:textFill>
                  <w14:solidFill>
                    <w14:srgbClr w14:val="000000">
                      <w14:alpha w14:val="100000"/>
                    </w14:srgbClr>
                  </w14:solidFill>
                </w14:textFill>
              </w:rPr>
              <w:t xml:space="preserve">　</w:t>
            </w:r>
          </w:p>
        </w:tc>
        <w:tc>
          <w:tcPr>
            <w:tcW w:w="552" w:type="pct"/>
            <w:tcBorders>
              <w:top w:val="single" w:sz="8" w:space="0" w:color="000000"/>
              <w:left w:val="nil"/>
              <w:bottom w:val="single" w:sz="8" w:space="0" w:color="auto"/>
              <w:right w:val="single" w:sz="8" w:space="0" w:color="auto"/>
            </w:tcBorders>
            <w:shd w:val="solid" w:color="000000" w:fill="000000"/>
            <w:vAlign w:val="center"/>
            <w:hideMark/>
          </w:tcPr>
          <w:p w14:paraId="5BBED44C" w14:textId="5F9DE4CF"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hint="eastAsia"/>
                <w:color w:val="000000"/>
                <w:w w:val="15"/>
                <w:sz w:val="20"/>
                <w:fitText w:val="60" w:id="-1402817791"/>
                <w14:textFill>
                  <w14:solidFill>
                    <w14:srgbClr w14:val="000000">
                      <w14:alpha w14:val="100000"/>
                    </w14:srgbClr>
                  </w14:solidFill>
                </w14:textFill>
              </w:rPr>
              <w:t xml:space="preserve">　</w:t>
            </w:r>
            <w:r w:rsidRPr="00C84EC5">
              <w:rPr>
                <w:rFonts w:ascii="Arial Narrow" w:hAnsi="Arial Narrow"/>
                <w:color w:val="000000"/>
                <w:w w:val="15"/>
                <w:sz w:val="20"/>
                <w:fitText w:val="60" w:id="-1402817791"/>
                <w14:textFill>
                  <w14:solidFill>
                    <w14:srgbClr w14:val="000000">
                      <w14:alpha w14:val="100000"/>
                    </w14:srgbClr>
                  </w14:solidFill>
                </w14:textFill>
              </w:rPr>
              <w:t>|</w:t>
            </w:r>
            <w:r w:rsidRPr="00C84EC5">
              <w:rPr>
                <w:rFonts w:ascii="Arial Narrow" w:hAnsi="Arial Narrow" w:hint="eastAsia"/>
                <w:color w:val="000000"/>
                <w:w w:val="15"/>
                <w:sz w:val="20"/>
                <w:fitText w:val="60" w:id="-1402817791"/>
                <w14:textFill>
                  <w14:solidFill>
                    <w14:srgbClr w14:val="000000">
                      <w14:alpha w14:val="100000"/>
                    </w14:srgbClr>
                  </w14:solidFill>
                </w14:textFill>
              </w:rPr>
              <w:t xml:space="preserve">　</w:t>
            </w:r>
          </w:p>
        </w:tc>
        <w:tc>
          <w:tcPr>
            <w:tcW w:w="596" w:type="pct"/>
            <w:tcBorders>
              <w:top w:val="nil"/>
              <w:left w:val="nil"/>
              <w:bottom w:val="single" w:sz="8" w:space="0" w:color="auto"/>
              <w:right w:val="single" w:sz="8" w:space="0" w:color="auto"/>
            </w:tcBorders>
            <w:shd w:val="clear" w:color="auto" w:fill="000000" w:themeFill="text1"/>
            <w:vAlign w:val="center"/>
          </w:tcPr>
          <w:p w14:paraId="42E33E14" w14:textId="2A354C3B" w:rsidR="00F63813" w:rsidRPr="00C84EC5" w:rsidRDefault="00C84EC5" w:rsidP="00F63813">
            <w:pPr>
              <w:jc w:val="center"/>
              <w:rPr>
                <w:rFonts w:ascii="Arial Narrow" w:hAnsi="Arial Narrow" w:cs="Calibri"/>
                <w:color w:val="000000"/>
                <w:sz w:val="20"/>
                <w:szCs w:val="20"/>
              </w:rPr>
            </w:pPr>
            <w:r w:rsidRPr="00C84EC5">
              <w:rPr>
                <w:rFonts w:ascii="Arial Narrow" w:hAnsi="Arial Narrow" w:cs="Calibri"/>
                <w:color w:val="000000"/>
                <w:spacing w:val="214"/>
                <w:sz w:val="20"/>
                <w:szCs w:val="20"/>
                <w:shd w:val="solid" w:color="000000" w:fill="000000"/>
                <w:fitText w:val="300" w:id="-1402817790"/>
                <w14:textFill>
                  <w14:solidFill>
                    <w14:srgbClr w14:val="000000">
                      <w14:alpha w14:val="100000"/>
                    </w14:srgbClr>
                  </w14:solidFill>
                </w14:textFill>
              </w:rPr>
              <w:t>|</w:t>
            </w:r>
            <w:r w:rsidRPr="00C84EC5">
              <w:rPr>
                <w:rFonts w:ascii="Arial Narrow" w:hAnsi="Arial Narrow" w:cs="Calibri"/>
                <w:color w:val="000000"/>
                <w:sz w:val="20"/>
                <w:szCs w:val="20"/>
                <w:shd w:val="solid" w:color="000000" w:fill="000000"/>
                <w:fitText w:val="300" w:id="-1402817790"/>
                <w14:textFill>
                  <w14:solidFill>
                    <w14:srgbClr w14:val="000000">
                      <w14:alpha w14:val="100000"/>
                    </w14:srgbClr>
                  </w14:solidFill>
                </w14:textFill>
              </w:rPr>
              <w:t>|</w:t>
            </w:r>
            <w:r w:rsidRPr="00C84EC5">
              <w:rPr>
                <w:rFonts w:ascii="Arial Narrow" w:hAnsi="Arial Narrow" w:cs="Calibri"/>
                <w:color w:val="000000"/>
                <w:sz w:val="20"/>
                <w:szCs w:val="20"/>
              </w:rPr>
              <w:t xml:space="preserve"> </w:t>
            </w:r>
          </w:p>
        </w:tc>
      </w:tr>
      <w:tr w:rsidR="00C84EC5" w:rsidRPr="00433024" w14:paraId="41072C8B" w14:textId="77777777" w:rsidTr="00C84EC5">
        <w:trPr>
          <w:trHeight w:val="50"/>
        </w:trPr>
        <w:tc>
          <w:tcPr>
            <w:tcW w:w="1096" w:type="pct"/>
            <w:tcBorders>
              <w:top w:val="nil"/>
              <w:left w:val="single" w:sz="8" w:space="0" w:color="auto"/>
              <w:bottom w:val="single" w:sz="8" w:space="0" w:color="auto"/>
              <w:right w:val="single" w:sz="8" w:space="0" w:color="auto"/>
            </w:tcBorders>
            <w:shd w:val="clear" w:color="000000" w:fill="FFFFFF"/>
            <w:vAlign w:val="center"/>
            <w:hideMark/>
          </w:tcPr>
          <w:p w14:paraId="53013A16" w14:textId="4D185FAA" w:rsidR="00F63813" w:rsidRPr="00433024" w:rsidRDefault="00F63813" w:rsidP="00F63813">
            <w:pPr>
              <w:rPr>
                <w:rFonts w:ascii="Arial Narrow" w:hAnsi="Arial Narrow" w:cs="Calibri"/>
                <w:color w:val="000000"/>
                <w:sz w:val="20"/>
                <w:szCs w:val="20"/>
                <w:lang w:eastAsia="zh-CN"/>
              </w:rPr>
            </w:pPr>
            <w:r w:rsidRPr="00433024">
              <w:rPr>
                <w:rFonts w:ascii="Arial Narrow" w:hAnsi="Arial Narrow" w:cs="Calibri"/>
                <w:color w:val="000000"/>
                <w:sz w:val="20"/>
                <w:szCs w:val="20"/>
              </w:rPr>
              <w:t>(VAR+NRT)</w:t>
            </w:r>
            <w:r>
              <w:rPr>
                <w:rFonts w:ascii="Arial Narrow" w:hAnsi="Arial Narrow" w:cs="Calibri"/>
                <w:color w:val="000000"/>
                <w:sz w:val="20"/>
                <w:szCs w:val="20"/>
              </w:rPr>
              <w:t xml:space="preserve"> </w:t>
            </w:r>
            <w:r w:rsidRPr="00433024">
              <w:rPr>
                <w:rFonts w:ascii="Arial Narrow" w:hAnsi="Arial Narrow" w:cs="Calibri"/>
                <w:color w:val="000000"/>
                <w:sz w:val="20"/>
                <w:szCs w:val="20"/>
                <w:vertAlign w:val="superscript"/>
              </w:rPr>
              <w:t>b</w:t>
            </w:r>
            <w:r>
              <w:rPr>
                <w:rFonts w:ascii="Arial Narrow" w:hAnsi="Arial Narrow" w:cs="Calibri"/>
                <w:color w:val="000000"/>
                <w:sz w:val="20"/>
                <w:szCs w:val="20"/>
              </w:rPr>
              <w:t xml:space="preserve"> v</w:t>
            </w:r>
            <w:r w:rsidRPr="00433024">
              <w:rPr>
                <w:rFonts w:ascii="Arial Narrow" w:hAnsi="Arial Narrow" w:cs="Calibri"/>
                <w:color w:val="000000"/>
                <w:sz w:val="20"/>
                <w:szCs w:val="20"/>
              </w:rPr>
              <w:t>s (VAR)</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711E41B8" w14:textId="0538D893"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color w:val="000000"/>
                <w:spacing w:val="104"/>
                <w:sz w:val="20"/>
                <w:szCs w:val="20"/>
                <w:fitText w:val="190" w:id="-1402817789"/>
                <w14:textFill>
                  <w14:solidFill>
                    <w14:srgbClr w14:val="000000">
                      <w14:alpha w14:val="100000"/>
                    </w14:srgbClr>
                  </w14:solidFill>
                </w14:textFill>
              </w:rPr>
              <w:t>|</w:t>
            </w:r>
            <w:r w:rsidRPr="00C84EC5">
              <w:rPr>
                <w:rFonts w:ascii="Arial Narrow" w:hAnsi="Arial Narrow" w:cs="Calibri"/>
                <w:color w:val="000000"/>
                <w:sz w:val="20"/>
                <w:szCs w:val="20"/>
                <w:fitText w:val="190" w:id="-1402817789"/>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30CC26FB" w14:textId="10BFD930"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color w:val="000000"/>
                <w:spacing w:val="104"/>
                <w:sz w:val="20"/>
                <w:szCs w:val="20"/>
                <w:fitText w:val="190" w:id="-1402817788"/>
                <w14:textFill>
                  <w14:solidFill>
                    <w14:srgbClr w14:val="000000">
                      <w14:alpha w14:val="100000"/>
                    </w14:srgbClr>
                  </w14:solidFill>
                </w14:textFill>
              </w:rPr>
              <w:t>|</w:t>
            </w:r>
            <w:r w:rsidRPr="00C84EC5">
              <w:rPr>
                <w:rFonts w:ascii="Arial Narrow" w:hAnsi="Arial Narrow" w:cs="Calibri"/>
                <w:color w:val="000000"/>
                <w:sz w:val="20"/>
                <w:szCs w:val="20"/>
                <w:fitText w:val="190" w:id="-1402817788"/>
                <w14:textFill>
                  <w14:solidFill>
                    <w14:srgbClr w14:val="000000">
                      <w14:alpha w14:val="100000"/>
                    </w14:srgbClr>
                  </w14:solidFill>
                </w14:textFill>
              </w:rPr>
              <w:t>|</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23003DD5" w14:textId="597F2A3A"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color w:val="000000"/>
                <w:sz w:val="20"/>
                <w:szCs w:val="20"/>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5B50D544" w14:textId="51EC360E"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hint="eastAsia"/>
                <w:color w:val="000000"/>
                <w:w w:val="15"/>
                <w:sz w:val="20"/>
                <w:szCs w:val="20"/>
                <w:fitText w:val="60" w:id="-1402817536"/>
                <w14:textFill>
                  <w14:solidFill>
                    <w14:srgbClr w14:val="000000">
                      <w14:alpha w14:val="100000"/>
                    </w14:srgbClr>
                  </w14:solidFill>
                </w14:textFill>
              </w:rPr>
              <w:t xml:space="preserve">　</w:t>
            </w:r>
            <w:r w:rsidRPr="00C84EC5">
              <w:rPr>
                <w:rFonts w:ascii="Arial Narrow" w:hAnsi="Arial Narrow" w:cs="Calibri"/>
                <w:color w:val="000000"/>
                <w:w w:val="15"/>
                <w:sz w:val="20"/>
                <w:szCs w:val="20"/>
                <w:fitText w:val="60" w:id="-1402817536"/>
                <w14:textFill>
                  <w14:solidFill>
                    <w14:srgbClr w14:val="000000">
                      <w14:alpha w14:val="100000"/>
                    </w14:srgbClr>
                  </w14:solidFill>
                </w14:textFill>
              </w:rPr>
              <w:t>|</w:t>
            </w:r>
            <w:r w:rsidRPr="00C84EC5">
              <w:rPr>
                <w:rFonts w:ascii="Arial Narrow" w:hAnsi="Arial Narrow" w:cs="Calibri" w:hint="eastAsia"/>
                <w:color w:val="000000"/>
                <w:w w:val="15"/>
                <w:sz w:val="20"/>
                <w:szCs w:val="20"/>
                <w:fitText w:val="60" w:id="-1402817536"/>
                <w14:textFill>
                  <w14:solidFill>
                    <w14:srgbClr w14:val="000000">
                      <w14:alpha w14:val="100000"/>
                    </w14:srgbClr>
                  </w14:solidFill>
                </w14:textFill>
              </w:rPr>
              <w:t xml:space="preserve">　</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47127715" w14:textId="70CA6D5A"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hint="eastAsia"/>
                <w:color w:val="000000"/>
                <w:w w:val="15"/>
                <w:sz w:val="20"/>
                <w:szCs w:val="20"/>
                <w:fitText w:val="60" w:id="-1402817535"/>
                <w14:textFill>
                  <w14:solidFill>
                    <w14:srgbClr w14:val="000000">
                      <w14:alpha w14:val="100000"/>
                    </w14:srgbClr>
                  </w14:solidFill>
                </w14:textFill>
              </w:rPr>
              <w:t xml:space="preserve">　</w:t>
            </w:r>
            <w:r w:rsidRPr="00C84EC5">
              <w:rPr>
                <w:rFonts w:ascii="Arial Narrow" w:hAnsi="Arial Narrow" w:cs="Calibri"/>
                <w:color w:val="000000"/>
                <w:w w:val="15"/>
                <w:sz w:val="20"/>
                <w:szCs w:val="20"/>
                <w:fitText w:val="60" w:id="-1402817535"/>
                <w14:textFill>
                  <w14:solidFill>
                    <w14:srgbClr w14:val="000000">
                      <w14:alpha w14:val="100000"/>
                    </w14:srgbClr>
                  </w14:solidFill>
                </w14:textFill>
              </w:rPr>
              <w:t>|</w:t>
            </w:r>
            <w:r w:rsidRPr="00C84EC5">
              <w:rPr>
                <w:rFonts w:ascii="Arial Narrow" w:hAnsi="Arial Narrow" w:cs="Calibri" w:hint="eastAsia"/>
                <w:color w:val="000000"/>
                <w:w w:val="15"/>
                <w:sz w:val="20"/>
                <w:szCs w:val="20"/>
                <w:fitText w:val="60" w:id="-1402817535"/>
                <w14:textFill>
                  <w14:solidFill>
                    <w14:srgbClr w14:val="000000">
                      <w14:alpha w14:val="100000"/>
                    </w14:srgbClr>
                  </w14:solidFill>
                </w14:textFill>
              </w:rPr>
              <w:t xml:space="preserve">　</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2A6F3141" w14:textId="765FF71B"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hint="eastAsia"/>
                <w:color w:val="000000"/>
                <w:w w:val="15"/>
                <w:sz w:val="20"/>
                <w:fitText w:val="60" w:id="-1402817534"/>
                <w14:textFill>
                  <w14:solidFill>
                    <w14:srgbClr w14:val="000000">
                      <w14:alpha w14:val="100000"/>
                    </w14:srgbClr>
                  </w14:solidFill>
                </w14:textFill>
              </w:rPr>
              <w:t xml:space="preserve">　</w:t>
            </w:r>
            <w:r w:rsidRPr="00C84EC5">
              <w:rPr>
                <w:rFonts w:ascii="Arial Narrow" w:hAnsi="Arial Narrow"/>
                <w:color w:val="000000"/>
                <w:w w:val="15"/>
                <w:sz w:val="20"/>
                <w:fitText w:val="60" w:id="-1402817534"/>
                <w14:textFill>
                  <w14:solidFill>
                    <w14:srgbClr w14:val="000000">
                      <w14:alpha w14:val="100000"/>
                    </w14:srgbClr>
                  </w14:solidFill>
                </w14:textFill>
              </w:rPr>
              <w:t>|</w:t>
            </w:r>
            <w:r w:rsidRPr="00C84EC5">
              <w:rPr>
                <w:rFonts w:ascii="Arial Narrow" w:hAnsi="Arial Narrow" w:hint="eastAsia"/>
                <w:color w:val="000000"/>
                <w:w w:val="15"/>
                <w:sz w:val="20"/>
                <w:fitText w:val="60" w:id="-1402817534"/>
                <w14:textFill>
                  <w14:solidFill>
                    <w14:srgbClr w14:val="000000">
                      <w14:alpha w14:val="100000"/>
                    </w14:srgbClr>
                  </w14:solidFill>
                </w14:textFill>
              </w:rPr>
              <w:t xml:space="preserve">　</w:t>
            </w:r>
          </w:p>
        </w:tc>
        <w:tc>
          <w:tcPr>
            <w:tcW w:w="596" w:type="pct"/>
            <w:tcBorders>
              <w:top w:val="nil"/>
              <w:left w:val="nil"/>
              <w:bottom w:val="single" w:sz="8" w:space="0" w:color="auto"/>
              <w:right w:val="single" w:sz="8" w:space="0" w:color="auto"/>
            </w:tcBorders>
            <w:shd w:val="clear" w:color="auto" w:fill="000000" w:themeFill="text1"/>
            <w:vAlign w:val="center"/>
          </w:tcPr>
          <w:p w14:paraId="06C14F2D" w14:textId="2ADF8F88" w:rsidR="00F63813" w:rsidRPr="00C84EC5" w:rsidRDefault="00C84EC5" w:rsidP="00F63813">
            <w:pPr>
              <w:jc w:val="center"/>
              <w:rPr>
                <w:rFonts w:ascii="Arial Narrow" w:hAnsi="Arial Narrow" w:cs="Calibri"/>
                <w:color w:val="000000"/>
                <w:sz w:val="20"/>
                <w:szCs w:val="20"/>
              </w:rPr>
            </w:pPr>
            <w:r w:rsidRPr="00C84EC5">
              <w:rPr>
                <w:rFonts w:ascii="Arial Narrow" w:hAnsi="Arial Narrow" w:cs="Calibri"/>
                <w:color w:val="000000"/>
                <w:spacing w:val="214"/>
                <w:sz w:val="20"/>
                <w:szCs w:val="20"/>
                <w:shd w:val="solid" w:color="000000" w:fill="000000"/>
                <w:fitText w:val="300" w:id="-1402817533"/>
                <w14:textFill>
                  <w14:solidFill>
                    <w14:srgbClr w14:val="000000">
                      <w14:alpha w14:val="100000"/>
                    </w14:srgbClr>
                  </w14:solidFill>
                </w14:textFill>
              </w:rPr>
              <w:t>|</w:t>
            </w:r>
            <w:r w:rsidRPr="00C84EC5">
              <w:rPr>
                <w:rFonts w:ascii="Arial Narrow" w:hAnsi="Arial Narrow" w:cs="Calibri"/>
                <w:color w:val="000000"/>
                <w:sz w:val="20"/>
                <w:szCs w:val="20"/>
                <w:shd w:val="solid" w:color="000000" w:fill="000000"/>
                <w:fitText w:val="300" w:id="-1402817533"/>
                <w14:textFill>
                  <w14:solidFill>
                    <w14:srgbClr w14:val="000000">
                      <w14:alpha w14:val="100000"/>
                    </w14:srgbClr>
                  </w14:solidFill>
                </w14:textFill>
              </w:rPr>
              <w:t>|</w:t>
            </w:r>
            <w:r w:rsidRPr="00C84EC5">
              <w:rPr>
                <w:rFonts w:ascii="Arial Narrow" w:hAnsi="Arial Narrow" w:cs="Calibri"/>
                <w:color w:val="000000"/>
                <w:sz w:val="20"/>
                <w:szCs w:val="20"/>
              </w:rPr>
              <w:t xml:space="preserve"> </w:t>
            </w:r>
          </w:p>
        </w:tc>
      </w:tr>
      <w:tr w:rsidR="00C84EC5" w:rsidRPr="00433024" w14:paraId="4838DCAC" w14:textId="77777777" w:rsidTr="00C84EC5">
        <w:trPr>
          <w:trHeight w:val="50"/>
        </w:trPr>
        <w:tc>
          <w:tcPr>
            <w:tcW w:w="1096" w:type="pct"/>
            <w:tcBorders>
              <w:top w:val="nil"/>
              <w:left w:val="single" w:sz="8" w:space="0" w:color="auto"/>
              <w:bottom w:val="single" w:sz="8" w:space="0" w:color="auto"/>
              <w:right w:val="single" w:sz="8" w:space="0" w:color="auto"/>
            </w:tcBorders>
            <w:shd w:val="clear" w:color="000000" w:fill="FFFFFF"/>
            <w:vAlign w:val="center"/>
          </w:tcPr>
          <w:p w14:paraId="4B449701" w14:textId="672B2C01" w:rsidR="00F63813" w:rsidRPr="00433024" w:rsidRDefault="00F63813" w:rsidP="00F63813">
            <w:pPr>
              <w:rPr>
                <w:rFonts w:ascii="Arial Narrow" w:hAnsi="Arial Narrow" w:cs="Calibri"/>
                <w:color w:val="000000"/>
                <w:sz w:val="20"/>
                <w:szCs w:val="20"/>
              </w:rPr>
            </w:pPr>
            <w:r>
              <w:rPr>
                <w:rFonts w:ascii="Arial Narrow" w:hAnsi="Arial Narrow" w:cs="Calibri"/>
                <w:color w:val="000000"/>
                <w:sz w:val="20"/>
                <w:szCs w:val="20"/>
              </w:rPr>
              <w:t xml:space="preserve">(VAR+NRT) </w:t>
            </w:r>
            <w:r w:rsidRPr="00D6368F">
              <w:rPr>
                <w:rFonts w:ascii="Arial Narrow" w:hAnsi="Arial Narrow" w:cs="Calibri"/>
                <w:color w:val="000000"/>
                <w:sz w:val="20"/>
                <w:szCs w:val="20"/>
                <w:vertAlign w:val="superscript"/>
              </w:rPr>
              <w:t>b</w:t>
            </w:r>
            <w:r>
              <w:rPr>
                <w:rFonts w:ascii="Arial Narrow" w:hAnsi="Arial Narrow" w:cs="Calibri"/>
                <w:color w:val="000000"/>
                <w:sz w:val="20"/>
                <w:szCs w:val="20"/>
              </w:rPr>
              <w:t xml:space="preserve"> vs (NRT)</w:t>
            </w:r>
          </w:p>
        </w:tc>
        <w:tc>
          <w:tcPr>
            <w:tcW w:w="551" w:type="pct"/>
            <w:tcBorders>
              <w:top w:val="single" w:sz="8" w:space="0" w:color="auto"/>
              <w:left w:val="nil"/>
              <w:bottom w:val="single" w:sz="8" w:space="0" w:color="auto"/>
              <w:right w:val="single" w:sz="8" w:space="0" w:color="auto"/>
            </w:tcBorders>
            <w:shd w:val="solid" w:color="000000" w:fill="000000"/>
            <w:vAlign w:val="center"/>
          </w:tcPr>
          <w:p w14:paraId="2161D848" w14:textId="4047BD8B" w:rsidR="00F63813" w:rsidRPr="00C84EC5" w:rsidRDefault="00C84EC5" w:rsidP="00F63813">
            <w:pPr>
              <w:jc w:val="center"/>
              <w:rPr>
                <w:rFonts w:ascii="Arial Narrow" w:hAnsi="Arial Narrow" w:cs="Calibri"/>
                <w:color w:val="000000"/>
                <w:sz w:val="20"/>
                <w:szCs w:val="20"/>
              </w:rPr>
            </w:pPr>
            <w:r w:rsidRPr="00C84EC5">
              <w:rPr>
                <w:rFonts w:ascii="Arial Narrow" w:hAnsi="Arial Narrow" w:cs="Calibri"/>
                <w:color w:val="000000"/>
                <w:spacing w:val="104"/>
                <w:sz w:val="20"/>
                <w:szCs w:val="20"/>
                <w:fitText w:val="190" w:id="-1402817532"/>
                <w14:textFill>
                  <w14:solidFill>
                    <w14:srgbClr w14:val="000000">
                      <w14:alpha w14:val="100000"/>
                    </w14:srgbClr>
                  </w14:solidFill>
                </w14:textFill>
              </w:rPr>
              <w:t>|</w:t>
            </w:r>
            <w:r w:rsidRPr="00C84EC5">
              <w:rPr>
                <w:rFonts w:ascii="Arial Narrow" w:hAnsi="Arial Narrow" w:cs="Calibri"/>
                <w:color w:val="000000"/>
                <w:sz w:val="20"/>
                <w:szCs w:val="20"/>
                <w:fitText w:val="190" w:id="-1402817532"/>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tcPr>
          <w:p w14:paraId="41B3109B" w14:textId="5312E599" w:rsidR="00F63813" w:rsidRPr="00C84EC5" w:rsidRDefault="00C84EC5" w:rsidP="00F63813">
            <w:pPr>
              <w:jc w:val="center"/>
              <w:rPr>
                <w:rFonts w:ascii="Arial Narrow" w:hAnsi="Arial Narrow" w:cs="Calibri"/>
                <w:color w:val="000000"/>
                <w:sz w:val="20"/>
                <w:szCs w:val="20"/>
              </w:rPr>
            </w:pPr>
            <w:r w:rsidRPr="00C84EC5">
              <w:rPr>
                <w:rFonts w:ascii="Arial Narrow" w:hAnsi="Arial Narrow" w:cs="Calibri"/>
                <w:color w:val="000000"/>
                <w:spacing w:val="104"/>
                <w:sz w:val="20"/>
                <w:szCs w:val="20"/>
                <w:fitText w:val="190" w:id="-1402817280"/>
                <w14:textFill>
                  <w14:solidFill>
                    <w14:srgbClr w14:val="000000">
                      <w14:alpha w14:val="100000"/>
                    </w14:srgbClr>
                  </w14:solidFill>
                </w14:textFill>
              </w:rPr>
              <w:t>|</w:t>
            </w:r>
            <w:r w:rsidRPr="00C84EC5">
              <w:rPr>
                <w:rFonts w:ascii="Arial Narrow" w:hAnsi="Arial Narrow" w:cs="Calibri"/>
                <w:color w:val="000000"/>
                <w:sz w:val="20"/>
                <w:szCs w:val="20"/>
                <w:fitText w:val="190" w:id="-1402817280"/>
                <w14:textFill>
                  <w14:solidFill>
                    <w14:srgbClr w14:val="000000">
                      <w14:alpha w14:val="100000"/>
                    </w14:srgbClr>
                  </w14:solidFill>
                </w14:textFill>
              </w:rPr>
              <w:t>|</w:t>
            </w:r>
          </w:p>
        </w:tc>
        <w:tc>
          <w:tcPr>
            <w:tcW w:w="552" w:type="pct"/>
            <w:tcBorders>
              <w:top w:val="single" w:sz="8" w:space="0" w:color="auto"/>
              <w:left w:val="nil"/>
              <w:bottom w:val="single" w:sz="8" w:space="0" w:color="auto"/>
              <w:right w:val="single" w:sz="8" w:space="0" w:color="auto"/>
            </w:tcBorders>
            <w:shd w:val="solid" w:color="000000" w:fill="000000"/>
            <w:vAlign w:val="center"/>
          </w:tcPr>
          <w:p w14:paraId="0D90EAF8" w14:textId="4CABEEC0" w:rsidR="00F63813" w:rsidRPr="00C84EC5" w:rsidRDefault="00C84EC5" w:rsidP="00F63813">
            <w:pPr>
              <w:jc w:val="center"/>
              <w:rPr>
                <w:rFonts w:ascii="Arial Narrow" w:hAnsi="Arial Narrow" w:cs="Calibri"/>
                <w:color w:val="000000"/>
                <w:sz w:val="20"/>
                <w:szCs w:val="20"/>
              </w:rPr>
            </w:pPr>
            <w:r w:rsidRPr="00C84EC5">
              <w:rPr>
                <w:rFonts w:ascii="Arial Narrow" w:hAnsi="Arial Narrow" w:cs="Calibri"/>
                <w:color w:val="000000"/>
                <w:sz w:val="20"/>
                <w:szCs w:val="20"/>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tcPr>
          <w:p w14:paraId="0B92EBB6" w14:textId="1141FA66" w:rsidR="00F63813" w:rsidRPr="00C84EC5" w:rsidRDefault="00C84EC5" w:rsidP="00F63813">
            <w:pPr>
              <w:jc w:val="center"/>
              <w:rPr>
                <w:rFonts w:ascii="Arial Narrow" w:hAnsi="Arial Narrow" w:cs="Calibri"/>
                <w:color w:val="000000"/>
                <w:sz w:val="20"/>
                <w:szCs w:val="20"/>
              </w:rPr>
            </w:pPr>
            <w:r w:rsidRPr="00C84EC5">
              <w:rPr>
                <w:rFonts w:ascii="Arial Narrow" w:hAnsi="Arial Narrow" w:cs="Calibri" w:hint="eastAsia"/>
                <w:color w:val="000000"/>
                <w:w w:val="15"/>
                <w:sz w:val="20"/>
                <w:szCs w:val="20"/>
                <w:fitText w:val="60" w:id="-1402817024"/>
                <w14:textFill>
                  <w14:solidFill>
                    <w14:srgbClr w14:val="000000">
                      <w14:alpha w14:val="100000"/>
                    </w14:srgbClr>
                  </w14:solidFill>
                </w14:textFill>
              </w:rPr>
              <w:t xml:space="preserve">　</w:t>
            </w:r>
            <w:r w:rsidRPr="00C84EC5">
              <w:rPr>
                <w:rFonts w:ascii="Arial Narrow" w:hAnsi="Arial Narrow" w:cs="Calibri"/>
                <w:color w:val="000000"/>
                <w:w w:val="15"/>
                <w:sz w:val="20"/>
                <w:szCs w:val="20"/>
                <w:fitText w:val="60" w:id="-1402817024"/>
                <w14:textFill>
                  <w14:solidFill>
                    <w14:srgbClr w14:val="000000">
                      <w14:alpha w14:val="100000"/>
                    </w14:srgbClr>
                  </w14:solidFill>
                </w14:textFill>
              </w:rPr>
              <w:t>|</w:t>
            </w:r>
            <w:r w:rsidRPr="00C84EC5">
              <w:rPr>
                <w:rFonts w:ascii="Arial Narrow" w:hAnsi="Arial Narrow" w:cs="Calibri" w:hint="eastAsia"/>
                <w:color w:val="000000"/>
                <w:w w:val="15"/>
                <w:sz w:val="20"/>
                <w:szCs w:val="20"/>
                <w:fitText w:val="60" w:id="-1402817024"/>
                <w14:textFill>
                  <w14:solidFill>
                    <w14:srgbClr w14:val="000000">
                      <w14:alpha w14:val="100000"/>
                    </w14:srgbClr>
                  </w14:solidFill>
                </w14:textFill>
              </w:rPr>
              <w:t xml:space="preserve">　</w:t>
            </w:r>
          </w:p>
        </w:tc>
        <w:tc>
          <w:tcPr>
            <w:tcW w:w="551" w:type="pct"/>
            <w:tcBorders>
              <w:top w:val="single" w:sz="8" w:space="0" w:color="auto"/>
              <w:left w:val="nil"/>
              <w:bottom w:val="single" w:sz="8" w:space="0" w:color="auto"/>
              <w:right w:val="single" w:sz="8" w:space="0" w:color="auto"/>
            </w:tcBorders>
            <w:shd w:val="solid" w:color="000000" w:fill="000000"/>
            <w:vAlign w:val="center"/>
          </w:tcPr>
          <w:p w14:paraId="1E6960C3" w14:textId="0BBCFDB0" w:rsidR="00F63813" w:rsidRPr="00C84EC5" w:rsidRDefault="00C84EC5" w:rsidP="00F63813">
            <w:pPr>
              <w:jc w:val="center"/>
              <w:rPr>
                <w:rFonts w:ascii="Arial Narrow" w:hAnsi="Arial Narrow" w:cs="Calibri"/>
                <w:color w:val="000000"/>
                <w:sz w:val="20"/>
                <w:szCs w:val="20"/>
              </w:rPr>
            </w:pPr>
            <w:r w:rsidRPr="00C84EC5">
              <w:rPr>
                <w:rFonts w:ascii="Arial Narrow" w:hAnsi="Arial Narrow" w:cs="Calibri" w:hint="eastAsia"/>
                <w:color w:val="000000"/>
                <w:w w:val="15"/>
                <w:sz w:val="20"/>
                <w:szCs w:val="20"/>
                <w:fitText w:val="60" w:id="-1402816768"/>
                <w14:textFill>
                  <w14:solidFill>
                    <w14:srgbClr w14:val="000000">
                      <w14:alpha w14:val="100000"/>
                    </w14:srgbClr>
                  </w14:solidFill>
                </w14:textFill>
              </w:rPr>
              <w:t xml:space="preserve">　</w:t>
            </w:r>
            <w:r w:rsidRPr="00C84EC5">
              <w:rPr>
                <w:rFonts w:ascii="Arial Narrow" w:hAnsi="Arial Narrow" w:cs="Calibri"/>
                <w:color w:val="000000"/>
                <w:w w:val="15"/>
                <w:sz w:val="20"/>
                <w:szCs w:val="20"/>
                <w:fitText w:val="60" w:id="-1402816768"/>
                <w14:textFill>
                  <w14:solidFill>
                    <w14:srgbClr w14:val="000000">
                      <w14:alpha w14:val="100000"/>
                    </w14:srgbClr>
                  </w14:solidFill>
                </w14:textFill>
              </w:rPr>
              <w:t>|</w:t>
            </w:r>
            <w:r w:rsidRPr="00C84EC5">
              <w:rPr>
                <w:rFonts w:ascii="Arial Narrow" w:hAnsi="Arial Narrow" w:cs="Calibri" w:hint="eastAsia"/>
                <w:color w:val="000000"/>
                <w:w w:val="15"/>
                <w:sz w:val="20"/>
                <w:szCs w:val="20"/>
                <w:fitText w:val="60" w:id="-1402816768"/>
                <w14:textFill>
                  <w14:solidFill>
                    <w14:srgbClr w14:val="000000">
                      <w14:alpha w14:val="100000"/>
                    </w14:srgbClr>
                  </w14:solidFill>
                </w14:textFill>
              </w:rPr>
              <w:t xml:space="preserve">　</w:t>
            </w:r>
          </w:p>
        </w:tc>
        <w:tc>
          <w:tcPr>
            <w:tcW w:w="552" w:type="pct"/>
            <w:tcBorders>
              <w:top w:val="single" w:sz="8" w:space="0" w:color="auto"/>
              <w:left w:val="nil"/>
              <w:bottom w:val="single" w:sz="8" w:space="0" w:color="auto"/>
              <w:right w:val="single" w:sz="8" w:space="0" w:color="auto"/>
            </w:tcBorders>
            <w:shd w:val="solid" w:color="000000" w:fill="000000"/>
            <w:vAlign w:val="center"/>
          </w:tcPr>
          <w:p w14:paraId="4BB1E2CB" w14:textId="6BC476E0" w:rsidR="00F63813" w:rsidRPr="00C84EC5" w:rsidRDefault="00C84EC5" w:rsidP="00F63813">
            <w:pPr>
              <w:jc w:val="center"/>
              <w:rPr>
                <w:rFonts w:ascii="Arial Narrow" w:hAnsi="Arial Narrow"/>
                <w:color w:val="000000"/>
                <w:sz w:val="20"/>
              </w:rPr>
            </w:pPr>
            <w:r w:rsidRPr="00C84EC5">
              <w:rPr>
                <w:rFonts w:ascii="Arial Narrow" w:hAnsi="Arial Narrow" w:hint="eastAsia"/>
                <w:color w:val="000000"/>
                <w:w w:val="15"/>
                <w:sz w:val="20"/>
                <w:fitText w:val="60" w:id="-1402816767"/>
                <w14:textFill>
                  <w14:solidFill>
                    <w14:srgbClr w14:val="000000">
                      <w14:alpha w14:val="100000"/>
                    </w14:srgbClr>
                  </w14:solidFill>
                </w14:textFill>
              </w:rPr>
              <w:t xml:space="preserve">　</w:t>
            </w:r>
            <w:r w:rsidRPr="00C84EC5">
              <w:rPr>
                <w:rFonts w:ascii="Arial Narrow" w:hAnsi="Arial Narrow"/>
                <w:color w:val="000000"/>
                <w:w w:val="15"/>
                <w:sz w:val="20"/>
                <w:fitText w:val="60" w:id="-1402816767"/>
                <w14:textFill>
                  <w14:solidFill>
                    <w14:srgbClr w14:val="000000">
                      <w14:alpha w14:val="100000"/>
                    </w14:srgbClr>
                  </w14:solidFill>
                </w14:textFill>
              </w:rPr>
              <w:t>|</w:t>
            </w:r>
            <w:r w:rsidRPr="00C84EC5">
              <w:rPr>
                <w:rFonts w:ascii="Arial Narrow" w:hAnsi="Arial Narrow" w:hint="eastAsia"/>
                <w:color w:val="000000"/>
                <w:w w:val="15"/>
                <w:sz w:val="20"/>
                <w:fitText w:val="60" w:id="-1402816767"/>
                <w14:textFill>
                  <w14:solidFill>
                    <w14:srgbClr w14:val="000000">
                      <w14:alpha w14:val="100000"/>
                    </w14:srgbClr>
                  </w14:solidFill>
                </w14:textFill>
              </w:rPr>
              <w:t xml:space="preserve">　</w:t>
            </w:r>
          </w:p>
        </w:tc>
        <w:tc>
          <w:tcPr>
            <w:tcW w:w="596" w:type="pct"/>
            <w:tcBorders>
              <w:top w:val="single" w:sz="8" w:space="0" w:color="auto"/>
              <w:left w:val="nil"/>
              <w:bottom w:val="single" w:sz="8" w:space="0" w:color="auto"/>
              <w:right w:val="single" w:sz="8" w:space="0" w:color="auto"/>
            </w:tcBorders>
            <w:shd w:val="solid" w:color="000000" w:fill="000000"/>
            <w:vAlign w:val="center"/>
          </w:tcPr>
          <w:p w14:paraId="02566A4E" w14:textId="4BBA7124" w:rsidR="00F63813" w:rsidRPr="00C84EC5" w:rsidRDefault="00C84EC5" w:rsidP="00F63813">
            <w:pPr>
              <w:jc w:val="center"/>
              <w:rPr>
                <w:rFonts w:ascii="Arial Narrow" w:hAnsi="Arial Narrow" w:cs="Calibri"/>
                <w:color w:val="000000"/>
                <w:sz w:val="20"/>
                <w:szCs w:val="20"/>
              </w:rPr>
            </w:pPr>
            <w:r w:rsidRPr="00C84EC5">
              <w:rPr>
                <w:rFonts w:ascii="Arial Narrow" w:hAnsi="Arial Narrow" w:cs="Calibri"/>
                <w:color w:val="000000"/>
                <w:spacing w:val="214"/>
                <w:sz w:val="20"/>
                <w:szCs w:val="20"/>
                <w:fitText w:val="300" w:id="-1402816766"/>
                <w14:textFill>
                  <w14:solidFill>
                    <w14:srgbClr w14:val="000000">
                      <w14:alpha w14:val="100000"/>
                    </w14:srgbClr>
                  </w14:solidFill>
                </w14:textFill>
              </w:rPr>
              <w:t>|</w:t>
            </w:r>
            <w:r w:rsidRPr="00C84EC5">
              <w:rPr>
                <w:rFonts w:ascii="Arial Narrow" w:hAnsi="Arial Narrow" w:cs="Calibri"/>
                <w:color w:val="000000"/>
                <w:sz w:val="20"/>
                <w:szCs w:val="20"/>
                <w:fitText w:val="300" w:id="-1402816766"/>
                <w14:textFill>
                  <w14:solidFill>
                    <w14:srgbClr w14:val="000000">
                      <w14:alpha w14:val="100000"/>
                    </w14:srgbClr>
                  </w14:solidFill>
                </w14:textFill>
              </w:rPr>
              <w:t>|</w:t>
            </w:r>
          </w:p>
        </w:tc>
      </w:tr>
      <w:tr w:rsidR="00C84EC5" w:rsidRPr="00433024" w14:paraId="0FE3CC6A" w14:textId="77777777" w:rsidTr="00C84EC5">
        <w:trPr>
          <w:trHeight w:val="50"/>
        </w:trPr>
        <w:tc>
          <w:tcPr>
            <w:tcW w:w="1096" w:type="pct"/>
            <w:tcBorders>
              <w:top w:val="nil"/>
              <w:left w:val="single" w:sz="8" w:space="0" w:color="auto"/>
              <w:bottom w:val="single" w:sz="8" w:space="0" w:color="auto"/>
              <w:right w:val="single" w:sz="8" w:space="0" w:color="auto"/>
            </w:tcBorders>
            <w:shd w:val="clear" w:color="000000" w:fill="FFFFFF"/>
            <w:vAlign w:val="center"/>
            <w:hideMark/>
          </w:tcPr>
          <w:p w14:paraId="48767E04" w14:textId="165C4CF2" w:rsidR="00F63813" w:rsidRPr="000D7693" w:rsidRDefault="00F63813" w:rsidP="00F63813">
            <w:pPr>
              <w:rPr>
                <w:rFonts w:ascii="Arial Narrow" w:hAnsi="Arial Narrow"/>
                <w:color w:val="000000"/>
                <w:sz w:val="20"/>
                <w:lang w:val="fr-FR"/>
              </w:rPr>
            </w:pPr>
            <w:r w:rsidRPr="00433024">
              <w:rPr>
                <w:rFonts w:ascii="Arial Narrow" w:hAnsi="Arial Narrow" w:cs="Calibri"/>
                <w:color w:val="000000"/>
                <w:sz w:val="20"/>
                <w:szCs w:val="20"/>
                <w:lang w:val="fr-FR"/>
              </w:rPr>
              <w:t>(NRT+NRT)</w:t>
            </w:r>
            <w:r w:rsidRPr="00433024">
              <w:rPr>
                <w:rFonts w:ascii="Arial Narrow" w:hAnsi="Arial Narrow" w:cs="Calibri"/>
                <w:color w:val="000000"/>
                <w:sz w:val="20"/>
                <w:szCs w:val="20"/>
                <w:vertAlign w:val="superscript"/>
              </w:rPr>
              <w:t xml:space="preserve"> b</w:t>
            </w:r>
            <w:r w:rsidRPr="00433024">
              <w:rPr>
                <w:rFonts w:ascii="Arial Narrow" w:hAnsi="Arial Narrow" w:cs="Calibri"/>
                <w:color w:val="000000"/>
                <w:sz w:val="20"/>
                <w:szCs w:val="20"/>
                <w:lang w:val="fr-FR"/>
              </w:rPr>
              <w:t xml:space="preserve"> vs </w:t>
            </w:r>
            <w:r>
              <w:rPr>
                <w:rFonts w:ascii="Arial Narrow" w:hAnsi="Arial Narrow" w:cs="Calibri"/>
                <w:color w:val="000000"/>
                <w:sz w:val="20"/>
                <w:szCs w:val="20"/>
                <w:lang w:val="fr-FR"/>
              </w:rPr>
              <w:t>(</w:t>
            </w:r>
            <w:r w:rsidRPr="00433024">
              <w:rPr>
                <w:rFonts w:ascii="Arial Narrow" w:hAnsi="Arial Narrow" w:cs="Calibri"/>
                <w:color w:val="000000"/>
                <w:sz w:val="20"/>
                <w:szCs w:val="20"/>
                <w:lang w:val="fr-FR"/>
              </w:rPr>
              <w:t>VAR</w:t>
            </w:r>
            <w:r>
              <w:rPr>
                <w:rFonts w:ascii="Arial Narrow" w:hAnsi="Arial Narrow" w:cs="Calibri"/>
                <w:color w:val="000000"/>
                <w:sz w:val="20"/>
                <w:szCs w:val="20"/>
                <w:lang w:val="fr-FR"/>
              </w:rPr>
              <w:t>)</w:t>
            </w:r>
            <w:r w:rsidRPr="00433024">
              <w:rPr>
                <w:rFonts w:ascii="Arial Narrow" w:hAnsi="Arial Narrow" w:cs="Calibri"/>
                <w:color w:val="000000"/>
                <w:sz w:val="20"/>
                <w:szCs w:val="20"/>
                <w:lang w:val="fr-FR"/>
              </w:rPr>
              <w:t xml:space="preserve"> </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04CD2D88" w14:textId="484F8C46"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color w:val="000000"/>
                <w:spacing w:val="104"/>
                <w:sz w:val="20"/>
                <w:szCs w:val="20"/>
                <w:fitText w:val="190" w:id="-1402816765"/>
                <w14:textFill>
                  <w14:solidFill>
                    <w14:srgbClr w14:val="000000">
                      <w14:alpha w14:val="100000"/>
                    </w14:srgbClr>
                  </w14:solidFill>
                </w14:textFill>
              </w:rPr>
              <w:t>|</w:t>
            </w:r>
            <w:r w:rsidRPr="00C84EC5">
              <w:rPr>
                <w:rFonts w:ascii="Arial Narrow" w:hAnsi="Arial Narrow" w:cs="Calibri"/>
                <w:color w:val="000000"/>
                <w:sz w:val="20"/>
                <w:szCs w:val="20"/>
                <w:fitText w:val="190" w:id="-1402816765"/>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4E587839" w14:textId="5EFAC59A"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color w:val="000000"/>
                <w:spacing w:val="104"/>
                <w:sz w:val="20"/>
                <w:szCs w:val="20"/>
                <w:fitText w:val="190" w:id="-1402816764"/>
                <w14:textFill>
                  <w14:solidFill>
                    <w14:srgbClr w14:val="000000">
                      <w14:alpha w14:val="100000"/>
                    </w14:srgbClr>
                  </w14:solidFill>
                </w14:textFill>
              </w:rPr>
              <w:t>|</w:t>
            </w:r>
            <w:r w:rsidRPr="00C84EC5">
              <w:rPr>
                <w:rFonts w:ascii="Arial Narrow" w:hAnsi="Arial Narrow" w:cs="Calibri"/>
                <w:color w:val="000000"/>
                <w:sz w:val="20"/>
                <w:szCs w:val="20"/>
                <w:fitText w:val="190" w:id="-1402816764"/>
                <w14:textFill>
                  <w14:solidFill>
                    <w14:srgbClr w14:val="000000">
                      <w14:alpha w14:val="100000"/>
                    </w14:srgbClr>
                  </w14:solidFill>
                </w14:textFill>
              </w:rPr>
              <w:t>|</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3308F6ED" w14:textId="6F0DC63B"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color w:val="000000"/>
                <w:sz w:val="20"/>
                <w:szCs w:val="20"/>
                <w14:textFill>
                  <w14:solidFill>
                    <w14:srgbClr w14:val="000000">
                      <w14:alpha w14:val="100000"/>
                    </w14:srgbClr>
                  </w14:solidFill>
                </w14:textFill>
              </w:rPr>
              <w:t>|</w:t>
            </w:r>
          </w:p>
        </w:tc>
        <w:tc>
          <w:tcPr>
            <w:tcW w:w="551" w:type="pct"/>
            <w:tcBorders>
              <w:top w:val="nil"/>
              <w:left w:val="nil"/>
              <w:bottom w:val="single" w:sz="8" w:space="0" w:color="auto"/>
              <w:right w:val="single" w:sz="8" w:space="0" w:color="auto"/>
            </w:tcBorders>
            <w:shd w:val="clear" w:color="auto" w:fill="000000" w:themeFill="text1"/>
            <w:vAlign w:val="center"/>
            <w:hideMark/>
          </w:tcPr>
          <w:p w14:paraId="79F5C23A" w14:textId="79396787"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hint="eastAsia"/>
                <w:color w:val="000000"/>
                <w:w w:val="15"/>
                <w:sz w:val="20"/>
                <w:szCs w:val="20"/>
                <w:shd w:val="solid" w:color="000000" w:fill="000000"/>
                <w:fitText w:val="60" w:id="-1402816256"/>
                <w14:textFill>
                  <w14:solidFill>
                    <w14:srgbClr w14:val="000000">
                      <w14:alpha w14:val="100000"/>
                    </w14:srgbClr>
                  </w14:solidFill>
                </w14:textFill>
              </w:rPr>
              <w:t xml:space="preserve">　</w:t>
            </w:r>
            <w:r w:rsidRPr="00C84EC5">
              <w:rPr>
                <w:rFonts w:ascii="Arial Narrow" w:hAnsi="Arial Narrow" w:cs="Calibri"/>
                <w:color w:val="000000"/>
                <w:w w:val="15"/>
                <w:sz w:val="20"/>
                <w:szCs w:val="20"/>
                <w:shd w:val="solid" w:color="000000" w:fill="000000"/>
                <w:fitText w:val="60" w:id="-1402816256"/>
                <w14:textFill>
                  <w14:solidFill>
                    <w14:srgbClr w14:val="000000">
                      <w14:alpha w14:val="100000"/>
                    </w14:srgbClr>
                  </w14:solidFill>
                </w14:textFill>
              </w:rPr>
              <w:t>|</w:t>
            </w:r>
            <w:r w:rsidRPr="00C84EC5">
              <w:rPr>
                <w:rFonts w:ascii="Arial Narrow" w:hAnsi="Arial Narrow" w:cs="Calibri" w:hint="eastAsia"/>
                <w:color w:val="000000"/>
                <w:w w:val="15"/>
                <w:sz w:val="20"/>
                <w:szCs w:val="20"/>
                <w:shd w:val="solid" w:color="000000" w:fill="000000"/>
                <w:fitText w:val="60" w:id="-1402816256"/>
                <w14:textFill>
                  <w14:solidFill>
                    <w14:srgbClr w14:val="000000">
                      <w14:alpha w14:val="100000"/>
                    </w14:srgbClr>
                  </w14:solidFill>
                </w14:textFill>
              </w:rPr>
              <w:t xml:space="preserve">　</w:t>
            </w:r>
            <w:r w:rsidRPr="00C84EC5">
              <w:rPr>
                <w:rFonts w:ascii="Arial Narrow" w:hAnsi="Arial Narrow" w:cs="Calibri"/>
                <w:color w:val="000000"/>
                <w:sz w:val="20"/>
                <w:szCs w:val="20"/>
              </w:rPr>
              <w:t xml:space="preserve"> </w:t>
            </w:r>
          </w:p>
        </w:tc>
        <w:tc>
          <w:tcPr>
            <w:tcW w:w="551" w:type="pct"/>
            <w:tcBorders>
              <w:top w:val="nil"/>
              <w:left w:val="nil"/>
              <w:bottom w:val="single" w:sz="8" w:space="0" w:color="auto"/>
              <w:right w:val="single" w:sz="8" w:space="0" w:color="auto"/>
            </w:tcBorders>
            <w:shd w:val="clear" w:color="auto" w:fill="000000" w:themeFill="text1"/>
            <w:vAlign w:val="center"/>
            <w:hideMark/>
          </w:tcPr>
          <w:p w14:paraId="64292CFE" w14:textId="36C50DCF"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hint="eastAsia"/>
                <w:color w:val="000000"/>
                <w:w w:val="15"/>
                <w:sz w:val="20"/>
                <w:szCs w:val="20"/>
                <w:shd w:val="solid" w:color="000000" w:fill="000000"/>
                <w:fitText w:val="60" w:id="-1402816255"/>
                <w14:textFill>
                  <w14:solidFill>
                    <w14:srgbClr w14:val="000000">
                      <w14:alpha w14:val="100000"/>
                    </w14:srgbClr>
                  </w14:solidFill>
                </w14:textFill>
              </w:rPr>
              <w:t xml:space="preserve">　</w:t>
            </w:r>
            <w:r w:rsidRPr="00C84EC5">
              <w:rPr>
                <w:rFonts w:ascii="Arial Narrow" w:hAnsi="Arial Narrow" w:cs="Calibri"/>
                <w:color w:val="000000"/>
                <w:w w:val="15"/>
                <w:sz w:val="20"/>
                <w:szCs w:val="20"/>
                <w:shd w:val="solid" w:color="000000" w:fill="000000"/>
                <w:fitText w:val="60" w:id="-1402816255"/>
                <w14:textFill>
                  <w14:solidFill>
                    <w14:srgbClr w14:val="000000">
                      <w14:alpha w14:val="100000"/>
                    </w14:srgbClr>
                  </w14:solidFill>
                </w14:textFill>
              </w:rPr>
              <w:t>|</w:t>
            </w:r>
            <w:r w:rsidRPr="00C84EC5">
              <w:rPr>
                <w:rFonts w:ascii="Arial Narrow" w:hAnsi="Arial Narrow" w:cs="Calibri" w:hint="eastAsia"/>
                <w:color w:val="000000"/>
                <w:w w:val="15"/>
                <w:sz w:val="20"/>
                <w:szCs w:val="20"/>
                <w:shd w:val="solid" w:color="000000" w:fill="000000"/>
                <w:fitText w:val="60" w:id="-1402816255"/>
                <w14:textFill>
                  <w14:solidFill>
                    <w14:srgbClr w14:val="000000">
                      <w14:alpha w14:val="100000"/>
                    </w14:srgbClr>
                  </w14:solidFill>
                </w14:textFill>
              </w:rPr>
              <w:t xml:space="preserve">　</w:t>
            </w:r>
            <w:r w:rsidRPr="00C84EC5">
              <w:rPr>
                <w:rFonts w:ascii="Arial Narrow" w:hAnsi="Arial Narrow" w:cs="Calibri"/>
                <w:color w:val="000000"/>
                <w:sz w:val="20"/>
                <w:szCs w:val="20"/>
              </w:rPr>
              <w:t xml:space="preserve"> </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1AB00B48" w14:textId="1A9B539A" w:rsidR="00F63813" w:rsidRPr="00C84EC5" w:rsidRDefault="00C84EC5" w:rsidP="00F63813">
            <w:pPr>
              <w:jc w:val="center"/>
              <w:rPr>
                <w:rFonts w:ascii="Arial Narrow" w:hAnsi="Arial Narrow"/>
                <w:color w:val="000000"/>
                <w:sz w:val="20"/>
              </w:rPr>
            </w:pPr>
            <w:r w:rsidRPr="00C84EC5">
              <w:rPr>
                <w:rFonts w:ascii="Arial Narrow" w:hAnsi="Arial Narrow" w:hint="eastAsia"/>
                <w:color w:val="000000"/>
                <w:w w:val="15"/>
                <w:sz w:val="20"/>
                <w:fitText w:val="60" w:id="-1402816254"/>
                <w14:textFill>
                  <w14:solidFill>
                    <w14:srgbClr w14:val="000000">
                      <w14:alpha w14:val="100000"/>
                    </w14:srgbClr>
                  </w14:solidFill>
                </w14:textFill>
              </w:rPr>
              <w:t xml:space="preserve">　</w:t>
            </w:r>
            <w:r w:rsidRPr="00C84EC5">
              <w:rPr>
                <w:rFonts w:ascii="Arial Narrow" w:hAnsi="Arial Narrow"/>
                <w:color w:val="000000"/>
                <w:w w:val="15"/>
                <w:sz w:val="20"/>
                <w:fitText w:val="60" w:id="-1402816254"/>
                <w14:textFill>
                  <w14:solidFill>
                    <w14:srgbClr w14:val="000000">
                      <w14:alpha w14:val="100000"/>
                    </w14:srgbClr>
                  </w14:solidFill>
                </w14:textFill>
              </w:rPr>
              <w:t>|</w:t>
            </w:r>
            <w:r w:rsidRPr="00C84EC5">
              <w:rPr>
                <w:rFonts w:ascii="Arial Narrow" w:hAnsi="Arial Narrow" w:hint="eastAsia"/>
                <w:color w:val="000000"/>
                <w:w w:val="15"/>
                <w:sz w:val="20"/>
                <w:fitText w:val="60" w:id="-1402816254"/>
                <w14:textFill>
                  <w14:solidFill>
                    <w14:srgbClr w14:val="000000">
                      <w14:alpha w14:val="100000"/>
                    </w14:srgbClr>
                  </w14:solidFill>
                </w14:textFill>
              </w:rPr>
              <w:t xml:space="preserve">　</w:t>
            </w:r>
          </w:p>
        </w:tc>
        <w:tc>
          <w:tcPr>
            <w:tcW w:w="596" w:type="pct"/>
            <w:tcBorders>
              <w:top w:val="nil"/>
              <w:left w:val="nil"/>
              <w:bottom w:val="single" w:sz="8" w:space="0" w:color="auto"/>
              <w:right w:val="single" w:sz="8" w:space="0" w:color="auto"/>
            </w:tcBorders>
            <w:shd w:val="clear" w:color="auto" w:fill="000000" w:themeFill="text1"/>
            <w:vAlign w:val="center"/>
          </w:tcPr>
          <w:p w14:paraId="6EAD780F" w14:textId="1B2D46E5" w:rsidR="00F63813" w:rsidRPr="00C84EC5" w:rsidRDefault="00C84EC5" w:rsidP="00F63813">
            <w:pPr>
              <w:jc w:val="center"/>
              <w:rPr>
                <w:rFonts w:ascii="Arial Narrow" w:hAnsi="Arial Narrow" w:cs="Calibri"/>
                <w:color w:val="000000"/>
                <w:sz w:val="20"/>
                <w:szCs w:val="20"/>
              </w:rPr>
            </w:pPr>
            <w:r w:rsidRPr="00C84EC5">
              <w:rPr>
                <w:rFonts w:ascii="Arial Narrow" w:hAnsi="Arial Narrow" w:cs="Calibri"/>
                <w:color w:val="000000"/>
                <w:spacing w:val="214"/>
                <w:sz w:val="20"/>
                <w:szCs w:val="20"/>
                <w:shd w:val="solid" w:color="000000" w:fill="000000"/>
                <w:fitText w:val="300" w:id="-1402816253"/>
                <w14:textFill>
                  <w14:solidFill>
                    <w14:srgbClr w14:val="000000">
                      <w14:alpha w14:val="100000"/>
                    </w14:srgbClr>
                  </w14:solidFill>
                </w14:textFill>
              </w:rPr>
              <w:t>|</w:t>
            </w:r>
            <w:r w:rsidRPr="00C84EC5">
              <w:rPr>
                <w:rFonts w:ascii="Arial Narrow" w:hAnsi="Arial Narrow" w:cs="Calibri"/>
                <w:color w:val="000000"/>
                <w:sz w:val="20"/>
                <w:szCs w:val="20"/>
                <w:shd w:val="solid" w:color="000000" w:fill="000000"/>
                <w:fitText w:val="300" w:id="-1402816253"/>
                <w14:textFill>
                  <w14:solidFill>
                    <w14:srgbClr w14:val="000000">
                      <w14:alpha w14:val="100000"/>
                    </w14:srgbClr>
                  </w14:solidFill>
                </w14:textFill>
              </w:rPr>
              <w:t>|</w:t>
            </w:r>
            <w:r w:rsidRPr="00C84EC5">
              <w:rPr>
                <w:rFonts w:ascii="Arial Narrow" w:hAnsi="Arial Narrow" w:cs="Calibri"/>
                <w:color w:val="000000"/>
                <w:sz w:val="20"/>
                <w:szCs w:val="20"/>
              </w:rPr>
              <w:t xml:space="preserve"> </w:t>
            </w:r>
          </w:p>
        </w:tc>
      </w:tr>
      <w:tr w:rsidR="00C84EC5" w:rsidRPr="00433024" w14:paraId="7E69DFB4" w14:textId="77777777" w:rsidTr="000E406E">
        <w:trPr>
          <w:trHeight w:val="50"/>
        </w:trPr>
        <w:tc>
          <w:tcPr>
            <w:tcW w:w="1096" w:type="pct"/>
            <w:tcBorders>
              <w:top w:val="nil"/>
              <w:left w:val="single" w:sz="8" w:space="0" w:color="auto"/>
              <w:bottom w:val="single" w:sz="8" w:space="0" w:color="auto"/>
              <w:right w:val="single" w:sz="8" w:space="0" w:color="auto"/>
            </w:tcBorders>
            <w:shd w:val="clear" w:color="000000" w:fill="FFFFFF"/>
            <w:vAlign w:val="center"/>
            <w:hideMark/>
          </w:tcPr>
          <w:p w14:paraId="3125C6D1" w14:textId="29D515F7" w:rsidR="00F63813" w:rsidRPr="00433024" w:rsidRDefault="00F63813" w:rsidP="00F63813">
            <w:pPr>
              <w:rPr>
                <w:rFonts w:ascii="Arial Narrow" w:hAnsi="Arial Narrow" w:cs="Calibri"/>
                <w:color w:val="000000"/>
                <w:sz w:val="20"/>
                <w:szCs w:val="20"/>
                <w:lang w:eastAsia="zh-CN"/>
              </w:rPr>
            </w:pPr>
            <w:r w:rsidRPr="00433024">
              <w:rPr>
                <w:rFonts w:ascii="Arial Narrow" w:hAnsi="Arial Narrow" w:cs="Calibri"/>
                <w:color w:val="000000"/>
                <w:sz w:val="20"/>
                <w:szCs w:val="20"/>
              </w:rPr>
              <w:t>(NRT+NRT)</w:t>
            </w:r>
            <w:r w:rsidRPr="00433024">
              <w:rPr>
                <w:rFonts w:ascii="Arial Narrow" w:hAnsi="Arial Narrow" w:cs="Calibri"/>
                <w:color w:val="000000"/>
                <w:sz w:val="20"/>
                <w:szCs w:val="20"/>
                <w:vertAlign w:val="superscript"/>
              </w:rPr>
              <w:t xml:space="preserve"> b</w:t>
            </w:r>
            <w:r w:rsidRPr="00433024">
              <w:rPr>
                <w:rFonts w:ascii="Arial Narrow" w:hAnsi="Arial Narrow" w:cs="Calibri"/>
                <w:color w:val="000000"/>
                <w:sz w:val="20"/>
                <w:szCs w:val="20"/>
              </w:rPr>
              <w:t xml:space="preserve"> vs </w:t>
            </w:r>
            <w:r>
              <w:rPr>
                <w:rFonts w:ascii="Arial Narrow" w:hAnsi="Arial Narrow" w:cs="Calibri"/>
                <w:color w:val="000000"/>
                <w:sz w:val="20"/>
                <w:szCs w:val="20"/>
              </w:rPr>
              <w:t>(</w:t>
            </w:r>
            <w:r w:rsidRPr="00433024">
              <w:rPr>
                <w:rFonts w:ascii="Arial Narrow" w:hAnsi="Arial Narrow" w:cs="Calibri"/>
                <w:color w:val="000000"/>
                <w:sz w:val="20"/>
                <w:szCs w:val="20"/>
              </w:rPr>
              <w:t>NRT</w:t>
            </w:r>
            <w:r>
              <w:rPr>
                <w:rFonts w:ascii="Arial Narrow" w:hAnsi="Arial Narrow" w:cs="Calibri"/>
                <w:color w:val="000000"/>
                <w:sz w:val="20"/>
                <w:szCs w:val="20"/>
              </w:rPr>
              <w:t>)</w:t>
            </w:r>
            <w:r w:rsidRPr="00433024">
              <w:rPr>
                <w:rFonts w:ascii="Arial Narrow" w:hAnsi="Arial Narrow" w:cs="Calibri"/>
                <w:color w:val="000000"/>
                <w:sz w:val="20"/>
                <w:szCs w:val="20"/>
              </w:rPr>
              <w:t xml:space="preserve"> </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1148FE45" w14:textId="44E2EA69"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color w:val="000000"/>
                <w:spacing w:val="104"/>
                <w:sz w:val="20"/>
                <w:szCs w:val="20"/>
                <w:fitText w:val="190" w:id="-1402816252"/>
                <w14:textFill>
                  <w14:solidFill>
                    <w14:srgbClr w14:val="000000">
                      <w14:alpha w14:val="100000"/>
                    </w14:srgbClr>
                  </w14:solidFill>
                </w14:textFill>
              </w:rPr>
              <w:t>|</w:t>
            </w:r>
            <w:r w:rsidRPr="00C84EC5">
              <w:rPr>
                <w:rFonts w:ascii="Arial Narrow" w:hAnsi="Arial Narrow" w:cs="Calibri"/>
                <w:color w:val="000000"/>
                <w:sz w:val="20"/>
                <w:szCs w:val="20"/>
                <w:fitText w:val="190" w:id="-1402816252"/>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384F5557" w14:textId="0CD07BA1"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color w:val="000000"/>
                <w:spacing w:val="104"/>
                <w:sz w:val="20"/>
                <w:szCs w:val="20"/>
                <w:fitText w:val="190" w:id="-1402816251"/>
                <w14:textFill>
                  <w14:solidFill>
                    <w14:srgbClr w14:val="000000">
                      <w14:alpha w14:val="100000"/>
                    </w14:srgbClr>
                  </w14:solidFill>
                </w14:textFill>
              </w:rPr>
              <w:t>|</w:t>
            </w:r>
            <w:r w:rsidRPr="00C84EC5">
              <w:rPr>
                <w:rFonts w:ascii="Arial Narrow" w:hAnsi="Arial Narrow" w:cs="Calibri"/>
                <w:color w:val="000000"/>
                <w:sz w:val="20"/>
                <w:szCs w:val="20"/>
                <w:fitText w:val="190" w:id="-1402816251"/>
                <w14:textFill>
                  <w14:solidFill>
                    <w14:srgbClr w14:val="000000">
                      <w14:alpha w14:val="100000"/>
                    </w14:srgbClr>
                  </w14:solidFill>
                </w14:textFill>
              </w:rPr>
              <w:t>|</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5689ADE4" w14:textId="311A320A"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color w:val="000000"/>
                <w:sz w:val="20"/>
                <w:szCs w:val="20"/>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7AE0E202" w14:textId="143194B8"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hint="eastAsia"/>
                <w:color w:val="000000"/>
                <w:w w:val="15"/>
                <w:sz w:val="20"/>
                <w:szCs w:val="20"/>
                <w:fitText w:val="60" w:id="-1402816000"/>
                <w14:textFill>
                  <w14:solidFill>
                    <w14:srgbClr w14:val="000000">
                      <w14:alpha w14:val="100000"/>
                    </w14:srgbClr>
                  </w14:solidFill>
                </w14:textFill>
              </w:rPr>
              <w:t xml:space="preserve">　</w:t>
            </w:r>
            <w:r w:rsidRPr="00C84EC5">
              <w:rPr>
                <w:rFonts w:ascii="Arial Narrow" w:hAnsi="Arial Narrow" w:cs="Calibri"/>
                <w:color w:val="000000"/>
                <w:w w:val="15"/>
                <w:sz w:val="20"/>
                <w:szCs w:val="20"/>
                <w:fitText w:val="60" w:id="-1402816000"/>
                <w14:textFill>
                  <w14:solidFill>
                    <w14:srgbClr w14:val="000000">
                      <w14:alpha w14:val="100000"/>
                    </w14:srgbClr>
                  </w14:solidFill>
                </w14:textFill>
              </w:rPr>
              <w:t>|</w:t>
            </w:r>
            <w:r w:rsidRPr="00C84EC5">
              <w:rPr>
                <w:rFonts w:ascii="Arial Narrow" w:hAnsi="Arial Narrow" w:cs="Calibri" w:hint="eastAsia"/>
                <w:color w:val="000000"/>
                <w:w w:val="15"/>
                <w:sz w:val="20"/>
                <w:szCs w:val="20"/>
                <w:fitText w:val="60" w:id="-1402816000"/>
                <w14:textFill>
                  <w14:solidFill>
                    <w14:srgbClr w14:val="000000">
                      <w14:alpha w14:val="100000"/>
                    </w14:srgbClr>
                  </w14:solidFill>
                </w14:textFill>
              </w:rPr>
              <w:t xml:space="preserve">　</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204B734B" w14:textId="6CFCA7DE"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hint="eastAsia"/>
                <w:color w:val="000000"/>
                <w:w w:val="15"/>
                <w:sz w:val="20"/>
                <w:szCs w:val="20"/>
                <w:fitText w:val="60" w:id="-1402815744"/>
                <w14:textFill>
                  <w14:solidFill>
                    <w14:srgbClr w14:val="000000">
                      <w14:alpha w14:val="100000"/>
                    </w14:srgbClr>
                  </w14:solidFill>
                </w14:textFill>
              </w:rPr>
              <w:t xml:space="preserve">　</w:t>
            </w:r>
            <w:r w:rsidRPr="00C84EC5">
              <w:rPr>
                <w:rFonts w:ascii="Arial Narrow" w:hAnsi="Arial Narrow" w:cs="Calibri"/>
                <w:color w:val="000000"/>
                <w:w w:val="15"/>
                <w:sz w:val="20"/>
                <w:szCs w:val="20"/>
                <w:fitText w:val="60" w:id="-1402815744"/>
                <w14:textFill>
                  <w14:solidFill>
                    <w14:srgbClr w14:val="000000">
                      <w14:alpha w14:val="100000"/>
                    </w14:srgbClr>
                  </w14:solidFill>
                </w14:textFill>
              </w:rPr>
              <w:t>|</w:t>
            </w:r>
            <w:r w:rsidRPr="00C84EC5">
              <w:rPr>
                <w:rFonts w:ascii="Arial Narrow" w:hAnsi="Arial Narrow" w:cs="Calibri" w:hint="eastAsia"/>
                <w:color w:val="000000"/>
                <w:w w:val="15"/>
                <w:sz w:val="20"/>
                <w:szCs w:val="20"/>
                <w:fitText w:val="60" w:id="-1402815744"/>
                <w14:textFill>
                  <w14:solidFill>
                    <w14:srgbClr w14:val="000000">
                      <w14:alpha w14:val="100000"/>
                    </w14:srgbClr>
                  </w14:solidFill>
                </w14:textFill>
              </w:rPr>
              <w:t xml:space="preserve">　</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0992D4CC" w14:textId="338C00C6" w:rsidR="00F63813" w:rsidRPr="00C84EC5" w:rsidRDefault="00C84EC5" w:rsidP="00F63813">
            <w:pPr>
              <w:jc w:val="center"/>
              <w:rPr>
                <w:rFonts w:ascii="Arial Narrow" w:hAnsi="Arial Narrow"/>
                <w:color w:val="000000"/>
                <w:sz w:val="20"/>
              </w:rPr>
            </w:pPr>
            <w:r w:rsidRPr="00C84EC5">
              <w:rPr>
                <w:rFonts w:ascii="Arial Narrow" w:hAnsi="Arial Narrow" w:hint="eastAsia"/>
                <w:color w:val="000000"/>
                <w:w w:val="15"/>
                <w:sz w:val="20"/>
                <w:fitText w:val="60" w:id="-1402815743"/>
                <w14:textFill>
                  <w14:solidFill>
                    <w14:srgbClr w14:val="000000">
                      <w14:alpha w14:val="100000"/>
                    </w14:srgbClr>
                  </w14:solidFill>
                </w14:textFill>
              </w:rPr>
              <w:t xml:space="preserve">　</w:t>
            </w:r>
            <w:r w:rsidRPr="00C84EC5">
              <w:rPr>
                <w:rFonts w:ascii="Arial Narrow" w:hAnsi="Arial Narrow"/>
                <w:color w:val="000000"/>
                <w:w w:val="15"/>
                <w:sz w:val="20"/>
                <w:fitText w:val="60" w:id="-1402815743"/>
                <w14:textFill>
                  <w14:solidFill>
                    <w14:srgbClr w14:val="000000">
                      <w14:alpha w14:val="100000"/>
                    </w14:srgbClr>
                  </w14:solidFill>
                </w14:textFill>
              </w:rPr>
              <w:t>|</w:t>
            </w:r>
            <w:r w:rsidRPr="00C84EC5">
              <w:rPr>
                <w:rFonts w:ascii="Arial Narrow" w:hAnsi="Arial Narrow" w:hint="eastAsia"/>
                <w:color w:val="000000"/>
                <w:w w:val="15"/>
                <w:sz w:val="20"/>
                <w:fitText w:val="60" w:id="-1402815743"/>
                <w14:textFill>
                  <w14:solidFill>
                    <w14:srgbClr w14:val="000000">
                      <w14:alpha w14:val="100000"/>
                    </w14:srgbClr>
                  </w14:solidFill>
                </w14:textFill>
              </w:rPr>
              <w:t xml:space="preserve">　</w:t>
            </w:r>
          </w:p>
        </w:tc>
        <w:tc>
          <w:tcPr>
            <w:tcW w:w="596" w:type="pct"/>
            <w:tcBorders>
              <w:top w:val="nil"/>
              <w:left w:val="nil"/>
              <w:bottom w:val="single" w:sz="8" w:space="0" w:color="auto"/>
              <w:right w:val="single" w:sz="8" w:space="0" w:color="auto"/>
            </w:tcBorders>
            <w:shd w:val="clear" w:color="auto" w:fill="000000" w:themeFill="text1"/>
            <w:vAlign w:val="center"/>
          </w:tcPr>
          <w:p w14:paraId="60FA53B3" w14:textId="3886E7E1" w:rsidR="00F63813" w:rsidRPr="00C84EC5" w:rsidRDefault="00C84EC5" w:rsidP="00F63813">
            <w:pPr>
              <w:jc w:val="center"/>
              <w:rPr>
                <w:rFonts w:ascii="Arial Narrow" w:hAnsi="Arial Narrow" w:cs="Calibri"/>
                <w:color w:val="000000"/>
                <w:sz w:val="20"/>
                <w:szCs w:val="20"/>
              </w:rPr>
            </w:pPr>
            <w:r w:rsidRPr="00C84EC5">
              <w:rPr>
                <w:rFonts w:ascii="Arial Narrow" w:hAnsi="Arial Narrow" w:cs="Calibri"/>
                <w:color w:val="000000"/>
                <w:spacing w:val="214"/>
                <w:sz w:val="20"/>
                <w:szCs w:val="20"/>
                <w:shd w:val="solid" w:color="000000" w:fill="000000"/>
                <w:fitText w:val="300" w:id="-1402814464"/>
                <w14:textFill>
                  <w14:solidFill>
                    <w14:srgbClr w14:val="000000">
                      <w14:alpha w14:val="100000"/>
                    </w14:srgbClr>
                  </w14:solidFill>
                </w14:textFill>
              </w:rPr>
              <w:t>|</w:t>
            </w:r>
            <w:r w:rsidRPr="00C84EC5">
              <w:rPr>
                <w:rFonts w:ascii="Arial Narrow" w:hAnsi="Arial Narrow" w:cs="Calibri"/>
                <w:color w:val="000000"/>
                <w:sz w:val="20"/>
                <w:szCs w:val="20"/>
                <w:shd w:val="solid" w:color="000000" w:fill="000000"/>
                <w:fitText w:val="300" w:id="-1402814464"/>
                <w14:textFill>
                  <w14:solidFill>
                    <w14:srgbClr w14:val="000000">
                      <w14:alpha w14:val="100000"/>
                    </w14:srgbClr>
                  </w14:solidFill>
                </w14:textFill>
              </w:rPr>
              <w:t>|</w:t>
            </w:r>
            <w:r w:rsidRPr="00C84EC5">
              <w:rPr>
                <w:rFonts w:ascii="Arial Narrow" w:hAnsi="Arial Narrow" w:cs="Calibri"/>
                <w:color w:val="000000"/>
                <w:sz w:val="20"/>
                <w:szCs w:val="20"/>
              </w:rPr>
              <w:t xml:space="preserve"> </w:t>
            </w:r>
          </w:p>
        </w:tc>
      </w:tr>
      <w:tr w:rsidR="000E406E" w:rsidRPr="00433024" w14:paraId="4E4E8AEE" w14:textId="77777777" w:rsidTr="000E406E">
        <w:trPr>
          <w:trHeight w:val="50"/>
        </w:trPr>
        <w:tc>
          <w:tcPr>
            <w:tcW w:w="1096" w:type="pct"/>
            <w:tcBorders>
              <w:top w:val="nil"/>
              <w:left w:val="single" w:sz="8" w:space="0" w:color="auto"/>
              <w:bottom w:val="single" w:sz="8" w:space="0" w:color="auto"/>
              <w:right w:val="single" w:sz="8" w:space="0" w:color="auto"/>
            </w:tcBorders>
            <w:shd w:val="clear" w:color="000000" w:fill="FFFFFF"/>
            <w:vAlign w:val="center"/>
            <w:hideMark/>
          </w:tcPr>
          <w:p w14:paraId="3EB7E8E3" w14:textId="6A95904F" w:rsidR="00F63813" w:rsidRPr="00433024" w:rsidRDefault="00F63813" w:rsidP="00F63813">
            <w:pPr>
              <w:rPr>
                <w:rFonts w:ascii="Arial Narrow" w:hAnsi="Arial Narrow" w:cs="Calibri"/>
                <w:color w:val="000000"/>
                <w:sz w:val="20"/>
                <w:szCs w:val="20"/>
                <w:lang w:eastAsia="zh-CN"/>
              </w:rPr>
            </w:pPr>
            <w:r w:rsidRPr="00433024">
              <w:rPr>
                <w:rFonts w:ascii="Arial Narrow" w:hAnsi="Arial Narrow" w:cs="Calibri"/>
                <w:color w:val="000000"/>
                <w:sz w:val="20"/>
                <w:szCs w:val="20"/>
              </w:rPr>
              <w:t>(VAR+NRT &amp; NRT+NRT)</w:t>
            </w:r>
            <w:r>
              <w:rPr>
                <w:rFonts w:ascii="Arial Narrow" w:hAnsi="Arial Narrow" w:cs="Calibri"/>
                <w:color w:val="000000"/>
                <w:sz w:val="20"/>
                <w:szCs w:val="20"/>
              </w:rPr>
              <w:t xml:space="preserve"> </w:t>
            </w:r>
            <w:r w:rsidRPr="00433024">
              <w:rPr>
                <w:rFonts w:ascii="Arial Narrow" w:hAnsi="Arial Narrow" w:cs="Calibri"/>
                <w:color w:val="000000"/>
                <w:sz w:val="20"/>
                <w:szCs w:val="20"/>
                <w:vertAlign w:val="superscript"/>
              </w:rPr>
              <w:t>b</w:t>
            </w:r>
            <w:r w:rsidRPr="00433024">
              <w:rPr>
                <w:rFonts w:ascii="Arial Narrow" w:hAnsi="Arial Narrow" w:cs="Calibri"/>
                <w:color w:val="000000"/>
                <w:sz w:val="20"/>
                <w:szCs w:val="20"/>
              </w:rPr>
              <w:t xml:space="preserve"> vs (VAR+NRT)</w:t>
            </w:r>
            <w:r>
              <w:rPr>
                <w:rFonts w:ascii="Arial Narrow" w:hAnsi="Arial Narrow" w:cs="Calibri"/>
                <w:color w:val="000000"/>
                <w:sz w:val="20"/>
                <w:szCs w:val="20"/>
              </w:rPr>
              <w:t xml:space="preserve"> </w:t>
            </w:r>
            <w:r w:rsidRPr="00433024">
              <w:rPr>
                <w:rFonts w:ascii="Arial Narrow" w:hAnsi="Arial Narrow" w:cs="Calibri"/>
                <w:color w:val="000000"/>
                <w:sz w:val="20"/>
                <w:szCs w:val="20"/>
                <w:vertAlign w:val="superscript"/>
              </w:rPr>
              <w:t>b</w:t>
            </w:r>
          </w:p>
        </w:tc>
        <w:tc>
          <w:tcPr>
            <w:tcW w:w="551" w:type="pct"/>
            <w:tcBorders>
              <w:top w:val="single" w:sz="8" w:space="0" w:color="auto"/>
              <w:left w:val="nil"/>
              <w:bottom w:val="single" w:sz="12" w:space="0" w:color="auto"/>
              <w:right w:val="single" w:sz="8" w:space="0" w:color="auto"/>
            </w:tcBorders>
            <w:shd w:val="solid" w:color="000000" w:fill="000000"/>
            <w:vAlign w:val="center"/>
            <w:hideMark/>
          </w:tcPr>
          <w:p w14:paraId="306E26E8" w14:textId="681E403D"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color w:val="000000"/>
                <w:spacing w:val="104"/>
                <w:sz w:val="20"/>
                <w:szCs w:val="20"/>
                <w:fitText w:val="190" w:id="-1402814463"/>
                <w14:textFill>
                  <w14:solidFill>
                    <w14:srgbClr w14:val="000000">
                      <w14:alpha w14:val="100000"/>
                    </w14:srgbClr>
                  </w14:solidFill>
                </w14:textFill>
              </w:rPr>
              <w:t>|</w:t>
            </w:r>
            <w:r w:rsidRPr="00C84EC5">
              <w:rPr>
                <w:rFonts w:ascii="Arial Narrow" w:hAnsi="Arial Narrow" w:cs="Calibri"/>
                <w:color w:val="000000"/>
                <w:sz w:val="20"/>
                <w:szCs w:val="20"/>
                <w:fitText w:val="190" w:id="-1402814463"/>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0CD74EFA" w14:textId="05FE4885"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color w:val="000000"/>
                <w:spacing w:val="104"/>
                <w:sz w:val="20"/>
                <w:szCs w:val="20"/>
                <w:fitText w:val="190" w:id="-1402814462"/>
                <w14:textFill>
                  <w14:solidFill>
                    <w14:srgbClr w14:val="000000">
                      <w14:alpha w14:val="100000"/>
                    </w14:srgbClr>
                  </w14:solidFill>
                </w14:textFill>
              </w:rPr>
              <w:t>|</w:t>
            </w:r>
            <w:r w:rsidRPr="00C84EC5">
              <w:rPr>
                <w:rFonts w:ascii="Arial Narrow" w:hAnsi="Arial Narrow" w:cs="Calibri"/>
                <w:color w:val="000000"/>
                <w:sz w:val="20"/>
                <w:szCs w:val="20"/>
                <w:fitText w:val="190" w:id="-1402814462"/>
                <w14:textFill>
                  <w14:solidFill>
                    <w14:srgbClr w14:val="000000">
                      <w14:alpha w14:val="100000"/>
                    </w14:srgbClr>
                  </w14:solidFill>
                </w14:textFill>
              </w:rPr>
              <w:t>|</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3AFD853E" w14:textId="495174EC"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color w:val="000000"/>
                <w:sz w:val="20"/>
                <w:szCs w:val="20"/>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2AED6CBF" w14:textId="31806928"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hint="eastAsia"/>
                <w:color w:val="000000"/>
                <w:w w:val="15"/>
                <w:sz w:val="20"/>
                <w:szCs w:val="20"/>
                <w:fitText w:val="60" w:id="-1402814461"/>
                <w14:textFill>
                  <w14:solidFill>
                    <w14:srgbClr w14:val="000000">
                      <w14:alpha w14:val="100000"/>
                    </w14:srgbClr>
                  </w14:solidFill>
                </w14:textFill>
              </w:rPr>
              <w:t xml:space="preserve">　</w:t>
            </w:r>
            <w:r w:rsidRPr="00C84EC5">
              <w:rPr>
                <w:rFonts w:ascii="Arial Narrow" w:hAnsi="Arial Narrow" w:cs="Calibri"/>
                <w:color w:val="000000"/>
                <w:w w:val="15"/>
                <w:sz w:val="20"/>
                <w:szCs w:val="20"/>
                <w:fitText w:val="60" w:id="-1402814461"/>
                <w14:textFill>
                  <w14:solidFill>
                    <w14:srgbClr w14:val="000000">
                      <w14:alpha w14:val="100000"/>
                    </w14:srgbClr>
                  </w14:solidFill>
                </w14:textFill>
              </w:rPr>
              <w:t>|</w:t>
            </w:r>
            <w:r w:rsidRPr="00C84EC5">
              <w:rPr>
                <w:rFonts w:ascii="Arial Narrow" w:hAnsi="Arial Narrow" w:cs="Calibri" w:hint="eastAsia"/>
                <w:color w:val="000000"/>
                <w:w w:val="15"/>
                <w:sz w:val="20"/>
                <w:szCs w:val="20"/>
                <w:fitText w:val="60" w:id="-1402814461"/>
                <w14:textFill>
                  <w14:solidFill>
                    <w14:srgbClr w14:val="000000">
                      <w14:alpha w14:val="100000"/>
                    </w14:srgbClr>
                  </w14:solidFill>
                </w14:textFill>
              </w:rPr>
              <w:t xml:space="preserve">　</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7171B154" w14:textId="78814CAE" w:rsidR="00F63813" w:rsidRPr="00C84EC5" w:rsidRDefault="00C84EC5" w:rsidP="00F63813">
            <w:pPr>
              <w:jc w:val="center"/>
              <w:rPr>
                <w:rFonts w:ascii="Arial Narrow" w:hAnsi="Arial Narrow" w:cs="Calibri"/>
                <w:color w:val="000000"/>
                <w:sz w:val="20"/>
                <w:szCs w:val="20"/>
                <w:lang w:eastAsia="zh-CN"/>
              </w:rPr>
            </w:pPr>
            <w:r w:rsidRPr="00C84EC5">
              <w:rPr>
                <w:rFonts w:ascii="Arial Narrow" w:hAnsi="Arial Narrow" w:cs="Calibri" w:hint="eastAsia"/>
                <w:color w:val="000000"/>
                <w:w w:val="15"/>
                <w:sz w:val="20"/>
                <w:szCs w:val="20"/>
                <w:fitText w:val="60" w:id="-1402814208"/>
                <w14:textFill>
                  <w14:solidFill>
                    <w14:srgbClr w14:val="000000">
                      <w14:alpha w14:val="100000"/>
                    </w14:srgbClr>
                  </w14:solidFill>
                </w14:textFill>
              </w:rPr>
              <w:t xml:space="preserve">　</w:t>
            </w:r>
            <w:r w:rsidRPr="00C84EC5">
              <w:rPr>
                <w:rFonts w:ascii="Arial Narrow" w:hAnsi="Arial Narrow" w:cs="Calibri"/>
                <w:color w:val="000000"/>
                <w:w w:val="15"/>
                <w:sz w:val="20"/>
                <w:szCs w:val="20"/>
                <w:fitText w:val="60" w:id="-1402814208"/>
                <w14:textFill>
                  <w14:solidFill>
                    <w14:srgbClr w14:val="000000">
                      <w14:alpha w14:val="100000"/>
                    </w14:srgbClr>
                  </w14:solidFill>
                </w14:textFill>
              </w:rPr>
              <w:t>|</w:t>
            </w:r>
            <w:r w:rsidRPr="00C84EC5">
              <w:rPr>
                <w:rFonts w:ascii="Arial Narrow" w:hAnsi="Arial Narrow" w:cs="Calibri" w:hint="eastAsia"/>
                <w:color w:val="000000"/>
                <w:w w:val="15"/>
                <w:sz w:val="20"/>
                <w:szCs w:val="20"/>
                <w:fitText w:val="60" w:id="-1402814208"/>
                <w14:textFill>
                  <w14:solidFill>
                    <w14:srgbClr w14:val="000000">
                      <w14:alpha w14:val="100000"/>
                    </w14:srgbClr>
                  </w14:solidFill>
                </w14:textFill>
              </w:rPr>
              <w:t xml:space="preserve">　</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31ACCA78" w14:textId="758A9C21" w:rsidR="00F63813" w:rsidRPr="000E406E" w:rsidRDefault="000E406E" w:rsidP="00F63813">
            <w:pPr>
              <w:jc w:val="center"/>
              <w:rPr>
                <w:rFonts w:ascii="Arial Narrow" w:hAnsi="Arial Narrow"/>
                <w:color w:val="000000"/>
                <w:sz w:val="20"/>
              </w:rPr>
            </w:pPr>
            <w:r w:rsidRPr="000E406E">
              <w:rPr>
                <w:rFonts w:ascii="Arial Narrow" w:hAnsi="Arial Narrow"/>
                <w:color w:val="000000"/>
                <w:spacing w:val="46"/>
                <w:sz w:val="20"/>
                <w:szCs w:val="20"/>
                <w:fitText w:val="310" w:id="-1402814207"/>
                <w14:textFill>
                  <w14:solidFill>
                    <w14:srgbClr w14:val="000000">
                      <w14:alpha w14:val="100000"/>
                    </w14:srgbClr>
                  </w14:solidFill>
                </w14:textFill>
              </w:rPr>
              <w:t>|||</w:t>
            </w:r>
            <w:r w:rsidRPr="000E406E">
              <w:rPr>
                <w:rFonts w:ascii="Arial Narrow" w:hAnsi="Arial Narrow"/>
                <w:color w:val="000000"/>
                <w:spacing w:val="2"/>
                <w:sz w:val="20"/>
                <w:szCs w:val="20"/>
                <w:fitText w:val="310" w:id="-1402814207"/>
                <w14:textFill>
                  <w14:solidFill>
                    <w14:srgbClr w14:val="000000">
                      <w14:alpha w14:val="100000"/>
                    </w14:srgbClr>
                  </w14:solidFill>
                </w14:textFill>
              </w:rPr>
              <w:t>|</w:t>
            </w:r>
          </w:p>
        </w:tc>
        <w:tc>
          <w:tcPr>
            <w:tcW w:w="596" w:type="pct"/>
            <w:tcBorders>
              <w:top w:val="single" w:sz="8" w:space="0" w:color="auto"/>
              <w:left w:val="nil"/>
              <w:bottom w:val="single" w:sz="8" w:space="0" w:color="auto"/>
              <w:right w:val="single" w:sz="8" w:space="0" w:color="auto"/>
            </w:tcBorders>
            <w:shd w:val="solid" w:color="000000" w:fill="000000"/>
            <w:vAlign w:val="center"/>
          </w:tcPr>
          <w:p w14:paraId="4CE0273F" w14:textId="38343B81" w:rsidR="00F63813" w:rsidRPr="000E406E" w:rsidRDefault="000E406E" w:rsidP="00F63813">
            <w:pPr>
              <w:jc w:val="center"/>
              <w:rPr>
                <w:rFonts w:ascii="Arial Narrow" w:hAnsi="Arial Narrow" w:cs="Calibri"/>
                <w:color w:val="000000"/>
                <w:sz w:val="20"/>
                <w:szCs w:val="20"/>
              </w:rPr>
            </w:pPr>
            <w:r w:rsidRPr="000E406E">
              <w:rPr>
                <w:rFonts w:ascii="Arial Narrow" w:hAnsi="Arial Narrow" w:cs="Calibri"/>
                <w:color w:val="000000"/>
                <w:spacing w:val="32"/>
                <w:sz w:val="20"/>
                <w:szCs w:val="20"/>
                <w:fitText w:val="570" w:id="-1402814206"/>
                <w14:textFill>
                  <w14:solidFill>
                    <w14:srgbClr w14:val="000000">
                      <w14:alpha w14:val="100000"/>
                    </w14:srgbClr>
                  </w14:solidFill>
                </w14:textFill>
              </w:rPr>
              <w:t>|||||||</w:t>
            </w:r>
            <w:r w:rsidRPr="000E406E">
              <w:rPr>
                <w:rFonts w:ascii="Arial Narrow" w:hAnsi="Arial Narrow" w:cs="Calibri"/>
                <w:color w:val="000000"/>
                <w:spacing w:val="6"/>
                <w:sz w:val="20"/>
                <w:szCs w:val="20"/>
                <w:fitText w:val="570" w:id="-1402814206"/>
                <w14:textFill>
                  <w14:solidFill>
                    <w14:srgbClr w14:val="000000">
                      <w14:alpha w14:val="100000"/>
                    </w14:srgbClr>
                  </w14:solidFill>
                </w14:textFill>
              </w:rPr>
              <w:t>|</w:t>
            </w:r>
          </w:p>
        </w:tc>
      </w:tr>
    </w:tbl>
    <w:p w14:paraId="3634ADA5" w14:textId="0C8A071B" w:rsidR="00A04138" w:rsidRPr="00E4397F" w:rsidRDefault="00A04138" w:rsidP="00A04138">
      <w:pPr>
        <w:jc w:val="both"/>
        <w:rPr>
          <w:rFonts w:ascii="Arial Narrow" w:hAnsi="Arial Narrow" w:cstheme="minorHAnsi"/>
          <w:sz w:val="20"/>
          <w:szCs w:val="20"/>
        </w:rPr>
      </w:pPr>
      <w:r w:rsidRPr="00E4397F">
        <w:rPr>
          <w:rFonts w:ascii="Arial Narrow" w:hAnsi="Arial Narrow" w:cstheme="minorHAnsi"/>
          <w:sz w:val="20"/>
          <w:szCs w:val="20"/>
          <w:vertAlign w:val="superscript"/>
        </w:rPr>
        <w:t xml:space="preserve">a </w:t>
      </w:r>
      <w:r w:rsidRPr="00E4397F">
        <w:rPr>
          <w:rFonts w:ascii="Arial Narrow" w:hAnsi="Arial Narrow" w:cstheme="minorHAnsi"/>
          <w:sz w:val="20"/>
          <w:szCs w:val="20"/>
        </w:rPr>
        <w:t>This only consider</w:t>
      </w:r>
      <w:r w:rsidR="00805998">
        <w:rPr>
          <w:rFonts w:ascii="Arial Narrow" w:hAnsi="Arial Narrow" w:cstheme="minorHAnsi"/>
          <w:sz w:val="20"/>
          <w:szCs w:val="20"/>
        </w:rPr>
        <w:t>ed</w:t>
      </w:r>
      <w:r w:rsidRPr="00E4397F">
        <w:rPr>
          <w:rFonts w:ascii="Arial Narrow" w:hAnsi="Arial Narrow" w:cstheme="minorHAnsi"/>
          <w:sz w:val="20"/>
          <w:szCs w:val="20"/>
        </w:rPr>
        <w:t xml:space="preserve"> the use of NRT </w:t>
      </w:r>
      <w:r w:rsidRPr="00E4397F">
        <w:rPr>
          <w:rFonts w:ascii="Arial Narrow" w:hAnsi="Arial Narrow" w:cstheme="minorHAnsi"/>
          <w:i/>
          <w:iCs/>
          <w:sz w:val="20"/>
          <w:szCs w:val="20"/>
        </w:rPr>
        <w:t>versus</w:t>
      </w:r>
      <w:r w:rsidRPr="00E4397F">
        <w:rPr>
          <w:rFonts w:ascii="Arial Narrow" w:hAnsi="Arial Narrow" w:cstheme="minorHAnsi"/>
          <w:sz w:val="20"/>
          <w:szCs w:val="20"/>
        </w:rPr>
        <w:t xml:space="preserve"> VAR on the first attempt. The assumed use of NRT and VAR for subsequent attempts </w:t>
      </w:r>
      <w:r w:rsidR="00805998">
        <w:rPr>
          <w:rFonts w:ascii="Arial Narrow" w:hAnsi="Arial Narrow" w:cstheme="minorHAnsi"/>
          <w:sz w:val="20"/>
          <w:szCs w:val="20"/>
        </w:rPr>
        <w:t>wa</w:t>
      </w:r>
      <w:r w:rsidRPr="00E4397F">
        <w:rPr>
          <w:rFonts w:ascii="Arial Narrow" w:hAnsi="Arial Narrow" w:cstheme="minorHAnsi"/>
          <w:sz w:val="20"/>
          <w:szCs w:val="20"/>
        </w:rPr>
        <w:t xml:space="preserve">s assumed to be the same in both cases. </w:t>
      </w:r>
    </w:p>
    <w:p w14:paraId="0F59819F" w14:textId="77035780" w:rsidR="00A04138" w:rsidRPr="001147B4" w:rsidRDefault="00A04138" w:rsidP="001147B4">
      <w:pPr>
        <w:spacing w:after="120"/>
        <w:jc w:val="both"/>
        <w:rPr>
          <w:rFonts w:ascii="Arial Narrow" w:hAnsi="Arial Narrow" w:cstheme="minorHAnsi"/>
          <w:sz w:val="20"/>
          <w:szCs w:val="20"/>
        </w:rPr>
      </w:pPr>
      <w:r w:rsidRPr="00E4397F">
        <w:rPr>
          <w:rFonts w:ascii="Arial Narrow" w:hAnsi="Arial Narrow" w:cstheme="minorHAnsi"/>
          <w:sz w:val="20"/>
          <w:szCs w:val="20"/>
          <w:vertAlign w:val="superscript"/>
        </w:rPr>
        <w:t xml:space="preserve">b </w:t>
      </w:r>
      <w:r w:rsidRPr="00E4397F">
        <w:rPr>
          <w:rFonts w:ascii="Arial Narrow" w:hAnsi="Arial Narrow" w:cstheme="minorHAnsi"/>
          <w:sz w:val="20"/>
          <w:szCs w:val="20"/>
        </w:rPr>
        <w:t xml:space="preserve">Assumptions </w:t>
      </w:r>
      <w:r w:rsidR="00805998">
        <w:rPr>
          <w:rFonts w:ascii="Arial Narrow" w:hAnsi="Arial Narrow" w:cstheme="minorHAnsi"/>
          <w:sz w:val="20"/>
          <w:szCs w:val="20"/>
        </w:rPr>
        <w:t>we</w:t>
      </w:r>
      <w:r w:rsidRPr="00E4397F">
        <w:rPr>
          <w:rFonts w:ascii="Arial Narrow" w:hAnsi="Arial Narrow" w:cstheme="minorHAnsi"/>
          <w:sz w:val="20"/>
          <w:szCs w:val="20"/>
        </w:rPr>
        <w:t>re also made about how the listing of these new combinations w</w:t>
      </w:r>
      <w:r w:rsidR="00805998">
        <w:rPr>
          <w:rFonts w:ascii="Arial Narrow" w:hAnsi="Arial Narrow" w:cstheme="minorHAnsi"/>
          <w:sz w:val="20"/>
          <w:szCs w:val="20"/>
        </w:rPr>
        <w:t>ould</w:t>
      </w:r>
      <w:r w:rsidRPr="00E4397F">
        <w:rPr>
          <w:rFonts w:ascii="Arial Narrow" w:hAnsi="Arial Narrow" w:cstheme="minorHAnsi"/>
          <w:sz w:val="20"/>
          <w:szCs w:val="20"/>
        </w:rPr>
        <w:t xml:space="preserve"> also impact on </w:t>
      </w:r>
      <w:r w:rsidR="004C4FEA">
        <w:rPr>
          <w:rFonts w:ascii="Arial Narrow" w:hAnsi="Arial Narrow" w:cstheme="minorHAnsi"/>
          <w:sz w:val="20"/>
          <w:szCs w:val="20"/>
        </w:rPr>
        <w:t xml:space="preserve">the </w:t>
      </w:r>
      <w:r w:rsidRPr="00E4397F">
        <w:rPr>
          <w:rFonts w:ascii="Arial Narrow" w:hAnsi="Arial Narrow" w:cstheme="minorHAnsi"/>
          <w:sz w:val="20"/>
          <w:szCs w:val="20"/>
        </w:rPr>
        <w:t xml:space="preserve">use of products in subsequent quit attempts. These results </w:t>
      </w:r>
      <w:r w:rsidR="00805998">
        <w:rPr>
          <w:rFonts w:ascii="Arial Narrow" w:hAnsi="Arial Narrow" w:cstheme="minorHAnsi"/>
          <w:sz w:val="20"/>
          <w:szCs w:val="20"/>
        </w:rPr>
        <w:t>we</w:t>
      </w:r>
      <w:r w:rsidRPr="00E4397F">
        <w:rPr>
          <w:rFonts w:ascii="Arial Narrow" w:hAnsi="Arial Narrow" w:cstheme="minorHAnsi"/>
          <w:sz w:val="20"/>
          <w:szCs w:val="20"/>
        </w:rPr>
        <w:t>re produced by simulating 600,000 patients through each possible scenario for 50 years. 600,000 patients were used to minimise the Monte Carlo error.</w:t>
      </w:r>
    </w:p>
    <w:p w14:paraId="77CE56F9" w14:textId="67038CAC" w:rsidR="001007C0" w:rsidRPr="000E406E" w:rsidRDefault="00801078" w:rsidP="00A04138">
      <w:pPr>
        <w:pStyle w:val="4Bodytextnumbered"/>
        <w:rPr>
          <w:highlight w:val="black"/>
        </w:rPr>
      </w:pPr>
      <w:r w:rsidRPr="000E406E">
        <w:rPr>
          <w:highlight w:val="black"/>
          <w:vertAlign w:val="superscript"/>
        </w:rPr>
        <w:footnoteReference w:id="2"/>
      </w:r>
      <w:r w:rsidR="000E406E" w:rsidRPr="000E406E">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5B45D23" w14:textId="09388E74" w:rsidR="00A04138" w:rsidRPr="004F2654" w:rsidRDefault="00A04138" w:rsidP="004F2654">
      <w:pPr>
        <w:pStyle w:val="2Sections"/>
      </w:pPr>
      <w:r w:rsidRPr="00311651">
        <w:lastRenderedPageBreak/>
        <w:t xml:space="preserve">Budgetary </w:t>
      </w:r>
      <w:r>
        <w:t>i</w:t>
      </w:r>
      <w:r w:rsidRPr="00311651">
        <w:t>mpact</w:t>
      </w:r>
    </w:p>
    <w:p w14:paraId="62421611" w14:textId="77777777" w:rsidR="00D33370" w:rsidRDefault="0028349A" w:rsidP="0028349A">
      <w:pPr>
        <w:pStyle w:val="4Bodytextnumbered"/>
        <w:rPr>
          <w:bCs/>
        </w:rPr>
      </w:pPr>
      <w:bookmarkStart w:id="18" w:name="_Toc93400758"/>
      <w:bookmarkStart w:id="19" w:name="_Hlk93482975"/>
      <w:r w:rsidRPr="0028349A">
        <w:rPr>
          <w:bCs/>
        </w:rPr>
        <w:t>Table 3 below presents the estimated financial implications to the PBS/RPBS, Medicare Benefits Schedule (MBS), and the health system combined in each financial year to 2026-2027 for the three listing scenarios: VAR+NRT only (Scenario 1), NRT+NRT only (Scenario 2) and both VAR+NRT and NRT+NRT (Scenario 3). Under the base case assumptions, the estimated incremental cost to the PBS for the first five years was approximately</w:t>
      </w:r>
      <w:bookmarkStart w:id="20" w:name="_Hlk111716557"/>
      <w:r w:rsidR="006F06DB">
        <w:rPr>
          <w:bCs/>
        </w:rPr>
        <w:t xml:space="preserve"> </w:t>
      </w:r>
      <w:r w:rsidR="006F06DB" w:rsidRPr="006F06DB">
        <w:rPr>
          <w:bCs/>
        </w:rPr>
        <w:t>$60 million to &lt; $70 million for Scenario’s 1 and 2 and $90 million to &lt; $100 million for Scenario 3</w:t>
      </w:r>
      <w:bookmarkEnd w:id="20"/>
      <w:r w:rsidRPr="0028349A">
        <w:rPr>
          <w:bCs/>
        </w:rPr>
        <w:t xml:space="preserve">. </w:t>
      </w:r>
    </w:p>
    <w:p w14:paraId="28A48DBD" w14:textId="7A9FDF2F" w:rsidR="0028349A" w:rsidRPr="0028349A" w:rsidRDefault="0028349A" w:rsidP="0028349A">
      <w:pPr>
        <w:pStyle w:val="4Bodytextnumbered"/>
        <w:rPr>
          <w:bCs/>
        </w:rPr>
      </w:pPr>
      <w:r w:rsidRPr="0028349A">
        <w:rPr>
          <w:bCs/>
        </w:rPr>
        <w:t>The proposed additional listings first increased costs given the substitution to more expensive combination therapy, but the more effective therapies were then assumed to reduce the need for future assisted quit attempts. Also, it was assumed that substitution to the newly listed therapies would increase over time as more clinicians changed their standard of care.</w:t>
      </w:r>
    </w:p>
    <w:p w14:paraId="1F7A1016" w14:textId="540B4ADA" w:rsidR="00987C71" w:rsidRPr="00987C71" w:rsidRDefault="00987C71" w:rsidP="00987C71">
      <w:pPr>
        <w:pStyle w:val="Caption"/>
        <w:spacing w:after="120"/>
        <w:rPr>
          <w:rFonts w:ascii="Arial Narrow" w:hAnsi="Arial Narrow" w:cstheme="minorHAnsi"/>
          <w:b/>
          <w:i w:val="0"/>
          <w:sz w:val="20"/>
          <w:szCs w:val="20"/>
        </w:rPr>
      </w:pPr>
      <w:r w:rsidRPr="00987C71">
        <w:rPr>
          <w:rFonts w:ascii="Arial Narrow" w:hAnsi="Arial Narrow" w:cstheme="minorHAnsi"/>
          <w:b/>
          <w:i w:val="0"/>
          <w:sz w:val="20"/>
          <w:szCs w:val="20"/>
        </w:rPr>
        <w:t xml:space="preserve">Table </w:t>
      </w:r>
      <w:r w:rsidR="005E4B36">
        <w:rPr>
          <w:rFonts w:ascii="Arial Narrow" w:hAnsi="Arial Narrow" w:cstheme="minorHAnsi"/>
          <w:b/>
          <w:i w:val="0"/>
          <w:sz w:val="20"/>
          <w:szCs w:val="20"/>
        </w:rPr>
        <w:t>3</w:t>
      </w:r>
      <w:r w:rsidRPr="00987C71">
        <w:rPr>
          <w:rFonts w:ascii="Arial Narrow" w:hAnsi="Arial Narrow" w:cstheme="minorHAnsi"/>
          <w:b/>
          <w:i w:val="0"/>
          <w:sz w:val="20"/>
          <w:szCs w:val="20"/>
        </w:rPr>
        <w:t>: Estimated incremental net cost to the PBS/RPBS (less co-payment) and MBS under the proposed listing scenarios relative to the current PBS restrictions</w:t>
      </w:r>
      <w:bookmarkEnd w:id="18"/>
      <w:bookmarkEnd w:id="19"/>
    </w:p>
    <w:tbl>
      <w:tblPr>
        <w:tblStyle w:val="TableGrid"/>
        <w:tblW w:w="5000" w:type="pct"/>
        <w:tblCellMar>
          <w:left w:w="28" w:type="dxa"/>
          <w:right w:w="28" w:type="dxa"/>
        </w:tblCellMar>
        <w:tblLook w:val="04A0" w:firstRow="1" w:lastRow="0" w:firstColumn="1" w:lastColumn="0" w:noHBand="0" w:noVBand="1"/>
      </w:tblPr>
      <w:tblGrid>
        <w:gridCol w:w="2664"/>
        <w:gridCol w:w="1271"/>
        <w:gridCol w:w="1271"/>
        <w:gridCol w:w="1271"/>
        <w:gridCol w:w="1271"/>
        <w:gridCol w:w="1268"/>
      </w:tblGrid>
      <w:tr w:rsidR="00987C71" w14:paraId="6E7D96DB" w14:textId="77777777" w:rsidTr="00144345">
        <w:tc>
          <w:tcPr>
            <w:tcW w:w="1477" w:type="pct"/>
            <w:tcBorders>
              <w:top w:val="single" w:sz="4" w:space="0" w:color="auto"/>
              <w:left w:val="single" w:sz="4" w:space="0" w:color="auto"/>
              <w:bottom w:val="single" w:sz="4" w:space="0" w:color="auto"/>
              <w:right w:val="single" w:sz="4" w:space="0" w:color="auto"/>
            </w:tcBorders>
          </w:tcPr>
          <w:p w14:paraId="28C7D53D" w14:textId="77777777" w:rsidR="00987C71" w:rsidRDefault="00987C71" w:rsidP="00144345">
            <w:pPr>
              <w:keepNext/>
              <w:jc w:val="both"/>
              <w:rPr>
                <w:rFonts w:ascii="Arial Narrow" w:hAnsi="Arial Narrow"/>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154C564F" w14:textId="77777777" w:rsidR="00987C71" w:rsidRDefault="00987C71" w:rsidP="00144345">
            <w:pPr>
              <w:keepNext/>
              <w:jc w:val="center"/>
              <w:rPr>
                <w:rFonts w:ascii="Arial Narrow" w:hAnsi="Arial Narrow"/>
                <w:sz w:val="20"/>
                <w:szCs w:val="20"/>
              </w:rPr>
            </w:pPr>
            <w:r>
              <w:rPr>
                <w:rFonts w:ascii="Arial Narrow" w:hAnsi="Arial Narrow"/>
                <w:b/>
                <w:bCs/>
                <w:sz w:val="20"/>
                <w:szCs w:val="20"/>
              </w:rPr>
              <w:t>2022-2023</w:t>
            </w:r>
          </w:p>
        </w:tc>
        <w:tc>
          <w:tcPr>
            <w:tcW w:w="705" w:type="pct"/>
            <w:tcBorders>
              <w:top w:val="single" w:sz="4" w:space="0" w:color="auto"/>
              <w:left w:val="single" w:sz="4" w:space="0" w:color="auto"/>
              <w:bottom w:val="single" w:sz="4" w:space="0" w:color="auto"/>
              <w:right w:val="single" w:sz="4" w:space="0" w:color="auto"/>
            </w:tcBorders>
            <w:vAlign w:val="center"/>
            <w:hideMark/>
          </w:tcPr>
          <w:p w14:paraId="2C97E3AD" w14:textId="77777777" w:rsidR="00987C71" w:rsidRDefault="00987C71" w:rsidP="00144345">
            <w:pPr>
              <w:keepNext/>
              <w:jc w:val="center"/>
              <w:rPr>
                <w:rFonts w:ascii="Arial Narrow" w:hAnsi="Arial Narrow"/>
                <w:sz w:val="20"/>
                <w:szCs w:val="20"/>
              </w:rPr>
            </w:pPr>
            <w:r>
              <w:rPr>
                <w:rFonts w:ascii="Arial Narrow" w:hAnsi="Arial Narrow"/>
                <w:b/>
                <w:bCs/>
                <w:sz w:val="20"/>
                <w:szCs w:val="20"/>
              </w:rPr>
              <w:t>2023-2024</w:t>
            </w:r>
          </w:p>
        </w:tc>
        <w:tc>
          <w:tcPr>
            <w:tcW w:w="705" w:type="pct"/>
            <w:tcBorders>
              <w:top w:val="single" w:sz="4" w:space="0" w:color="auto"/>
              <w:left w:val="single" w:sz="4" w:space="0" w:color="auto"/>
              <w:bottom w:val="single" w:sz="4" w:space="0" w:color="auto"/>
              <w:right w:val="single" w:sz="4" w:space="0" w:color="auto"/>
            </w:tcBorders>
            <w:vAlign w:val="center"/>
            <w:hideMark/>
          </w:tcPr>
          <w:p w14:paraId="5A06288E" w14:textId="77777777" w:rsidR="00987C71" w:rsidRDefault="00987C71" w:rsidP="00144345">
            <w:pPr>
              <w:keepNext/>
              <w:jc w:val="center"/>
              <w:rPr>
                <w:rFonts w:ascii="Arial Narrow" w:hAnsi="Arial Narrow"/>
                <w:sz w:val="20"/>
                <w:szCs w:val="20"/>
              </w:rPr>
            </w:pPr>
            <w:r>
              <w:rPr>
                <w:rFonts w:ascii="Arial Narrow" w:hAnsi="Arial Narrow"/>
                <w:b/>
                <w:bCs/>
                <w:sz w:val="20"/>
                <w:szCs w:val="20"/>
              </w:rPr>
              <w:t>2024-2025</w:t>
            </w:r>
          </w:p>
        </w:tc>
        <w:tc>
          <w:tcPr>
            <w:tcW w:w="705" w:type="pct"/>
            <w:tcBorders>
              <w:top w:val="single" w:sz="4" w:space="0" w:color="auto"/>
              <w:left w:val="single" w:sz="4" w:space="0" w:color="auto"/>
              <w:bottom w:val="single" w:sz="4" w:space="0" w:color="auto"/>
              <w:right w:val="single" w:sz="4" w:space="0" w:color="auto"/>
            </w:tcBorders>
            <w:vAlign w:val="center"/>
            <w:hideMark/>
          </w:tcPr>
          <w:p w14:paraId="394EBF14" w14:textId="77777777" w:rsidR="00987C71" w:rsidRDefault="00987C71" w:rsidP="00144345">
            <w:pPr>
              <w:keepNext/>
              <w:jc w:val="center"/>
              <w:rPr>
                <w:rFonts w:ascii="Arial Narrow" w:hAnsi="Arial Narrow"/>
                <w:sz w:val="20"/>
                <w:szCs w:val="20"/>
              </w:rPr>
            </w:pPr>
            <w:r>
              <w:rPr>
                <w:rFonts w:ascii="Arial Narrow" w:hAnsi="Arial Narrow"/>
                <w:b/>
                <w:bCs/>
                <w:sz w:val="20"/>
                <w:szCs w:val="20"/>
              </w:rPr>
              <w:t>2025-2026</w:t>
            </w:r>
          </w:p>
        </w:tc>
        <w:tc>
          <w:tcPr>
            <w:tcW w:w="703" w:type="pct"/>
            <w:tcBorders>
              <w:top w:val="single" w:sz="4" w:space="0" w:color="auto"/>
              <w:left w:val="single" w:sz="4" w:space="0" w:color="auto"/>
              <w:bottom w:val="single" w:sz="4" w:space="0" w:color="auto"/>
              <w:right w:val="single" w:sz="4" w:space="0" w:color="auto"/>
            </w:tcBorders>
            <w:vAlign w:val="center"/>
            <w:hideMark/>
          </w:tcPr>
          <w:p w14:paraId="1D0546E6" w14:textId="77777777" w:rsidR="00987C71" w:rsidRDefault="00987C71" w:rsidP="00144345">
            <w:pPr>
              <w:keepNext/>
              <w:jc w:val="center"/>
              <w:rPr>
                <w:rFonts w:ascii="Arial Narrow" w:hAnsi="Arial Narrow"/>
                <w:sz w:val="20"/>
                <w:szCs w:val="20"/>
              </w:rPr>
            </w:pPr>
            <w:r>
              <w:rPr>
                <w:rFonts w:ascii="Arial Narrow" w:hAnsi="Arial Narrow"/>
                <w:b/>
                <w:bCs/>
                <w:sz w:val="20"/>
                <w:szCs w:val="20"/>
              </w:rPr>
              <w:t>2026-2027</w:t>
            </w:r>
          </w:p>
        </w:tc>
      </w:tr>
      <w:tr w:rsidR="00987C71" w14:paraId="276A9D67" w14:textId="77777777" w:rsidTr="00144345">
        <w:tc>
          <w:tcPr>
            <w:tcW w:w="5000" w:type="pct"/>
            <w:gridSpan w:val="6"/>
            <w:tcBorders>
              <w:top w:val="single" w:sz="4" w:space="0" w:color="auto"/>
              <w:left w:val="single" w:sz="4" w:space="0" w:color="auto"/>
              <w:bottom w:val="single" w:sz="4" w:space="0" w:color="auto"/>
              <w:right w:val="single" w:sz="4" w:space="0" w:color="auto"/>
            </w:tcBorders>
            <w:hideMark/>
          </w:tcPr>
          <w:p w14:paraId="63113D54" w14:textId="77777777" w:rsidR="00987C71" w:rsidRDefault="00987C71" w:rsidP="00144345">
            <w:pPr>
              <w:keepNext/>
              <w:jc w:val="both"/>
            </w:pPr>
            <w:r>
              <w:rPr>
                <w:rFonts w:ascii="Arial Narrow" w:hAnsi="Arial Narrow"/>
                <w:b/>
                <w:bCs/>
                <w:sz w:val="20"/>
                <w:szCs w:val="20"/>
              </w:rPr>
              <w:t>Scenario 1 (VAR+NRT listed on the PBS)</w:t>
            </w:r>
          </w:p>
        </w:tc>
      </w:tr>
      <w:tr w:rsidR="00987C71" w14:paraId="176EB0DE" w14:textId="77777777" w:rsidTr="00586BA1">
        <w:tc>
          <w:tcPr>
            <w:tcW w:w="1477" w:type="pct"/>
            <w:tcBorders>
              <w:top w:val="single" w:sz="4" w:space="0" w:color="auto"/>
              <w:left w:val="single" w:sz="4" w:space="0" w:color="auto"/>
              <w:bottom w:val="nil"/>
              <w:right w:val="single" w:sz="4" w:space="0" w:color="auto"/>
            </w:tcBorders>
            <w:hideMark/>
          </w:tcPr>
          <w:p w14:paraId="402542BF" w14:textId="77777777" w:rsidR="00987C71" w:rsidRDefault="00987C71" w:rsidP="00144345">
            <w:pPr>
              <w:keepNext/>
              <w:jc w:val="both"/>
              <w:rPr>
                <w:rFonts w:ascii="Arial Narrow" w:hAnsi="Arial Narrow"/>
                <w:b/>
                <w:bCs/>
                <w:sz w:val="20"/>
                <w:szCs w:val="20"/>
              </w:rPr>
            </w:pPr>
            <w:r>
              <w:rPr>
                <w:rFonts w:ascii="Arial Narrow" w:hAnsi="Arial Narrow"/>
                <w:b/>
                <w:bCs/>
                <w:sz w:val="20"/>
                <w:szCs w:val="20"/>
              </w:rPr>
              <w:t>PBS/RPBS net cost (less co-pay)</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707E7A6B" w14:textId="1770F8FB" w:rsidR="00987C71" w:rsidRPr="000E406E" w:rsidRDefault="000E406E" w:rsidP="00144345">
            <w:pPr>
              <w:keepNext/>
              <w:jc w:val="center"/>
              <w:rPr>
                <w:rFonts w:ascii="Arial Narrow" w:hAnsi="Arial Narrow"/>
                <w:b/>
                <w:sz w:val="20"/>
                <w:szCs w:val="20"/>
              </w:rPr>
            </w:pPr>
            <w:r w:rsidRPr="000E406E">
              <w:rPr>
                <w:rFonts w:ascii="Arial Narrow" w:hAnsi="Arial Narrow"/>
                <w:b/>
                <w:color w:val="000000"/>
                <w:spacing w:val="23"/>
                <w:sz w:val="20"/>
                <w:szCs w:val="20"/>
                <w:fitText w:val="670" w:id="-1402812160"/>
                <w14:textFill>
                  <w14:solidFill>
                    <w14:srgbClr w14:val="000000">
                      <w14:alpha w14:val="100000"/>
                    </w14:srgbClr>
                  </w14:solidFill>
                </w14:textFill>
              </w:rPr>
              <w:t>|||||||||</w:t>
            </w:r>
            <w:r w:rsidRPr="000E406E">
              <w:rPr>
                <w:rFonts w:ascii="Arial Narrow" w:hAnsi="Arial Narrow"/>
                <w:b/>
                <w:color w:val="000000"/>
                <w:spacing w:val="4"/>
                <w:sz w:val="20"/>
                <w:szCs w:val="20"/>
                <w:fitText w:val="670" w:id="-1402812160"/>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3F2B3D54" w14:textId="05CCF206" w:rsidR="00987C71" w:rsidRPr="000E406E" w:rsidRDefault="000E406E" w:rsidP="00144345">
            <w:pPr>
              <w:keepNext/>
              <w:jc w:val="center"/>
              <w:rPr>
                <w:rFonts w:ascii="Arial Narrow" w:hAnsi="Arial Narrow"/>
                <w:b/>
                <w:sz w:val="20"/>
                <w:szCs w:val="20"/>
              </w:rPr>
            </w:pPr>
            <w:r w:rsidRPr="000E406E">
              <w:rPr>
                <w:rFonts w:ascii="Arial Narrow" w:hAnsi="Arial Narrow"/>
                <w:b/>
                <w:color w:val="000000"/>
                <w:spacing w:val="23"/>
                <w:sz w:val="20"/>
                <w:szCs w:val="20"/>
                <w:fitText w:val="670" w:id="-1402811901"/>
                <w14:textFill>
                  <w14:solidFill>
                    <w14:srgbClr w14:val="000000">
                      <w14:alpha w14:val="100000"/>
                    </w14:srgbClr>
                  </w14:solidFill>
                </w14:textFill>
              </w:rPr>
              <w:t>|||||||||</w:t>
            </w:r>
            <w:r w:rsidRPr="000E406E">
              <w:rPr>
                <w:rFonts w:ascii="Arial Narrow" w:hAnsi="Arial Narrow"/>
                <w:b/>
                <w:color w:val="000000"/>
                <w:spacing w:val="4"/>
                <w:sz w:val="20"/>
                <w:szCs w:val="20"/>
                <w:fitText w:val="670" w:id="-1402811901"/>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78DC8D10" w14:textId="0692DE5C" w:rsidR="00987C71" w:rsidRPr="00586BA1" w:rsidRDefault="00586BA1" w:rsidP="00144345">
            <w:pPr>
              <w:keepNext/>
              <w:jc w:val="center"/>
              <w:rPr>
                <w:rFonts w:ascii="Arial Narrow" w:hAnsi="Arial Narrow"/>
                <w:b/>
                <w:sz w:val="20"/>
                <w:szCs w:val="20"/>
              </w:rPr>
            </w:pPr>
            <w:r w:rsidRPr="00586BA1">
              <w:rPr>
                <w:rFonts w:ascii="Arial Narrow" w:hAnsi="Arial Narrow"/>
                <w:b/>
                <w:color w:val="000000"/>
                <w:spacing w:val="23"/>
                <w:sz w:val="20"/>
                <w:szCs w:val="20"/>
                <w:fitText w:val="670" w:id="-1402811390"/>
                <w14:textFill>
                  <w14:solidFill>
                    <w14:srgbClr w14:val="000000">
                      <w14:alpha w14:val="100000"/>
                    </w14:srgbClr>
                  </w14:solidFill>
                </w14:textFill>
              </w:rPr>
              <w:t>|||||||||</w:t>
            </w:r>
            <w:r w:rsidRPr="00586BA1">
              <w:rPr>
                <w:rFonts w:ascii="Arial Narrow" w:hAnsi="Arial Narrow"/>
                <w:b/>
                <w:color w:val="000000"/>
                <w:spacing w:val="4"/>
                <w:sz w:val="20"/>
                <w:szCs w:val="20"/>
                <w:fitText w:val="670" w:id="-1402811390"/>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401C9EF1" w14:textId="6ECED1CA" w:rsidR="00987C71" w:rsidRPr="00586BA1" w:rsidRDefault="00586BA1" w:rsidP="00144345">
            <w:pPr>
              <w:keepNext/>
              <w:jc w:val="center"/>
              <w:rPr>
                <w:rFonts w:ascii="Arial Narrow" w:hAnsi="Arial Narrow"/>
                <w:b/>
                <w:sz w:val="20"/>
                <w:szCs w:val="20"/>
              </w:rPr>
            </w:pPr>
            <w:r w:rsidRPr="00586BA1">
              <w:rPr>
                <w:rFonts w:ascii="Arial Narrow" w:hAnsi="Arial Narrow"/>
                <w:b/>
                <w:color w:val="000000"/>
                <w:spacing w:val="23"/>
                <w:sz w:val="20"/>
                <w:szCs w:val="20"/>
                <w:fitText w:val="670" w:id="-1402810878"/>
                <w14:textFill>
                  <w14:solidFill>
                    <w14:srgbClr w14:val="000000">
                      <w14:alpha w14:val="100000"/>
                    </w14:srgbClr>
                  </w14:solidFill>
                </w14:textFill>
              </w:rPr>
              <w:t>|||||||||</w:t>
            </w:r>
            <w:r w:rsidRPr="00586BA1">
              <w:rPr>
                <w:rFonts w:ascii="Arial Narrow" w:hAnsi="Arial Narrow"/>
                <w:b/>
                <w:color w:val="000000"/>
                <w:spacing w:val="4"/>
                <w:sz w:val="20"/>
                <w:szCs w:val="20"/>
                <w:fitText w:val="670" w:id="-1402810878"/>
                <w14:textFill>
                  <w14:solidFill>
                    <w14:srgbClr w14:val="000000">
                      <w14:alpha w14:val="100000"/>
                    </w14:srgbClr>
                  </w14:solidFill>
                </w14:textFill>
              </w:rPr>
              <w:t>|</w:t>
            </w:r>
          </w:p>
        </w:tc>
        <w:tc>
          <w:tcPr>
            <w:tcW w:w="703" w:type="pct"/>
            <w:tcBorders>
              <w:top w:val="single" w:sz="4" w:space="0" w:color="auto"/>
              <w:left w:val="single" w:sz="4" w:space="0" w:color="auto"/>
              <w:bottom w:val="nil"/>
              <w:right w:val="single" w:sz="4" w:space="0" w:color="auto"/>
            </w:tcBorders>
            <w:shd w:val="solid" w:color="000000" w:fill="000000"/>
            <w:vAlign w:val="center"/>
            <w:hideMark/>
          </w:tcPr>
          <w:p w14:paraId="250A4E68" w14:textId="57CC1DA8" w:rsidR="00987C71" w:rsidRPr="00586BA1" w:rsidRDefault="00586BA1" w:rsidP="00144345">
            <w:pPr>
              <w:keepNext/>
              <w:jc w:val="center"/>
              <w:rPr>
                <w:rFonts w:ascii="Arial Narrow" w:hAnsi="Arial Narrow"/>
                <w:b/>
                <w:sz w:val="20"/>
                <w:szCs w:val="20"/>
              </w:rPr>
            </w:pPr>
            <w:r w:rsidRPr="00586BA1">
              <w:rPr>
                <w:rFonts w:ascii="Arial Narrow" w:hAnsi="Arial Narrow"/>
                <w:b/>
                <w:color w:val="000000"/>
                <w:spacing w:val="23"/>
                <w:sz w:val="20"/>
                <w:szCs w:val="20"/>
                <w:fitText w:val="670" w:id="-1402810368"/>
                <w14:textFill>
                  <w14:solidFill>
                    <w14:srgbClr w14:val="000000">
                      <w14:alpha w14:val="100000"/>
                    </w14:srgbClr>
                  </w14:solidFill>
                </w14:textFill>
              </w:rPr>
              <w:t>|||||||||</w:t>
            </w:r>
            <w:r w:rsidRPr="00586BA1">
              <w:rPr>
                <w:rFonts w:ascii="Arial Narrow" w:hAnsi="Arial Narrow"/>
                <w:b/>
                <w:color w:val="000000"/>
                <w:spacing w:val="4"/>
                <w:sz w:val="20"/>
                <w:szCs w:val="20"/>
                <w:fitText w:val="670" w:id="-1402810368"/>
                <w14:textFill>
                  <w14:solidFill>
                    <w14:srgbClr w14:val="000000">
                      <w14:alpha w14:val="100000"/>
                    </w14:srgbClr>
                  </w14:solidFill>
                </w14:textFill>
              </w:rPr>
              <w:t>|</w:t>
            </w:r>
          </w:p>
        </w:tc>
      </w:tr>
      <w:tr w:rsidR="00987C71" w14:paraId="038C58C1" w14:textId="77777777" w:rsidTr="00586BA1">
        <w:tc>
          <w:tcPr>
            <w:tcW w:w="1477" w:type="pct"/>
            <w:tcBorders>
              <w:top w:val="nil"/>
              <w:left w:val="single" w:sz="4" w:space="0" w:color="auto"/>
              <w:bottom w:val="nil"/>
              <w:right w:val="single" w:sz="4" w:space="0" w:color="auto"/>
            </w:tcBorders>
            <w:hideMark/>
          </w:tcPr>
          <w:p w14:paraId="0C83FA43" w14:textId="77777777" w:rsidR="00987C71" w:rsidRDefault="00987C71" w:rsidP="00144345">
            <w:pPr>
              <w:keepNext/>
              <w:ind w:left="112"/>
              <w:jc w:val="both"/>
              <w:rPr>
                <w:rFonts w:ascii="Arial Narrow" w:hAnsi="Arial Narrow"/>
                <w:sz w:val="20"/>
                <w:szCs w:val="20"/>
              </w:rPr>
            </w:pPr>
            <w:r>
              <w:rPr>
                <w:rFonts w:ascii="Arial Narrow" w:hAnsi="Arial Narrow"/>
                <w:sz w:val="20"/>
                <w:szCs w:val="20"/>
              </w:rPr>
              <w:t>VAR</w:t>
            </w:r>
          </w:p>
        </w:tc>
        <w:tc>
          <w:tcPr>
            <w:tcW w:w="705" w:type="pct"/>
            <w:tcBorders>
              <w:top w:val="nil"/>
              <w:left w:val="single" w:sz="4" w:space="0" w:color="auto"/>
              <w:bottom w:val="nil"/>
              <w:right w:val="single" w:sz="4" w:space="0" w:color="auto"/>
            </w:tcBorders>
            <w:shd w:val="solid" w:color="000000" w:fill="000000"/>
            <w:vAlign w:val="center"/>
            <w:hideMark/>
          </w:tcPr>
          <w:p w14:paraId="3E248600" w14:textId="38BF80F9" w:rsidR="00987C71" w:rsidRPr="000E406E" w:rsidRDefault="000E406E" w:rsidP="00144345">
            <w:pPr>
              <w:keepNext/>
              <w:jc w:val="center"/>
              <w:rPr>
                <w:rFonts w:ascii="Arial Narrow" w:hAnsi="Arial Narrow"/>
                <w:sz w:val="20"/>
                <w:szCs w:val="20"/>
              </w:rPr>
            </w:pPr>
            <w:r w:rsidRPr="000E406E">
              <w:rPr>
                <w:rFonts w:ascii="Arial Narrow" w:hAnsi="Arial Narrow"/>
                <w:color w:val="000000"/>
                <w:spacing w:val="54"/>
                <w:sz w:val="20"/>
                <w:szCs w:val="20"/>
                <w:fitText w:val="530" w:id="-1402812159"/>
                <w14:textFill>
                  <w14:solidFill>
                    <w14:srgbClr w14:val="000000">
                      <w14:alpha w14:val="100000"/>
                    </w14:srgbClr>
                  </w14:solidFill>
                </w14:textFill>
              </w:rPr>
              <w:t>|||||</w:t>
            </w:r>
            <w:r w:rsidRPr="000E406E">
              <w:rPr>
                <w:rFonts w:ascii="Arial Narrow" w:hAnsi="Arial Narrow"/>
                <w:color w:val="000000"/>
                <w:spacing w:val="5"/>
                <w:sz w:val="20"/>
                <w:szCs w:val="20"/>
                <w:fitText w:val="530" w:id="-1402812159"/>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1A35878B" w14:textId="613EE34E" w:rsidR="00987C71" w:rsidRPr="000E406E" w:rsidRDefault="000E406E" w:rsidP="00144345">
            <w:pPr>
              <w:keepNext/>
              <w:jc w:val="center"/>
              <w:rPr>
                <w:rFonts w:ascii="Arial Narrow" w:hAnsi="Arial Narrow"/>
                <w:sz w:val="20"/>
                <w:szCs w:val="20"/>
              </w:rPr>
            </w:pPr>
            <w:r w:rsidRPr="000E406E">
              <w:rPr>
                <w:rFonts w:ascii="Arial Narrow" w:hAnsi="Arial Narrow"/>
                <w:color w:val="000000"/>
                <w:spacing w:val="54"/>
                <w:sz w:val="20"/>
                <w:szCs w:val="20"/>
                <w:fitText w:val="530" w:id="-1402811648"/>
                <w14:textFill>
                  <w14:solidFill>
                    <w14:srgbClr w14:val="000000">
                      <w14:alpha w14:val="100000"/>
                    </w14:srgbClr>
                  </w14:solidFill>
                </w14:textFill>
              </w:rPr>
              <w:t>|||||</w:t>
            </w:r>
            <w:r w:rsidRPr="000E406E">
              <w:rPr>
                <w:rFonts w:ascii="Arial Narrow" w:hAnsi="Arial Narrow"/>
                <w:color w:val="000000"/>
                <w:spacing w:val="5"/>
                <w:sz w:val="20"/>
                <w:szCs w:val="20"/>
                <w:fitText w:val="530" w:id="-1402811648"/>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129D954C" w14:textId="698D3717" w:rsidR="00987C71" w:rsidRPr="00586BA1" w:rsidRDefault="00586BA1" w:rsidP="00144345">
            <w:pPr>
              <w:keepNext/>
              <w:jc w:val="center"/>
              <w:rPr>
                <w:rFonts w:ascii="Arial Narrow" w:hAnsi="Arial Narrow"/>
                <w:sz w:val="20"/>
                <w:szCs w:val="20"/>
              </w:rPr>
            </w:pPr>
            <w:r w:rsidRPr="00586BA1">
              <w:rPr>
                <w:rFonts w:ascii="Arial Narrow" w:hAnsi="Arial Narrow"/>
                <w:color w:val="000000"/>
                <w:spacing w:val="54"/>
                <w:sz w:val="20"/>
                <w:szCs w:val="20"/>
                <w:fitText w:val="530" w:id="-1402811136"/>
                <w14:textFill>
                  <w14:solidFill>
                    <w14:srgbClr w14:val="000000">
                      <w14:alpha w14:val="100000"/>
                    </w14:srgbClr>
                  </w14:solidFill>
                </w14:textFill>
              </w:rPr>
              <w:t>|||||</w:t>
            </w:r>
            <w:r w:rsidRPr="00586BA1">
              <w:rPr>
                <w:rFonts w:ascii="Arial Narrow" w:hAnsi="Arial Narrow"/>
                <w:color w:val="000000"/>
                <w:spacing w:val="5"/>
                <w:sz w:val="20"/>
                <w:szCs w:val="20"/>
                <w:fitText w:val="530" w:id="-1402811136"/>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4275481F" w14:textId="7CE817B6" w:rsidR="00987C71" w:rsidRPr="00586BA1" w:rsidRDefault="00586BA1" w:rsidP="00144345">
            <w:pPr>
              <w:keepNext/>
              <w:jc w:val="center"/>
              <w:rPr>
                <w:rFonts w:ascii="Arial Narrow" w:hAnsi="Arial Narrow"/>
                <w:sz w:val="20"/>
                <w:szCs w:val="20"/>
              </w:rPr>
            </w:pPr>
            <w:r w:rsidRPr="00586BA1">
              <w:rPr>
                <w:rFonts w:ascii="Arial Narrow" w:hAnsi="Arial Narrow"/>
                <w:color w:val="000000"/>
                <w:spacing w:val="54"/>
                <w:sz w:val="20"/>
                <w:szCs w:val="20"/>
                <w:fitText w:val="530" w:id="-1402810877"/>
                <w14:textFill>
                  <w14:solidFill>
                    <w14:srgbClr w14:val="000000">
                      <w14:alpha w14:val="100000"/>
                    </w14:srgbClr>
                  </w14:solidFill>
                </w14:textFill>
              </w:rPr>
              <w:t>|||||</w:t>
            </w:r>
            <w:r w:rsidRPr="00586BA1">
              <w:rPr>
                <w:rFonts w:ascii="Arial Narrow" w:hAnsi="Arial Narrow"/>
                <w:color w:val="000000"/>
                <w:spacing w:val="5"/>
                <w:sz w:val="20"/>
                <w:szCs w:val="20"/>
                <w:fitText w:val="530" w:id="-1402810877"/>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285C99FD" w14:textId="01BF1E31" w:rsidR="00987C71" w:rsidRPr="00586BA1" w:rsidRDefault="00586BA1" w:rsidP="00144345">
            <w:pPr>
              <w:keepNext/>
              <w:jc w:val="center"/>
              <w:rPr>
                <w:rFonts w:ascii="Arial Narrow" w:hAnsi="Arial Narrow"/>
                <w:sz w:val="20"/>
                <w:szCs w:val="20"/>
              </w:rPr>
            </w:pPr>
            <w:r w:rsidRPr="00586BA1">
              <w:rPr>
                <w:rFonts w:ascii="Arial Narrow" w:hAnsi="Arial Narrow"/>
                <w:color w:val="000000"/>
                <w:spacing w:val="54"/>
                <w:sz w:val="20"/>
                <w:szCs w:val="20"/>
                <w:fitText w:val="530" w:id="-1402810367"/>
                <w14:textFill>
                  <w14:solidFill>
                    <w14:srgbClr w14:val="000000">
                      <w14:alpha w14:val="100000"/>
                    </w14:srgbClr>
                  </w14:solidFill>
                </w14:textFill>
              </w:rPr>
              <w:t>|||||</w:t>
            </w:r>
            <w:r w:rsidRPr="00586BA1">
              <w:rPr>
                <w:rFonts w:ascii="Arial Narrow" w:hAnsi="Arial Narrow"/>
                <w:color w:val="000000"/>
                <w:spacing w:val="5"/>
                <w:sz w:val="20"/>
                <w:szCs w:val="20"/>
                <w:fitText w:val="530" w:id="-1402810367"/>
                <w14:textFill>
                  <w14:solidFill>
                    <w14:srgbClr w14:val="000000">
                      <w14:alpha w14:val="100000"/>
                    </w14:srgbClr>
                  </w14:solidFill>
                </w14:textFill>
              </w:rPr>
              <w:t>|</w:t>
            </w:r>
          </w:p>
        </w:tc>
      </w:tr>
      <w:tr w:rsidR="00987C71" w14:paraId="13DC74E6" w14:textId="77777777" w:rsidTr="00586BA1">
        <w:tc>
          <w:tcPr>
            <w:tcW w:w="1477" w:type="pct"/>
            <w:tcBorders>
              <w:top w:val="nil"/>
              <w:left w:val="single" w:sz="4" w:space="0" w:color="auto"/>
              <w:bottom w:val="nil"/>
              <w:right w:val="single" w:sz="4" w:space="0" w:color="auto"/>
            </w:tcBorders>
            <w:hideMark/>
          </w:tcPr>
          <w:p w14:paraId="3A358F6C" w14:textId="77777777" w:rsidR="00987C71" w:rsidRDefault="00987C71" w:rsidP="00144345">
            <w:pPr>
              <w:keepNext/>
              <w:ind w:left="112"/>
              <w:jc w:val="both"/>
              <w:rPr>
                <w:rFonts w:ascii="Arial Narrow" w:hAnsi="Arial Narrow"/>
                <w:sz w:val="20"/>
                <w:szCs w:val="20"/>
              </w:rPr>
            </w:pPr>
            <w:r>
              <w:rPr>
                <w:rFonts w:ascii="Arial Narrow" w:hAnsi="Arial Narrow"/>
                <w:sz w:val="20"/>
                <w:szCs w:val="20"/>
              </w:rPr>
              <w:t>NRT</w:t>
            </w:r>
          </w:p>
        </w:tc>
        <w:tc>
          <w:tcPr>
            <w:tcW w:w="705" w:type="pct"/>
            <w:tcBorders>
              <w:top w:val="nil"/>
              <w:left w:val="single" w:sz="4" w:space="0" w:color="auto"/>
              <w:bottom w:val="nil"/>
              <w:right w:val="single" w:sz="4" w:space="0" w:color="auto"/>
            </w:tcBorders>
            <w:shd w:val="solid" w:color="000000" w:fill="000000"/>
            <w:vAlign w:val="center"/>
            <w:hideMark/>
          </w:tcPr>
          <w:p w14:paraId="33CBFBA0" w14:textId="1F8D2E02" w:rsidR="00987C71" w:rsidRPr="000E406E" w:rsidRDefault="000E406E" w:rsidP="00144345">
            <w:pPr>
              <w:keepNext/>
              <w:jc w:val="center"/>
              <w:rPr>
                <w:rFonts w:ascii="Arial Narrow" w:hAnsi="Arial Narrow"/>
                <w:sz w:val="20"/>
                <w:szCs w:val="20"/>
              </w:rPr>
            </w:pPr>
            <w:r w:rsidRPr="000E406E">
              <w:rPr>
                <w:rFonts w:ascii="Arial Narrow" w:hAnsi="Arial Narrow"/>
                <w:color w:val="000000"/>
                <w:spacing w:val="54"/>
                <w:sz w:val="20"/>
                <w:szCs w:val="20"/>
                <w:fitText w:val="530" w:id="-1402812158"/>
                <w14:textFill>
                  <w14:solidFill>
                    <w14:srgbClr w14:val="000000">
                      <w14:alpha w14:val="100000"/>
                    </w14:srgbClr>
                  </w14:solidFill>
                </w14:textFill>
              </w:rPr>
              <w:t>|||||</w:t>
            </w:r>
            <w:r w:rsidRPr="000E406E">
              <w:rPr>
                <w:rFonts w:ascii="Arial Narrow" w:hAnsi="Arial Narrow"/>
                <w:color w:val="000000"/>
                <w:spacing w:val="5"/>
                <w:sz w:val="20"/>
                <w:szCs w:val="20"/>
                <w:fitText w:val="530" w:id="-1402812158"/>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3380F75A" w14:textId="65EC97B8" w:rsidR="00987C71" w:rsidRPr="00586BA1" w:rsidRDefault="00586BA1" w:rsidP="00144345">
            <w:pPr>
              <w:keepNext/>
              <w:jc w:val="center"/>
              <w:rPr>
                <w:rFonts w:ascii="Arial Narrow" w:hAnsi="Arial Narrow"/>
                <w:sz w:val="20"/>
                <w:szCs w:val="20"/>
              </w:rPr>
            </w:pPr>
            <w:r w:rsidRPr="00586BA1">
              <w:rPr>
                <w:rFonts w:ascii="Arial Narrow" w:hAnsi="Arial Narrow"/>
                <w:color w:val="000000"/>
                <w:spacing w:val="54"/>
                <w:sz w:val="20"/>
                <w:szCs w:val="20"/>
                <w:fitText w:val="530" w:id="-1402811647"/>
                <w14:textFill>
                  <w14:solidFill>
                    <w14:srgbClr w14:val="000000">
                      <w14:alpha w14:val="100000"/>
                    </w14:srgbClr>
                  </w14:solidFill>
                </w14:textFill>
              </w:rPr>
              <w:t>|||||</w:t>
            </w:r>
            <w:r w:rsidRPr="00586BA1">
              <w:rPr>
                <w:rFonts w:ascii="Arial Narrow" w:hAnsi="Arial Narrow"/>
                <w:color w:val="000000"/>
                <w:spacing w:val="5"/>
                <w:sz w:val="20"/>
                <w:szCs w:val="20"/>
                <w:fitText w:val="530" w:id="-1402811647"/>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759E0372" w14:textId="54CBBDB3" w:rsidR="00987C71" w:rsidRPr="00586BA1" w:rsidRDefault="00586BA1" w:rsidP="00144345">
            <w:pPr>
              <w:keepNext/>
              <w:jc w:val="center"/>
              <w:rPr>
                <w:rFonts w:ascii="Arial Narrow" w:hAnsi="Arial Narrow"/>
                <w:sz w:val="20"/>
                <w:szCs w:val="20"/>
              </w:rPr>
            </w:pPr>
            <w:r w:rsidRPr="00586BA1">
              <w:rPr>
                <w:rFonts w:ascii="Arial Narrow" w:hAnsi="Arial Narrow"/>
                <w:color w:val="000000"/>
                <w:spacing w:val="54"/>
                <w:sz w:val="20"/>
                <w:szCs w:val="20"/>
                <w:fitText w:val="530" w:id="-1402811135"/>
                <w14:textFill>
                  <w14:solidFill>
                    <w14:srgbClr w14:val="000000">
                      <w14:alpha w14:val="100000"/>
                    </w14:srgbClr>
                  </w14:solidFill>
                </w14:textFill>
              </w:rPr>
              <w:t>|||||</w:t>
            </w:r>
            <w:r w:rsidRPr="00586BA1">
              <w:rPr>
                <w:rFonts w:ascii="Arial Narrow" w:hAnsi="Arial Narrow"/>
                <w:color w:val="000000"/>
                <w:spacing w:val="5"/>
                <w:sz w:val="20"/>
                <w:szCs w:val="20"/>
                <w:fitText w:val="530" w:id="-1402811135"/>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49F71EC1" w14:textId="1BA5C483" w:rsidR="00987C71" w:rsidRPr="00586BA1" w:rsidRDefault="00586BA1" w:rsidP="00144345">
            <w:pPr>
              <w:keepNext/>
              <w:jc w:val="center"/>
              <w:rPr>
                <w:rFonts w:ascii="Arial Narrow" w:hAnsi="Arial Narrow"/>
                <w:sz w:val="20"/>
                <w:szCs w:val="20"/>
              </w:rPr>
            </w:pPr>
            <w:r w:rsidRPr="00586BA1">
              <w:rPr>
                <w:rFonts w:ascii="Arial Narrow" w:hAnsi="Arial Narrow"/>
                <w:color w:val="000000"/>
                <w:spacing w:val="54"/>
                <w:sz w:val="20"/>
                <w:szCs w:val="20"/>
                <w:fitText w:val="530" w:id="-1402810624"/>
                <w14:textFill>
                  <w14:solidFill>
                    <w14:srgbClr w14:val="000000">
                      <w14:alpha w14:val="100000"/>
                    </w14:srgbClr>
                  </w14:solidFill>
                </w14:textFill>
              </w:rPr>
              <w:t>|||||</w:t>
            </w:r>
            <w:r w:rsidRPr="00586BA1">
              <w:rPr>
                <w:rFonts w:ascii="Arial Narrow" w:hAnsi="Arial Narrow"/>
                <w:color w:val="000000"/>
                <w:spacing w:val="5"/>
                <w:sz w:val="20"/>
                <w:szCs w:val="20"/>
                <w:fitText w:val="530" w:id="-1402810624"/>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clear" w:color="auto" w:fill="000000" w:themeFill="text1"/>
            <w:vAlign w:val="center"/>
            <w:hideMark/>
          </w:tcPr>
          <w:p w14:paraId="2863B326" w14:textId="0F10837E" w:rsidR="00987C71" w:rsidRPr="00586BA1" w:rsidRDefault="00586BA1" w:rsidP="00144345">
            <w:pPr>
              <w:keepNext/>
              <w:jc w:val="center"/>
              <w:rPr>
                <w:rFonts w:ascii="Arial Narrow" w:hAnsi="Arial Narrow"/>
                <w:sz w:val="20"/>
                <w:szCs w:val="20"/>
              </w:rPr>
            </w:pPr>
            <w:r w:rsidRPr="00586BA1">
              <w:rPr>
                <w:rFonts w:ascii="Arial Narrow" w:hAnsi="Arial Narrow"/>
                <w:color w:val="000000"/>
                <w:spacing w:val="54"/>
                <w:sz w:val="20"/>
                <w:szCs w:val="20"/>
                <w:fitText w:val="530" w:id="-1402809856"/>
                <w14:textFill>
                  <w14:solidFill>
                    <w14:srgbClr w14:val="000000">
                      <w14:alpha w14:val="100000"/>
                    </w14:srgbClr>
                  </w14:solidFill>
                </w14:textFill>
              </w:rPr>
              <w:t>|||||</w:t>
            </w:r>
            <w:r w:rsidRPr="00586BA1">
              <w:rPr>
                <w:rFonts w:ascii="Arial Narrow" w:hAnsi="Arial Narrow"/>
                <w:color w:val="000000"/>
                <w:spacing w:val="5"/>
                <w:sz w:val="20"/>
                <w:szCs w:val="20"/>
                <w:fitText w:val="530" w:id="-1402809856"/>
                <w14:textFill>
                  <w14:solidFill>
                    <w14:srgbClr w14:val="000000">
                      <w14:alpha w14:val="100000"/>
                    </w14:srgbClr>
                  </w14:solidFill>
                </w14:textFill>
              </w:rPr>
              <w:t>|</w:t>
            </w:r>
          </w:p>
        </w:tc>
      </w:tr>
      <w:tr w:rsidR="00987C71" w14:paraId="647CD556" w14:textId="77777777" w:rsidTr="00586BA1">
        <w:tc>
          <w:tcPr>
            <w:tcW w:w="1477" w:type="pct"/>
            <w:tcBorders>
              <w:top w:val="nil"/>
              <w:left w:val="single" w:sz="4" w:space="0" w:color="auto"/>
              <w:bottom w:val="nil"/>
              <w:right w:val="single" w:sz="4" w:space="0" w:color="auto"/>
            </w:tcBorders>
            <w:hideMark/>
          </w:tcPr>
          <w:p w14:paraId="0B7D68F6" w14:textId="77777777" w:rsidR="00987C71" w:rsidRDefault="00987C71" w:rsidP="00144345">
            <w:pPr>
              <w:keepNext/>
              <w:ind w:left="112"/>
              <w:jc w:val="both"/>
              <w:rPr>
                <w:rFonts w:ascii="Arial Narrow" w:hAnsi="Arial Narrow"/>
                <w:sz w:val="20"/>
                <w:szCs w:val="20"/>
              </w:rPr>
            </w:pPr>
            <w:r>
              <w:rPr>
                <w:rFonts w:ascii="Arial Narrow" w:hAnsi="Arial Narrow"/>
                <w:sz w:val="20"/>
                <w:szCs w:val="20"/>
              </w:rPr>
              <w:t>BUP</w:t>
            </w:r>
          </w:p>
        </w:tc>
        <w:tc>
          <w:tcPr>
            <w:tcW w:w="705" w:type="pct"/>
            <w:tcBorders>
              <w:top w:val="nil"/>
              <w:left w:val="single" w:sz="4" w:space="0" w:color="auto"/>
              <w:bottom w:val="nil"/>
              <w:right w:val="single" w:sz="4" w:space="0" w:color="auto"/>
            </w:tcBorders>
            <w:shd w:val="solid" w:color="000000" w:fill="000000"/>
            <w:vAlign w:val="center"/>
            <w:hideMark/>
          </w:tcPr>
          <w:p w14:paraId="65304AD4" w14:textId="1733E8F6" w:rsidR="00987C71" w:rsidRPr="000E406E" w:rsidRDefault="000E406E" w:rsidP="00144345">
            <w:pPr>
              <w:keepNext/>
              <w:jc w:val="center"/>
              <w:rPr>
                <w:rFonts w:ascii="Arial Narrow" w:hAnsi="Arial Narrow"/>
                <w:sz w:val="20"/>
                <w:szCs w:val="20"/>
              </w:rPr>
            </w:pPr>
            <w:r w:rsidRPr="000E406E">
              <w:rPr>
                <w:rFonts w:ascii="Arial Narrow" w:hAnsi="Arial Narrow" w:hint="eastAsia"/>
                <w:color w:val="000000"/>
                <w:w w:val="15"/>
                <w:sz w:val="20"/>
                <w:szCs w:val="20"/>
                <w:fitText w:val="60" w:id="-1402811904"/>
                <w14:textFill>
                  <w14:solidFill>
                    <w14:srgbClr w14:val="000000">
                      <w14:alpha w14:val="100000"/>
                    </w14:srgbClr>
                  </w14:solidFill>
                </w14:textFill>
              </w:rPr>
              <w:t xml:space="preserve">　</w:t>
            </w:r>
            <w:r w:rsidRPr="000E406E">
              <w:rPr>
                <w:rFonts w:ascii="Arial Narrow" w:hAnsi="Arial Narrow"/>
                <w:color w:val="000000"/>
                <w:w w:val="15"/>
                <w:sz w:val="20"/>
                <w:szCs w:val="20"/>
                <w:fitText w:val="60" w:id="-1402811904"/>
                <w14:textFill>
                  <w14:solidFill>
                    <w14:srgbClr w14:val="000000">
                      <w14:alpha w14:val="100000"/>
                    </w14:srgbClr>
                  </w14:solidFill>
                </w14:textFill>
              </w:rPr>
              <w:t>|</w:t>
            </w:r>
            <w:r w:rsidRPr="000E406E">
              <w:rPr>
                <w:rFonts w:ascii="Arial Narrow" w:hAnsi="Arial Narrow" w:hint="eastAsia"/>
                <w:color w:val="000000"/>
                <w:w w:val="15"/>
                <w:sz w:val="20"/>
                <w:szCs w:val="20"/>
                <w:fitText w:val="60" w:id="-1402811904"/>
                <w14:textFill>
                  <w14:solidFill>
                    <w14:srgbClr w14:val="000000">
                      <w14:alpha w14:val="100000"/>
                    </w14:srgbClr>
                  </w14:solidFill>
                </w14:textFill>
              </w:rPr>
              <w:t xml:space="preserve">　</w:t>
            </w:r>
          </w:p>
        </w:tc>
        <w:tc>
          <w:tcPr>
            <w:tcW w:w="705" w:type="pct"/>
            <w:tcBorders>
              <w:top w:val="nil"/>
              <w:left w:val="single" w:sz="4" w:space="0" w:color="auto"/>
              <w:bottom w:val="nil"/>
              <w:right w:val="single" w:sz="4" w:space="0" w:color="auto"/>
            </w:tcBorders>
            <w:shd w:val="solid" w:color="000000" w:fill="000000"/>
            <w:vAlign w:val="center"/>
            <w:hideMark/>
          </w:tcPr>
          <w:p w14:paraId="08B3A054" w14:textId="7CBC467D" w:rsidR="00987C71" w:rsidRPr="00586BA1" w:rsidRDefault="00586BA1" w:rsidP="00144345">
            <w:pPr>
              <w:keepNext/>
              <w:jc w:val="center"/>
              <w:rPr>
                <w:rFonts w:ascii="Arial Narrow" w:hAnsi="Arial Narrow"/>
                <w:sz w:val="20"/>
                <w:szCs w:val="20"/>
              </w:rPr>
            </w:pPr>
            <w:r w:rsidRPr="00586BA1">
              <w:rPr>
                <w:rFonts w:ascii="Arial Narrow" w:hAnsi="Arial Narrow"/>
                <w:color w:val="000000"/>
                <w:spacing w:val="46"/>
                <w:sz w:val="20"/>
                <w:szCs w:val="20"/>
                <w:fitText w:val="310" w:id="-1402811646"/>
                <w14:textFill>
                  <w14:solidFill>
                    <w14:srgbClr w14:val="000000">
                      <w14:alpha w14:val="100000"/>
                    </w14:srgbClr>
                  </w14:solidFill>
                </w14:textFill>
              </w:rPr>
              <w:t>|||</w:t>
            </w:r>
            <w:r w:rsidRPr="00586BA1">
              <w:rPr>
                <w:rFonts w:ascii="Arial Narrow" w:hAnsi="Arial Narrow"/>
                <w:color w:val="000000"/>
                <w:spacing w:val="2"/>
                <w:sz w:val="20"/>
                <w:szCs w:val="20"/>
                <w:fitText w:val="310" w:id="-1402811646"/>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6E1A6CE9" w14:textId="69A66393" w:rsidR="00987C71" w:rsidRPr="00586BA1" w:rsidRDefault="00586BA1" w:rsidP="00144345">
            <w:pPr>
              <w:keepNext/>
              <w:jc w:val="center"/>
              <w:rPr>
                <w:rFonts w:ascii="Arial Narrow" w:hAnsi="Arial Narrow"/>
                <w:sz w:val="20"/>
                <w:szCs w:val="20"/>
              </w:rPr>
            </w:pPr>
            <w:r w:rsidRPr="00586BA1">
              <w:rPr>
                <w:rFonts w:ascii="Arial Narrow" w:hAnsi="Arial Narrow"/>
                <w:color w:val="000000"/>
                <w:spacing w:val="46"/>
                <w:sz w:val="20"/>
                <w:szCs w:val="20"/>
                <w:fitText w:val="310" w:id="-1402811134"/>
                <w14:textFill>
                  <w14:solidFill>
                    <w14:srgbClr w14:val="000000">
                      <w14:alpha w14:val="100000"/>
                    </w14:srgbClr>
                  </w14:solidFill>
                </w14:textFill>
              </w:rPr>
              <w:t>|||</w:t>
            </w:r>
            <w:r w:rsidRPr="00586BA1">
              <w:rPr>
                <w:rFonts w:ascii="Arial Narrow" w:hAnsi="Arial Narrow"/>
                <w:color w:val="000000"/>
                <w:spacing w:val="2"/>
                <w:sz w:val="20"/>
                <w:szCs w:val="20"/>
                <w:fitText w:val="310" w:id="-1402811134"/>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06D121E8" w14:textId="2349BE25" w:rsidR="00987C71" w:rsidRPr="00586BA1" w:rsidRDefault="00586BA1" w:rsidP="00144345">
            <w:pPr>
              <w:keepNext/>
              <w:jc w:val="center"/>
              <w:rPr>
                <w:rFonts w:ascii="Arial Narrow" w:hAnsi="Arial Narrow"/>
                <w:sz w:val="20"/>
                <w:szCs w:val="20"/>
              </w:rPr>
            </w:pPr>
            <w:r w:rsidRPr="00586BA1">
              <w:rPr>
                <w:rFonts w:ascii="Arial Narrow" w:hAnsi="Arial Narrow"/>
                <w:color w:val="000000"/>
                <w:spacing w:val="38"/>
                <w:sz w:val="20"/>
                <w:szCs w:val="20"/>
                <w:fitText w:val="450" w:id="-1402810623"/>
                <w14:textFill>
                  <w14:solidFill>
                    <w14:srgbClr w14:val="000000">
                      <w14:alpha w14:val="100000"/>
                    </w14:srgbClr>
                  </w14:solidFill>
                </w14:textFill>
              </w:rPr>
              <w:t>|||||</w:t>
            </w:r>
            <w:r w:rsidRPr="00586BA1">
              <w:rPr>
                <w:rFonts w:ascii="Arial Narrow" w:hAnsi="Arial Narrow"/>
                <w:color w:val="000000"/>
                <w:spacing w:val="5"/>
                <w:sz w:val="20"/>
                <w:szCs w:val="20"/>
                <w:fitText w:val="450" w:id="-1402810623"/>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200E6D1E" w14:textId="3B5555FF" w:rsidR="00987C71" w:rsidRPr="00586BA1" w:rsidRDefault="00586BA1" w:rsidP="00144345">
            <w:pPr>
              <w:keepNext/>
              <w:jc w:val="center"/>
              <w:rPr>
                <w:rFonts w:ascii="Arial Narrow" w:hAnsi="Arial Narrow"/>
                <w:sz w:val="20"/>
                <w:szCs w:val="20"/>
              </w:rPr>
            </w:pPr>
            <w:r w:rsidRPr="00586BA1">
              <w:rPr>
                <w:rFonts w:ascii="Arial Narrow" w:hAnsi="Arial Narrow"/>
                <w:color w:val="000000"/>
                <w:spacing w:val="38"/>
                <w:sz w:val="20"/>
                <w:szCs w:val="20"/>
                <w:fitText w:val="450" w:id="-1402809600"/>
                <w14:textFill>
                  <w14:solidFill>
                    <w14:srgbClr w14:val="000000">
                      <w14:alpha w14:val="100000"/>
                    </w14:srgbClr>
                  </w14:solidFill>
                </w14:textFill>
              </w:rPr>
              <w:t>|||||</w:t>
            </w:r>
            <w:r w:rsidRPr="00586BA1">
              <w:rPr>
                <w:rFonts w:ascii="Arial Narrow" w:hAnsi="Arial Narrow"/>
                <w:color w:val="000000"/>
                <w:spacing w:val="5"/>
                <w:sz w:val="20"/>
                <w:szCs w:val="20"/>
                <w:fitText w:val="450" w:id="-1402809600"/>
                <w14:textFill>
                  <w14:solidFill>
                    <w14:srgbClr w14:val="000000">
                      <w14:alpha w14:val="100000"/>
                    </w14:srgbClr>
                  </w14:solidFill>
                </w14:textFill>
              </w:rPr>
              <w:t>|</w:t>
            </w:r>
          </w:p>
        </w:tc>
      </w:tr>
      <w:tr w:rsidR="00987C71" w14:paraId="2A1732ED" w14:textId="77777777" w:rsidTr="00586BA1">
        <w:tc>
          <w:tcPr>
            <w:tcW w:w="1477" w:type="pct"/>
            <w:tcBorders>
              <w:top w:val="nil"/>
              <w:left w:val="single" w:sz="4" w:space="0" w:color="auto"/>
              <w:bottom w:val="nil"/>
              <w:right w:val="single" w:sz="4" w:space="0" w:color="auto"/>
            </w:tcBorders>
            <w:hideMark/>
          </w:tcPr>
          <w:p w14:paraId="24114259" w14:textId="77777777" w:rsidR="00987C71" w:rsidRDefault="00987C71" w:rsidP="00144345">
            <w:pPr>
              <w:keepNext/>
              <w:jc w:val="both"/>
              <w:rPr>
                <w:rFonts w:ascii="Arial Narrow" w:hAnsi="Arial Narrow"/>
                <w:sz w:val="20"/>
                <w:szCs w:val="20"/>
              </w:rPr>
            </w:pPr>
            <w:r>
              <w:rPr>
                <w:rFonts w:ascii="Arial Narrow" w:hAnsi="Arial Narrow"/>
                <w:sz w:val="20"/>
                <w:szCs w:val="20"/>
              </w:rPr>
              <w:t>MBS net cost</w:t>
            </w:r>
          </w:p>
        </w:tc>
        <w:tc>
          <w:tcPr>
            <w:tcW w:w="705" w:type="pct"/>
            <w:tcBorders>
              <w:top w:val="nil"/>
              <w:left w:val="single" w:sz="4" w:space="0" w:color="auto"/>
              <w:bottom w:val="nil"/>
              <w:right w:val="single" w:sz="4" w:space="0" w:color="auto"/>
            </w:tcBorders>
            <w:shd w:val="solid" w:color="000000" w:fill="000000"/>
            <w:vAlign w:val="center"/>
            <w:hideMark/>
          </w:tcPr>
          <w:p w14:paraId="452B1EB5" w14:textId="38BD7077" w:rsidR="00987C71" w:rsidRPr="000E406E" w:rsidRDefault="000E406E" w:rsidP="00144345">
            <w:pPr>
              <w:keepNext/>
              <w:jc w:val="center"/>
              <w:rPr>
                <w:rFonts w:ascii="Arial Narrow" w:hAnsi="Arial Narrow"/>
                <w:b/>
                <w:sz w:val="20"/>
                <w:szCs w:val="20"/>
              </w:rPr>
            </w:pPr>
            <w:r w:rsidRPr="000E406E">
              <w:rPr>
                <w:rFonts w:ascii="Arial Narrow" w:hAnsi="Arial Narrow"/>
                <w:b/>
                <w:color w:val="000000"/>
                <w:spacing w:val="50"/>
                <w:sz w:val="20"/>
                <w:szCs w:val="20"/>
                <w:fitText w:val="530" w:id="-1402811903"/>
                <w14:textFill>
                  <w14:solidFill>
                    <w14:srgbClr w14:val="000000">
                      <w14:alpha w14:val="100000"/>
                    </w14:srgbClr>
                  </w14:solidFill>
                </w14:textFill>
              </w:rPr>
              <w:t>|||||</w:t>
            </w:r>
            <w:r w:rsidRPr="000E406E">
              <w:rPr>
                <w:rFonts w:ascii="Arial Narrow" w:hAnsi="Arial Narrow"/>
                <w:b/>
                <w:color w:val="000000"/>
                <w:spacing w:val="5"/>
                <w:sz w:val="20"/>
                <w:szCs w:val="20"/>
                <w:fitText w:val="530" w:id="-1402811903"/>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2245DF72" w14:textId="5CE36174" w:rsidR="00987C71" w:rsidRPr="00586BA1" w:rsidRDefault="00586BA1" w:rsidP="00144345">
            <w:pPr>
              <w:keepNext/>
              <w:jc w:val="center"/>
              <w:rPr>
                <w:rFonts w:ascii="Arial Narrow" w:hAnsi="Arial Narrow"/>
                <w:b/>
                <w:sz w:val="20"/>
                <w:szCs w:val="20"/>
              </w:rPr>
            </w:pPr>
            <w:r w:rsidRPr="00586BA1">
              <w:rPr>
                <w:rFonts w:ascii="Arial Narrow" w:hAnsi="Arial Narrow"/>
                <w:b/>
                <w:color w:val="000000"/>
                <w:spacing w:val="50"/>
                <w:sz w:val="20"/>
                <w:szCs w:val="20"/>
                <w:fitText w:val="530" w:id="-1402811392"/>
                <w14:textFill>
                  <w14:solidFill>
                    <w14:srgbClr w14:val="000000">
                      <w14:alpha w14:val="100000"/>
                    </w14:srgbClr>
                  </w14:solidFill>
                </w14:textFill>
              </w:rPr>
              <w:t>|||||</w:t>
            </w:r>
            <w:r w:rsidRPr="00586BA1">
              <w:rPr>
                <w:rFonts w:ascii="Arial Narrow" w:hAnsi="Arial Narrow"/>
                <w:b/>
                <w:color w:val="000000"/>
                <w:spacing w:val="5"/>
                <w:sz w:val="20"/>
                <w:szCs w:val="20"/>
                <w:fitText w:val="530" w:id="-1402811392"/>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6D99DC26" w14:textId="754CE91E" w:rsidR="00987C71" w:rsidRPr="00586BA1" w:rsidRDefault="00586BA1" w:rsidP="00144345">
            <w:pPr>
              <w:keepNext/>
              <w:jc w:val="center"/>
              <w:rPr>
                <w:rFonts w:ascii="Arial Narrow" w:hAnsi="Arial Narrow"/>
                <w:b/>
                <w:sz w:val="20"/>
                <w:szCs w:val="20"/>
              </w:rPr>
            </w:pPr>
            <w:r w:rsidRPr="00586BA1">
              <w:rPr>
                <w:rFonts w:ascii="Arial Narrow" w:hAnsi="Arial Narrow"/>
                <w:b/>
                <w:color w:val="000000"/>
                <w:spacing w:val="50"/>
                <w:sz w:val="20"/>
                <w:szCs w:val="20"/>
                <w:fitText w:val="530" w:id="-1402810880"/>
                <w14:textFill>
                  <w14:solidFill>
                    <w14:srgbClr w14:val="000000">
                      <w14:alpha w14:val="100000"/>
                    </w14:srgbClr>
                  </w14:solidFill>
                </w14:textFill>
              </w:rPr>
              <w:t>|||||</w:t>
            </w:r>
            <w:r w:rsidRPr="00586BA1">
              <w:rPr>
                <w:rFonts w:ascii="Arial Narrow" w:hAnsi="Arial Narrow"/>
                <w:b/>
                <w:color w:val="000000"/>
                <w:spacing w:val="5"/>
                <w:sz w:val="20"/>
                <w:szCs w:val="20"/>
                <w:fitText w:val="530" w:id="-1402810880"/>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429F7F70" w14:textId="557E3926" w:rsidR="00987C71" w:rsidRPr="00586BA1" w:rsidRDefault="00586BA1" w:rsidP="00144345">
            <w:pPr>
              <w:keepNext/>
              <w:jc w:val="center"/>
              <w:rPr>
                <w:rFonts w:ascii="Arial Narrow" w:hAnsi="Arial Narrow"/>
                <w:b/>
                <w:sz w:val="20"/>
                <w:szCs w:val="20"/>
              </w:rPr>
            </w:pPr>
            <w:r w:rsidRPr="00586BA1">
              <w:rPr>
                <w:rFonts w:ascii="Arial Narrow" w:hAnsi="Arial Narrow"/>
                <w:b/>
                <w:color w:val="000000"/>
                <w:spacing w:val="50"/>
                <w:sz w:val="20"/>
                <w:szCs w:val="20"/>
                <w:fitText w:val="530" w:id="-1402810622"/>
                <w14:textFill>
                  <w14:solidFill>
                    <w14:srgbClr w14:val="000000">
                      <w14:alpha w14:val="100000"/>
                    </w14:srgbClr>
                  </w14:solidFill>
                </w14:textFill>
              </w:rPr>
              <w:t>|||||</w:t>
            </w:r>
            <w:r w:rsidRPr="00586BA1">
              <w:rPr>
                <w:rFonts w:ascii="Arial Narrow" w:hAnsi="Arial Narrow"/>
                <w:b/>
                <w:color w:val="000000"/>
                <w:spacing w:val="5"/>
                <w:sz w:val="20"/>
                <w:szCs w:val="20"/>
                <w:fitText w:val="530" w:id="-1402810622"/>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7BE8B93C" w14:textId="2ECA6079" w:rsidR="00987C71" w:rsidRPr="00586BA1" w:rsidRDefault="00586BA1" w:rsidP="00144345">
            <w:pPr>
              <w:keepNext/>
              <w:jc w:val="center"/>
              <w:rPr>
                <w:rFonts w:ascii="Arial Narrow" w:hAnsi="Arial Narrow"/>
                <w:b/>
                <w:sz w:val="20"/>
                <w:szCs w:val="20"/>
              </w:rPr>
            </w:pPr>
            <w:r w:rsidRPr="00586BA1">
              <w:rPr>
                <w:rFonts w:ascii="Arial Narrow" w:hAnsi="Arial Narrow"/>
                <w:b/>
                <w:color w:val="000000"/>
                <w:spacing w:val="50"/>
                <w:sz w:val="20"/>
                <w:szCs w:val="20"/>
                <w:fitText w:val="530" w:id="-1402809599"/>
                <w14:textFill>
                  <w14:solidFill>
                    <w14:srgbClr w14:val="000000">
                      <w14:alpha w14:val="100000"/>
                    </w14:srgbClr>
                  </w14:solidFill>
                </w14:textFill>
              </w:rPr>
              <w:t>|||||</w:t>
            </w:r>
            <w:r w:rsidRPr="00586BA1">
              <w:rPr>
                <w:rFonts w:ascii="Arial Narrow" w:hAnsi="Arial Narrow"/>
                <w:b/>
                <w:color w:val="000000"/>
                <w:spacing w:val="5"/>
                <w:sz w:val="20"/>
                <w:szCs w:val="20"/>
                <w:fitText w:val="530" w:id="-1402809599"/>
                <w14:textFill>
                  <w14:solidFill>
                    <w14:srgbClr w14:val="000000">
                      <w14:alpha w14:val="100000"/>
                    </w14:srgbClr>
                  </w14:solidFill>
                </w14:textFill>
              </w:rPr>
              <w:t>|</w:t>
            </w:r>
          </w:p>
        </w:tc>
      </w:tr>
      <w:tr w:rsidR="00987C71" w14:paraId="21AE2FCB" w14:textId="77777777" w:rsidTr="00586BA1">
        <w:tc>
          <w:tcPr>
            <w:tcW w:w="1477" w:type="pct"/>
            <w:tcBorders>
              <w:top w:val="nil"/>
              <w:left w:val="single" w:sz="4" w:space="0" w:color="auto"/>
              <w:bottom w:val="single" w:sz="4" w:space="0" w:color="auto"/>
              <w:right w:val="single" w:sz="4" w:space="0" w:color="auto"/>
            </w:tcBorders>
            <w:hideMark/>
          </w:tcPr>
          <w:p w14:paraId="570978F3" w14:textId="77777777" w:rsidR="00987C71" w:rsidRDefault="00987C71" w:rsidP="00144345">
            <w:pPr>
              <w:keepNext/>
              <w:jc w:val="both"/>
              <w:rPr>
                <w:rFonts w:ascii="Arial Narrow" w:hAnsi="Arial Narrow"/>
                <w:sz w:val="20"/>
                <w:szCs w:val="20"/>
              </w:rPr>
            </w:pPr>
            <w:r>
              <w:rPr>
                <w:rFonts w:ascii="Arial Narrow" w:hAnsi="Arial Narrow"/>
                <w:sz w:val="20"/>
                <w:szCs w:val="20"/>
              </w:rPr>
              <w:t>Health budget net cost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2171EDBA" w14:textId="46F0A62F" w:rsidR="00987C71" w:rsidRPr="000E406E" w:rsidRDefault="000E406E" w:rsidP="00144345">
            <w:pPr>
              <w:keepNext/>
              <w:jc w:val="center"/>
              <w:rPr>
                <w:rFonts w:ascii="Arial Narrow" w:hAnsi="Arial Narrow"/>
                <w:b/>
                <w:sz w:val="20"/>
                <w:szCs w:val="20"/>
              </w:rPr>
            </w:pPr>
            <w:r w:rsidRPr="000E406E">
              <w:rPr>
                <w:rFonts w:ascii="Arial Narrow" w:hAnsi="Arial Narrow"/>
                <w:b/>
                <w:color w:val="000000"/>
                <w:spacing w:val="23"/>
                <w:sz w:val="20"/>
                <w:szCs w:val="20"/>
                <w:fitText w:val="670" w:id="-1402811902"/>
                <w14:textFill>
                  <w14:solidFill>
                    <w14:srgbClr w14:val="000000">
                      <w14:alpha w14:val="100000"/>
                    </w14:srgbClr>
                  </w14:solidFill>
                </w14:textFill>
              </w:rPr>
              <w:t>|||||||||</w:t>
            </w:r>
            <w:r w:rsidRPr="000E406E">
              <w:rPr>
                <w:rFonts w:ascii="Arial Narrow" w:hAnsi="Arial Narrow"/>
                <w:b/>
                <w:color w:val="000000"/>
                <w:spacing w:val="4"/>
                <w:sz w:val="20"/>
                <w:szCs w:val="20"/>
                <w:fitText w:val="670" w:id="-1402811902"/>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2AB9BE2E" w14:textId="7660D7BB" w:rsidR="00987C71" w:rsidRPr="00586BA1" w:rsidRDefault="00586BA1" w:rsidP="00144345">
            <w:pPr>
              <w:keepNext/>
              <w:jc w:val="center"/>
              <w:rPr>
                <w:rFonts w:ascii="Arial Narrow" w:hAnsi="Arial Narrow"/>
                <w:b/>
                <w:sz w:val="20"/>
                <w:szCs w:val="20"/>
              </w:rPr>
            </w:pPr>
            <w:r w:rsidRPr="00586BA1">
              <w:rPr>
                <w:rFonts w:ascii="Arial Narrow" w:hAnsi="Arial Narrow"/>
                <w:b/>
                <w:color w:val="000000"/>
                <w:spacing w:val="23"/>
                <w:sz w:val="20"/>
                <w:szCs w:val="20"/>
                <w:fitText w:val="670" w:id="-1402811391"/>
                <w14:textFill>
                  <w14:solidFill>
                    <w14:srgbClr w14:val="000000">
                      <w14:alpha w14:val="100000"/>
                    </w14:srgbClr>
                  </w14:solidFill>
                </w14:textFill>
              </w:rPr>
              <w:t>|||||||||</w:t>
            </w:r>
            <w:r w:rsidRPr="00586BA1">
              <w:rPr>
                <w:rFonts w:ascii="Arial Narrow" w:hAnsi="Arial Narrow"/>
                <w:b/>
                <w:color w:val="000000"/>
                <w:spacing w:val="4"/>
                <w:sz w:val="20"/>
                <w:szCs w:val="20"/>
                <w:fitText w:val="670" w:id="-1402811391"/>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32C1BABC" w14:textId="7EB3281A" w:rsidR="00987C71" w:rsidRPr="00586BA1" w:rsidRDefault="00586BA1" w:rsidP="00144345">
            <w:pPr>
              <w:keepNext/>
              <w:jc w:val="center"/>
              <w:rPr>
                <w:rFonts w:ascii="Arial Narrow" w:hAnsi="Arial Narrow"/>
                <w:b/>
                <w:sz w:val="20"/>
                <w:szCs w:val="20"/>
              </w:rPr>
            </w:pPr>
            <w:r w:rsidRPr="00586BA1">
              <w:rPr>
                <w:rFonts w:ascii="Arial Narrow" w:hAnsi="Arial Narrow"/>
                <w:b/>
                <w:color w:val="000000"/>
                <w:spacing w:val="23"/>
                <w:sz w:val="20"/>
                <w:szCs w:val="20"/>
                <w:fitText w:val="670" w:id="-1402810879"/>
                <w14:textFill>
                  <w14:solidFill>
                    <w14:srgbClr w14:val="000000">
                      <w14:alpha w14:val="100000"/>
                    </w14:srgbClr>
                  </w14:solidFill>
                </w14:textFill>
              </w:rPr>
              <w:t>|||||||||</w:t>
            </w:r>
            <w:r w:rsidRPr="00586BA1">
              <w:rPr>
                <w:rFonts w:ascii="Arial Narrow" w:hAnsi="Arial Narrow"/>
                <w:b/>
                <w:color w:val="000000"/>
                <w:spacing w:val="4"/>
                <w:sz w:val="20"/>
                <w:szCs w:val="20"/>
                <w:fitText w:val="670" w:id="-1402810879"/>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4D2597D6" w14:textId="3CA0CB06" w:rsidR="00987C71" w:rsidRPr="00586BA1" w:rsidRDefault="00586BA1" w:rsidP="00144345">
            <w:pPr>
              <w:keepNext/>
              <w:jc w:val="center"/>
              <w:rPr>
                <w:rFonts w:ascii="Arial Narrow" w:hAnsi="Arial Narrow"/>
                <w:b/>
                <w:sz w:val="20"/>
                <w:szCs w:val="20"/>
              </w:rPr>
            </w:pPr>
            <w:r w:rsidRPr="00586BA1">
              <w:rPr>
                <w:rFonts w:ascii="Arial Narrow" w:hAnsi="Arial Narrow"/>
                <w:b/>
                <w:color w:val="000000"/>
                <w:spacing w:val="23"/>
                <w:sz w:val="20"/>
                <w:szCs w:val="20"/>
                <w:fitText w:val="670" w:id="-1402810621"/>
                <w14:textFill>
                  <w14:solidFill>
                    <w14:srgbClr w14:val="000000">
                      <w14:alpha w14:val="100000"/>
                    </w14:srgbClr>
                  </w14:solidFill>
                </w14:textFill>
              </w:rPr>
              <w:t>|||||||||</w:t>
            </w:r>
            <w:r w:rsidRPr="00586BA1">
              <w:rPr>
                <w:rFonts w:ascii="Arial Narrow" w:hAnsi="Arial Narrow"/>
                <w:b/>
                <w:color w:val="000000"/>
                <w:spacing w:val="4"/>
                <w:sz w:val="20"/>
                <w:szCs w:val="20"/>
                <w:fitText w:val="670" w:id="-1402810621"/>
                <w14:textFill>
                  <w14:solidFill>
                    <w14:srgbClr w14:val="000000">
                      <w14:alpha w14:val="100000"/>
                    </w14:srgbClr>
                  </w14:solidFill>
                </w14:textFill>
              </w:rPr>
              <w:t>|</w:t>
            </w:r>
          </w:p>
        </w:tc>
        <w:tc>
          <w:tcPr>
            <w:tcW w:w="703" w:type="pct"/>
            <w:tcBorders>
              <w:top w:val="nil"/>
              <w:left w:val="single" w:sz="4" w:space="0" w:color="auto"/>
              <w:bottom w:val="single" w:sz="4" w:space="0" w:color="auto"/>
              <w:right w:val="single" w:sz="4" w:space="0" w:color="auto"/>
            </w:tcBorders>
            <w:shd w:val="solid" w:color="000000" w:fill="000000"/>
            <w:vAlign w:val="center"/>
            <w:hideMark/>
          </w:tcPr>
          <w:p w14:paraId="363EC8E8" w14:textId="3345BB85" w:rsidR="00987C71" w:rsidRPr="00586BA1" w:rsidRDefault="00586BA1" w:rsidP="00144345">
            <w:pPr>
              <w:keepNext/>
              <w:jc w:val="center"/>
              <w:rPr>
                <w:rFonts w:ascii="Arial Narrow" w:hAnsi="Arial Narrow"/>
                <w:b/>
                <w:sz w:val="20"/>
                <w:szCs w:val="20"/>
              </w:rPr>
            </w:pPr>
            <w:r w:rsidRPr="00586BA1">
              <w:rPr>
                <w:rFonts w:ascii="Arial Narrow" w:hAnsi="Arial Narrow"/>
                <w:b/>
                <w:color w:val="000000"/>
                <w:spacing w:val="23"/>
                <w:sz w:val="20"/>
                <w:szCs w:val="20"/>
                <w:fitText w:val="670" w:id="-1402809598"/>
                <w14:textFill>
                  <w14:solidFill>
                    <w14:srgbClr w14:val="000000">
                      <w14:alpha w14:val="100000"/>
                    </w14:srgbClr>
                  </w14:solidFill>
                </w14:textFill>
              </w:rPr>
              <w:t>|||||||||</w:t>
            </w:r>
            <w:r w:rsidRPr="00586BA1">
              <w:rPr>
                <w:rFonts w:ascii="Arial Narrow" w:hAnsi="Arial Narrow"/>
                <w:b/>
                <w:color w:val="000000"/>
                <w:spacing w:val="4"/>
                <w:sz w:val="20"/>
                <w:szCs w:val="20"/>
                <w:fitText w:val="670" w:id="-1402809598"/>
                <w14:textFill>
                  <w14:solidFill>
                    <w14:srgbClr w14:val="000000">
                      <w14:alpha w14:val="100000"/>
                    </w14:srgbClr>
                  </w14:solidFill>
                </w14:textFill>
              </w:rPr>
              <w:t>|</w:t>
            </w:r>
          </w:p>
        </w:tc>
      </w:tr>
      <w:tr w:rsidR="00987C71" w14:paraId="7F983ACB" w14:textId="77777777" w:rsidTr="00144345">
        <w:tc>
          <w:tcPr>
            <w:tcW w:w="5000" w:type="pct"/>
            <w:gridSpan w:val="6"/>
            <w:tcBorders>
              <w:top w:val="single" w:sz="4" w:space="0" w:color="auto"/>
              <w:left w:val="single" w:sz="4" w:space="0" w:color="auto"/>
              <w:bottom w:val="single" w:sz="4" w:space="0" w:color="auto"/>
              <w:right w:val="single" w:sz="4" w:space="0" w:color="auto"/>
            </w:tcBorders>
            <w:hideMark/>
          </w:tcPr>
          <w:p w14:paraId="326C4B79" w14:textId="77777777" w:rsidR="00987C71" w:rsidRPr="004F7F4F" w:rsidRDefault="00987C71" w:rsidP="00144345">
            <w:pPr>
              <w:keepNext/>
            </w:pPr>
            <w:r w:rsidRPr="006E1EDB">
              <w:rPr>
                <w:rFonts w:ascii="Arial Narrow" w:hAnsi="Arial Narrow"/>
                <w:b/>
                <w:bCs/>
                <w:sz w:val="20"/>
                <w:szCs w:val="20"/>
              </w:rPr>
              <w:t>Scenario 2 (NRT+NRT listed on th</w:t>
            </w:r>
            <w:r w:rsidRPr="004F7F4F">
              <w:rPr>
                <w:rFonts w:ascii="Arial Narrow" w:hAnsi="Arial Narrow"/>
                <w:b/>
                <w:bCs/>
                <w:sz w:val="20"/>
                <w:szCs w:val="20"/>
              </w:rPr>
              <w:t>e PBS)</w:t>
            </w:r>
          </w:p>
        </w:tc>
      </w:tr>
      <w:tr w:rsidR="00987C71" w14:paraId="6E5E79F3" w14:textId="77777777" w:rsidTr="005D57B1">
        <w:tc>
          <w:tcPr>
            <w:tcW w:w="1477" w:type="pct"/>
            <w:tcBorders>
              <w:top w:val="single" w:sz="4" w:space="0" w:color="auto"/>
              <w:left w:val="single" w:sz="4" w:space="0" w:color="auto"/>
              <w:bottom w:val="nil"/>
              <w:right w:val="single" w:sz="4" w:space="0" w:color="auto"/>
            </w:tcBorders>
            <w:hideMark/>
          </w:tcPr>
          <w:p w14:paraId="0E1475C9" w14:textId="77777777" w:rsidR="00987C71" w:rsidRDefault="00987C71" w:rsidP="00144345">
            <w:pPr>
              <w:keepNext/>
              <w:jc w:val="both"/>
              <w:rPr>
                <w:rFonts w:ascii="Arial Narrow" w:hAnsi="Arial Narrow"/>
                <w:b/>
                <w:bCs/>
                <w:sz w:val="20"/>
                <w:szCs w:val="20"/>
              </w:rPr>
            </w:pPr>
            <w:r>
              <w:rPr>
                <w:rFonts w:ascii="Arial Narrow" w:hAnsi="Arial Narrow"/>
                <w:b/>
                <w:bCs/>
                <w:sz w:val="20"/>
                <w:szCs w:val="20"/>
              </w:rPr>
              <w:t>PBS/RPBS net cost (less co-pay)</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41F75332" w14:textId="4EE6CDEB" w:rsidR="00987C71" w:rsidRPr="00586BA1" w:rsidRDefault="00586BA1" w:rsidP="00144345">
            <w:pPr>
              <w:keepNext/>
              <w:jc w:val="center"/>
              <w:rPr>
                <w:rFonts w:ascii="Arial Narrow" w:hAnsi="Arial Narrow"/>
                <w:b/>
                <w:sz w:val="20"/>
                <w:szCs w:val="20"/>
              </w:rPr>
            </w:pPr>
            <w:r w:rsidRPr="00586BA1">
              <w:rPr>
                <w:rFonts w:ascii="Arial Narrow" w:hAnsi="Arial Narrow"/>
                <w:b/>
                <w:color w:val="000000"/>
                <w:spacing w:val="23"/>
                <w:sz w:val="20"/>
                <w:szCs w:val="20"/>
                <w:fitText w:val="670" w:id="-1402809344"/>
                <w14:textFill>
                  <w14:solidFill>
                    <w14:srgbClr w14:val="000000">
                      <w14:alpha w14:val="100000"/>
                    </w14:srgbClr>
                  </w14:solidFill>
                </w14:textFill>
              </w:rPr>
              <w:t>|||||||||</w:t>
            </w:r>
            <w:r w:rsidRPr="00586BA1">
              <w:rPr>
                <w:rFonts w:ascii="Arial Narrow" w:hAnsi="Arial Narrow"/>
                <w:b/>
                <w:color w:val="000000"/>
                <w:spacing w:val="4"/>
                <w:sz w:val="20"/>
                <w:szCs w:val="20"/>
                <w:fitText w:val="670" w:id="-1402809344"/>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483F8153" w14:textId="256BD094" w:rsidR="00987C71" w:rsidRPr="005D57B1" w:rsidRDefault="005D57B1" w:rsidP="00144345">
            <w:pPr>
              <w:keepNext/>
              <w:jc w:val="center"/>
              <w:rPr>
                <w:rFonts w:ascii="Arial Narrow" w:hAnsi="Arial Narrow"/>
                <w:b/>
                <w:sz w:val="20"/>
                <w:szCs w:val="20"/>
              </w:rPr>
            </w:pPr>
            <w:r w:rsidRPr="005D57B1">
              <w:rPr>
                <w:rFonts w:ascii="Arial Narrow" w:hAnsi="Arial Narrow"/>
                <w:b/>
                <w:color w:val="000000"/>
                <w:spacing w:val="23"/>
                <w:sz w:val="20"/>
                <w:szCs w:val="20"/>
                <w:fitText w:val="670" w:id="-1402806270"/>
                <w14:textFill>
                  <w14:solidFill>
                    <w14:srgbClr w14:val="000000">
                      <w14:alpha w14:val="100000"/>
                    </w14:srgbClr>
                  </w14:solidFill>
                </w14:textFill>
              </w:rPr>
              <w:t>|||||||||</w:t>
            </w:r>
            <w:r w:rsidRPr="005D57B1">
              <w:rPr>
                <w:rFonts w:ascii="Arial Narrow" w:hAnsi="Arial Narrow"/>
                <w:b/>
                <w:color w:val="000000"/>
                <w:spacing w:val="4"/>
                <w:sz w:val="20"/>
                <w:szCs w:val="20"/>
                <w:fitText w:val="670" w:id="-1402806270"/>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47513707" w14:textId="382FC616" w:rsidR="00987C71" w:rsidRPr="005D57B1" w:rsidRDefault="005D57B1" w:rsidP="00144345">
            <w:pPr>
              <w:keepNext/>
              <w:jc w:val="center"/>
              <w:rPr>
                <w:rFonts w:ascii="Arial Narrow" w:hAnsi="Arial Narrow"/>
                <w:b/>
                <w:sz w:val="20"/>
                <w:szCs w:val="20"/>
              </w:rPr>
            </w:pPr>
            <w:r w:rsidRPr="005D57B1">
              <w:rPr>
                <w:rFonts w:ascii="Arial Narrow" w:hAnsi="Arial Narrow"/>
                <w:b/>
                <w:color w:val="000000"/>
                <w:spacing w:val="23"/>
                <w:sz w:val="20"/>
                <w:szCs w:val="20"/>
                <w:fitText w:val="670" w:id="-1402805760"/>
                <w14:textFill>
                  <w14:solidFill>
                    <w14:srgbClr w14:val="000000">
                      <w14:alpha w14:val="100000"/>
                    </w14:srgbClr>
                  </w14:solidFill>
                </w14:textFill>
              </w:rPr>
              <w:t>|||||||||</w:t>
            </w:r>
            <w:r w:rsidRPr="005D57B1">
              <w:rPr>
                <w:rFonts w:ascii="Arial Narrow" w:hAnsi="Arial Narrow"/>
                <w:b/>
                <w:color w:val="000000"/>
                <w:spacing w:val="4"/>
                <w:sz w:val="20"/>
                <w:szCs w:val="20"/>
                <w:fitText w:val="670" w:id="-1402805760"/>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11B8D446" w14:textId="0086140E" w:rsidR="00987C71" w:rsidRPr="005D57B1" w:rsidRDefault="005D57B1" w:rsidP="00144345">
            <w:pPr>
              <w:keepNext/>
              <w:jc w:val="center"/>
              <w:rPr>
                <w:rFonts w:ascii="Arial Narrow" w:hAnsi="Arial Narrow"/>
                <w:b/>
                <w:sz w:val="20"/>
                <w:szCs w:val="20"/>
              </w:rPr>
            </w:pPr>
            <w:r w:rsidRPr="005D57B1">
              <w:rPr>
                <w:rFonts w:ascii="Arial Narrow" w:hAnsi="Arial Narrow"/>
                <w:b/>
                <w:color w:val="000000"/>
                <w:spacing w:val="23"/>
                <w:sz w:val="20"/>
                <w:szCs w:val="20"/>
                <w:fitText w:val="670" w:id="-1402804991"/>
                <w14:textFill>
                  <w14:solidFill>
                    <w14:srgbClr w14:val="000000">
                      <w14:alpha w14:val="100000"/>
                    </w14:srgbClr>
                  </w14:solidFill>
                </w14:textFill>
              </w:rPr>
              <w:t>|||||||||</w:t>
            </w:r>
            <w:r w:rsidRPr="005D57B1">
              <w:rPr>
                <w:rFonts w:ascii="Arial Narrow" w:hAnsi="Arial Narrow"/>
                <w:b/>
                <w:color w:val="000000"/>
                <w:spacing w:val="4"/>
                <w:sz w:val="20"/>
                <w:szCs w:val="20"/>
                <w:fitText w:val="670" w:id="-1402804991"/>
                <w14:textFill>
                  <w14:solidFill>
                    <w14:srgbClr w14:val="000000">
                      <w14:alpha w14:val="100000"/>
                    </w14:srgbClr>
                  </w14:solidFill>
                </w14:textFill>
              </w:rPr>
              <w:t>|</w:t>
            </w:r>
          </w:p>
        </w:tc>
        <w:tc>
          <w:tcPr>
            <w:tcW w:w="703" w:type="pct"/>
            <w:tcBorders>
              <w:top w:val="single" w:sz="4" w:space="0" w:color="auto"/>
              <w:left w:val="single" w:sz="4" w:space="0" w:color="auto"/>
              <w:bottom w:val="nil"/>
              <w:right w:val="single" w:sz="4" w:space="0" w:color="auto"/>
            </w:tcBorders>
            <w:shd w:val="clear" w:color="auto" w:fill="000000" w:themeFill="text1"/>
            <w:vAlign w:val="center"/>
            <w:hideMark/>
          </w:tcPr>
          <w:p w14:paraId="7AB434E7" w14:textId="7D546467" w:rsidR="00987C71" w:rsidRPr="005D57B1" w:rsidRDefault="005D57B1" w:rsidP="005D57B1">
            <w:pPr>
              <w:keepNext/>
              <w:jc w:val="center"/>
              <w:rPr>
                <w:rFonts w:ascii="Arial Narrow" w:hAnsi="Arial Narrow"/>
                <w:b/>
                <w:sz w:val="20"/>
                <w:szCs w:val="20"/>
              </w:rPr>
            </w:pPr>
            <w:r w:rsidRPr="005D57B1">
              <w:rPr>
                <w:rFonts w:ascii="Arial Narrow" w:hAnsi="Arial Narrow"/>
                <w:b/>
                <w:color w:val="000000"/>
                <w:spacing w:val="23"/>
                <w:sz w:val="20"/>
                <w:szCs w:val="20"/>
                <w:shd w:val="solid" w:color="000000" w:fill="000000"/>
                <w:fitText w:val="670" w:id="-1402804734"/>
                <w14:textFill>
                  <w14:solidFill>
                    <w14:srgbClr w14:val="000000">
                      <w14:alpha w14:val="100000"/>
                    </w14:srgbClr>
                  </w14:solidFill>
                </w14:textFill>
              </w:rPr>
              <w:t>|||||||||</w:t>
            </w:r>
            <w:r w:rsidRPr="005D57B1">
              <w:rPr>
                <w:rFonts w:ascii="Arial Narrow" w:hAnsi="Arial Narrow"/>
                <w:b/>
                <w:color w:val="000000"/>
                <w:spacing w:val="4"/>
                <w:sz w:val="20"/>
                <w:szCs w:val="20"/>
                <w:shd w:val="solid" w:color="000000" w:fill="000000"/>
                <w:fitText w:val="670" w:id="-1402804734"/>
                <w14:textFill>
                  <w14:solidFill>
                    <w14:srgbClr w14:val="000000">
                      <w14:alpha w14:val="100000"/>
                    </w14:srgbClr>
                  </w14:solidFill>
                </w14:textFill>
              </w:rPr>
              <w:t>|</w:t>
            </w:r>
          </w:p>
        </w:tc>
      </w:tr>
      <w:tr w:rsidR="00987C71" w14:paraId="04516273" w14:textId="77777777" w:rsidTr="005D57B1">
        <w:tc>
          <w:tcPr>
            <w:tcW w:w="1477" w:type="pct"/>
            <w:tcBorders>
              <w:top w:val="nil"/>
              <w:left w:val="single" w:sz="4" w:space="0" w:color="auto"/>
              <w:bottom w:val="nil"/>
              <w:right w:val="single" w:sz="4" w:space="0" w:color="auto"/>
            </w:tcBorders>
            <w:hideMark/>
          </w:tcPr>
          <w:p w14:paraId="39795F2E" w14:textId="77777777" w:rsidR="00987C71" w:rsidRDefault="00987C71" w:rsidP="00144345">
            <w:pPr>
              <w:keepNext/>
              <w:ind w:left="112"/>
              <w:jc w:val="both"/>
              <w:rPr>
                <w:rFonts w:ascii="Arial Narrow" w:hAnsi="Arial Narrow"/>
                <w:sz w:val="20"/>
                <w:szCs w:val="20"/>
              </w:rPr>
            </w:pPr>
            <w:r>
              <w:rPr>
                <w:rFonts w:ascii="Arial Narrow" w:hAnsi="Arial Narrow"/>
                <w:sz w:val="20"/>
                <w:szCs w:val="20"/>
              </w:rPr>
              <w:t>VAR</w:t>
            </w:r>
          </w:p>
        </w:tc>
        <w:tc>
          <w:tcPr>
            <w:tcW w:w="705" w:type="pct"/>
            <w:tcBorders>
              <w:top w:val="nil"/>
              <w:left w:val="single" w:sz="4" w:space="0" w:color="auto"/>
              <w:bottom w:val="nil"/>
              <w:right w:val="single" w:sz="4" w:space="0" w:color="auto"/>
            </w:tcBorders>
            <w:shd w:val="solid" w:color="000000" w:fill="000000"/>
            <w:vAlign w:val="center"/>
            <w:hideMark/>
          </w:tcPr>
          <w:p w14:paraId="004543F4" w14:textId="7BF1B41B" w:rsidR="00987C71" w:rsidRPr="00586BA1" w:rsidRDefault="00586BA1" w:rsidP="00144345">
            <w:pPr>
              <w:keepNext/>
              <w:jc w:val="center"/>
              <w:rPr>
                <w:rFonts w:ascii="Arial Narrow" w:hAnsi="Arial Narrow"/>
                <w:sz w:val="20"/>
                <w:szCs w:val="20"/>
              </w:rPr>
            </w:pPr>
            <w:r w:rsidRPr="00586BA1">
              <w:rPr>
                <w:rFonts w:ascii="Arial Narrow" w:hAnsi="Arial Narrow"/>
                <w:color w:val="000000"/>
                <w:spacing w:val="26"/>
                <w:sz w:val="20"/>
                <w:szCs w:val="20"/>
                <w:fitText w:val="660" w:id="-1402809343"/>
                <w14:textFill>
                  <w14:solidFill>
                    <w14:srgbClr w14:val="000000">
                      <w14:alpha w14:val="100000"/>
                    </w14:srgbClr>
                  </w14:solidFill>
                </w14:textFill>
              </w:rPr>
              <w:t>|||||||||</w:t>
            </w:r>
            <w:r w:rsidRPr="00586BA1">
              <w:rPr>
                <w:rFonts w:ascii="Arial Narrow" w:hAnsi="Arial Narrow"/>
                <w:color w:val="000000"/>
                <w:spacing w:val="1"/>
                <w:sz w:val="20"/>
                <w:szCs w:val="20"/>
                <w:fitText w:val="660" w:id="-1402809343"/>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7C4C8BC1" w14:textId="35DEDBD5" w:rsidR="00987C71" w:rsidRPr="005D57B1" w:rsidRDefault="005D57B1" w:rsidP="00144345">
            <w:pPr>
              <w:keepNext/>
              <w:jc w:val="center"/>
              <w:rPr>
                <w:rFonts w:ascii="Arial Narrow" w:hAnsi="Arial Narrow"/>
                <w:sz w:val="20"/>
                <w:szCs w:val="20"/>
              </w:rPr>
            </w:pPr>
            <w:r w:rsidRPr="005D57B1">
              <w:rPr>
                <w:rFonts w:ascii="Arial Narrow" w:hAnsi="Arial Narrow"/>
                <w:color w:val="000000"/>
                <w:spacing w:val="26"/>
                <w:sz w:val="20"/>
                <w:szCs w:val="20"/>
                <w:fitText w:val="660" w:id="-1402806016"/>
                <w14:textFill>
                  <w14:solidFill>
                    <w14:srgbClr w14:val="000000">
                      <w14:alpha w14:val="100000"/>
                    </w14:srgbClr>
                  </w14:solidFill>
                </w14:textFill>
              </w:rPr>
              <w:t>|||||||||</w:t>
            </w:r>
            <w:r w:rsidRPr="005D57B1">
              <w:rPr>
                <w:rFonts w:ascii="Arial Narrow" w:hAnsi="Arial Narrow"/>
                <w:color w:val="000000"/>
                <w:spacing w:val="1"/>
                <w:sz w:val="20"/>
                <w:szCs w:val="20"/>
                <w:fitText w:val="660" w:id="-1402806016"/>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1F9A5A16" w14:textId="4368CB50" w:rsidR="00987C71" w:rsidRPr="005D57B1" w:rsidRDefault="005D57B1" w:rsidP="00144345">
            <w:pPr>
              <w:keepNext/>
              <w:jc w:val="center"/>
              <w:rPr>
                <w:rFonts w:ascii="Arial Narrow" w:hAnsi="Arial Narrow"/>
                <w:sz w:val="20"/>
                <w:szCs w:val="20"/>
              </w:rPr>
            </w:pPr>
            <w:r w:rsidRPr="005D57B1">
              <w:rPr>
                <w:rFonts w:ascii="Arial Narrow" w:hAnsi="Arial Narrow"/>
                <w:color w:val="000000"/>
                <w:spacing w:val="26"/>
                <w:sz w:val="20"/>
                <w:szCs w:val="20"/>
                <w:fitText w:val="660" w:id="-1402805759"/>
                <w14:textFill>
                  <w14:solidFill>
                    <w14:srgbClr w14:val="000000">
                      <w14:alpha w14:val="100000"/>
                    </w14:srgbClr>
                  </w14:solidFill>
                </w14:textFill>
              </w:rPr>
              <w:t>|||||||||</w:t>
            </w:r>
            <w:r w:rsidRPr="005D57B1">
              <w:rPr>
                <w:rFonts w:ascii="Arial Narrow" w:hAnsi="Arial Narrow"/>
                <w:color w:val="000000"/>
                <w:spacing w:val="1"/>
                <w:sz w:val="20"/>
                <w:szCs w:val="20"/>
                <w:fitText w:val="660" w:id="-1402805759"/>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7F7EC04D" w14:textId="1B246EAB" w:rsidR="00987C71" w:rsidRPr="005D57B1" w:rsidRDefault="005D57B1" w:rsidP="00144345">
            <w:pPr>
              <w:keepNext/>
              <w:jc w:val="center"/>
              <w:rPr>
                <w:rFonts w:ascii="Arial Narrow" w:hAnsi="Arial Narrow"/>
                <w:sz w:val="20"/>
                <w:szCs w:val="20"/>
              </w:rPr>
            </w:pPr>
            <w:r w:rsidRPr="005D57B1">
              <w:rPr>
                <w:rFonts w:ascii="Arial Narrow" w:hAnsi="Arial Narrow"/>
                <w:color w:val="000000"/>
                <w:spacing w:val="26"/>
                <w:sz w:val="20"/>
                <w:szCs w:val="20"/>
                <w:fitText w:val="660" w:id="-1402804990"/>
                <w14:textFill>
                  <w14:solidFill>
                    <w14:srgbClr w14:val="000000">
                      <w14:alpha w14:val="100000"/>
                    </w14:srgbClr>
                  </w14:solidFill>
                </w14:textFill>
              </w:rPr>
              <w:t>|||||||||</w:t>
            </w:r>
            <w:r w:rsidRPr="005D57B1">
              <w:rPr>
                <w:rFonts w:ascii="Arial Narrow" w:hAnsi="Arial Narrow"/>
                <w:color w:val="000000"/>
                <w:spacing w:val="1"/>
                <w:sz w:val="20"/>
                <w:szCs w:val="20"/>
                <w:fitText w:val="660" w:id="-1402804990"/>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3CA440A9" w14:textId="63CE1830" w:rsidR="00987C71" w:rsidRPr="005D57B1" w:rsidRDefault="005D57B1" w:rsidP="00144345">
            <w:pPr>
              <w:keepNext/>
              <w:jc w:val="center"/>
              <w:rPr>
                <w:rFonts w:ascii="Arial Narrow" w:hAnsi="Arial Narrow"/>
                <w:sz w:val="20"/>
                <w:szCs w:val="20"/>
              </w:rPr>
            </w:pPr>
            <w:r w:rsidRPr="005D57B1">
              <w:rPr>
                <w:rFonts w:ascii="Arial Narrow" w:hAnsi="Arial Narrow"/>
                <w:color w:val="000000"/>
                <w:spacing w:val="44"/>
                <w:sz w:val="20"/>
                <w:szCs w:val="20"/>
                <w:fitText w:val="650" w:id="-1402804733"/>
                <w14:textFill>
                  <w14:solidFill>
                    <w14:srgbClr w14:val="000000">
                      <w14:alpha w14:val="100000"/>
                    </w14:srgbClr>
                  </w14:solidFill>
                </w14:textFill>
              </w:rPr>
              <w:t>|||||||</w:t>
            </w:r>
            <w:r w:rsidRPr="005D57B1">
              <w:rPr>
                <w:rFonts w:ascii="Arial Narrow" w:hAnsi="Arial Narrow"/>
                <w:color w:val="000000"/>
                <w:spacing w:val="2"/>
                <w:sz w:val="20"/>
                <w:szCs w:val="20"/>
                <w:fitText w:val="650" w:id="-1402804733"/>
                <w14:textFill>
                  <w14:solidFill>
                    <w14:srgbClr w14:val="000000">
                      <w14:alpha w14:val="100000"/>
                    </w14:srgbClr>
                  </w14:solidFill>
                </w14:textFill>
              </w:rPr>
              <w:t>|</w:t>
            </w:r>
          </w:p>
        </w:tc>
      </w:tr>
      <w:tr w:rsidR="00987C71" w14:paraId="56826266" w14:textId="77777777" w:rsidTr="005D57B1">
        <w:tc>
          <w:tcPr>
            <w:tcW w:w="1477" w:type="pct"/>
            <w:tcBorders>
              <w:top w:val="nil"/>
              <w:left w:val="single" w:sz="4" w:space="0" w:color="auto"/>
              <w:bottom w:val="nil"/>
              <w:right w:val="single" w:sz="4" w:space="0" w:color="auto"/>
            </w:tcBorders>
            <w:hideMark/>
          </w:tcPr>
          <w:p w14:paraId="413A7B18" w14:textId="77777777" w:rsidR="00987C71" w:rsidRDefault="00987C71" w:rsidP="00144345">
            <w:pPr>
              <w:keepNext/>
              <w:ind w:left="112"/>
              <w:jc w:val="both"/>
              <w:rPr>
                <w:rFonts w:ascii="Arial Narrow" w:hAnsi="Arial Narrow"/>
                <w:sz w:val="20"/>
                <w:szCs w:val="20"/>
              </w:rPr>
            </w:pPr>
            <w:r>
              <w:rPr>
                <w:rFonts w:ascii="Arial Narrow" w:hAnsi="Arial Narrow"/>
                <w:sz w:val="20"/>
                <w:szCs w:val="20"/>
              </w:rPr>
              <w:t>NRT</w:t>
            </w:r>
          </w:p>
        </w:tc>
        <w:tc>
          <w:tcPr>
            <w:tcW w:w="705" w:type="pct"/>
            <w:tcBorders>
              <w:top w:val="nil"/>
              <w:left w:val="single" w:sz="4" w:space="0" w:color="auto"/>
              <w:bottom w:val="nil"/>
              <w:right w:val="single" w:sz="4" w:space="0" w:color="auto"/>
            </w:tcBorders>
            <w:shd w:val="solid" w:color="000000" w:fill="000000"/>
            <w:vAlign w:val="center"/>
            <w:hideMark/>
          </w:tcPr>
          <w:p w14:paraId="7B910CB9" w14:textId="3A4DFD66" w:rsidR="00987C71" w:rsidRPr="00586BA1" w:rsidRDefault="00586BA1" w:rsidP="00144345">
            <w:pPr>
              <w:keepNext/>
              <w:jc w:val="center"/>
              <w:rPr>
                <w:rFonts w:ascii="Arial Narrow" w:hAnsi="Arial Narrow"/>
                <w:sz w:val="20"/>
                <w:szCs w:val="20"/>
              </w:rPr>
            </w:pPr>
            <w:r w:rsidRPr="00586BA1">
              <w:rPr>
                <w:rFonts w:ascii="Arial Narrow" w:hAnsi="Arial Narrow"/>
                <w:color w:val="000000"/>
                <w:spacing w:val="27"/>
                <w:sz w:val="20"/>
                <w:szCs w:val="20"/>
                <w:fitText w:val="670" w:id="-1402809342"/>
                <w14:textFill>
                  <w14:solidFill>
                    <w14:srgbClr w14:val="000000">
                      <w14:alpha w14:val="100000"/>
                    </w14:srgbClr>
                  </w14:solidFill>
                </w14:textFill>
              </w:rPr>
              <w:t>|||||||||</w:t>
            </w:r>
            <w:r w:rsidRPr="00586BA1">
              <w:rPr>
                <w:rFonts w:ascii="Arial Narrow" w:hAnsi="Arial Narrow"/>
                <w:color w:val="000000"/>
                <w:spacing w:val="2"/>
                <w:sz w:val="20"/>
                <w:szCs w:val="20"/>
                <w:fitText w:val="670" w:id="-1402809342"/>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06A22094" w14:textId="0149102B" w:rsidR="00987C71" w:rsidRPr="005D57B1" w:rsidRDefault="005D57B1" w:rsidP="00144345">
            <w:pPr>
              <w:keepNext/>
              <w:jc w:val="center"/>
              <w:rPr>
                <w:rFonts w:ascii="Arial Narrow" w:hAnsi="Arial Narrow"/>
                <w:sz w:val="20"/>
                <w:szCs w:val="20"/>
              </w:rPr>
            </w:pPr>
            <w:r w:rsidRPr="005D57B1">
              <w:rPr>
                <w:rFonts w:ascii="Arial Narrow" w:hAnsi="Arial Narrow"/>
                <w:color w:val="000000"/>
                <w:spacing w:val="27"/>
                <w:sz w:val="20"/>
                <w:szCs w:val="20"/>
                <w:fitText w:val="670" w:id="-1402806015"/>
                <w14:textFill>
                  <w14:solidFill>
                    <w14:srgbClr w14:val="000000">
                      <w14:alpha w14:val="100000"/>
                    </w14:srgbClr>
                  </w14:solidFill>
                </w14:textFill>
              </w:rPr>
              <w:t>|||||||||</w:t>
            </w:r>
            <w:r w:rsidRPr="005D57B1">
              <w:rPr>
                <w:rFonts w:ascii="Arial Narrow" w:hAnsi="Arial Narrow"/>
                <w:color w:val="000000"/>
                <w:spacing w:val="2"/>
                <w:sz w:val="20"/>
                <w:szCs w:val="20"/>
                <w:fitText w:val="670" w:id="-1402806015"/>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14C87B8D" w14:textId="30A2D3A7" w:rsidR="00987C71" w:rsidRPr="005D57B1" w:rsidRDefault="005D57B1" w:rsidP="00144345">
            <w:pPr>
              <w:keepNext/>
              <w:jc w:val="center"/>
              <w:rPr>
                <w:rFonts w:ascii="Arial Narrow" w:hAnsi="Arial Narrow"/>
                <w:sz w:val="20"/>
                <w:szCs w:val="20"/>
              </w:rPr>
            </w:pPr>
            <w:r w:rsidRPr="005D57B1">
              <w:rPr>
                <w:rFonts w:ascii="Arial Narrow" w:hAnsi="Arial Narrow"/>
                <w:color w:val="000000"/>
                <w:spacing w:val="27"/>
                <w:sz w:val="20"/>
                <w:szCs w:val="20"/>
                <w:fitText w:val="670" w:id="-1402805758"/>
                <w14:textFill>
                  <w14:solidFill>
                    <w14:srgbClr w14:val="000000">
                      <w14:alpha w14:val="100000"/>
                    </w14:srgbClr>
                  </w14:solidFill>
                </w14:textFill>
              </w:rPr>
              <w:t>|||||||||</w:t>
            </w:r>
            <w:r w:rsidRPr="005D57B1">
              <w:rPr>
                <w:rFonts w:ascii="Arial Narrow" w:hAnsi="Arial Narrow"/>
                <w:color w:val="000000"/>
                <w:spacing w:val="2"/>
                <w:sz w:val="20"/>
                <w:szCs w:val="20"/>
                <w:fitText w:val="670" w:id="-1402805758"/>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6A388306" w14:textId="15BF6AE0" w:rsidR="00987C71" w:rsidRPr="005D57B1" w:rsidRDefault="005D57B1" w:rsidP="00144345">
            <w:pPr>
              <w:keepNext/>
              <w:jc w:val="center"/>
              <w:rPr>
                <w:rFonts w:ascii="Arial Narrow" w:hAnsi="Arial Narrow"/>
                <w:sz w:val="20"/>
                <w:szCs w:val="20"/>
              </w:rPr>
            </w:pPr>
            <w:r w:rsidRPr="005D57B1">
              <w:rPr>
                <w:rFonts w:ascii="Arial Narrow" w:hAnsi="Arial Narrow"/>
                <w:color w:val="000000"/>
                <w:spacing w:val="27"/>
                <w:sz w:val="20"/>
                <w:szCs w:val="20"/>
                <w:fitText w:val="670" w:id="-1402804989"/>
                <w14:textFill>
                  <w14:solidFill>
                    <w14:srgbClr w14:val="000000">
                      <w14:alpha w14:val="100000"/>
                    </w14:srgbClr>
                  </w14:solidFill>
                </w14:textFill>
              </w:rPr>
              <w:t>|||||||||</w:t>
            </w:r>
            <w:r w:rsidRPr="005D57B1">
              <w:rPr>
                <w:rFonts w:ascii="Arial Narrow" w:hAnsi="Arial Narrow"/>
                <w:color w:val="000000"/>
                <w:spacing w:val="2"/>
                <w:sz w:val="20"/>
                <w:szCs w:val="20"/>
                <w:fitText w:val="670" w:id="-1402804989"/>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clear" w:color="auto" w:fill="000000" w:themeFill="text1"/>
            <w:vAlign w:val="center"/>
            <w:hideMark/>
          </w:tcPr>
          <w:p w14:paraId="15075CDE" w14:textId="7BC872B4" w:rsidR="00987C71" w:rsidRPr="005D57B1" w:rsidRDefault="005D57B1" w:rsidP="00144345">
            <w:pPr>
              <w:keepNext/>
              <w:jc w:val="center"/>
              <w:rPr>
                <w:rFonts w:ascii="Arial Narrow" w:hAnsi="Arial Narrow"/>
                <w:sz w:val="20"/>
                <w:szCs w:val="20"/>
              </w:rPr>
            </w:pPr>
            <w:r w:rsidRPr="005D57B1">
              <w:rPr>
                <w:rFonts w:ascii="Arial Narrow" w:hAnsi="Arial Narrow"/>
                <w:color w:val="000000"/>
                <w:spacing w:val="27"/>
                <w:sz w:val="20"/>
                <w:szCs w:val="20"/>
                <w:fitText w:val="670" w:id="-1402804732"/>
                <w14:textFill>
                  <w14:solidFill>
                    <w14:srgbClr w14:val="000000">
                      <w14:alpha w14:val="100000"/>
                    </w14:srgbClr>
                  </w14:solidFill>
                </w14:textFill>
              </w:rPr>
              <w:t>|||||||||</w:t>
            </w:r>
            <w:r w:rsidRPr="005D57B1">
              <w:rPr>
                <w:rFonts w:ascii="Arial Narrow" w:hAnsi="Arial Narrow"/>
                <w:color w:val="000000"/>
                <w:spacing w:val="2"/>
                <w:sz w:val="20"/>
                <w:szCs w:val="20"/>
                <w:fitText w:val="670" w:id="-1402804732"/>
                <w14:textFill>
                  <w14:solidFill>
                    <w14:srgbClr w14:val="000000">
                      <w14:alpha w14:val="100000"/>
                    </w14:srgbClr>
                  </w14:solidFill>
                </w14:textFill>
              </w:rPr>
              <w:t>|</w:t>
            </w:r>
          </w:p>
        </w:tc>
      </w:tr>
      <w:tr w:rsidR="00987C71" w14:paraId="246C0B01" w14:textId="77777777" w:rsidTr="005D57B1">
        <w:tc>
          <w:tcPr>
            <w:tcW w:w="1477" w:type="pct"/>
            <w:tcBorders>
              <w:top w:val="nil"/>
              <w:left w:val="single" w:sz="4" w:space="0" w:color="auto"/>
              <w:bottom w:val="nil"/>
              <w:right w:val="single" w:sz="4" w:space="0" w:color="auto"/>
            </w:tcBorders>
            <w:hideMark/>
          </w:tcPr>
          <w:p w14:paraId="6305D445" w14:textId="77777777" w:rsidR="00987C71" w:rsidRDefault="00987C71" w:rsidP="00144345">
            <w:pPr>
              <w:keepNext/>
              <w:ind w:left="112"/>
              <w:jc w:val="both"/>
              <w:rPr>
                <w:rFonts w:ascii="Arial Narrow" w:hAnsi="Arial Narrow"/>
                <w:sz w:val="20"/>
                <w:szCs w:val="20"/>
              </w:rPr>
            </w:pPr>
            <w:r>
              <w:rPr>
                <w:rFonts w:ascii="Arial Narrow" w:hAnsi="Arial Narrow"/>
                <w:sz w:val="20"/>
                <w:szCs w:val="20"/>
              </w:rPr>
              <w:t>BUP</w:t>
            </w:r>
          </w:p>
        </w:tc>
        <w:tc>
          <w:tcPr>
            <w:tcW w:w="705" w:type="pct"/>
            <w:tcBorders>
              <w:top w:val="nil"/>
              <w:left w:val="single" w:sz="4" w:space="0" w:color="auto"/>
              <w:bottom w:val="nil"/>
              <w:right w:val="single" w:sz="4" w:space="0" w:color="auto"/>
            </w:tcBorders>
            <w:shd w:val="solid" w:color="000000" w:fill="000000"/>
            <w:vAlign w:val="center"/>
            <w:hideMark/>
          </w:tcPr>
          <w:p w14:paraId="71AD4683" w14:textId="702C8FBB" w:rsidR="00987C71" w:rsidRPr="00586BA1" w:rsidRDefault="00586BA1" w:rsidP="00144345">
            <w:pPr>
              <w:keepNext/>
              <w:jc w:val="center"/>
              <w:rPr>
                <w:rFonts w:ascii="Arial Narrow" w:hAnsi="Arial Narrow"/>
                <w:sz w:val="20"/>
                <w:szCs w:val="20"/>
              </w:rPr>
            </w:pPr>
            <w:r w:rsidRPr="00586BA1">
              <w:rPr>
                <w:rFonts w:ascii="Arial Narrow" w:hAnsi="Arial Narrow" w:hint="eastAsia"/>
                <w:color w:val="000000"/>
                <w:w w:val="15"/>
                <w:sz w:val="20"/>
                <w:szCs w:val="20"/>
                <w:fitText w:val="60" w:id="-1402809341"/>
                <w14:textFill>
                  <w14:solidFill>
                    <w14:srgbClr w14:val="000000">
                      <w14:alpha w14:val="100000"/>
                    </w14:srgbClr>
                  </w14:solidFill>
                </w14:textFill>
              </w:rPr>
              <w:t xml:space="preserve">　</w:t>
            </w:r>
            <w:r w:rsidRPr="00586BA1">
              <w:rPr>
                <w:rFonts w:ascii="Arial Narrow" w:hAnsi="Arial Narrow"/>
                <w:color w:val="000000"/>
                <w:w w:val="15"/>
                <w:sz w:val="20"/>
                <w:szCs w:val="20"/>
                <w:fitText w:val="60" w:id="-1402809341"/>
                <w14:textFill>
                  <w14:solidFill>
                    <w14:srgbClr w14:val="000000">
                      <w14:alpha w14:val="100000"/>
                    </w14:srgbClr>
                  </w14:solidFill>
                </w14:textFill>
              </w:rPr>
              <w:t>|</w:t>
            </w:r>
            <w:r w:rsidRPr="00586BA1">
              <w:rPr>
                <w:rFonts w:ascii="Arial Narrow" w:hAnsi="Arial Narrow" w:hint="eastAsia"/>
                <w:color w:val="000000"/>
                <w:w w:val="15"/>
                <w:sz w:val="20"/>
                <w:szCs w:val="20"/>
                <w:fitText w:val="60" w:id="-1402809341"/>
                <w14:textFill>
                  <w14:solidFill>
                    <w14:srgbClr w14:val="000000">
                      <w14:alpha w14:val="100000"/>
                    </w14:srgbClr>
                  </w14:solidFill>
                </w14:textFill>
              </w:rPr>
              <w:t xml:space="preserve">　</w:t>
            </w:r>
          </w:p>
        </w:tc>
        <w:tc>
          <w:tcPr>
            <w:tcW w:w="705" w:type="pct"/>
            <w:tcBorders>
              <w:top w:val="nil"/>
              <w:left w:val="single" w:sz="4" w:space="0" w:color="auto"/>
              <w:bottom w:val="nil"/>
              <w:right w:val="single" w:sz="4" w:space="0" w:color="auto"/>
            </w:tcBorders>
            <w:shd w:val="solid" w:color="000000" w:fill="000000"/>
            <w:vAlign w:val="center"/>
            <w:hideMark/>
          </w:tcPr>
          <w:p w14:paraId="1F76FB90" w14:textId="46F05D55" w:rsidR="00987C71" w:rsidRPr="005D57B1" w:rsidRDefault="005D57B1" w:rsidP="00144345">
            <w:pPr>
              <w:keepNext/>
              <w:jc w:val="center"/>
              <w:rPr>
                <w:rFonts w:ascii="Arial Narrow" w:hAnsi="Arial Narrow"/>
                <w:sz w:val="20"/>
                <w:szCs w:val="20"/>
              </w:rPr>
            </w:pPr>
            <w:r w:rsidRPr="005D57B1">
              <w:rPr>
                <w:rFonts w:ascii="Arial Narrow" w:hAnsi="Arial Narrow"/>
                <w:color w:val="000000"/>
                <w:spacing w:val="46"/>
                <w:sz w:val="20"/>
                <w:szCs w:val="20"/>
                <w:fitText w:val="310" w:id="-1402806014"/>
                <w14:textFill>
                  <w14:solidFill>
                    <w14:srgbClr w14:val="000000">
                      <w14:alpha w14:val="100000"/>
                    </w14:srgbClr>
                  </w14:solidFill>
                </w14:textFill>
              </w:rPr>
              <w:t>|||</w:t>
            </w:r>
            <w:r w:rsidRPr="005D57B1">
              <w:rPr>
                <w:rFonts w:ascii="Arial Narrow" w:hAnsi="Arial Narrow"/>
                <w:color w:val="000000"/>
                <w:spacing w:val="2"/>
                <w:sz w:val="20"/>
                <w:szCs w:val="20"/>
                <w:fitText w:val="310" w:id="-1402806014"/>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329D9369" w14:textId="0DDECF45" w:rsidR="00987C71" w:rsidRPr="005D57B1" w:rsidRDefault="005D57B1" w:rsidP="00144345">
            <w:pPr>
              <w:keepNext/>
              <w:jc w:val="center"/>
              <w:rPr>
                <w:rFonts w:ascii="Arial Narrow" w:hAnsi="Arial Narrow"/>
                <w:sz w:val="20"/>
                <w:szCs w:val="20"/>
              </w:rPr>
            </w:pPr>
            <w:r w:rsidRPr="005D57B1">
              <w:rPr>
                <w:rFonts w:ascii="Arial Narrow" w:hAnsi="Arial Narrow"/>
                <w:color w:val="000000"/>
                <w:spacing w:val="46"/>
                <w:sz w:val="20"/>
                <w:szCs w:val="20"/>
                <w:fitText w:val="310" w:id="-1402805248"/>
                <w14:textFill>
                  <w14:solidFill>
                    <w14:srgbClr w14:val="000000">
                      <w14:alpha w14:val="100000"/>
                    </w14:srgbClr>
                  </w14:solidFill>
                </w14:textFill>
              </w:rPr>
              <w:t>|||</w:t>
            </w:r>
            <w:r w:rsidRPr="005D57B1">
              <w:rPr>
                <w:rFonts w:ascii="Arial Narrow" w:hAnsi="Arial Narrow"/>
                <w:color w:val="000000"/>
                <w:spacing w:val="2"/>
                <w:sz w:val="20"/>
                <w:szCs w:val="20"/>
                <w:fitText w:val="310" w:id="-1402805248"/>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622D03A7" w14:textId="46EA4D66" w:rsidR="00987C71" w:rsidRPr="005D57B1" w:rsidRDefault="005D57B1" w:rsidP="00144345">
            <w:pPr>
              <w:keepNext/>
              <w:jc w:val="center"/>
              <w:rPr>
                <w:rFonts w:ascii="Arial Narrow" w:hAnsi="Arial Narrow"/>
                <w:sz w:val="20"/>
                <w:szCs w:val="20"/>
              </w:rPr>
            </w:pPr>
            <w:r w:rsidRPr="005D57B1">
              <w:rPr>
                <w:rFonts w:ascii="Arial Narrow" w:hAnsi="Arial Narrow"/>
                <w:color w:val="000000"/>
                <w:spacing w:val="46"/>
                <w:sz w:val="20"/>
                <w:szCs w:val="20"/>
                <w:fitText w:val="310" w:id="-1402804988"/>
                <w14:textFill>
                  <w14:solidFill>
                    <w14:srgbClr w14:val="000000">
                      <w14:alpha w14:val="100000"/>
                    </w14:srgbClr>
                  </w14:solidFill>
                </w14:textFill>
              </w:rPr>
              <w:t>|||</w:t>
            </w:r>
            <w:r w:rsidRPr="005D57B1">
              <w:rPr>
                <w:rFonts w:ascii="Arial Narrow" w:hAnsi="Arial Narrow"/>
                <w:color w:val="000000"/>
                <w:spacing w:val="2"/>
                <w:sz w:val="20"/>
                <w:szCs w:val="20"/>
                <w:fitText w:val="310" w:id="-1402804988"/>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clear" w:color="auto" w:fill="000000" w:themeFill="text1"/>
            <w:vAlign w:val="center"/>
            <w:hideMark/>
          </w:tcPr>
          <w:p w14:paraId="73F1F5B5" w14:textId="48BE4BEB" w:rsidR="00987C71" w:rsidRPr="005D57B1" w:rsidRDefault="005D57B1" w:rsidP="005D57B1">
            <w:pPr>
              <w:keepNext/>
              <w:jc w:val="center"/>
              <w:rPr>
                <w:rFonts w:ascii="Arial Narrow" w:hAnsi="Arial Narrow"/>
                <w:sz w:val="20"/>
                <w:szCs w:val="20"/>
              </w:rPr>
            </w:pPr>
            <w:r w:rsidRPr="005D57B1">
              <w:rPr>
                <w:rFonts w:ascii="Arial Narrow" w:hAnsi="Arial Narrow"/>
                <w:color w:val="000000"/>
                <w:spacing w:val="46"/>
                <w:sz w:val="20"/>
                <w:szCs w:val="20"/>
                <w:shd w:val="solid" w:color="000000" w:fill="000000"/>
                <w:fitText w:val="310" w:id="-1402804480"/>
                <w14:textFill>
                  <w14:solidFill>
                    <w14:srgbClr w14:val="000000">
                      <w14:alpha w14:val="100000"/>
                    </w14:srgbClr>
                  </w14:solidFill>
                </w14:textFill>
              </w:rPr>
              <w:t>|||</w:t>
            </w:r>
            <w:r w:rsidRPr="005D57B1">
              <w:rPr>
                <w:rFonts w:ascii="Arial Narrow" w:hAnsi="Arial Narrow"/>
                <w:color w:val="000000"/>
                <w:spacing w:val="2"/>
                <w:sz w:val="20"/>
                <w:szCs w:val="20"/>
                <w:shd w:val="solid" w:color="000000" w:fill="000000"/>
                <w:fitText w:val="310" w:id="-1402804480"/>
                <w14:textFill>
                  <w14:solidFill>
                    <w14:srgbClr w14:val="000000">
                      <w14:alpha w14:val="100000"/>
                    </w14:srgbClr>
                  </w14:solidFill>
                </w14:textFill>
              </w:rPr>
              <w:t>|</w:t>
            </w:r>
          </w:p>
        </w:tc>
      </w:tr>
      <w:tr w:rsidR="00987C71" w14:paraId="7CFF628B" w14:textId="77777777" w:rsidTr="005D57B1">
        <w:tc>
          <w:tcPr>
            <w:tcW w:w="1477" w:type="pct"/>
            <w:tcBorders>
              <w:top w:val="nil"/>
              <w:left w:val="single" w:sz="4" w:space="0" w:color="auto"/>
              <w:bottom w:val="nil"/>
              <w:right w:val="single" w:sz="4" w:space="0" w:color="auto"/>
            </w:tcBorders>
            <w:hideMark/>
          </w:tcPr>
          <w:p w14:paraId="5FEEEEB7" w14:textId="77777777" w:rsidR="00987C71" w:rsidRDefault="00987C71" w:rsidP="00144345">
            <w:pPr>
              <w:keepNext/>
              <w:jc w:val="both"/>
              <w:rPr>
                <w:rFonts w:ascii="Arial Narrow" w:hAnsi="Arial Narrow"/>
                <w:b/>
                <w:bCs/>
                <w:sz w:val="20"/>
                <w:szCs w:val="20"/>
              </w:rPr>
            </w:pPr>
            <w:r>
              <w:rPr>
                <w:rFonts w:ascii="Arial Narrow" w:hAnsi="Arial Narrow"/>
                <w:b/>
                <w:bCs/>
                <w:sz w:val="20"/>
                <w:szCs w:val="20"/>
              </w:rPr>
              <w:t>MBS net cost</w:t>
            </w:r>
          </w:p>
        </w:tc>
        <w:tc>
          <w:tcPr>
            <w:tcW w:w="705" w:type="pct"/>
            <w:tcBorders>
              <w:top w:val="nil"/>
              <w:left w:val="single" w:sz="4" w:space="0" w:color="auto"/>
              <w:bottom w:val="nil"/>
              <w:right w:val="single" w:sz="4" w:space="0" w:color="auto"/>
            </w:tcBorders>
            <w:shd w:val="solid" w:color="000000" w:fill="000000"/>
            <w:vAlign w:val="center"/>
            <w:hideMark/>
          </w:tcPr>
          <w:p w14:paraId="6C48DC03" w14:textId="330BC874" w:rsidR="00987C71" w:rsidRPr="005D57B1" w:rsidRDefault="005D57B1" w:rsidP="00144345">
            <w:pPr>
              <w:keepNext/>
              <w:jc w:val="center"/>
              <w:rPr>
                <w:rFonts w:ascii="Arial Narrow" w:hAnsi="Arial Narrow"/>
                <w:b/>
                <w:sz w:val="20"/>
                <w:szCs w:val="20"/>
              </w:rPr>
            </w:pPr>
            <w:r w:rsidRPr="005D57B1">
              <w:rPr>
                <w:rFonts w:ascii="Arial Narrow" w:hAnsi="Arial Narrow"/>
                <w:b/>
                <w:color w:val="000000"/>
                <w:spacing w:val="50"/>
                <w:sz w:val="20"/>
                <w:szCs w:val="20"/>
                <w:fitText w:val="530" w:id="-1402806272"/>
                <w14:textFill>
                  <w14:solidFill>
                    <w14:srgbClr w14:val="000000">
                      <w14:alpha w14:val="100000"/>
                    </w14:srgbClr>
                  </w14:solidFill>
                </w14:textFill>
              </w:rPr>
              <w:t>|||||</w:t>
            </w:r>
            <w:r w:rsidRPr="005D57B1">
              <w:rPr>
                <w:rFonts w:ascii="Arial Narrow" w:hAnsi="Arial Narrow"/>
                <w:b/>
                <w:color w:val="000000"/>
                <w:spacing w:val="5"/>
                <w:sz w:val="20"/>
                <w:szCs w:val="20"/>
                <w:fitText w:val="530" w:id="-1402806272"/>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422D50C2" w14:textId="344AE717" w:rsidR="00987C71" w:rsidRPr="005D57B1" w:rsidRDefault="005D57B1" w:rsidP="00144345">
            <w:pPr>
              <w:keepNext/>
              <w:jc w:val="center"/>
              <w:rPr>
                <w:rFonts w:ascii="Arial Narrow" w:hAnsi="Arial Narrow"/>
                <w:b/>
                <w:sz w:val="20"/>
                <w:szCs w:val="20"/>
              </w:rPr>
            </w:pPr>
            <w:r w:rsidRPr="005D57B1">
              <w:rPr>
                <w:rFonts w:ascii="Arial Narrow" w:hAnsi="Arial Narrow"/>
                <w:b/>
                <w:color w:val="000000"/>
                <w:spacing w:val="50"/>
                <w:sz w:val="20"/>
                <w:szCs w:val="20"/>
                <w:fitText w:val="530" w:id="-1402806013"/>
                <w14:textFill>
                  <w14:solidFill>
                    <w14:srgbClr w14:val="000000">
                      <w14:alpha w14:val="100000"/>
                    </w14:srgbClr>
                  </w14:solidFill>
                </w14:textFill>
              </w:rPr>
              <w:t>|||||</w:t>
            </w:r>
            <w:r w:rsidRPr="005D57B1">
              <w:rPr>
                <w:rFonts w:ascii="Arial Narrow" w:hAnsi="Arial Narrow"/>
                <w:b/>
                <w:color w:val="000000"/>
                <w:spacing w:val="5"/>
                <w:sz w:val="20"/>
                <w:szCs w:val="20"/>
                <w:fitText w:val="530" w:id="-1402806013"/>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5F7FEB15" w14:textId="3BEE995B" w:rsidR="00987C71" w:rsidRPr="005D57B1" w:rsidRDefault="005D57B1" w:rsidP="00144345">
            <w:pPr>
              <w:keepNext/>
              <w:jc w:val="center"/>
              <w:rPr>
                <w:rFonts w:ascii="Arial Narrow" w:hAnsi="Arial Narrow"/>
                <w:b/>
                <w:sz w:val="20"/>
                <w:szCs w:val="20"/>
              </w:rPr>
            </w:pPr>
            <w:r w:rsidRPr="005D57B1">
              <w:rPr>
                <w:rFonts w:ascii="Arial Narrow" w:hAnsi="Arial Narrow"/>
                <w:b/>
                <w:color w:val="000000"/>
                <w:spacing w:val="50"/>
                <w:sz w:val="20"/>
                <w:szCs w:val="20"/>
                <w:fitText w:val="530" w:id="-1402805247"/>
                <w14:textFill>
                  <w14:solidFill>
                    <w14:srgbClr w14:val="000000">
                      <w14:alpha w14:val="100000"/>
                    </w14:srgbClr>
                  </w14:solidFill>
                </w14:textFill>
              </w:rPr>
              <w:t>|||||</w:t>
            </w:r>
            <w:r w:rsidRPr="005D57B1">
              <w:rPr>
                <w:rFonts w:ascii="Arial Narrow" w:hAnsi="Arial Narrow"/>
                <w:b/>
                <w:color w:val="000000"/>
                <w:spacing w:val="5"/>
                <w:sz w:val="20"/>
                <w:szCs w:val="20"/>
                <w:fitText w:val="530" w:id="-1402805247"/>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496A5ED8" w14:textId="0C520B43" w:rsidR="00987C71" w:rsidRPr="005D57B1" w:rsidRDefault="005D57B1" w:rsidP="00144345">
            <w:pPr>
              <w:keepNext/>
              <w:jc w:val="center"/>
              <w:rPr>
                <w:rFonts w:ascii="Arial Narrow" w:hAnsi="Arial Narrow"/>
                <w:b/>
                <w:sz w:val="20"/>
                <w:szCs w:val="20"/>
              </w:rPr>
            </w:pPr>
            <w:r w:rsidRPr="005D57B1">
              <w:rPr>
                <w:rFonts w:ascii="Arial Narrow" w:hAnsi="Arial Narrow"/>
                <w:b/>
                <w:color w:val="000000"/>
                <w:spacing w:val="45"/>
                <w:sz w:val="20"/>
                <w:szCs w:val="20"/>
                <w:fitText w:val="320" w:id="-1402804736"/>
                <w14:textFill>
                  <w14:solidFill>
                    <w14:srgbClr w14:val="000000">
                      <w14:alpha w14:val="100000"/>
                    </w14:srgbClr>
                  </w14:solidFill>
                </w14:textFill>
              </w:rPr>
              <w:t>|||</w:t>
            </w:r>
            <w:r w:rsidRPr="005D57B1">
              <w:rPr>
                <w:rFonts w:ascii="Arial Narrow" w:hAnsi="Arial Narrow"/>
                <w:b/>
                <w:color w:val="000000"/>
                <w:spacing w:val="2"/>
                <w:sz w:val="20"/>
                <w:szCs w:val="20"/>
                <w:fitText w:val="320" w:id="-1402804736"/>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10C5529F" w14:textId="1ED6AE1D" w:rsidR="00987C71" w:rsidRPr="005D57B1" w:rsidRDefault="005D57B1" w:rsidP="00144345">
            <w:pPr>
              <w:keepNext/>
              <w:jc w:val="center"/>
              <w:rPr>
                <w:rFonts w:ascii="Arial Narrow" w:hAnsi="Arial Narrow"/>
                <w:b/>
                <w:sz w:val="20"/>
                <w:szCs w:val="20"/>
              </w:rPr>
            </w:pPr>
            <w:r w:rsidRPr="005D57B1">
              <w:rPr>
                <w:rFonts w:ascii="Arial Narrow" w:hAnsi="Arial Narrow"/>
                <w:b/>
                <w:color w:val="000000"/>
                <w:spacing w:val="48"/>
                <w:sz w:val="20"/>
                <w:szCs w:val="20"/>
                <w:fitText w:val="330" w:id="-1402804479"/>
                <w14:textFill>
                  <w14:solidFill>
                    <w14:srgbClr w14:val="000000">
                      <w14:alpha w14:val="100000"/>
                    </w14:srgbClr>
                  </w14:solidFill>
                </w14:textFill>
              </w:rPr>
              <w:t>|||</w:t>
            </w:r>
            <w:r w:rsidRPr="005D57B1">
              <w:rPr>
                <w:rFonts w:ascii="Arial Narrow" w:hAnsi="Arial Narrow"/>
                <w:b/>
                <w:color w:val="000000"/>
                <w:spacing w:val="3"/>
                <w:sz w:val="20"/>
                <w:szCs w:val="20"/>
                <w:fitText w:val="330" w:id="-1402804479"/>
                <w14:textFill>
                  <w14:solidFill>
                    <w14:srgbClr w14:val="000000">
                      <w14:alpha w14:val="100000"/>
                    </w14:srgbClr>
                  </w14:solidFill>
                </w14:textFill>
              </w:rPr>
              <w:t>|</w:t>
            </w:r>
          </w:p>
        </w:tc>
      </w:tr>
      <w:tr w:rsidR="00987C71" w14:paraId="529FCDEC" w14:textId="77777777" w:rsidTr="005D57B1">
        <w:tc>
          <w:tcPr>
            <w:tcW w:w="1477" w:type="pct"/>
            <w:tcBorders>
              <w:top w:val="nil"/>
              <w:left w:val="single" w:sz="4" w:space="0" w:color="auto"/>
              <w:bottom w:val="single" w:sz="4" w:space="0" w:color="auto"/>
              <w:right w:val="single" w:sz="4" w:space="0" w:color="auto"/>
            </w:tcBorders>
            <w:hideMark/>
          </w:tcPr>
          <w:p w14:paraId="6C7464F5" w14:textId="77777777" w:rsidR="00987C71" w:rsidRDefault="00987C71" w:rsidP="00144345">
            <w:pPr>
              <w:keepNext/>
              <w:jc w:val="both"/>
              <w:rPr>
                <w:rFonts w:ascii="Arial Narrow" w:hAnsi="Arial Narrow"/>
                <w:b/>
                <w:bCs/>
                <w:sz w:val="20"/>
                <w:szCs w:val="20"/>
              </w:rPr>
            </w:pPr>
            <w:r>
              <w:rPr>
                <w:rFonts w:ascii="Arial Narrow" w:hAnsi="Arial Narrow"/>
                <w:b/>
                <w:bCs/>
                <w:sz w:val="20"/>
                <w:szCs w:val="20"/>
              </w:rPr>
              <w:t>Health budget net cost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4851EB96" w14:textId="3F93FD52" w:rsidR="00987C71" w:rsidRPr="005D57B1" w:rsidRDefault="005D57B1" w:rsidP="00144345">
            <w:pPr>
              <w:keepNext/>
              <w:jc w:val="center"/>
              <w:rPr>
                <w:rFonts w:ascii="Arial Narrow" w:hAnsi="Arial Narrow"/>
                <w:b/>
                <w:sz w:val="20"/>
                <w:szCs w:val="20"/>
              </w:rPr>
            </w:pPr>
            <w:r w:rsidRPr="005D57B1">
              <w:rPr>
                <w:rFonts w:ascii="Arial Narrow" w:hAnsi="Arial Narrow"/>
                <w:b/>
                <w:color w:val="000000"/>
                <w:spacing w:val="23"/>
                <w:sz w:val="20"/>
                <w:szCs w:val="20"/>
                <w:fitText w:val="670" w:id="-1402806271"/>
                <w14:textFill>
                  <w14:solidFill>
                    <w14:srgbClr w14:val="000000">
                      <w14:alpha w14:val="100000"/>
                    </w14:srgbClr>
                  </w14:solidFill>
                </w14:textFill>
              </w:rPr>
              <w:t>|||||||||</w:t>
            </w:r>
            <w:r w:rsidRPr="005D57B1">
              <w:rPr>
                <w:rFonts w:ascii="Arial Narrow" w:hAnsi="Arial Narrow"/>
                <w:b/>
                <w:color w:val="000000"/>
                <w:spacing w:val="4"/>
                <w:sz w:val="20"/>
                <w:szCs w:val="20"/>
                <w:fitText w:val="670" w:id="-1402806271"/>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09C7B894" w14:textId="00AADD95" w:rsidR="00987C71" w:rsidRPr="005D57B1" w:rsidRDefault="005D57B1" w:rsidP="00144345">
            <w:pPr>
              <w:keepNext/>
              <w:jc w:val="center"/>
              <w:rPr>
                <w:rFonts w:ascii="Arial Narrow" w:hAnsi="Arial Narrow"/>
                <w:b/>
                <w:sz w:val="20"/>
                <w:szCs w:val="20"/>
              </w:rPr>
            </w:pPr>
            <w:r w:rsidRPr="005D57B1">
              <w:rPr>
                <w:rFonts w:ascii="Arial Narrow" w:hAnsi="Arial Narrow"/>
                <w:b/>
                <w:color w:val="000000"/>
                <w:spacing w:val="23"/>
                <w:sz w:val="20"/>
                <w:szCs w:val="20"/>
                <w:fitText w:val="670" w:id="-1402806012"/>
                <w14:textFill>
                  <w14:solidFill>
                    <w14:srgbClr w14:val="000000">
                      <w14:alpha w14:val="100000"/>
                    </w14:srgbClr>
                  </w14:solidFill>
                </w14:textFill>
              </w:rPr>
              <w:t>|||||||||</w:t>
            </w:r>
            <w:r w:rsidRPr="005D57B1">
              <w:rPr>
                <w:rFonts w:ascii="Arial Narrow" w:hAnsi="Arial Narrow"/>
                <w:b/>
                <w:color w:val="000000"/>
                <w:spacing w:val="4"/>
                <w:sz w:val="20"/>
                <w:szCs w:val="20"/>
                <w:fitText w:val="670" w:id="-1402806012"/>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4E00CC7F" w14:textId="3741C5DA" w:rsidR="00987C71" w:rsidRPr="005D57B1" w:rsidRDefault="005D57B1" w:rsidP="00144345">
            <w:pPr>
              <w:keepNext/>
              <w:jc w:val="center"/>
              <w:rPr>
                <w:rFonts w:ascii="Arial Narrow" w:hAnsi="Arial Narrow"/>
                <w:b/>
                <w:sz w:val="20"/>
                <w:szCs w:val="20"/>
              </w:rPr>
            </w:pPr>
            <w:r w:rsidRPr="005D57B1">
              <w:rPr>
                <w:rFonts w:ascii="Arial Narrow" w:hAnsi="Arial Narrow"/>
                <w:b/>
                <w:color w:val="000000"/>
                <w:spacing w:val="23"/>
                <w:sz w:val="20"/>
                <w:szCs w:val="20"/>
                <w:fitText w:val="670" w:id="-1402804992"/>
                <w14:textFill>
                  <w14:solidFill>
                    <w14:srgbClr w14:val="000000">
                      <w14:alpha w14:val="100000"/>
                    </w14:srgbClr>
                  </w14:solidFill>
                </w14:textFill>
              </w:rPr>
              <w:t>|||||||||</w:t>
            </w:r>
            <w:r w:rsidRPr="005D57B1">
              <w:rPr>
                <w:rFonts w:ascii="Arial Narrow" w:hAnsi="Arial Narrow"/>
                <w:b/>
                <w:color w:val="000000"/>
                <w:spacing w:val="4"/>
                <w:sz w:val="20"/>
                <w:szCs w:val="20"/>
                <w:fitText w:val="670" w:id="-1402804992"/>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0FB20FF6" w14:textId="734114FC" w:rsidR="00987C71" w:rsidRPr="005D57B1" w:rsidRDefault="005D57B1" w:rsidP="00144345">
            <w:pPr>
              <w:keepNext/>
              <w:jc w:val="center"/>
              <w:rPr>
                <w:rFonts w:ascii="Arial Narrow" w:hAnsi="Arial Narrow"/>
                <w:b/>
                <w:sz w:val="20"/>
                <w:szCs w:val="20"/>
              </w:rPr>
            </w:pPr>
            <w:r w:rsidRPr="005D57B1">
              <w:rPr>
                <w:rFonts w:ascii="Arial Narrow" w:hAnsi="Arial Narrow"/>
                <w:b/>
                <w:color w:val="000000"/>
                <w:spacing w:val="23"/>
                <w:sz w:val="20"/>
                <w:szCs w:val="20"/>
                <w:fitText w:val="670" w:id="-1402804735"/>
                <w14:textFill>
                  <w14:solidFill>
                    <w14:srgbClr w14:val="000000">
                      <w14:alpha w14:val="100000"/>
                    </w14:srgbClr>
                  </w14:solidFill>
                </w14:textFill>
              </w:rPr>
              <w:t>|||||||||</w:t>
            </w:r>
            <w:r w:rsidRPr="005D57B1">
              <w:rPr>
                <w:rFonts w:ascii="Arial Narrow" w:hAnsi="Arial Narrow"/>
                <w:b/>
                <w:color w:val="000000"/>
                <w:spacing w:val="4"/>
                <w:sz w:val="20"/>
                <w:szCs w:val="20"/>
                <w:fitText w:val="670" w:id="-1402804735"/>
                <w14:textFill>
                  <w14:solidFill>
                    <w14:srgbClr w14:val="000000">
                      <w14:alpha w14:val="100000"/>
                    </w14:srgbClr>
                  </w14:solidFill>
                </w14:textFill>
              </w:rPr>
              <w:t>|</w:t>
            </w:r>
          </w:p>
        </w:tc>
        <w:tc>
          <w:tcPr>
            <w:tcW w:w="703" w:type="pct"/>
            <w:tcBorders>
              <w:top w:val="nil"/>
              <w:left w:val="single" w:sz="4" w:space="0" w:color="auto"/>
              <w:bottom w:val="single" w:sz="4" w:space="0" w:color="auto"/>
              <w:right w:val="single" w:sz="4" w:space="0" w:color="auto"/>
            </w:tcBorders>
            <w:shd w:val="solid" w:color="000000" w:fill="000000"/>
            <w:vAlign w:val="center"/>
            <w:hideMark/>
          </w:tcPr>
          <w:p w14:paraId="3D1B1274" w14:textId="4465BD25" w:rsidR="00987C71" w:rsidRPr="005D57B1" w:rsidRDefault="005D57B1" w:rsidP="00144345">
            <w:pPr>
              <w:keepNext/>
              <w:jc w:val="center"/>
              <w:rPr>
                <w:rFonts w:ascii="Arial Narrow" w:hAnsi="Arial Narrow"/>
                <w:b/>
                <w:sz w:val="20"/>
                <w:szCs w:val="20"/>
              </w:rPr>
            </w:pPr>
            <w:r w:rsidRPr="005D57B1">
              <w:rPr>
                <w:rFonts w:ascii="Arial Narrow" w:hAnsi="Arial Narrow"/>
                <w:b/>
                <w:color w:val="000000"/>
                <w:spacing w:val="23"/>
                <w:sz w:val="20"/>
                <w:szCs w:val="20"/>
                <w:fitText w:val="670" w:id="-1402804224"/>
                <w14:textFill>
                  <w14:solidFill>
                    <w14:srgbClr w14:val="000000">
                      <w14:alpha w14:val="100000"/>
                    </w14:srgbClr>
                  </w14:solidFill>
                </w14:textFill>
              </w:rPr>
              <w:t>|||||||||</w:t>
            </w:r>
            <w:r w:rsidRPr="005D57B1">
              <w:rPr>
                <w:rFonts w:ascii="Arial Narrow" w:hAnsi="Arial Narrow"/>
                <w:b/>
                <w:color w:val="000000"/>
                <w:spacing w:val="4"/>
                <w:sz w:val="20"/>
                <w:szCs w:val="20"/>
                <w:fitText w:val="670" w:id="-1402804224"/>
                <w14:textFill>
                  <w14:solidFill>
                    <w14:srgbClr w14:val="000000">
                      <w14:alpha w14:val="100000"/>
                    </w14:srgbClr>
                  </w14:solidFill>
                </w14:textFill>
              </w:rPr>
              <w:t>|</w:t>
            </w:r>
          </w:p>
        </w:tc>
      </w:tr>
      <w:tr w:rsidR="00987C71" w14:paraId="70DE265B" w14:textId="77777777" w:rsidTr="00144345">
        <w:tc>
          <w:tcPr>
            <w:tcW w:w="5000" w:type="pct"/>
            <w:gridSpan w:val="6"/>
            <w:tcBorders>
              <w:top w:val="single" w:sz="4" w:space="0" w:color="auto"/>
              <w:left w:val="single" w:sz="4" w:space="0" w:color="auto"/>
              <w:bottom w:val="single" w:sz="4" w:space="0" w:color="auto"/>
              <w:right w:val="single" w:sz="4" w:space="0" w:color="auto"/>
            </w:tcBorders>
            <w:hideMark/>
          </w:tcPr>
          <w:p w14:paraId="57ABB225" w14:textId="77777777" w:rsidR="00987C71" w:rsidRPr="004F7F4F" w:rsidRDefault="00987C71" w:rsidP="00144345">
            <w:pPr>
              <w:keepNext/>
            </w:pPr>
            <w:r w:rsidRPr="006E1EDB">
              <w:rPr>
                <w:rFonts w:ascii="Arial Narrow" w:hAnsi="Arial Narrow"/>
                <w:b/>
                <w:bCs/>
                <w:sz w:val="20"/>
                <w:szCs w:val="20"/>
              </w:rPr>
              <w:t>Scenario 3 (both VAR+NRT and NRT+NRT listed on the PBS)</w:t>
            </w:r>
          </w:p>
        </w:tc>
      </w:tr>
      <w:tr w:rsidR="00987C71" w14:paraId="1CCDA255" w14:textId="77777777" w:rsidTr="00C65B88">
        <w:tc>
          <w:tcPr>
            <w:tcW w:w="1477" w:type="pct"/>
            <w:tcBorders>
              <w:top w:val="single" w:sz="4" w:space="0" w:color="auto"/>
              <w:left w:val="single" w:sz="4" w:space="0" w:color="auto"/>
              <w:bottom w:val="nil"/>
              <w:right w:val="single" w:sz="4" w:space="0" w:color="auto"/>
            </w:tcBorders>
            <w:hideMark/>
          </w:tcPr>
          <w:p w14:paraId="15726700" w14:textId="77777777" w:rsidR="00987C71" w:rsidRDefault="00987C71" w:rsidP="00144345">
            <w:pPr>
              <w:keepNext/>
              <w:jc w:val="both"/>
              <w:rPr>
                <w:rFonts w:ascii="Arial Narrow" w:hAnsi="Arial Narrow"/>
                <w:b/>
                <w:bCs/>
                <w:sz w:val="20"/>
                <w:szCs w:val="20"/>
              </w:rPr>
            </w:pPr>
            <w:r>
              <w:rPr>
                <w:rFonts w:ascii="Arial Narrow" w:hAnsi="Arial Narrow"/>
                <w:b/>
                <w:bCs/>
                <w:sz w:val="20"/>
                <w:szCs w:val="20"/>
              </w:rPr>
              <w:t>PBS/RPBS net cost (less co-pay)</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60E61AE1" w14:textId="1228AA93" w:rsidR="00987C71" w:rsidRPr="005D57B1" w:rsidRDefault="005D57B1" w:rsidP="00144345">
            <w:pPr>
              <w:keepNext/>
              <w:jc w:val="center"/>
              <w:rPr>
                <w:rFonts w:ascii="Arial Narrow" w:hAnsi="Arial Narrow"/>
                <w:b/>
                <w:sz w:val="20"/>
                <w:szCs w:val="20"/>
              </w:rPr>
            </w:pPr>
            <w:r w:rsidRPr="005D57B1">
              <w:rPr>
                <w:rFonts w:ascii="Arial Narrow" w:hAnsi="Arial Narrow"/>
                <w:b/>
                <w:color w:val="000000"/>
                <w:spacing w:val="23"/>
                <w:sz w:val="20"/>
                <w:szCs w:val="20"/>
                <w:fitText w:val="670" w:id="-1402804223"/>
                <w14:textFill>
                  <w14:solidFill>
                    <w14:srgbClr w14:val="000000">
                      <w14:alpha w14:val="100000"/>
                    </w14:srgbClr>
                  </w14:solidFill>
                </w14:textFill>
              </w:rPr>
              <w:t>|||||||||</w:t>
            </w:r>
            <w:r w:rsidRPr="005D57B1">
              <w:rPr>
                <w:rFonts w:ascii="Arial Narrow" w:hAnsi="Arial Narrow"/>
                <w:b/>
                <w:color w:val="000000"/>
                <w:spacing w:val="4"/>
                <w:sz w:val="20"/>
                <w:szCs w:val="20"/>
                <w:fitText w:val="670" w:id="-1402804223"/>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76A20632" w14:textId="34004667" w:rsidR="00987C71" w:rsidRPr="00C65B88" w:rsidRDefault="00C65B88" w:rsidP="00144345">
            <w:pPr>
              <w:keepNext/>
              <w:jc w:val="center"/>
              <w:rPr>
                <w:rFonts w:ascii="Arial Narrow" w:hAnsi="Arial Narrow"/>
                <w:b/>
                <w:sz w:val="20"/>
                <w:szCs w:val="20"/>
              </w:rPr>
            </w:pPr>
            <w:r w:rsidRPr="00C65B88">
              <w:rPr>
                <w:rFonts w:ascii="Arial Narrow" w:hAnsi="Arial Narrow"/>
                <w:b/>
                <w:color w:val="000000"/>
                <w:spacing w:val="23"/>
                <w:sz w:val="20"/>
                <w:szCs w:val="20"/>
                <w:fitText w:val="670" w:id="-1402803200"/>
                <w14:textFill>
                  <w14:solidFill>
                    <w14:srgbClr w14:val="000000">
                      <w14:alpha w14:val="100000"/>
                    </w14:srgbClr>
                  </w14:solidFill>
                </w14:textFill>
              </w:rPr>
              <w:t>|||||||||</w:t>
            </w:r>
            <w:r w:rsidRPr="00C65B88">
              <w:rPr>
                <w:rFonts w:ascii="Arial Narrow" w:hAnsi="Arial Narrow"/>
                <w:b/>
                <w:color w:val="000000"/>
                <w:spacing w:val="4"/>
                <w:sz w:val="20"/>
                <w:szCs w:val="20"/>
                <w:fitText w:val="670" w:id="-1402803200"/>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40D4B1E9" w14:textId="249FEAA9" w:rsidR="00987C71" w:rsidRPr="00C65B88" w:rsidRDefault="00C65B88" w:rsidP="00144345">
            <w:pPr>
              <w:keepNext/>
              <w:jc w:val="center"/>
              <w:rPr>
                <w:rFonts w:ascii="Arial Narrow" w:hAnsi="Arial Narrow"/>
                <w:b/>
                <w:sz w:val="20"/>
                <w:szCs w:val="20"/>
              </w:rPr>
            </w:pPr>
            <w:r w:rsidRPr="00C65B88">
              <w:rPr>
                <w:rFonts w:ascii="Arial Narrow" w:hAnsi="Arial Narrow"/>
                <w:b/>
                <w:color w:val="000000"/>
                <w:spacing w:val="23"/>
                <w:sz w:val="20"/>
                <w:szCs w:val="20"/>
                <w:fitText w:val="670" w:id="-1402802687"/>
                <w14:textFill>
                  <w14:solidFill>
                    <w14:srgbClr w14:val="000000">
                      <w14:alpha w14:val="100000"/>
                    </w14:srgbClr>
                  </w14:solidFill>
                </w14:textFill>
              </w:rPr>
              <w:t>|||||||||</w:t>
            </w:r>
            <w:r w:rsidRPr="00C65B88">
              <w:rPr>
                <w:rFonts w:ascii="Arial Narrow" w:hAnsi="Arial Narrow"/>
                <w:b/>
                <w:color w:val="000000"/>
                <w:spacing w:val="4"/>
                <w:sz w:val="20"/>
                <w:szCs w:val="20"/>
                <w:fitText w:val="670" w:id="-1402802687"/>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3ABA1A53" w14:textId="5B778544" w:rsidR="00987C71" w:rsidRPr="00C65B88" w:rsidRDefault="00C65B88" w:rsidP="00144345">
            <w:pPr>
              <w:keepNext/>
              <w:jc w:val="center"/>
              <w:rPr>
                <w:rFonts w:ascii="Arial Narrow" w:hAnsi="Arial Narrow"/>
                <w:b/>
                <w:sz w:val="20"/>
                <w:szCs w:val="20"/>
              </w:rPr>
            </w:pPr>
            <w:r w:rsidRPr="00C65B88">
              <w:rPr>
                <w:rFonts w:ascii="Arial Narrow" w:hAnsi="Arial Narrow"/>
                <w:b/>
                <w:color w:val="000000"/>
                <w:spacing w:val="23"/>
                <w:sz w:val="20"/>
                <w:szCs w:val="20"/>
                <w:fitText w:val="670" w:id="-1402802176"/>
                <w14:textFill>
                  <w14:solidFill>
                    <w14:srgbClr w14:val="000000">
                      <w14:alpha w14:val="100000"/>
                    </w14:srgbClr>
                  </w14:solidFill>
                </w14:textFill>
              </w:rPr>
              <w:t>|||||||||</w:t>
            </w:r>
            <w:r w:rsidRPr="00C65B88">
              <w:rPr>
                <w:rFonts w:ascii="Arial Narrow" w:hAnsi="Arial Narrow"/>
                <w:b/>
                <w:color w:val="000000"/>
                <w:spacing w:val="4"/>
                <w:sz w:val="20"/>
                <w:szCs w:val="20"/>
                <w:fitText w:val="670" w:id="-1402802176"/>
                <w14:textFill>
                  <w14:solidFill>
                    <w14:srgbClr w14:val="000000">
                      <w14:alpha w14:val="100000"/>
                    </w14:srgbClr>
                  </w14:solidFill>
                </w14:textFill>
              </w:rPr>
              <w:t>|</w:t>
            </w:r>
          </w:p>
        </w:tc>
        <w:tc>
          <w:tcPr>
            <w:tcW w:w="703" w:type="pct"/>
            <w:tcBorders>
              <w:top w:val="single" w:sz="4" w:space="0" w:color="auto"/>
              <w:left w:val="single" w:sz="4" w:space="0" w:color="auto"/>
              <w:bottom w:val="nil"/>
              <w:right w:val="single" w:sz="4" w:space="0" w:color="auto"/>
            </w:tcBorders>
            <w:shd w:val="solid" w:color="000000" w:fill="000000"/>
            <w:vAlign w:val="center"/>
            <w:hideMark/>
          </w:tcPr>
          <w:p w14:paraId="1090C476" w14:textId="303EE625" w:rsidR="00987C71" w:rsidRPr="00C65B88" w:rsidRDefault="00C65B88" w:rsidP="00144345">
            <w:pPr>
              <w:keepNext/>
              <w:jc w:val="center"/>
              <w:rPr>
                <w:rFonts w:ascii="Arial Narrow" w:hAnsi="Arial Narrow"/>
                <w:b/>
                <w:sz w:val="20"/>
                <w:szCs w:val="20"/>
              </w:rPr>
            </w:pPr>
            <w:r w:rsidRPr="00C65B88">
              <w:rPr>
                <w:rFonts w:ascii="Arial Narrow" w:hAnsi="Arial Narrow"/>
                <w:b/>
                <w:color w:val="000000"/>
                <w:spacing w:val="23"/>
                <w:sz w:val="20"/>
                <w:szCs w:val="20"/>
                <w:fitText w:val="670" w:id="-1402801919"/>
                <w14:textFill>
                  <w14:solidFill>
                    <w14:srgbClr w14:val="000000">
                      <w14:alpha w14:val="100000"/>
                    </w14:srgbClr>
                  </w14:solidFill>
                </w14:textFill>
              </w:rPr>
              <w:t>|||||||||</w:t>
            </w:r>
            <w:r w:rsidRPr="00C65B88">
              <w:rPr>
                <w:rFonts w:ascii="Arial Narrow" w:hAnsi="Arial Narrow"/>
                <w:b/>
                <w:color w:val="000000"/>
                <w:spacing w:val="4"/>
                <w:sz w:val="20"/>
                <w:szCs w:val="20"/>
                <w:fitText w:val="670" w:id="-1402801919"/>
                <w14:textFill>
                  <w14:solidFill>
                    <w14:srgbClr w14:val="000000">
                      <w14:alpha w14:val="100000"/>
                    </w14:srgbClr>
                  </w14:solidFill>
                </w14:textFill>
              </w:rPr>
              <w:t>|</w:t>
            </w:r>
          </w:p>
        </w:tc>
      </w:tr>
      <w:tr w:rsidR="00987C71" w14:paraId="55FEBE52" w14:textId="77777777" w:rsidTr="00C65B88">
        <w:tc>
          <w:tcPr>
            <w:tcW w:w="1477" w:type="pct"/>
            <w:tcBorders>
              <w:top w:val="nil"/>
              <w:left w:val="single" w:sz="4" w:space="0" w:color="auto"/>
              <w:bottom w:val="nil"/>
              <w:right w:val="single" w:sz="4" w:space="0" w:color="auto"/>
            </w:tcBorders>
            <w:hideMark/>
          </w:tcPr>
          <w:p w14:paraId="17D96AF4" w14:textId="77777777" w:rsidR="00987C71" w:rsidRDefault="00987C71" w:rsidP="00144345">
            <w:pPr>
              <w:keepNext/>
              <w:ind w:left="112"/>
              <w:jc w:val="both"/>
              <w:rPr>
                <w:rFonts w:ascii="Arial Narrow" w:hAnsi="Arial Narrow"/>
                <w:sz w:val="20"/>
                <w:szCs w:val="20"/>
              </w:rPr>
            </w:pPr>
            <w:r>
              <w:rPr>
                <w:rFonts w:ascii="Arial Narrow" w:hAnsi="Arial Narrow"/>
                <w:sz w:val="20"/>
                <w:szCs w:val="20"/>
              </w:rPr>
              <w:t>VAR</w:t>
            </w:r>
          </w:p>
        </w:tc>
        <w:tc>
          <w:tcPr>
            <w:tcW w:w="705" w:type="pct"/>
            <w:tcBorders>
              <w:top w:val="nil"/>
              <w:left w:val="single" w:sz="4" w:space="0" w:color="auto"/>
              <w:bottom w:val="nil"/>
              <w:right w:val="single" w:sz="4" w:space="0" w:color="auto"/>
            </w:tcBorders>
            <w:shd w:val="solid" w:color="000000" w:fill="000000"/>
            <w:vAlign w:val="center"/>
            <w:hideMark/>
          </w:tcPr>
          <w:p w14:paraId="0AE8BE7A" w14:textId="4E16E13E" w:rsidR="00987C71" w:rsidRPr="005D57B1" w:rsidRDefault="005D57B1" w:rsidP="00144345">
            <w:pPr>
              <w:keepNext/>
              <w:jc w:val="center"/>
              <w:rPr>
                <w:rFonts w:ascii="Arial Narrow" w:hAnsi="Arial Narrow"/>
                <w:sz w:val="20"/>
                <w:szCs w:val="20"/>
              </w:rPr>
            </w:pPr>
            <w:r w:rsidRPr="005D57B1">
              <w:rPr>
                <w:rFonts w:ascii="Arial Narrow" w:hAnsi="Arial Narrow"/>
                <w:color w:val="000000"/>
                <w:spacing w:val="54"/>
                <w:sz w:val="20"/>
                <w:szCs w:val="20"/>
                <w:fitText w:val="530" w:id="-1402803968"/>
                <w14:textFill>
                  <w14:solidFill>
                    <w14:srgbClr w14:val="000000">
                      <w14:alpha w14:val="100000"/>
                    </w14:srgbClr>
                  </w14:solidFill>
                </w14:textFill>
              </w:rPr>
              <w:t>|||||</w:t>
            </w:r>
            <w:r w:rsidRPr="005D57B1">
              <w:rPr>
                <w:rFonts w:ascii="Arial Narrow" w:hAnsi="Arial Narrow"/>
                <w:color w:val="000000"/>
                <w:spacing w:val="5"/>
                <w:sz w:val="20"/>
                <w:szCs w:val="20"/>
                <w:fitText w:val="530" w:id="-1402803968"/>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clear" w:color="auto" w:fill="000000" w:themeFill="text1"/>
            <w:vAlign w:val="center"/>
            <w:hideMark/>
          </w:tcPr>
          <w:p w14:paraId="1DE00BC4" w14:textId="44FDC9E3" w:rsidR="00987C71" w:rsidRPr="00C65B88" w:rsidRDefault="00C65B88" w:rsidP="00144345">
            <w:pPr>
              <w:keepNext/>
              <w:jc w:val="center"/>
              <w:rPr>
                <w:rFonts w:ascii="Arial Narrow" w:hAnsi="Arial Narrow"/>
                <w:sz w:val="20"/>
                <w:szCs w:val="20"/>
              </w:rPr>
            </w:pPr>
            <w:r w:rsidRPr="00C65B88">
              <w:rPr>
                <w:rFonts w:ascii="Arial Narrow" w:hAnsi="Arial Narrow"/>
                <w:color w:val="000000"/>
                <w:spacing w:val="54"/>
                <w:sz w:val="20"/>
                <w:szCs w:val="20"/>
                <w:fitText w:val="530" w:id="-1402803199"/>
                <w14:textFill>
                  <w14:solidFill>
                    <w14:srgbClr w14:val="000000">
                      <w14:alpha w14:val="100000"/>
                    </w14:srgbClr>
                  </w14:solidFill>
                </w14:textFill>
              </w:rPr>
              <w:t>|||||</w:t>
            </w:r>
            <w:r w:rsidRPr="00C65B88">
              <w:rPr>
                <w:rFonts w:ascii="Arial Narrow" w:hAnsi="Arial Narrow"/>
                <w:color w:val="000000"/>
                <w:spacing w:val="5"/>
                <w:sz w:val="20"/>
                <w:szCs w:val="20"/>
                <w:fitText w:val="530" w:id="-1402803199"/>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clear" w:color="auto" w:fill="000000" w:themeFill="text1"/>
            <w:vAlign w:val="center"/>
            <w:hideMark/>
          </w:tcPr>
          <w:p w14:paraId="37300F95" w14:textId="24B2B1CE" w:rsidR="00987C71" w:rsidRPr="00C65B88" w:rsidRDefault="00C65B88" w:rsidP="00C65B88">
            <w:pPr>
              <w:keepNext/>
              <w:jc w:val="center"/>
              <w:rPr>
                <w:rFonts w:ascii="Arial Narrow" w:hAnsi="Arial Narrow"/>
                <w:sz w:val="20"/>
                <w:szCs w:val="20"/>
              </w:rPr>
            </w:pPr>
            <w:r w:rsidRPr="00C65B88">
              <w:rPr>
                <w:rFonts w:ascii="Arial Narrow" w:hAnsi="Arial Narrow"/>
                <w:color w:val="000000"/>
                <w:spacing w:val="54"/>
                <w:sz w:val="20"/>
                <w:szCs w:val="20"/>
                <w:shd w:val="solid" w:color="000000" w:fill="000000"/>
                <w:fitText w:val="530" w:id="-1402802686"/>
                <w14:textFill>
                  <w14:solidFill>
                    <w14:srgbClr w14:val="000000">
                      <w14:alpha w14:val="100000"/>
                    </w14:srgbClr>
                  </w14:solidFill>
                </w14:textFill>
              </w:rPr>
              <w:t>|||||</w:t>
            </w:r>
            <w:r w:rsidRPr="00C65B88">
              <w:rPr>
                <w:rFonts w:ascii="Arial Narrow" w:hAnsi="Arial Narrow"/>
                <w:color w:val="000000"/>
                <w:spacing w:val="5"/>
                <w:sz w:val="20"/>
                <w:szCs w:val="20"/>
                <w:shd w:val="solid" w:color="000000" w:fill="000000"/>
                <w:fitText w:val="530" w:id="-1402802686"/>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49D29581" w14:textId="35A65932" w:rsidR="00987C71" w:rsidRPr="00C65B88" w:rsidRDefault="00C65B88" w:rsidP="00144345">
            <w:pPr>
              <w:keepNext/>
              <w:jc w:val="center"/>
              <w:rPr>
                <w:rFonts w:ascii="Arial Narrow" w:hAnsi="Arial Narrow"/>
                <w:sz w:val="20"/>
                <w:szCs w:val="20"/>
              </w:rPr>
            </w:pPr>
            <w:r w:rsidRPr="00C65B88">
              <w:rPr>
                <w:rFonts w:ascii="Arial Narrow" w:hAnsi="Arial Narrow"/>
                <w:color w:val="000000"/>
                <w:spacing w:val="54"/>
                <w:sz w:val="20"/>
                <w:szCs w:val="20"/>
                <w:fitText w:val="530" w:id="-1402802175"/>
                <w14:textFill>
                  <w14:solidFill>
                    <w14:srgbClr w14:val="000000">
                      <w14:alpha w14:val="100000"/>
                    </w14:srgbClr>
                  </w14:solidFill>
                </w14:textFill>
              </w:rPr>
              <w:t>|||||</w:t>
            </w:r>
            <w:r w:rsidRPr="00C65B88">
              <w:rPr>
                <w:rFonts w:ascii="Arial Narrow" w:hAnsi="Arial Narrow"/>
                <w:color w:val="000000"/>
                <w:spacing w:val="5"/>
                <w:sz w:val="20"/>
                <w:szCs w:val="20"/>
                <w:fitText w:val="530" w:id="-1402802175"/>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2EBE4F8E" w14:textId="4E90ABF5" w:rsidR="00987C71" w:rsidRPr="00C65B88" w:rsidRDefault="00C65B88" w:rsidP="00144345">
            <w:pPr>
              <w:keepNext/>
              <w:jc w:val="center"/>
              <w:rPr>
                <w:rFonts w:ascii="Arial Narrow" w:hAnsi="Arial Narrow"/>
                <w:sz w:val="20"/>
                <w:szCs w:val="20"/>
              </w:rPr>
            </w:pPr>
            <w:r w:rsidRPr="00C65B88">
              <w:rPr>
                <w:rFonts w:ascii="Arial Narrow" w:hAnsi="Arial Narrow"/>
                <w:color w:val="000000"/>
                <w:spacing w:val="54"/>
                <w:sz w:val="20"/>
                <w:szCs w:val="20"/>
                <w:fitText w:val="530" w:id="-1402801918"/>
                <w14:textFill>
                  <w14:solidFill>
                    <w14:srgbClr w14:val="000000">
                      <w14:alpha w14:val="100000"/>
                    </w14:srgbClr>
                  </w14:solidFill>
                </w14:textFill>
              </w:rPr>
              <w:t>|||||</w:t>
            </w:r>
            <w:r w:rsidRPr="00C65B88">
              <w:rPr>
                <w:rFonts w:ascii="Arial Narrow" w:hAnsi="Arial Narrow"/>
                <w:color w:val="000000"/>
                <w:spacing w:val="5"/>
                <w:sz w:val="20"/>
                <w:szCs w:val="20"/>
                <w:fitText w:val="530" w:id="-1402801918"/>
                <w14:textFill>
                  <w14:solidFill>
                    <w14:srgbClr w14:val="000000">
                      <w14:alpha w14:val="100000"/>
                    </w14:srgbClr>
                  </w14:solidFill>
                </w14:textFill>
              </w:rPr>
              <w:t>|</w:t>
            </w:r>
          </w:p>
        </w:tc>
      </w:tr>
      <w:tr w:rsidR="00987C71" w14:paraId="37D4F908" w14:textId="77777777" w:rsidTr="00C65B88">
        <w:tc>
          <w:tcPr>
            <w:tcW w:w="1477" w:type="pct"/>
            <w:tcBorders>
              <w:top w:val="nil"/>
              <w:left w:val="single" w:sz="4" w:space="0" w:color="auto"/>
              <w:bottom w:val="nil"/>
              <w:right w:val="single" w:sz="4" w:space="0" w:color="auto"/>
            </w:tcBorders>
            <w:hideMark/>
          </w:tcPr>
          <w:p w14:paraId="28D8316C" w14:textId="77777777" w:rsidR="00987C71" w:rsidRDefault="00987C71" w:rsidP="00144345">
            <w:pPr>
              <w:keepNext/>
              <w:ind w:left="112"/>
              <w:jc w:val="both"/>
              <w:rPr>
                <w:rFonts w:ascii="Arial Narrow" w:hAnsi="Arial Narrow"/>
                <w:sz w:val="20"/>
                <w:szCs w:val="20"/>
              </w:rPr>
            </w:pPr>
            <w:r>
              <w:rPr>
                <w:rFonts w:ascii="Arial Narrow" w:hAnsi="Arial Narrow"/>
                <w:sz w:val="20"/>
                <w:szCs w:val="20"/>
              </w:rPr>
              <w:t>NRT</w:t>
            </w:r>
          </w:p>
        </w:tc>
        <w:tc>
          <w:tcPr>
            <w:tcW w:w="705" w:type="pct"/>
            <w:tcBorders>
              <w:top w:val="nil"/>
              <w:left w:val="single" w:sz="4" w:space="0" w:color="auto"/>
              <w:bottom w:val="nil"/>
              <w:right w:val="single" w:sz="4" w:space="0" w:color="auto"/>
            </w:tcBorders>
            <w:shd w:val="solid" w:color="000000" w:fill="000000"/>
            <w:vAlign w:val="center"/>
            <w:hideMark/>
          </w:tcPr>
          <w:p w14:paraId="08ECC9B7" w14:textId="2501E6F4" w:rsidR="00987C71" w:rsidRPr="005D57B1" w:rsidRDefault="005D57B1" w:rsidP="00144345">
            <w:pPr>
              <w:keepNext/>
              <w:jc w:val="center"/>
              <w:rPr>
                <w:rFonts w:ascii="Arial Narrow" w:hAnsi="Arial Narrow"/>
                <w:sz w:val="20"/>
                <w:szCs w:val="20"/>
              </w:rPr>
            </w:pPr>
            <w:r w:rsidRPr="005D57B1">
              <w:rPr>
                <w:rFonts w:ascii="Arial Narrow" w:hAnsi="Arial Narrow"/>
                <w:color w:val="000000"/>
                <w:spacing w:val="27"/>
                <w:sz w:val="20"/>
                <w:szCs w:val="20"/>
                <w:fitText w:val="670" w:id="-1402803712"/>
                <w14:textFill>
                  <w14:solidFill>
                    <w14:srgbClr w14:val="000000">
                      <w14:alpha w14:val="100000"/>
                    </w14:srgbClr>
                  </w14:solidFill>
                </w14:textFill>
              </w:rPr>
              <w:t>|||||||||</w:t>
            </w:r>
            <w:r w:rsidRPr="005D57B1">
              <w:rPr>
                <w:rFonts w:ascii="Arial Narrow" w:hAnsi="Arial Narrow"/>
                <w:color w:val="000000"/>
                <w:spacing w:val="2"/>
                <w:sz w:val="20"/>
                <w:szCs w:val="20"/>
                <w:fitText w:val="670" w:id="-1402803712"/>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7F031DE9" w14:textId="65257A69" w:rsidR="00987C71" w:rsidRPr="00C65B88" w:rsidRDefault="00C65B88" w:rsidP="00144345">
            <w:pPr>
              <w:keepNext/>
              <w:jc w:val="center"/>
              <w:rPr>
                <w:rFonts w:ascii="Arial Narrow" w:hAnsi="Arial Narrow"/>
                <w:sz w:val="20"/>
                <w:szCs w:val="20"/>
              </w:rPr>
            </w:pPr>
            <w:r w:rsidRPr="00C65B88">
              <w:rPr>
                <w:rFonts w:ascii="Arial Narrow" w:hAnsi="Arial Narrow"/>
                <w:color w:val="000000"/>
                <w:spacing w:val="27"/>
                <w:sz w:val="20"/>
                <w:szCs w:val="20"/>
                <w:fitText w:val="670" w:id="-1402802944"/>
                <w14:textFill>
                  <w14:solidFill>
                    <w14:srgbClr w14:val="000000">
                      <w14:alpha w14:val="100000"/>
                    </w14:srgbClr>
                  </w14:solidFill>
                </w14:textFill>
              </w:rPr>
              <w:t>|||||||||</w:t>
            </w:r>
            <w:r w:rsidRPr="00C65B88">
              <w:rPr>
                <w:rFonts w:ascii="Arial Narrow" w:hAnsi="Arial Narrow"/>
                <w:color w:val="000000"/>
                <w:spacing w:val="2"/>
                <w:sz w:val="20"/>
                <w:szCs w:val="20"/>
                <w:fitText w:val="670" w:id="-1402802944"/>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359F68D5" w14:textId="37F3CEB7" w:rsidR="00987C71" w:rsidRPr="00C65B88" w:rsidRDefault="00C65B88" w:rsidP="00144345">
            <w:pPr>
              <w:keepNext/>
              <w:jc w:val="center"/>
              <w:rPr>
                <w:rFonts w:ascii="Arial Narrow" w:hAnsi="Arial Narrow"/>
                <w:sz w:val="20"/>
                <w:szCs w:val="20"/>
              </w:rPr>
            </w:pPr>
            <w:r w:rsidRPr="00C65B88">
              <w:rPr>
                <w:rFonts w:ascii="Arial Narrow" w:hAnsi="Arial Narrow"/>
                <w:color w:val="000000"/>
                <w:spacing w:val="27"/>
                <w:sz w:val="20"/>
                <w:szCs w:val="20"/>
                <w:fitText w:val="670" w:id="-1402802685"/>
                <w14:textFill>
                  <w14:solidFill>
                    <w14:srgbClr w14:val="000000">
                      <w14:alpha w14:val="100000"/>
                    </w14:srgbClr>
                  </w14:solidFill>
                </w14:textFill>
              </w:rPr>
              <w:t>|||||||||</w:t>
            </w:r>
            <w:r w:rsidRPr="00C65B88">
              <w:rPr>
                <w:rFonts w:ascii="Arial Narrow" w:hAnsi="Arial Narrow"/>
                <w:color w:val="000000"/>
                <w:spacing w:val="2"/>
                <w:sz w:val="20"/>
                <w:szCs w:val="20"/>
                <w:fitText w:val="670" w:id="-1402802685"/>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3F859084" w14:textId="6F59E718" w:rsidR="00987C71" w:rsidRPr="00C65B88" w:rsidRDefault="00C65B88" w:rsidP="00144345">
            <w:pPr>
              <w:keepNext/>
              <w:jc w:val="center"/>
              <w:rPr>
                <w:rFonts w:ascii="Arial Narrow" w:hAnsi="Arial Narrow"/>
                <w:sz w:val="20"/>
                <w:szCs w:val="20"/>
              </w:rPr>
            </w:pPr>
            <w:r w:rsidRPr="00C65B88">
              <w:rPr>
                <w:rFonts w:ascii="Arial Narrow" w:hAnsi="Arial Narrow"/>
                <w:color w:val="000000"/>
                <w:spacing w:val="27"/>
                <w:sz w:val="20"/>
                <w:szCs w:val="20"/>
                <w:fitText w:val="670" w:id="-1402802174"/>
                <w14:textFill>
                  <w14:solidFill>
                    <w14:srgbClr w14:val="000000">
                      <w14:alpha w14:val="100000"/>
                    </w14:srgbClr>
                  </w14:solidFill>
                </w14:textFill>
              </w:rPr>
              <w:t>|||||||||</w:t>
            </w:r>
            <w:r w:rsidRPr="00C65B88">
              <w:rPr>
                <w:rFonts w:ascii="Arial Narrow" w:hAnsi="Arial Narrow"/>
                <w:color w:val="000000"/>
                <w:spacing w:val="2"/>
                <w:sz w:val="20"/>
                <w:szCs w:val="20"/>
                <w:fitText w:val="670" w:id="-1402802174"/>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0205E954" w14:textId="0476F7E8" w:rsidR="00987C71" w:rsidRPr="00C65B88" w:rsidRDefault="00C65B88" w:rsidP="00144345">
            <w:pPr>
              <w:keepNext/>
              <w:jc w:val="center"/>
              <w:rPr>
                <w:rFonts w:ascii="Arial Narrow" w:hAnsi="Arial Narrow"/>
                <w:sz w:val="20"/>
                <w:szCs w:val="20"/>
              </w:rPr>
            </w:pPr>
            <w:r w:rsidRPr="00C65B88">
              <w:rPr>
                <w:rFonts w:ascii="Arial Narrow" w:hAnsi="Arial Narrow"/>
                <w:color w:val="000000"/>
                <w:spacing w:val="27"/>
                <w:sz w:val="20"/>
                <w:szCs w:val="20"/>
                <w:fitText w:val="670" w:id="-1402801917"/>
                <w14:textFill>
                  <w14:solidFill>
                    <w14:srgbClr w14:val="000000">
                      <w14:alpha w14:val="100000"/>
                    </w14:srgbClr>
                  </w14:solidFill>
                </w14:textFill>
              </w:rPr>
              <w:t>|||||||||</w:t>
            </w:r>
            <w:r w:rsidRPr="00C65B88">
              <w:rPr>
                <w:rFonts w:ascii="Arial Narrow" w:hAnsi="Arial Narrow"/>
                <w:color w:val="000000"/>
                <w:spacing w:val="2"/>
                <w:sz w:val="20"/>
                <w:szCs w:val="20"/>
                <w:fitText w:val="670" w:id="-1402801917"/>
                <w14:textFill>
                  <w14:solidFill>
                    <w14:srgbClr w14:val="000000">
                      <w14:alpha w14:val="100000"/>
                    </w14:srgbClr>
                  </w14:solidFill>
                </w14:textFill>
              </w:rPr>
              <w:t>|</w:t>
            </w:r>
          </w:p>
        </w:tc>
      </w:tr>
      <w:tr w:rsidR="00987C71" w14:paraId="673B1125" w14:textId="77777777" w:rsidTr="00C65B88">
        <w:tc>
          <w:tcPr>
            <w:tcW w:w="1477" w:type="pct"/>
            <w:tcBorders>
              <w:top w:val="nil"/>
              <w:left w:val="single" w:sz="4" w:space="0" w:color="auto"/>
              <w:bottom w:val="nil"/>
              <w:right w:val="single" w:sz="4" w:space="0" w:color="auto"/>
            </w:tcBorders>
            <w:hideMark/>
          </w:tcPr>
          <w:p w14:paraId="0062869F" w14:textId="77777777" w:rsidR="00987C71" w:rsidRDefault="00987C71" w:rsidP="00144345">
            <w:pPr>
              <w:keepNext/>
              <w:ind w:left="112"/>
              <w:jc w:val="both"/>
              <w:rPr>
                <w:rFonts w:ascii="Arial Narrow" w:hAnsi="Arial Narrow"/>
                <w:sz w:val="20"/>
                <w:szCs w:val="20"/>
              </w:rPr>
            </w:pPr>
            <w:r>
              <w:rPr>
                <w:rFonts w:ascii="Arial Narrow" w:hAnsi="Arial Narrow"/>
                <w:sz w:val="20"/>
                <w:szCs w:val="20"/>
              </w:rPr>
              <w:t>BUP</w:t>
            </w:r>
          </w:p>
        </w:tc>
        <w:tc>
          <w:tcPr>
            <w:tcW w:w="705" w:type="pct"/>
            <w:tcBorders>
              <w:top w:val="nil"/>
              <w:left w:val="single" w:sz="4" w:space="0" w:color="auto"/>
              <w:bottom w:val="nil"/>
              <w:right w:val="single" w:sz="4" w:space="0" w:color="auto"/>
            </w:tcBorders>
            <w:shd w:val="solid" w:color="000000" w:fill="000000"/>
            <w:vAlign w:val="center"/>
            <w:hideMark/>
          </w:tcPr>
          <w:p w14:paraId="5ED33CA7" w14:textId="04DEB8CC" w:rsidR="00987C71" w:rsidRPr="005D57B1" w:rsidRDefault="005D57B1" w:rsidP="00144345">
            <w:pPr>
              <w:keepNext/>
              <w:jc w:val="center"/>
              <w:rPr>
                <w:rFonts w:ascii="Arial Narrow" w:hAnsi="Arial Narrow"/>
                <w:sz w:val="20"/>
                <w:szCs w:val="20"/>
              </w:rPr>
            </w:pPr>
            <w:r w:rsidRPr="005D57B1">
              <w:rPr>
                <w:rFonts w:ascii="Arial Narrow" w:hAnsi="Arial Narrow" w:hint="eastAsia"/>
                <w:color w:val="000000"/>
                <w:w w:val="15"/>
                <w:sz w:val="20"/>
                <w:szCs w:val="20"/>
                <w:fitText w:val="60" w:id="-1402803456"/>
                <w14:textFill>
                  <w14:solidFill>
                    <w14:srgbClr w14:val="000000">
                      <w14:alpha w14:val="100000"/>
                    </w14:srgbClr>
                  </w14:solidFill>
                </w14:textFill>
              </w:rPr>
              <w:t xml:space="preserve">　</w:t>
            </w:r>
            <w:r w:rsidRPr="005D57B1">
              <w:rPr>
                <w:rFonts w:ascii="Arial Narrow" w:hAnsi="Arial Narrow"/>
                <w:color w:val="000000"/>
                <w:w w:val="15"/>
                <w:sz w:val="20"/>
                <w:szCs w:val="20"/>
                <w:fitText w:val="60" w:id="-1402803456"/>
                <w14:textFill>
                  <w14:solidFill>
                    <w14:srgbClr w14:val="000000">
                      <w14:alpha w14:val="100000"/>
                    </w14:srgbClr>
                  </w14:solidFill>
                </w14:textFill>
              </w:rPr>
              <w:t>|</w:t>
            </w:r>
            <w:r w:rsidRPr="005D57B1">
              <w:rPr>
                <w:rFonts w:ascii="Arial Narrow" w:hAnsi="Arial Narrow" w:hint="eastAsia"/>
                <w:color w:val="000000"/>
                <w:w w:val="15"/>
                <w:sz w:val="20"/>
                <w:szCs w:val="20"/>
                <w:fitText w:val="60" w:id="-1402803456"/>
                <w14:textFill>
                  <w14:solidFill>
                    <w14:srgbClr w14:val="000000">
                      <w14:alpha w14:val="100000"/>
                    </w14:srgbClr>
                  </w14:solidFill>
                </w14:textFill>
              </w:rPr>
              <w:t xml:space="preserve">　</w:t>
            </w:r>
          </w:p>
        </w:tc>
        <w:tc>
          <w:tcPr>
            <w:tcW w:w="705" w:type="pct"/>
            <w:tcBorders>
              <w:top w:val="nil"/>
              <w:left w:val="single" w:sz="4" w:space="0" w:color="auto"/>
              <w:bottom w:val="nil"/>
              <w:right w:val="single" w:sz="4" w:space="0" w:color="auto"/>
            </w:tcBorders>
            <w:shd w:val="solid" w:color="000000" w:fill="000000"/>
            <w:vAlign w:val="center"/>
            <w:hideMark/>
          </w:tcPr>
          <w:p w14:paraId="68CACA07" w14:textId="7C336DF9" w:rsidR="00987C71" w:rsidRPr="00C65B88" w:rsidRDefault="00C65B88" w:rsidP="00144345">
            <w:pPr>
              <w:keepNext/>
              <w:jc w:val="center"/>
              <w:rPr>
                <w:rFonts w:ascii="Arial Narrow" w:hAnsi="Arial Narrow"/>
                <w:sz w:val="20"/>
                <w:szCs w:val="20"/>
              </w:rPr>
            </w:pPr>
            <w:r w:rsidRPr="00C65B88">
              <w:rPr>
                <w:rFonts w:ascii="Arial Narrow" w:hAnsi="Arial Narrow"/>
                <w:color w:val="000000"/>
                <w:spacing w:val="38"/>
                <w:sz w:val="20"/>
                <w:szCs w:val="20"/>
                <w:fitText w:val="450" w:id="-1402802943"/>
                <w14:textFill>
                  <w14:solidFill>
                    <w14:srgbClr w14:val="000000">
                      <w14:alpha w14:val="100000"/>
                    </w14:srgbClr>
                  </w14:solidFill>
                </w14:textFill>
              </w:rPr>
              <w:t>|||||</w:t>
            </w:r>
            <w:r w:rsidRPr="00C65B88">
              <w:rPr>
                <w:rFonts w:ascii="Arial Narrow" w:hAnsi="Arial Narrow"/>
                <w:color w:val="000000"/>
                <w:spacing w:val="5"/>
                <w:sz w:val="20"/>
                <w:szCs w:val="20"/>
                <w:fitText w:val="450" w:id="-1402802943"/>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46B56455" w14:textId="7205C501" w:rsidR="00987C71" w:rsidRPr="00C65B88" w:rsidRDefault="00C65B88" w:rsidP="00144345">
            <w:pPr>
              <w:keepNext/>
              <w:jc w:val="center"/>
              <w:rPr>
                <w:rFonts w:ascii="Arial Narrow" w:hAnsi="Arial Narrow"/>
                <w:sz w:val="20"/>
                <w:szCs w:val="20"/>
              </w:rPr>
            </w:pPr>
            <w:r w:rsidRPr="00C65B88">
              <w:rPr>
                <w:rFonts w:ascii="Arial Narrow" w:hAnsi="Arial Narrow"/>
                <w:color w:val="000000"/>
                <w:spacing w:val="38"/>
                <w:sz w:val="20"/>
                <w:szCs w:val="20"/>
                <w:fitText w:val="450" w:id="-1402802432"/>
                <w14:textFill>
                  <w14:solidFill>
                    <w14:srgbClr w14:val="000000">
                      <w14:alpha w14:val="100000"/>
                    </w14:srgbClr>
                  </w14:solidFill>
                </w14:textFill>
              </w:rPr>
              <w:t>|||||</w:t>
            </w:r>
            <w:r w:rsidRPr="00C65B88">
              <w:rPr>
                <w:rFonts w:ascii="Arial Narrow" w:hAnsi="Arial Narrow"/>
                <w:color w:val="000000"/>
                <w:spacing w:val="5"/>
                <w:sz w:val="20"/>
                <w:szCs w:val="20"/>
                <w:fitText w:val="450" w:id="-1402802432"/>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37D6D909" w14:textId="255DA3D2" w:rsidR="00987C71" w:rsidRPr="00C65B88" w:rsidRDefault="00C65B88" w:rsidP="00144345">
            <w:pPr>
              <w:keepNext/>
              <w:jc w:val="center"/>
              <w:rPr>
                <w:rFonts w:ascii="Arial Narrow" w:hAnsi="Arial Narrow"/>
                <w:sz w:val="20"/>
                <w:szCs w:val="20"/>
              </w:rPr>
            </w:pPr>
            <w:r w:rsidRPr="00C65B88">
              <w:rPr>
                <w:rFonts w:ascii="Arial Narrow" w:hAnsi="Arial Narrow"/>
                <w:color w:val="000000"/>
                <w:spacing w:val="38"/>
                <w:sz w:val="20"/>
                <w:szCs w:val="20"/>
                <w:fitText w:val="450" w:id="-1402802173"/>
                <w14:textFill>
                  <w14:solidFill>
                    <w14:srgbClr w14:val="000000">
                      <w14:alpha w14:val="100000"/>
                    </w14:srgbClr>
                  </w14:solidFill>
                </w14:textFill>
              </w:rPr>
              <w:t>|||||</w:t>
            </w:r>
            <w:r w:rsidRPr="00C65B88">
              <w:rPr>
                <w:rFonts w:ascii="Arial Narrow" w:hAnsi="Arial Narrow"/>
                <w:color w:val="000000"/>
                <w:spacing w:val="5"/>
                <w:sz w:val="20"/>
                <w:szCs w:val="20"/>
                <w:fitText w:val="450" w:id="-1402802173"/>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48510509" w14:textId="7722A848" w:rsidR="00987C71" w:rsidRPr="00C65B88" w:rsidRDefault="00C65B88" w:rsidP="00144345">
            <w:pPr>
              <w:keepNext/>
              <w:jc w:val="center"/>
              <w:rPr>
                <w:rFonts w:ascii="Arial Narrow" w:hAnsi="Arial Narrow"/>
                <w:sz w:val="20"/>
                <w:szCs w:val="20"/>
              </w:rPr>
            </w:pPr>
            <w:r w:rsidRPr="00C65B88">
              <w:rPr>
                <w:rFonts w:ascii="Arial Narrow" w:hAnsi="Arial Narrow"/>
                <w:color w:val="000000"/>
                <w:spacing w:val="38"/>
                <w:sz w:val="20"/>
                <w:szCs w:val="20"/>
                <w:fitText w:val="450" w:id="-1402801916"/>
                <w14:textFill>
                  <w14:solidFill>
                    <w14:srgbClr w14:val="000000">
                      <w14:alpha w14:val="100000"/>
                    </w14:srgbClr>
                  </w14:solidFill>
                </w14:textFill>
              </w:rPr>
              <w:t>|||||</w:t>
            </w:r>
            <w:r w:rsidRPr="00C65B88">
              <w:rPr>
                <w:rFonts w:ascii="Arial Narrow" w:hAnsi="Arial Narrow"/>
                <w:color w:val="000000"/>
                <w:spacing w:val="5"/>
                <w:sz w:val="20"/>
                <w:szCs w:val="20"/>
                <w:fitText w:val="450" w:id="-1402801916"/>
                <w14:textFill>
                  <w14:solidFill>
                    <w14:srgbClr w14:val="000000">
                      <w14:alpha w14:val="100000"/>
                    </w14:srgbClr>
                  </w14:solidFill>
                </w14:textFill>
              </w:rPr>
              <w:t>|</w:t>
            </w:r>
          </w:p>
        </w:tc>
      </w:tr>
      <w:tr w:rsidR="00987C71" w14:paraId="16B3B053" w14:textId="77777777" w:rsidTr="00C65B88">
        <w:tc>
          <w:tcPr>
            <w:tcW w:w="1477" w:type="pct"/>
            <w:tcBorders>
              <w:top w:val="nil"/>
              <w:left w:val="single" w:sz="4" w:space="0" w:color="auto"/>
              <w:bottom w:val="nil"/>
              <w:right w:val="single" w:sz="4" w:space="0" w:color="auto"/>
            </w:tcBorders>
            <w:hideMark/>
          </w:tcPr>
          <w:p w14:paraId="600DA157" w14:textId="77777777" w:rsidR="00987C71" w:rsidRDefault="00987C71" w:rsidP="00144345">
            <w:pPr>
              <w:keepNext/>
              <w:jc w:val="both"/>
              <w:rPr>
                <w:rFonts w:ascii="Arial Narrow" w:hAnsi="Arial Narrow"/>
                <w:b/>
                <w:bCs/>
                <w:sz w:val="20"/>
                <w:szCs w:val="20"/>
              </w:rPr>
            </w:pPr>
            <w:r>
              <w:rPr>
                <w:rFonts w:ascii="Arial Narrow" w:hAnsi="Arial Narrow"/>
                <w:b/>
                <w:bCs/>
                <w:sz w:val="20"/>
                <w:szCs w:val="20"/>
              </w:rPr>
              <w:t>MBS net cost</w:t>
            </w:r>
          </w:p>
        </w:tc>
        <w:tc>
          <w:tcPr>
            <w:tcW w:w="705" w:type="pct"/>
            <w:tcBorders>
              <w:top w:val="nil"/>
              <w:left w:val="single" w:sz="4" w:space="0" w:color="auto"/>
              <w:bottom w:val="nil"/>
              <w:right w:val="single" w:sz="4" w:space="0" w:color="auto"/>
            </w:tcBorders>
            <w:shd w:val="clear" w:color="auto" w:fill="000000" w:themeFill="text1"/>
            <w:vAlign w:val="center"/>
            <w:hideMark/>
          </w:tcPr>
          <w:p w14:paraId="05F36BD6" w14:textId="2653E522" w:rsidR="00987C71" w:rsidRPr="00C65B88" w:rsidRDefault="00C65B88" w:rsidP="00C65B88">
            <w:pPr>
              <w:keepNext/>
              <w:jc w:val="center"/>
              <w:rPr>
                <w:rFonts w:ascii="Arial Narrow" w:hAnsi="Arial Narrow"/>
                <w:b/>
                <w:sz w:val="20"/>
                <w:szCs w:val="20"/>
              </w:rPr>
            </w:pPr>
            <w:r w:rsidRPr="00C65B88">
              <w:rPr>
                <w:rFonts w:ascii="Arial Narrow" w:hAnsi="Arial Narrow"/>
                <w:b/>
                <w:color w:val="000000"/>
                <w:spacing w:val="50"/>
                <w:sz w:val="20"/>
                <w:szCs w:val="20"/>
                <w:shd w:val="solid" w:color="000000" w:fill="000000"/>
                <w:fitText w:val="530" w:id="-1402803455"/>
                <w14:textFill>
                  <w14:solidFill>
                    <w14:srgbClr w14:val="000000">
                      <w14:alpha w14:val="100000"/>
                    </w14:srgbClr>
                  </w14:solidFill>
                </w14:textFill>
              </w:rPr>
              <w:t>|||||</w:t>
            </w:r>
            <w:r w:rsidRPr="00C65B88">
              <w:rPr>
                <w:rFonts w:ascii="Arial Narrow" w:hAnsi="Arial Narrow"/>
                <w:b/>
                <w:color w:val="000000"/>
                <w:spacing w:val="5"/>
                <w:sz w:val="20"/>
                <w:szCs w:val="20"/>
                <w:shd w:val="solid" w:color="000000" w:fill="000000"/>
                <w:fitText w:val="530" w:id="-1402803455"/>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667CB36D" w14:textId="5B5CF684" w:rsidR="00987C71" w:rsidRPr="00C65B88" w:rsidRDefault="00C65B88" w:rsidP="00144345">
            <w:pPr>
              <w:keepNext/>
              <w:jc w:val="center"/>
              <w:rPr>
                <w:rFonts w:ascii="Arial Narrow" w:hAnsi="Arial Narrow"/>
                <w:b/>
                <w:sz w:val="20"/>
                <w:szCs w:val="20"/>
              </w:rPr>
            </w:pPr>
            <w:r w:rsidRPr="00C65B88">
              <w:rPr>
                <w:rFonts w:ascii="Arial Narrow" w:hAnsi="Arial Narrow"/>
                <w:b/>
                <w:color w:val="000000"/>
                <w:spacing w:val="50"/>
                <w:sz w:val="20"/>
                <w:szCs w:val="20"/>
                <w:fitText w:val="530" w:id="-1402802942"/>
                <w14:textFill>
                  <w14:solidFill>
                    <w14:srgbClr w14:val="000000">
                      <w14:alpha w14:val="100000"/>
                    </w14:srgbClr>
                  </w14:solidFill>
                </w14:textFill>
              </w:rPr>
              <w:t>|||||</w:t>
            </w:r>
            <w:r w:rsidRPr="00C65B88">
              <w:rPr>
                <w:rFonts w:ascii="Arial Narrow" w:hAnsi="Arial Narrow"/>
                <w:b/>
                <w:color w:val="000000"/>
                <w:spacing w:val="5"/>
                <w:sz w:val="20"/>
                <w:szCs w:val="20"/>
                <w:fitText w:val="530" w:id="-1402802942"/>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58FC4FC3" w14:textId="548E25BB" w:rsidR="00987C71" w:rsidRPr="00C65B88" w:rsidRDefault="00C65B88" w:rsidP="00144345">
            <w:pPr>
              <w:keepNext/>
              <w:jc w:val="center"/>
              <w:rPr>
                <w:rFonts w:ascii="Arial Narrow" w:hAnsi="Arial Narrow"/>
                <w:b/>
                <w:sz w:val="20"/>
                <w:szCs w:val="20"/>
              </w:rPr>
            </w:pPr>
            <w:r w:rsidRPr="00C65B88">
              <w:rPr>
                <w:rFonts w:ascii="Arial Narrow" w:hAnsi="Arial Narrow"/>
                <w:b/>
                <w:color w:val="000000"/>
                <w:spacing w:val="50"/>
                <w:sz w:val="20"/>
                <w:szCs w:val="20"/>
                <w:fitText w:val="530" w:id="-1402802431"/>
                <w14:textFill>
                  <w14:solidFill>
                    <w14:srgbClr w14:val="000000">
                      <w14:alpha w14:val="100000"/>
                    </w14:srgbClr>
                  </w14:solidFill>
                </w14:textFill>
              </w:rPr>
              <w:t>|||||</w:t>
            </w:r>
            <w:r w:rsidRPr="00C65B88">
              <w:rPr>
                <w:rFonts w:ascii="Arial Narrow" w:hAnsi="Arial Narrow"/>
                <w:b/>
                <w:color w:val="000000"/>
                <w:spacing w:val="5"/>
                <w:sz w:val="20"/>
                <w:szCs w:val="20"/>
                <w:fitText w:val="530" w:id="-1402802431"/>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628CCCA5" w14:textId="5350B414" w:rsidR="00987C71" w:rsidRPr="00C65B88" w:rsidRDefault="00C65B88" w:rsidP="00144345">
            <w:pPr>
              <w:keepNext/>
              <w:jc w:val="center"/>
              <w:rPr>
                <w:rFonts w:ascii="Arial Narrow" w:hAnsi="Arial Narrow"/>
                <w:b/>
                <w:sz w:val="20"/>
                <w:szCs w:val="20"/>
              </w:rPr>
            </w:pPr>
            <w:r w:rsidRPr="00C65B88">
              <w:rPr>
                <w:rFonts w:ascii="Arial Narrow" w:hAnsi="Arial Narrow"/>
                <w:b/>
                <w:color w:val="000000"/>
                <w:spacing w:val="50"/>
                <w:sz w:val="20"/>
                <w:szCs w:val="20"/>
                <w:fitText w:val="530" w:id="-1402802172"/>
                <w14:textFill>
                  <w14:solidFill>
                    <w14:srgbClr w14:val="000000">
                      <w14:alpha w14:val="100000"/>
                    </w14:srgbClr>
                  </w14:solidFill>
                </w14:textFill>
              </w:rPr>
              <w:t>|||||</w:t>
            </w:r>
            <w:r w:rsidRPr="00C65B88">
              <w:rPr>
                <w:rFonts w:ascii="Arial Narrow" w:hAnsi="Arial Narrow"/>
                <w:b/>
                <w:color w:val="000000"/>
                <w:spacing w:val="5"/>
                <w:sz w:val="20"/>
                <w:szCs w:val="20"/>
                <w:fitText w:val="530" w:id="-1402802172"/>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4E93C9DB" w14:textId="4CB9D00E" w:rsidR="00987C71" w:rsidRPr="00C65B88" w:rsidRDefault="00C65B88" w:rsidP="00144345">
            <w:pPr>
              <w:keepNext/>
              <w:jc w:val="center"/>
              <w:rPr>
                <w:rFonts w:ascii="Arial Narrow" w:hAnsi="Arial Narrow"/>
                <w:b/>
                <w:sz w:val="20"/>
                <w:szCs w:val="20"/>
              </w:rPr>
            </w:pPr>
            <w:r w:rsidRPr="00C65B88">
              <w:rPr>
                <w:rFonts w:ascii="Arial Narrow" w:hAnsi="Arial Narrow"/>
                <w:b/>
                <w:color w:val="000000"/>
                <w:spacing w:val="50"/>
                <w:sz w:val="20"/>
                <w:szCs w:val="20"/>
                <w:fitText w:val="530" w:id="-1402801664"/>
                <w14:textFill>
                  <w14:solidFill>
                    <w14:srgbClr w14:val="000000">
                      <w14:alpha w14:val="100000"/>
                    </w14:srgbClr>
                  </w14:solidFill>
                </w14:textFill>
              </w:rPr>
              <w:t>|||||</w:t>
            </w:r>
            <w:r w:rsidRPr="00C65B88">
              <w:rPr>
                <w:rFonts w:ascii="Arial Narrow" w:hAnsi="Arial Narrow"/>
                <w:b/>
                <w:color w:val="000000"/>
                <w:spacing w:val="5"/>
                <w:sz w:val="20"/>
                <w:szCs w:val="20"/>
                <w:fitText w:val="530" w:id="-1402801664"/>
                <w14:textFill>
                  <w14:solidFill>
                    <w14:srgbClr w14:val="000000">
                      <w14:alpha w14:val="100000"/>
                    </w14:srgbClr>
                  </w14:solidFill>
                </w14:textFill>
              </w:rPr>
              <w:t>|</w:t>
            </w:r>
          </w:p>
        </w:tc>
      </w:tr>
      <w:tr w:rsidR="00987C71" w14:paraId="6B59C30D" w14:textId="77777777" w:rsidTr="00C65B88">
        <w:tc>
          <w:tcPr>
            <w:tcW w:w="1477" w:type="pct"/>
            <w:tcBorders>
              <w:top w:val="nil"/>
              <w:left w:val="single" w:sz="4" w:space="0" w:color="auto"/>
              <w:bottom w:val="single" w:sz="4" w:space="0" w:color="auto"/>
              <w:right w:val="single" w:sz="4" w:space="0" w:color="auto"/>
            </w:tcBorders>
            <w:hideMark/>
          </w:tcPr>
          <w:p w14:paraId="06802ADC" w14:textId="77777777" w:rsidR="00987C71" w:rsidRDefault="00987C71" w:rsidP="00144345">
            <w:pPr>
              <w:keepNext/>
              <w:jc w:val="both"/>
              <w:rPr>
                <w:rFonts w:ascii="Arial Narrow" w:hAnsi="Arial Narrow"/>
                <w:b/>
                <w:bCs/>
                <w:sz w:val="20"/>
                <w:szCs w:val="20"/>
              </w:rPr>
            </w:pPr>
            <w:r>
              <w:rPr>
                <w:rFonts w:ascii="Arial Narrow" w:hAnsi="Arial Narrow"/>
                <w:b/>
                <w:bCs/>
                <w:sz w:val="20"/>
                <w:szCs w:val="20"/>
              </w:rPr>
              <w:t>Health budget net cost</w:t>
            </w:r>
          </w:p>
        </w:tc>
        <w:tc>
          <w:tcPr>
            <w:tcW w:w="705" w:type="pct"/>
            <w:tcBorders>
              <w:top w:val="nil"/>
              <w:left w:val="single" w:sz="4" w:space="0" w:color="auto"/>
              <w:bottom w:val="single" w:sz="4" w:space="0" w:color="auto"/>
              <w:right w:val="single" w:sz="4" w:space="0" w:color="auto"/>
            </w:tcBorders>
            <w:shd w:val="solid" w:color="000000" w:fill="000000"/>
            <w:vAlign w:val="bottom"/>
            <w:hideMark/>
          </w:tcPr>
          <w:p w14:paraId="7DF8F111" w14:textId="00E7B2EE" w:rsidR="00987C71" w:rsidRPr="00C65B88" w:rsidRDefault="00C65B88" w:rsidP="00144345">
            <w:pPr>
              <w:keepNext/>
              <w:jc w:val="center"/>
              <w:rPr>
                <w:rFonts w:ascii="Arial Narrow" w:hAnsi="Arial Narrow"/>
                <w:b/>
                <w:sz w:val="20"/>
                <w:szCs w:val="20"/>
              </w:rPr>
            </w:pPr>
            <w:r w:rsidRPr="00C65B88">
              <w:rPr>
                <w:rFonts w:ascii="Arial Narrow" w:hAnsi="Arial Narrow"/>
                <w:b/>
                <w:color w:val="000000"/>
                <w:spacing w:val="23"/>
                <w:sz w:val="20"/>
                <w:szCs w:val="20"/>
                <w:fitText w:val="670" w:id="-1402803454"/>
                <w14:textFill>
                  <w14:solidFill>
                    <w14:srgbClr w14:val="000000">
                      <w14:alpha w14:val="100000"/>
                    </w14:srgbClr>
                  </w14:solidFill>
                </w14:textFill>
              </w:rPr>
              <w:t>|||||||||</w:t>
            </w:r>
            <w:r w:rsidRPr="00C65B88">
              <w:rPr>
                <w:rFonts w:ascii="Arial Narrow" w:hAnsi="Arial Narrow"/>
                <w:b/>
                <w:color w:val="000000"/>
                <w:spacing w:val="4"/>
                <w:sz w:val="20"/>
                <w:szCs w:val="20"/>
                <w:fitText w:val="670" w:id="-1402803454"/>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bottom"/>
            <w:hideMark/>
          </w:tcPr>
          <w:p w14:paraId="52450D64" w14:textId="3924FDE6" w:rsidR="00987C71" w:rsidRPr="00C65B88" w:rsidRDefault="00C65B88" w:rsidP="00144345">
            <w:pPr>
              <w:keepNext/>
              <w:jc w:val="center"/>
              <w:rPr>
                <w:rFonts w:ascii="Arial Narrow" w:hAnsi="Arial Narrow"/>
                <w:b/>
                <w:sz w:val="20"/>
                <w:szCs w:val="20"/>
              </w:rPr>
            </w:pPr>
            <w:r w:rsidRPr="00C65B88">
              <w:rPr>
                <w:rFonts w:ascii="Arial Narrow" w:hAnsi="Arial Narrow"/>
                <w:b/>
                <w:color w:val="000000"/>
                <w:spacing w:val="23"/>
                <w:sz w:val="20"/>
                <w:szCs w:val="20"/>
                <w:fitText w:val="670" w:id="-1402802688"/>
                <w14:textFill>
                  <w14:solidFill>
                    <w14:srgbClr w14:val="000000">
                      <w14:alpha w14:val="100000"/>
                    </w14:srgbClr>
                  </w14:solidFill>
                </w14:textFill>
              </w:rPr>
              <w:t>|||||||||</w:t>
            </w:r>
            <w:r w:rsidRPr="00C65B88">
              <w:rPr>
                <w:rFonts w:ascii="Arial Narrow" w:hAnsi="Arial Narrow"/>
                <w:b/>
                <w:color w:val="000000"/>
                <w:spacing w:val="4"/>
                <w:sz w:val="20"/>
                <w:szCs w:val="20"/>
                <w:fitText w:val="670" w:id="-1402802688"/>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bottom"/>
            <w:hideMark/>
          </w:tcPr>
          <w:p w14:paraId="3E1F84AD" w14:textId="4BE757CA" w:rsidR="00987C71" w:rsidRPr="00C65B88" w:rsidRDefault="00C65B88" w:rsidP="00144345">
            <w:pPr>
              <w:keepNext/>
              <w:jc w:val="center"/>
              <w:rPr>
                <w:rFonts w:ascii="Arial Narrow" w:hAnsi="Arial Narrow"/>
                <w:b/>
                <w:sz w:val="20"/>
                <w:szCs w:val="20"/>
              </w:rPr>
            </w:pPr>
            <w:r w:rsidRPr="00C65B88">
              <w:rPr>
                <w:rFonts w:ascii="Arial Narrow" w:hAnsi="Arial Narrow"/>
                <w:b/>
                <w:color w:val="000000"/>
                <w:spacing w:val="23"/>
                <w:sz w:val="20"/>
                <w:szCs w:val="20"/>
                <w:fitText w:val="670" w:id="-1402802430"/>
                <w14:textFill>
                  <w14:solidFill>
                    <w14:srgbClr w14:val="000000">
                      <w14:alpha w14:val="100000"/>
                    </w14:srgbClr>
                  </w14:solidFill>
                </w14:textFill>
              </w:rPr>
              <w:t>|||||||||</w:t>
            </w:r>
            <w:r w:rsidRPr="00C65B88">
              <w:rPr>
                <w:rFonts w:ascii="Arial Narrow" w:hAnsi="Arial Narrow"/>
                <w:b/>
                <w:color w:val="000000"/>
                <w:spacing w:val="4"/>
                <w:sz w:val="20"/>
                <w:szCs w:val="20"/>
                <w:fitText w:val="670" w:id="-1402802430"/>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bottom"/>
            <w:hideMark/>
          </w:tcPr>
          <w:p w14:paraId="5A31C866" w14:textId="3CEA71EB" w:rsidR="00987C71" w:rsidRPr="00C65B88" w:rsidRDefault="00C65B88" w:rsidP="00144345">
            <w:pPr>
              <w:keepNext/>
              <w:jc w:val="center"/>
              <w:rPr>
                <w:rFonts w:ascii="Arial Narrow" w:hAnsi="Arial Narrow"/>
                <w:b/>
                <w:sz w:val="20"/>
                <w:szCs w:val="20"/>
              </w:rPr>
            </w:pPr>
            <w:r w:rsidRPr="00C65B88">
              <w:rPr>
                <w:rFonts w:ascii="Arial Narrow" w:hAnsi="Arial Narrow"/>
                <w:b/>
                <w:color w:val="000000"/>
                <w:spacing w:val="23"/>
                <w:sz w:val="20"/>
                <w:szCs w:val="20"/>
                <w:fitText w:val="670" w:id="-1402801920"/>
                <w14:textFill>
                  <w14:solidFill>
                    <w14:srgbClr w14:val="000000">
                      <w14:alpha w14:val="100000"/>
                    </w14:srgbClr>
                  </w14:solidFill>
                </w14:textFill>
              </w:rPr>
              <w:t>|||||||||</w:t>
            </w:r>
            <w:r w:rsidRPr="00C65B88">
              <w:rPr>
                <w:rFonts w:ascii="Arial Narrow" w:hAnsi="Arial Narrow"/>
                <w:b/>
                <w:color w:val="000000"/>
                <w:spacing w:val="4"/>
                <w:sz w:val="20"/>
                <w:szCs w:val="20"/>
                <w:fitText w:val="670" w:id="-1402801920"/>
                <w14:textFill>
                  <w14:solidFill>
                    <w14:srgbClr w14:val="000000">
                      <w14:alpha w14:val="100000"/>
                    </w14:srgbClr>
                  </w14:solidFill>
                </w14:textFill>
              </w:rPr>
              <w:t>|</w:t>
            </w:r>
          </w:p>
        </w:tc>
        <w:tc>
          <w:tcPr>
            <w:tcW w:w="703" w:type="pct"/>
            <w:tcBorders>
              <w:top w:val="nil"/>
              <w:left w:val="single" w:sz="4" w:space="0" w:color="auto"/>
              <w:bottom w:val="single" w:sz="4" w:space="0" w:color="auto"/>
              <w:right w:val="single" w:sz="4" w:space="0" w:color="auto"/>
            </w:tcBorders>
            <w:shd w:val="solid" w:color="000000" w:fill="000000"/>
            <w:vAlign w:val="bottom"/>
            <w:hideMark/>
          </w:tcPr>
          <w:p w14:paraId="42E1CBF1" w14:textId="416F7072" w:rsidR="00987C71" w:rsidRPr="00C65B88" w:rsidRDefault="00C65B88" w:rsidP="00144345">
            <w:pPr>
              <w:keepNext/>
              <w:jc w:val="center"/>
              <w:rPr>
                <w:rFonts w:ascii="Arial Narrow" w:hAnsi="Arial Narrow"/>
                <w:b/>
                <w:sz w:val="20"/>
                <w:szCs w:val="20"/>
              </w:rPr>
            </w:pPr>
            <w:r w:rsidRPr="00C65B88">
              <w:rPr>
                <w:rFonts w:ascii="Arial Narrow" w:hAnsi="Arial Narrow"/>
                <w:b/>
                <w:color w:val="000000"/>
                <w:spacing w:val="23"/>
                <w:sz w:val="20"/>
                <w:szCs w:val="20"/>
                <w:fitText w:val="670" w:id="-1402801663"/>
                <w14:textFill>
                  <w14:solidFill>
                    <w14:srgbClr w14:val="000000">
                      <w14:alpha w14:val="100000"/>
                    </w14:srgbClr>
                  </w14:solidFill>
                </w14:textFill>
              </w:rPr>
              <w:t>|||||||||</w:t>
            </w:r>
            <w:r w:rsidRPr="00C65B88">
              <w:rPr>
                <w:rFonts w:ascii="Arial Narrow" w:hAnsi="Arial Narrow"/>
                <w:b/>
                <w:color w:val="000000"/>
                <w:spacing w:val="4"/>
                <w:sz w:val="20"/>
                <w:szCs w:val="20"/>
                <w:fitText w:val="670" w:id="-1402801663"/>
                <w14:textFill>
                  <w14:solidFill>
                    <w14:srgbClr w14:val="000000">
                      <w14:alpha w14:val="100000"/>
                    </w14:srgbClr>
                  </w14:solidFill>
                </w14:textFill>
              </w:rPr>
              <w:t>|</w:t>
            </w:r>
          </w:p>
        </w:tc>
      </w:tr>
    </w:tbl>
    <w:p w14:paraId="7247C1FD" w14:textId="404B5AB6" w:rsidR="00D33370" w:rsidRPr="00D33370" w:rsidRDefault="00987C71" w:rsidP="00D33370">
      <w:pPr>
        <w:spacing w:after="120"/>
        <w:jc w:val="both"/>
        <w:rPr>
          <w:rFonts w:ascii="Arial Narrow" w:hAnsi="Arial Narrow" w:cstheme="minorHAnsi"/>
          <w:b/>
          <w:bCs/>
          <w:i/>
          <w:iCs/>
          <w:sz w:val="20"/>
          <w:szCs w:val="20"/>
        </w:rPr>
      </w:pPr>
      <w:r w:rsidRPr="004F2654">
        <w:rPr>
          <w:rFonts w:ascii="Arial Narrow" w:hAnsi="Arial Narrow" w:cstheme="minorHAnsi"/>
          <w:bCs/>
          <w:sz w:val="20"/>
          <w:szCs w:val="20"/>
        </w:rPr>
        <w:t xml:space="preserve">Source: </w:t>
      </w:r>
      <w:r w:rsidR="00D33370" w:rsidRPr="00D33370">
        <w:rPr>
          <w:rFonts w:ascii="Arial Narrow" w:hAnsi="Arial Narrow" w:cstheme="minorHAnsi"/>
          <w:i/>
          <w:iCs/>
          <w:sz w:val="20"/>
          <w:szCs w:val="20"/>
        </w:rPr>
        <w:t xml:space="preserve">ToR 4: Cost-effectiveness review of specified combinations of smoking cessation medicines and estimates for the Pharmaceutical Benefits Scheme </w:t>
      </w:r>
      <w:r w:rsidR="00D33370" w:rsidRPr="005069F9">
        <w:rPr>
          <w:rFonts w:ascii="Arial Narrow" w:hAnsi="Arial Narrow" w:cstheme="minorHAnsi"/>
          <w:sz w:val="20"/>
          <w:szCs w:val="20"/>
        </w:rPr>
        <w:t>report (p15)</w:t>
      </w:r>
    </w:p>
    <w:p w14:paraId="373BBDC4" w14:textId="5E0BF44D" w:rsidR="00987C71" w:rsidRPr="00987C71" w:rsidRDefault="00987C71" w:rsidP="00987C71">
      <w:pPr>
        <w:pStyle w:val="4Bodytextnumbered"/>
      </w:pPr>
      <w:r w:rsidRPr="00987C71">
        <w:t xml:space="preserve">A significant proportion of the additional costs to the PBS </w:t>
      </w:r>
      <w:r w:rsidR="007D464F">
        <w:t>we</w:t>
      </w:r>
      <w:r w:rsidRPr="00987C71">
        <w:t xml:space="preserve">re likely to come from those currently making attempts using OTC products or those who </w:t>
      </w:r>
      <w:r w:rsidR="007D464F">
        <w:t>we</w:t>
      </w:r>
      <w:r w:rsidRPr="00987C71">
        <w:t>re already using combination products by adding OTC products to their PBS</w:t>
      </w:r>
      <w:r w:rsidR="00B862CA">
        <w:t>-</w:t>
      </w:r>
      <w:r w:rsidRPr="00987C71">
        <w:t xml:space="preserve">subsidised regimen. Further subsidising quit attempts may encourage adherence which may also increase successful quitting. </w:t>
      </w:r>
    </w:p>
    <w:p w14:paraId="09EBE977" w14:textId="3B188CCA" w:rsidR="00987C71" w:rsidRPr="00987C71" w:rsidRDefault="00987C71" w:rsidP="00987C71">
      <w:pPr>
        <w:pStyle w:val="4Bodytextnumbered"/>
      </w:pPr>
      <w:r w:rsidRPr="00987C71">
        <w:lastRenderedPageBreak/>
        <w:t>The financial estimates rel</w:t>
      </w:r>
      <w:r w:rsidR="008E7D72">
        <w:t>ied</w:t>
      </w:r>
      <w:r w:rsidRPr="00987C71">
        <w:t xml:space="preserve"> heavily on the extent of the substitution away from existing products and whether these existing products </w:t>
      </w:r>
      <w:r w:rsidR="008E7D72">
        <w:t>were</w:t>
      </w:r>
      <w:r w:rsidRPr="00987C71">
        <w:t xml:space="preserve"> accessed OTC or </w:t>
      </w:r>
      <w:r w:rsidR="008E7D72">
        <w:t>on</w:t>
      </w:r>
      <w:r w:rsidRPr="00987C71">
        <w:t xml:space="preserve"> the PBS. Assuming higher rates of substitution such that combination therapy replaces most monotherapy on the PBS, or where twice as many patients switch from OTC to PBS therapy, increase</w:t>
      </w:r>
      <w:r w:rsidR="008E7D72">
        <w:t>d</w:t>
      </w:r>
      <w:r w:rsidRPr="00987C71">
        <w:t xml:space="preserve"> the estimates by 20% to 75%. There is also a risk that the financial implications may be considerably greater than those estimated above should the proposed listing</w:t>
      </w:r>
      <w:r w:rsidR="008E7D72">
        <w:t>s</w:t>
      </w:r>
      <w:r w:rsidRPr="00987C71">
        <w:t xml:space="preserve"> of combination therapy encourage patients to make additional assisted quit attempts.</w:t>
      </w:r>
    </w:p>
    <w:p w14:paraId="6FE20429" w14:textId="4419068A" w:rsidR="00A45320" w:rsidRDefault="00987C71" w:rsidP="008A0955">
      <w:pPr>
        <w:pStyle w:val="4Bodytextnumbered"/>
      </w:pPr>
      <w:r w:rsidRPr="00987C71">
        <w:t>The financial estimates above d</w:t>
      </w:r>
      <w:r w:rsidR="008E7D72">
        <w:t>id</w:t>
      </w:r>
      <w:r w:rsidRPr="00987C71">
        <w:t xml:space="preserve"> not account for the financial implications that w</w:t>
      </w:r>
      <w:r w:rsidR="008E7D72">
        <w:t>ould</w:t>
      </w:r>
      <w:r w:rsidRPr="00987C71">
        <w:t xml:space="preserve"> arise due to the current shortage of VAR. A sensitivity analysis accounting for this market shock found that the impact on the incremental costs depend</w:t>
      </w:r>
      <w:r w:rsidR="008E7D72">
        <w:t>ed</w:t>
      </w:r>
      <w:r w:rsidRPr="00987C71">
        <w:t xml:space="preserve"> on the extent that other PBS-listed therapies (NRT and BUP) would substitute for VAR when unavailable. </w:t>
      </w:r>
      <w:r w:rsidR="00D33370">
        <w:t xml:space="preserve">Monthly </w:t>
      </w:r>
      <w:r w:rsidRPr="00987C71">
        <w:t>PBS utilisation data for VAR, NRT and BUP f</w:t>
      </w:r>
      <w:r w:rsidR="00D33370">
        <w:t>rom January</w:t>
      </w:r>
      <w:r w:rsidRPr="00987C71">
        <w:t xml:space="preserve"> 2020 to </w:t>
      </w:r>
      <w:r w:rsidR="00D33370">
        <w:t xml:space="preserve">February </w:t>
      </w:r>
      <w:r w:rsidRPr="00987C71">
        <w:t>202</w:t>
      </w:r>
      <w:r w:rsidR="00D33370">
        <w:t>2</w:t>
      </w:r>
      <w:r w:rsidRPr="00987C71">
        <w:t xml:space="preserve"> are provided </w:t>
      </w:r>
      <w:r w:rsidR="00F5791E">
        <w:t>in Figure 1</w:t>
      </w:r>
      <w:r w:rsidR="00DE0153">
        <w:t xml:space="preserve"> above</w:t>
      </w:r>
      <w:r w:rsidRPr="00987C71">
        <w:t>.</w:t>
      </w:r>
      <w:bookmarkStart w:id="21" w:name="_Hlk88749113"/>
    </w:p>
    <w:p w14:paraId="6F04CF14" w14:textId="2B73EBC1" w:rsidR="00E1182B" w:rsidRDefault="00E1182B" w:rsidP="00E1182B">
      <w:pPr>
        <w:pStyle w:val="2Sections"/>
      </w:pPr>
      <w:bookmarkStart w:id="22" w:name="_Hlk103235048"/>
      <w:r>
        <w:t>PBAC outcome</w:t>
      </w:r>
    </w:p>
    <w:p w14:paraId="2FE81AF9" w14:textId="67B76A80" w:rsidR="00204CB0" w:rsidRPr="00204CB0" w:rsidRDefault="00204CB0" w:rsidP="00204CB0">
      <w:pPr>
        <w:pStyle w:val="4Bodytextnumbered"/>
        <w:rPr>
          <w:b/>
        </w:rPr>
      </w:pPr>
      <w:bookmarkStart w:id="23" w:name="_Hlk93565183"/>
      <w:bookmarkEnd w:id="22"/>
      <w:r w:rsidRPr="00204CB0">
        <w:t xml:space="preserve">The PBAC </w:t>
      </w:r>
      <w:r w:rsidR="008B708D">
        <w:t>noted</w:t>
      </w:r>
      <w:r w:rsidRPr="00204CB0">
        <w:t xml:space="preserve"> stakeholder submissions to the Review, sponsor PSCR</w:t>
      </w:r>
      <w:r>
        <w:t>s</w:t>
      </w:r>
      <w:r w:rsidRPr="00204CB0">
        <w:t>,</w:t>
      </w:r>
      <w:r>
        <w:t xml:space="preserve"> </w:t>
      </w:r>
      <w:r w:rsidR="008B708D">
        <w:t>one</w:t>
      </w:r>
      <w:r w:rsidRPr="00204CB0">
        <w:t xml:space="preserve"> pre-PBAC response, </w:t>
      </w:r>
      <w:r w:rsidR="008B708D">
        <w:t xml:space="preserve">and </w:t>
      </w:r>
      <w:r w:rsidRPr="00204CB0">
        <w:t>ESC and DUSC advice</w:t>
      </w:r>
      <w:r w:rsidR="008B708D">
        <w:t>.</w:t>
      </w:r>
    </w:p>
    <w:p w14:paraId="3A768425" w14:textId="6620A1D4" w:rsidR="00204CB0" w:rsidRPr="008B708D" w:rsidRDefault="00EB1F8C" w:rsidP="008B708D">
      <w:pPr>
        <w:pStyle w:val="4Bodytextnumbered"/>
        <w:rPr>
          <w:iCs/>
        </w:rPr>
      </w:pPr>
      <w:r>
        <w:t>The PBAC considered</w:t>
      </w:r>
      <w:r w:rsidR="0084156C">
        <w:t xml:space="preserve"> </w:t>
      </w:r>
      <w:r w:rsidR="008B708D" w:rsidRPr="008B708D">
        <w:t xml:space="preserve">the Review report for the </w:t>
      </w:r>
      <w:r w:rsidR="008B708D" w:rsidRPr="008B708D">
        <w:rPr>
          <w:iCs/>
        </w:rPr>
        <w:t xml:space="preserve">PMR of medicines for smoking cessation and the </w:t>
      </w:r>
      <w:r w:rsidR="008B708D" w:rsidRPr="00F1763D">
        <w:rPr>
          <w:i/>
        </w:rPr>
        <w:t>CER of Specified Combinations of Smoking Cessation Medicines and Estimates for the PBS</w:t>
      </w:r>
      <w:r w:rsidR="008B708D" w:rsidRPr="008B708D">
        <w:rPr>
          <w:iCs/>
        </w:rPr>
        <w:t xml:space="preserve"> report</w:t>
      </w:r>
      <w:r w:rsidR="0084156C">
        <w:rPr>
          <w:iCs/>
        </w:rPr>
        <w:t xml:space="preserve"> and overall, accepted the key findings.</w:t>
      </w:r>
      <w:r w:rsidR="008B708D" w:rsidRPr="008B708D">
        <w:rPr>
          <w:iCs/>
        </w:rPr>
        <w:t xml:space="preserve"> </w:t>
      </w:r>
    </w:p>
    <w:p w14:paraId="1C02E93D" w14:textId="23FB2DEE" w:rsidR="008B46F1" w:rsidRDefault="008B46F1" w:rsidP="008B46F1">
      <w:pPr>
        <w:pStyle w:val="4Bodytextnumbered"/>
      </w:pPr>
      <w:r w:rsidRPr="00750C42">
        <w:t>The PBAC considered the six options pr</w:t>
      </w:r>
      <w:r w:rsidR="00FD0EA1">
        <w:t xml:space="preserve">oposed by </w:t>
      </w:r>
      <w:r w:rsidRPr="00750C42">
        <w:t xml:space="preserve">the Review </w:t>
      </w:r>
      <w:r w:rsidR="00C962BB">
        <w:t>r</w:t>
      </w:r>
      <w:r w:rsidR="00FD0EA1">
        <w:t xml:space="preserve">eference </w:t>
      </w:r>
      <w:r w:rsidR="00C962BB">
        <w:t>g</w:t>
      </w:r>
      <w:r w:rsidR="00FD0EA1">
        <w:t xml:space="preserve">roup </w:t>
      </w:r>
      <w:r w:rsidRPr="00750C42">
        <w:t>and made the following comments and recommendations</w:t>
      </w:r>
      <w:r w:rsidR="008B708D">
        <w:t>.</w:t>
      </w:r>
    </w:p>
    <w:p w14:paraId="7840A393" w14:textId="6079D67A" w:rsidR="008B708D" w:rsidRPr="00A335E1" w:rsidRDefault="008B708D" w:rsidP="00A335E1">
      <w:pPr>
        <w:pStyle w:val="4Bodytextnumbered"/>
        <w:rPr>
          <w:b/>
          <w:bCs/>
        </w:rPr>
      </w:pPr>
      <w:r w:rsidRPr="00547ED3">
        <w:rPr>
          <w:b/>
          <w:bCs/>
        </w:rPr>
        <w:t>Option 1a</w:t>
      </w:r>
      <w:r w:rsidR="00A335E1">
        <w:rPr>
          <w:b/>
          <w:bCs/>
        </w:rPr>
        <w:t xml:space="preserve">: </w:t>
      </w:r>
      <w:r w:rsidRPr="00A335E1">
        <w:rPr>
          <w:b/>
          <w:bCs/>
        </w:rPr>
        <w:t xml:space="preserve">Allow an additional 12 weeks of PBS-subsidised NRT therapy in a 12-month period for non-Indigenous patients, for </w:t>
      </w:r>
      <w:r w:rsidR="00AB61EB">
        <w:rPr>
          <w:b/>
          <w:bCs/>
        </w:rPr>
        <w:t xml:space="preserve">the </w:t>
      </w:r>
      <w:r w:rsidRPr="00A335E1">
        <w:rPr>
          <w:b/>
          <w:bCs/>
        </w:rPr>
        <w:t>re-treatment of patients who</w:t>
      </w:r>
      <w:r w:rsidR="00AB61EB">
        <w:rPr>
          <w:b/>
          <w:bCs/>
        </w:rPr>
        <w:t xml:space="preserve"> had an unsuccessful</w:t>
      </w:r>
      <w:r w:rsidRPr="00A335E1">
        <w:rPr>
          <w:b/>
          <w:bCs/>
        </w:rPr>
        <w:t xml:space="preserve"> quit attempt.</w:t>
      </w:r>
    </w:p>
    <w:p w14:paraId="62D04665" w14:textId="77777777" w:rsidR="008B708D" w:rsidRPr="00547ED3" w:rsidRDefault="008B708D" w:rsidP="008B708D">
      <w:pPr>
        <w:pStyle w:val="4Bodytextnumbered"/>
        <w:numPr>
          <w:ilvl w:val="0"/>
          <w:numId w:val="0"/>
        </w:numPr>
        <w:ind w:left="720"/>
      </w:pPr>
      <w:r w:rsidRPr="00547ED3">
        <w:t>AND</w:t>
      </w:r>
    </w:p>
    <w:p w14:paraId="32D10813" w14:textId="4EF97602" w:rsidR="008B708D" w:rsidRPr="00547ED3" w:rsidRDefault="008B708D" w:rsidP="00A335E1">
      <w:pPr>
        <w:pStyle w:val="4Bodytextnumbered"/>
        <w:numPr>
          <w:ilvl w:val="0"/>
          <w:numId w:val="0"/>
        </w:numPr>
        <w:ind w:left="720"/>
        <w:rPr>
          <w:b/>
          <w:bCs/>
        </w:rPr>
      </w:pPr>
      <w:r w:rsidRPr="00547ED3">
        <w:rPr>
          <w:b/>
          <w:bCs/>
        </w:rPr>
        <w:t>Option 1b</w:t>
      </w:r>
      <w:r w:rsidR="00A335E1">
        <w:rPr>
          <w:b/>
          <w:bCs/>
        </w:rPr>
        <w:t xml:space="preserve">: </w:t>
      </w:r>
      <w:r w:rsidRPr="00547ED3">
        <w:rPr>
          <w:b/>
          <w:bCs/>
        </w:rPr>
        <w:t>Allow an additional 12 weeks of PBS-subsidised NRT therapy in a 12-month period for non-Indigenous patients, who have ceased smoking during the initial 12 weeks of therapy to prevent relapse.</w:t>
      </w:r>
    </w:p>
    <w:p w14:paraId="182F8BC2" w14:textId="077FBA8C" w:rsidR="008B708D" w:rsidRPr="00547ED3" w:rsidRDefault="008B708D" w:rsidP="008B708D">
      <w:pPr>
        <w:pStyle w:val="4Bodytextnumbered"/>
        <w:numPr>
          <w:ilvl w:val="0"/>
          <w:numId w:val="0"/>
        </w:numPr>
        <w:ind w:left="720"/>
      </w:pPr>
      <w:r w:rsidRPr="00547ED3">
        <w:t>Note: Aboriginal and Torres Strait Islander persons already have access to 24 weeks of PBS-subsidised NRT in a 12</w:t>
      </w:r>
      <w:r w:rsidR="00154E6C" w:rsidRPr="00547ED3">
        <w:t>-</w:t>
      </w:r>
      <w:r w:rsidRPr="00547ED3">
        <w:t>month period.</w:t>
      </w:r>
    </w:p>
    <w:p w14:paraId="22257CC5" w14:textId="7E9FCFA6" w:rsidR="00E95B43" w:rsidRPr="000951F1" w:rsidRDefault="00EA57EF" w:rsidP="00E95B43">
      <w:pPr>
        <w:pStyle w:val="4Bodytextnumbered"/>
        <w:rPr>
          <w:iCs/>
        </w:rPr>
      </w:pPr>
      <w:r w:rsidRPr="000951F1">
        <w:t xml:space="preserve">The PBAC recommended options 1a and 1b. </w:t>
      </w:r>
    </w:p>
    <w:p w14:paraId="53EE215E" w14:textId="2BBD2912" w:rsidR="00AA5669" w:rsidRDefault="00AA5669" w:rsidP="00AA5669">
      <w:pPr>
        <w:pStyle w:val="4Bodytextnumbered"/>
        <w:rPr>
          <w:iCs/>
        </w:rPr>
      </w:pPr>
      <w:r w:rsidRPr="00AA5669">
        <w:rPr>
          <w:iCs/>
        </w:rPr>
        <w:t xml:space="preserve">The PBAC </w:t>
      </w:r>
      <w:r w:rsidR="00673710">
        <w:rPr>
          <w:iCs/>
        </w:rPr>
        <w:t>noted</w:t>
      </w:r>
      <w:r w:rsidRPr="00AA5669">
        <w:rPr>
          <w:iCs/>
        </w:rPr>
        <w:t xml:space="preserve"> that option</w:t>
      </w:r>
      <w:r>
        <w:rPr>
          <w:iCs/>
        </w:rPr>
        <w:t>s</w:t>
      </w:r>
      <w:r w:rsidR="00673710">
        <w:rPr>
          <w:iCs/>
        </w:rPr>
        <w:t xml:space="preserve"> 1a and 1b</w:t>
      </w:r>
      <w:r w:rsidRPr="00AA5669">
        <w:rPr>
          <w:iCs/>
        </w:rPr>
        <w:t xml:space="preserve"> aligned with clinical guidelines and were supported by sponsors and stakeholders.</w:t>
      </w:r>
    </w:p>
    <w:p w14:paraId="177DE34C" w14:textId="559E6794" w:rsidR="00AA5669" w:rsidRPr="00496883" w:rsidRDefault="00AA5669" w:rsidP="00E95B43">
      <w:pPr>
        <w:pStyle w:val="4Bodytextnumbered"/>
        <w:rPr>
          <w:iCs/>
        </w:rPr>
      </w:pPr>
      <w:r>
        <w:t xml:space="preserve">The PBAC noted that </w:t>
      </w:r>
      <w:r w:rsidRPr="00AA5669">
        <w:t xml:space="preserve">there was </w:t>
      </w:r>
      <w:r w:rsidR="00746759">
        <w:t>limited</w:t>
      </w:r>
      <w:r w:rsidRPr="00AA5669">
        <w:t xml:space="preserve"> evidence from </w:t>
      </w:r>
      <w:r>
        <w:t xml:space="preserve">the </w:t>
      </w:r>
      <w:r w:rsidRPr="00AA5669">
        <w:t xml:space="preserve">ToR 3 </w:t>
      </w:r>
      <w:r>
        <w:t xml:space="preserve">report </w:t>
      </w:r>
      <w:r w:rsidRPr="00AA5669">
        <w:t>to support longer durations of treatment with NRT</w:t>
      </w:r>
      <w:r w:rsidR="006955D0">
        <w:t>.</w:t>
      </w:r>
      <w:r w:rsidRPr="00AA5669">
        <w:t xml:space="preserve"> </w:t>
      </w:r>
      <w:r w:rsidR="006955D0">
        <w:t>H</w:t>
      </w:r>
      <w:r w:rsidRPr="00AA5669">
        <w:t>owever</w:t>
      </w:r>
      <w:r w:rsidR="00055E20">
        <w:t>,</w:t>
      </w:r>
      <w:r w:rsidRPr="00AA5669">
        <w:t xml:space="preserve"> </w:t>
      </w:r>
      <w:r w:rsidR="006955D0">
        <w:t xml:space="preserve">the PBAC </w:t>
      </w:r>
      <w:r w:rsidRPr="00AA5669">
        <w:t xml:space="preserve">supported removing </w:t>
      </w:r>
      <w:r w:rsidRPr="00AA5669">
        <w:lastRenderedPageBreak/>
        <w:t xml:space="preserve">barriers to people accessing smoking cessation products and </w:t>
      </w:r>
      <w:r w:rsidR="0050106C">
        <w:t xml:space="preserve">providing </w:t>
      </w:r>
      <w:r w:rsidRPr="00AA5669">
        <w:t>greater flexibility for clinicians</w:t>
      </w:r>
      <w:r w:rsidR="005A01A7">
        <w:t>,</w:t>
      </w:r>
      <w:r w:rsidRPr="00AA5669">
        <w:t xml:space="preserve"> by allowing longer durations </w:t>
      </w:r>
      <w:r w:rsidR="00055E20">
        <w:t xml:space="preserve">of NRT </w:t>
      </w:r>
      <w:r w:rsidRPr="00AA5669">
        <w:t xml:space="preserve">or multiple </w:t>
      </w:r>
      <w:r w:rsidR="00B21987">
        <w:t xml:space="preserve">assisted </w:t>
      </w:r>
      <w:r w:rsidRPr="00AA5669">
        <w:t>attempts at stopping</w:t>
      </w:r>
      <w:r w:rsidR="00B21987">
        <w:t xml:space="preserve"> smoking</w:t>
      </w:r>
      <w:r w:rsidRPr="00AA5669">
        <w:t xml:space="preserve"> within the same year</w:t>
      </w:r>
      <w:r>
        <w:t>.</w:t>
      </w:r>
    </w:p>
    <w:p w14:paraId="6BDDFA44" w14:textId="4AEE153D" w:rsidR="00496883" w:rsidRPr="00496883" w:rsidRDefault="00496883" w:rsidP="00496883">
      <w:pPr>
        <w:pStyle w:val="4Bodytextnumbered"/>
        <w:rPr>
          <w:iCs/>
        </w:rPr>
      </w:pPr>
      <w:r w:rsidRPr="00496883">
        <w:rPr>
          <w:iCs/>
        </w:rPr>
        <w:t xml:space="preserve">The PBAC noted that the ToR 2 report </w:t>
      </w:r>
      <w:r w:rsidR="00B815A5">
        <w:rPr>
          <w:iCs/>
        </w:rPr>
        <w:t>showed</w:t>
      </w:r>
      <w:r w:rsidRPr="00496883">
        <w:rPr>
          <w:iCs/>
        </w:rPr>
        <w:t xml:space="preserve"> that only 12% of consumers prescribed NRT fill</w:t>
      </w:r>
      <w:r w:rsidR="007A037B">
        <w:rPr>
          <w:iCs/>
        </w:rPr>
        <w:t>ed</w:t>
      </w:r>
      <w:r w:rsidRPr="00496883">
        <w:rPr>
          <w:iCs/>
        </w:rPr>
        <w:t xml:space="preserve"> prescriptions for the full 12 weeks duration of therapy, suggesting that uptake (via the PBS) of longer durations of therapy </w:t>
      </w:r>
      <w:r w:rsidR="007D464F">
        <w:rPr>
          <w:iCs/>
        </w:rPr>
        <w:t>may</w:t>
      </w:r>
      <w:r w:rsidRPr="00496883">
        <w:rPr>
          <w:iCs/>
        </w:rPr>
        <w:t xml:space="preserve"> be low.</w:t>
      </w:r>
    </w:p>
    <w:p w14:paraId="0E4DE462" w14:textId="33D9B28A" w:rsidR="008F0231" w:rsidRPr="00A335E1" w:rsidRDefault="008F0231" w:rsidP="00A335E1">
      <w:pPr>
        <w:pStyle w:val="4Bodytextnumbered"/>
        <w:rPr>
          <w:b/>
          <w:bCs/>
          <w:iCs/>
        </w:rPr>
      </w:pPr>
      <w:r w:rsidRPr="00547ED3">
        <w:rPr>
          <w:b/>
          <w:bCs/>
          <w:iCs/>
        </w:rPr>
        <w:t>Option 2a</w:t>
      </w:r>
      <w:r w:rsidR="00A335E1">
        <w:rPr>
          <w:b/>
          <w:bCs/>
          <w:iCs/>
        </w:rPr>
        <w:t xml:space="preserve">: </w:t>
      </w:r>
      <w:r w:rsidRPr="00A335E1">
        <w:rPr>
          <w:b/>
          <w:bCs/>
          <w:iCs/>
        </w:rPr>
        <w:t>Remove the requirement for nicotine patch, lozenge, or gum to be used as monotherapy to allow for combinations of NRT patch + short acting formulations to be used concomitantly on the PBS.</w:t>
      </w:r>
    </w:p>
    <w:p w14:paraId="5D3F3C2C" w14:textId="77777777" w:rsidR="008F0231" w:rsidRPr="00547ED3" w:rsidRDefault="008F0231" w:rsidP="008F0231">
      <w:pPr>
        <w:pStyle w:val="4Bodytextnumbered"/>
        <w:numPr>
          <w:ilvl w:val="0"/>
          <w:numId w:val="0"/>
        </w:numPr>
        <w:ind w:left="720"/>
        <w:rPr>
          <w:iCs/>
        </w:rPr>
      </w:pPr>
      <w:r w:rsidRPr="00547ED3">
        <w:rPr>
          <w:iCs/>
        </w:rPr>
        <w:t>AND</w:t>
      </w:r>
    </w:p>
    <w:p w14:paraId="7EC0B023" w14:textId="5BA5E56A" w:rsidR="008F0231" w:rsidRPr="00547ED3" w:rsidRDefault="008F0231" w:rsidP="00A335E1">
      <w:pPr>
        <w:pStyle w:val="4Bodytextnumbered"/>
        <w:numPr>
          <w:ilvl w:val="0"/>
          <w:numId w:val="0"/>
        </w:numPr>
        <w:ind w:left="720"/>
        <w:rPr>
          <w:b/>
          <w:bCs/>
          <w:iCs/>
        </w:rPr>
      </w:pPr>
      <w:r w:rsidRPr="00547ED3">
        <w:rPr>
          <w:b/>
          <w:bCs/>
          <w:iCs/>
        </w:rPr>
        <w:t>Option 2b</w:t>
      </w:r>
      <w:r w:rsidR="00A335E1">
        <w:rPr>
          <w:b/>
          <w:bCs/>
          <w:iCs/>
        </w:rPr>
        <w:t xml:space="preserve">: </w:t>
      </w:r>
      <w:r w:rsidRPr="00547ED3">
        <w:rPr>
          <w:b/>
          <w:bCs/>
          <w:iCs/>
        </w:rPr>
        <w:t>Remove the requirement for nicotine patch, to be used as monotherapy to allow for combinations of NRT patch formulations to be used on the PBS, to allow for double patching (e.g., two 21 mg/24</w:t>
      </w:r>
      <w:r w:rsidR="00EF02C3" w:rsidRPr="00547ED3">
        <w:rPr>
          <w:b/>
          <w:bCs/>
          <w:iCs/>
        </w:rPr>
        <w:t>-</w:t>
      </w:r>
      <w:r w:rsidRPr="00547ED3">
        <w:rPr>
          <w:b/>
          <w:bCs/>
          <w:iCs/>
        </w:rPr>
        <w:t>hour patches daily, 21mg + 14mg/24</w:t>
      </w:r>
      <w:r w:rsidR="00EF02C3" w:rsidRPr="00547ED3">
        <w:rPr>
          <w:b/>
          <w:bCs/>
          <w:iCs/>
        </w:rPr>
        <w:t>-</w:t>
      </w:r>
      <w:r w:rsidRPr="00547ED3">
        <w:rPr>
          <w:b/>
          <w:bCs/>
          <w:iCs/>
        </w:rPr>
        <w:t>hour patches daily) as second line therapy under an authority required restriction. Alternatively, double patching could be achieved by allowing increased quantities to be approved via a phone or online authority.</w:t>
      </w:r>
    </w:p>
    <w:p w14:paraId="53234E67" w14:textId="08F55C7E" w:rsidR="008F0231" w:rsidRPr="000951F1" w:rsidRDefault="008F0231" w:rsidP="008B46F1">
      <w:pPr>
        <w:pStyle w:val="4Bodytextnumbered"/>
      </w:pPr>
      <w:r w:rsidRPr="000951F1">
        <w:t>The PBAC recommended option 2a</w:t>
      </w:r>
      <w:r w:rsidR="008326A7">
        <w:t xml:space="preserve">, but where multiple forms of </w:t>
      </w:r>
      <w:r w:rsidR="00927E85">
        <w:t>NRT</w:t>
      </w:r>
      <w:r w:rsidR="008326A7">
        <w:t xml:space="preserve"> are prescribed, subsidy be limited to up to </w:t>
      </w:r>
      <w:r w:rsidR="00927E85">
        <w:t>two</w:t>
      </w:r>
      <w:r w:rsidR="008326A7">
        <w:t xml:space="preserve"> different forms</w:t>
      </w:r>
      <w:r w:rsidRPr="000951F1">
        <w:t xml:space="preserve">. </w:t>
      </w:r>
    </w:p>
    <w:p w14:paraId="093DE0C2" w14:textId="35F8EEF2" w:rsidR="0050106C" w:rsidRPr="00C71638" w:rsidRDefault="0050106C" w:rsidP="0050106C">
      <w:pPr>
        <w:pStyle w:val="4Bodytextnumbered"/>
      </w:pPr>
      <w:r w:rsidRPr="0050106C">
        <w:t xml:space="preserve">The PBAC noted that option 2a </w:t>
      </w:r>
      <w:r w:rsidR="00C471CF">
        <w:t>was consistent</w:t>
      </w:r>
      <w:r w:rsidRPr="0050106C">
        <w:t xml:space="preserve"> with clinical guidelines and was supported by sponsors and stakeholders. </w:t>
      </w:r>
    </w:p>
    <w:p w14:paraId="59C6B417" w14:textId="050C11C6" w:rsidR="00AA5669" w:rsidRPr="00673710" w:rsidRDefault="00AA5669" w:rsidP="00673710">
      <w:pPr>
        <w:pStyle w:val="4Bodytextnumbered"/>
        <w:rPr>
          <w:iCs/>
        </w:rPr>
      </w:pPr>
      <w:r>
        <w:rPr>
          <w:iCs/>
        </w:rPr>
        <w:t xml:space="preserve">The PBAC noted that </w:t>
      </w:r>
      <w:r w:rsidRPr="00AA5669">
        <w:rPr>
          <w:iCs/>
        </w:rPr>
        <w:t>the Review report</w:t>
      </w:r>
      <w:r>
        <w:rPr>
          <w:iCs/>
        </w:rPr>
        <w:t xml:space="preserve"> showed that</w:t>
      </w:r>
      <w:r w:rsidRPr="00AA5669">
        <w:rPr>
          <w:iCs/>
        </w:rPr>
        <w:t xml:space="preserve"> combination NRT was superior to NRT monotherapy in terms of efficacy. In terms of safety, there were no statistically significant differences in cardiac adverse events, serious adverse </w:t>
      </w:r>
      <w:r w:rsidR="00F113DF" w:rsidRPr="00AA5669">
        <w:rPr>
          <w:iCs/>
        </w:rPr>
        <w:t>events,</w:t>
      </w:r>
      <w:r w:rsidRPr="00AA5669">
        <w:rPr>
          <w:iCs/>
        </w:rPr>
        <w:t xml:space="preserve"> or withdrawals due to treatment. </w:t>
      </w:r>
    </w:p>
    <w:p w14:paraId="0255B840" w14:textId="6D717D87" w:rsidR="000951F1" w:rsidRDefault="007A6A4B" w:rsidP="000556BE">
      <w:pPr>
        <w:pStyle w:val="4Bodytextnumbered"/>
      </w:pPr>
      <w:r w:rsidRPr="007A6A4B">
        <w:t xml:space="preserve">The </w:t>
      </w:r>
      <w:r>
        <w:t xml:space="preserve">PBAC </w:t>
      </w:r>
      <w:r w:rsidRPr="00AA7A2C">
        <w:t xml:space="preserve">considered that the estimated ICERs for NRT+NRT </w:t>
      </w:r>
      <w:r w:rsidRPr="00587940">
        <w:rPr>
          <w:i/>
          <w:iCs/>
        </w:rPr>
        <w:t>versus</w:t>
      </w:r>
      <w:r w:rsidRPr="00AA7A2C">
        <w:t xml:space="preserve"> the usual care comparators (</w:t>
      </w:r>
      <w:r w:rsidR="00380F1A">
        <w:t>VAR</w:t>
      </w:r>
      <w:r w:rsidRPr="00AA7A2C">
        <w:t xml:space="preserve"> </w:t>
      </w:r>
      <w:r w:rsidR="00113A41">
        <w:t>and</w:t>
      </w:r>
      <w:r w:rsidRPr="00AA7A2C">
        <w:t xml:space="preserve"> </w:t>
      </w:r>
      <w:r w:rsidR="00380F1A">
        <w:t>NRT</w:t>
      </w:r>
      <w:r w:rsidRPr="00AA7A2C">
        <w:t xml:space="preserve">) </w:t>
      </w:r>
      <w:r w:rsidR="000503B5">
        <w:t xml:space="preserve">were </w:t>
      </w:r>
      <w:r w:rsidR="00914331">
        <w:t>within acceptable</w:t>
      </w:r>
      <w:r w:rsidRPr="00AA7A2C">
        <w:t xml:space="preserve"> cost-effectiveness thresholds that </w:t>
      </w:r>
      <w:r w:rsidR="00B52E81">
        <w:t>we</w:t>
      </w:r>
      <w:r w:rsidRPr="00AA7A2C">
        <w:t xml:space="preserve">re </w:t>
      </w:r>
      <w:r w:rsidR="00E22AB4">
        <w:t>typically</w:t>
      </w:r>
      <w:r w:rsidRPr="00AA7A2C">
        <w:t xml:space="preserve"> considered reasonable value for money</w:t>
      </w:r>
      <w:r w:rsidR="00CE329A">
        <w:t xml:space="preserve">. </w:t>
      </w:r>
    </w:p>
    <w:p w14:paraId="0C971B9B" w14:textId="61F799CE" w:rsidR="000951F1" w:rsidRDefault="000951F1" w:rsidP="000951F1">
      <w:pPr>
        <w:pStyle w:val="4Bodytextnumbered"/>
      </w:pPr>
      <w:r w:rsidRPr="000951F1">
        <w:t xml:space="preserve">The PBAC agreed with the DUSC that there </w:t>
      </w:r>
      <w:r w:rsidR="00C47E69">
        <w:t>were</w:t>
      </w:r>
      <w:r w:rsidRPr="000951F1">
        <w:t xml:space="preserve"> several areas of uncertainty regarding the estimated </w:t>
      </w:r>
      <w:r w:rsidR="00C47E69">
        <w:t xml:space="preserve">financial </w:t>
      </w:r>
      <w:r w:rsidRPr="000951F1">
        <w:t>impact to the PBS of the three listing scenarios</w:t>
      </w:r>
      <w:r w:rsidR="005A01A7">
        <w:t xml:space="preserve">. </w:t>
      </w:r>
      <w:r w:rsidR="000A6303">
        <w:t>However, t</w:t>
      </w:r>
      <w:r w:rsidR="005A01A7">
        <w:t>he PBAC considered</w:t>
      </w:r>
      <w:r w:rsidRPr="000951F1">
        <w:t xml:space="preserve"> the estimated incremental cost to the PBS </w:t>
      </w:r>
      <w:r w:rsidR="005A01A7">
        <w:t>for the listing of combination NRT</w:t>
      </w:r>
      <w:r w:rsidR="006955D0">
        <w:t xml:space="preserve"> </w:t>
      </w:r>
      <w:r w:rsidR="009161A2">
        <w:t>(</w:t>
      </w:r>
      <w:r w:rsidR="00D33370" w:rsidRPr="00D33370">
        <w:rPr>
          <w:bCs/>
        </w:rPr>
        <w:t>$60 million to &lt; $70 million</w:t>
      </w:r>
      <w:r w:rsidR="009161A2">
        <w:t xml:space="preserve"> </w:t>
      </w:r>
      <w:r w:rsidR="005A01A7">
        <w:t>over</w:t>
      </w:r>
      <w:r w:rsidRPr="000951F1">
        <w:t xml:space="preserve"> the first five</w:t>
      </w:r>
      <w:r w:rsidR="006955D0">
        <w:t xml:space="preserve"> </w:t>
      </w:r>
      <w:r w:rsidRPr="000951F1">
        <w:t>years</w:t>
      </w:r>
      <w:r w:rsidR="006955D0">
        <w:t>)</w:t>
      </w:r>
      <w:r w:rsidR="005A01A7">
        <w:t xml:space="preserve"> </w:t>
      </w:r>
      <w:r w:rsidRPr="000951F1">
        <w:t>acceptable.</w:t>
      </w:r>
    </w:p>
    <w:p w14:paraId="304ADB1B" w14:textId="40F18560" w:rsidR="008F0231" w:rsidRPr="00EE63F5" w:rsidRDefault="000556BE" w:rsidP="000556BE">
      <w:pPr>
        <w:pStyle w:val="4Bodytextnumbered"/>
      </w:pPr>
      <w:r>
        <w:t xml:space="preserve">The PBAC noted that the scenario of listing both VAR+NRT and NRT+NRT </w:t>
      </w:r>
      <w:r w:rsidR="002968CF">
        <w:t xml:space="preserve">compared to VAR+NRT alone </w:t>
      </w:r>
      <w:r>
        <w:t xml:space="preserve">was </w:t>
      </w:r>
      <w:r w:rsidR="00744240">
        <w:t xml:space="preserve">found </w:t>
      </w:r>
      <w:r w:rsidR="00744240" w:rsidRPr="00744240">
        <w:t>to be both costlier and less effective (i.e., was dominated)</w:t>
      </w:r>
      <w:r>
        <w:t xml:space="preserve">. </w:t>
      </w:r>
      <w:r w:rsidR="00AA7A2C" w:rsidRPr="00AA7A2C">
        <w:t xml:space="preserve">The PBAC agreed with the ESC that </w:t>
      </w:r>
      <w:r w:rsidR="00AA7A2C" w:rsidRPr="000556BE">
        <w:rPr>
          <w:lang w:val="en-US"/>
        </w:rPr>
        <w:t>an indirect comparison of ICERs suggest</w:t>
      </w:r>
      <w:r w:rsidR="00C47E69">
        <w:rPr>
          <w:lang w:val="en-US"/>
        </w:rPr>
        <w:t>ed</w:t>
      </w:r>
      <w:r w:rsidR="00AA7A2C" w:rsidRPr="000556BE">
        <w:rPr>
          <w:lang w:val="en-US"/>
        </w:rPr>
        <w:t xml:space="preserve"> that NRT+NRT </w:t>
      </w:r>
      <w:r>
        <w:rPr>
          <w:lang w:val="en-US"/>
        </w:rPr>
        <w:t>was</w:t>
      </w:r>
      <w:r w:rsidR="00AA7A2C" w:rsidRPr="000556BE">
        <w:rPr>
          <w:lang w:val="en-US"/>
        </w:rPr>
        <w:t xml:space="preserve"> a more cost-effective </w:t>
      </w:r>
      <w:r w:rsidR="00C47E69">
        <w:rPr>
          <w:lang w:val="en-US"/>
        </w:rPr>
        <w:t>option</w:t>
      </w:r>
      <w:r w:rsidR="00AA7A2C" w:rsidRPr="000556BE">
        <w:rPr>
          <w:lang w:val="en-US"/>
        </w:rPr>
        <w:t xml:space="preserve"> than VAR+NRT</w:t>
      </w:r>
      <w:r w:rsidR="00D047F0">
        <w:rPr>
          <w:lang w:val="en-US"/>
        </w:rPr>
        <w:t>. The PBAC considered that</w:t>
      </w:r>
      <w:r w:rsidR="007E0A64">
        <w:rPr>
          <w:lang w:val="en-US"/>
        </w:rPr>
        <w:t xml:space="preserve"> given a choice between recommending VAR+NRT or NRT+NRT, </w:t>
      </w:r>
      <w:r w:rsidR="005A01A7">
        <w:rPr>
          <w:lang w:val="en-US"/>
        </w:rPr>
        <w:t xml:space="preserve">and </w:t>
      </w:r>
      <w:r>
        <w:rPr>
          <w:lang w:val="en-US"/>
        </w:rPr>
        <w:t>in the context of the current shortage</w:t>
      </w:r>
      <w:r w:rsidR="00B815A5">
        <w:rPr>
          <w:lang w:val="en-US"/>
        </w:rPr>
        <w:t xml:space="preserve"> of VAR</w:t>
      </w:r>
      <w:r>
        <w:rPr>
          <w:lang w:val="en-US"/>
        </w:rPr>
        <w:t xml:space="preserve">, NRT+NRT </w:t>
      </w:r>
      <w:r w:rsidR="00D047F0">
        <w:rPr>
          <w:lang w:val="en-US"/>
        </w:rPr>
        <w:t xml:space="preserve">was </w:t>
      </w:r>
      <w:r>
        <w:rPr>
          <w:lang w:val="en-US"/>
        </w:rPr>
        <w:t>the mo</w:t>
      </w:r>
      <w:r w:rsidR="009177CF">
        <w:rPr>
          <w:lang w:val="en-US"/>
        </w:rPr>
        <w:t>st</w:t>
      </w:r>
      <w:r>
        <w:rPr>
          <w:lang w:val="en-US"/>
        </w:rPr>
        <w:t xml:space="preserve"> </w:t>
      </w:r>
      <w:r w:rsidR="00C47E69">
        <w:rPr>
          <w:lang w:val="en-US"/>
        </w:rPr>
        <w:t>appropriate</w:t>
      </w:r>
      <w:r>
        <w:rPr>
          <w:lang w:val="en-US"/>
        </w:rPr>
        <w:t xml:space="preserve"> </w:t>
      </w:r>
      <w:r w:rsidR="007E0A64">
        <w:rPr>
          <w:lang w:val="en-US"/>
        </w:rPr>
        <w:t>choice</w:t>
      </w:r>
      <w:r>
        <w:rPr>
          <w:lang w:val="en-US"/>
        </w:rPr>
        <w:t xml:space="preserve"> at the </w:t>
      </w:r>
      <w:r w:rsidR="009177CF">
        <w:rPr>
          <w:lang w:val="en-US"/>
        </w:rPr>
        <w:t>present</w:t>
      </w:r>
      <w:r>
        <w:rPr>
          <w:lang w:val="en-US"/>
        </w:rPr>
        <w:t xml:space="preserve"> time.</w:t>
      </w:r>
    </w:p>
    <w:p w14:paraId="521A5C45" w14:textId="65D65D9F" w:rsidR="00721144" w:rsidRPr="000951F1" w:rsidRDefault="00721144" w:rsidP="00721144">
      <w:pPr>
        <w:pStyle w:val="4Bodytextnumbered"/>
      </w:pPr>
      <w:r w:rsidRPr="000951F1">
        <w:lastRenderedPageBreak/>
        <w:t>The PBAC did not recommend option 2b.</w:t>
      </w:r>
    </w:p>
    <w:p w14:paraId="05B80D3D" w14:textId="3D1062A1" w:rsidR="004E5294" w:rsidRDefault="004E5294" w:rsidP="004E5294">
      <w:pPr>
        <w:pStyle w:val="4Bodytextnumbered"/>
        <w:rPr>
          <w:iCs/>
        </w:rPr>
      </w:pPr>
      <w:r>
        <w:t xml:space="preserve">The PBAC noted that </w:t>
      </w:r>
      <w:r w:rsidR="00E65C1B">
        <w:t>advice from the</w:t>
      </w:r>
      <w:r w:rsidR="00C962BB">
        <w:t xml:space="preserve"> r</w:t>
      </w:r>
      <w:r w:rsidR="00E65C1B">
        <w:t xml:space="preserve">eference </w:t>
      </w:r>
      <w:r w:rsidR="00C962BB">
        <w:t>g</w:t>
      </w:r>
      <w:r w:rsidR="00E65C1B">
        <w:t xml:space="preserve">roup and </w:t>
      </w:r>
      <w:r w:rsidRPr="004E5294">
        <w:t xml:space="preserve">several guidelines suggested that </w:t>
      </w:r>
      <w:r>
        <w:t>double patching</w:t>
      </w:r>
      <w:r w:rsidRPr="004E5294">
        <w:t xml:space="preserve"> may be useful for heavily dependent smokers</w:t>
      </w:r>
      <w:r w:rsidR="00E65C1B">
        <w:t xml:space="preserve">. </w:t>
      </w:r>
      <w:r w:rsidR="00D9740A">
        <w:t>T</w:t>
      </w:r>
      <w:r w:rsidRPr="004E5294">
        <w:rPr>
          <w:iCs/>
        </w:rPr>
        <w:t xml:space="preserve">he PBAC agreed with the ESC </w:t>
      </w:r>
      <w:r w:rsidR="00D9740A">
        <w:rPr>
          <w:iCs/>
        </w:rPr>
        <w:t xml:space="preserve">however, </w:t>
      </w:r>
      <w:r w:rsidRPr="004E5294">
        <w:rPr>
          <w:iCs/>
        </w:rPr>
        <w:t>that the evidence to support option 2b (double patching) was limited and varied according to the different strengths compared.</w:t>
      </w:r>
    </w:p>
    <w:p w14:paraId="7DF18A77" w14:textId="447CBDA7" w:rsidR="00673710" w:rsidRPr="004E5294" w:rsidRDefault="00673710" w:rsidP="004E5294">
      <w:pPr>
        <w:pStyle w:val="4Bodytextnumbered"/>
        <w:rPr>
          <w:iCs/>
        </w:rPr>
      </w:pPr>
      <w:r>
        <w:rPr>
          <w:iCs/>
        </w:rPr>
        <w:t xml:space="preserve">The PBAC </w:t>
      </w:r>
      <w:r w:rsidR="00E65C1B">
        <w:rPr>
          <w:iCs/>
        </w:rPr>
        <w:t>agreed</w:t>
      </w:r>
      <w:r>
        <w:rPr>
          <w:iCs/>
        </w:rPr>
        <w:t xml:space="preserve"> </w:t>
      </w:r>
      <w:r w:rsidR="00E65C1B">
        <w:rPr>
          <w:iCs/>
        </w:rPr>
        <w:t xml:space="preserve">with </w:t>
      </w:r>
      <w:r>
        <w:rPr>
          <w:iCs/>
        </w:rPr>
        <w:t xml:space="preserve">the </w:t>
      </w:r>
      <w:r w:rsidR="00C962BB">
        <w:rPr>
          <w:iCs/>
        </w:rPr>
        <w:t>r</w:t>
      </w:r>
      <w:r>
        <w:rPr>
          <w:iCs/>
        </w:rPr>
        <w:t xml:space="preserve">eference </w:t>
      </w:r>
      <w:r w:rsidR="00C962BB">
        <w:rPr>
          <w:iCs/>
        </w:rPr>
        <w:t>g</w:t>
      </w:r>
      <w:r>
        <w:rPr>
          <w:iCs/>
        </w:rPr>
        <w:t>roup that</w:t>
      </w:r>
      <w:r w:rsidRPr="00673710">
        <w:rPr>
          <w:iCs/>
        </w:rPr>
        <w:t xml:space="preserve"> PBS restrictions should not allow </w:t>
      </w:r>
      <w:r w:rsidR="00E65C1B">
        <w:rPr>
          <w:iCs/>
        </w:rPr>
        <w:t xml:space="preserve">multiple NRT patches </w:t>
      </w:r>
      <w:r w:rsidR="000951F1">
        <w:rPr>
          <w:iCs/>
        </w:rPr>
        <w:t xml:space="preserve">as </w:t>
      </w:r>
      <w:r w:rsidRPr="00673710">
        <w:rPr>
          <w:iCs/>
        </w:rPr>
        <w:t>first line</w:t>
      </w:r>
      <w:r w:rsidR="000951F1">
        <w:rPr>
          <w:iCs/>
        </w:rPr>
        <w:t xml:space="preserve"> treatment</w:t>
      </w:r>
      <w:r w:rsidRPr="00673710">
        <w:rPr>
          <w:iCs/>
        </w:rPr>
        <w:t xml:space="preserve"> and </w:t>
      </w:r>
      <w:r w:rsidR="000951F1">
        <w:rPr>
          <w:iCs/>
        </w:rPr>
        <w:t xml:space="preserve">that </w:t>
      </w:r>
      <w:r w:rsidRPr="00673710">
        <w:rPr>
          <w:iCs/>
        </w:rPr>
        <w:t>clinicians should first trial standard dose</w:t>
      </w:r>
      <w:r w:rsidR="00B21987">
        <w:rPr>
          <w:iCs/>
        </w:rPr>
        <w:t>s of</w:t>
      </w:r>
      <w:r w:rsidRPr="00673710">
        <w:rPr>
          <w:iCs/>
        </w:rPr>
        <w:t xml:space="preserve"> NRT to avoid unnecessary treatment withdrawal and wastage.</w:t>
      </w:r>
    </w:p>
    <w:p w14:paraId="7E46096E" w14:textId="2F675215" w:rsidR="004E5294" w:rsidRPr="00A51C55" w:rsidRDefault="004E5294" w:rsidP="00A51C55">
      <w:pPr>
        <w:pStyle w:val="4Bodytextnumbered"/>
        <w:rPr>
          <w:iCs/>
        </w:rPr>
      </w:pPr>
      <w:r w:rsidRPr="004E5294">
        <w:rPr>
          <w:iCs/>
        </w:rPr>
        <w:t>The PBAC recommend</w:t>
      </w:r>
      <w:r>
        <w:rPr>
          <w:iCs/>
        </w:rPr>
        <w:t>ed that the department explore options</w:t>
      </w:r>
      <w:r w:rsidRPr="004E5294">
        <w:rPr>
          <w:iCs/>
        </w:rPr>
        <w:t xml:space="preserve"> </w:t>
      </w:r>
      <w:r>
        <w:rPr>
          <w:iCs/>
        </w:rPr>
        <w:t>for the PBS subsidy of double patching via an authority required level of restriction</w:t>
      </w:r>
      <w:r w:rsidR="00BD5413">
        <w:rPr>
          <w:iCs/>
        </w:rPr>
        <w:t xml:space="preserve"> to be considered by the committee at a later date</w:t>
      </w:r>
      <w:r>
        <w:rPr>
          <w:iCs/>
        </w:rPr>
        <w:t>.</w:t>
      </w:r>
    </w:p>
    <w:p w14:paraId="67F10CF0" w14:textId="4BE249E3" w:rsidR="00A51C55" w:rsidRPr="00A335E1" w:rsidRDefault="008B46F1" w:rsidP="00A335E1">
      <w:pPr>
        <w:pStyle w:val="4Bodytextnumbered"/>
        <w:rPr>
          <w:b/>
          <w:bCs/>
        </w:rPr>
      </w:pPr>
      <w:r w:rsidRPr="00547ED3">
        <w:rPr>
          <w:b/>
          <w:bCs/>
        </w:rPr>
        <w:t>Option 3</w:t>
      </w:r>
      <w:r w:rsidR="00A335E1">
        <w:rPr>
          <w:b/>
          <w:bCs/>
        </w:rPr>
        <w:t xml:space="preserve">: </w:t>
      </w:r>
      <w:r w:rsidRPr="00A335E1">
        <w:rPr>
          <w:b/>
          <w:bCs/>
        </w:rPr>
        <w:t>Remove the requirement for VAR to be used as monotherapy, to allow for use in combination with NRT on the PBS.</w:t>
      </w:r>
    </w:p>
    <w:p w14:paraId="1C8EC8A7" w14:textId="5536F999" w:rsidR="00AA7A2C" w:rsidRPr="000951F1" w:rsidRDefault="00AA7A2C" w:rsidP="00AA7A2C">
      <w:pPr>
        <w:pStyle w:val="4Bodytextnumbered"/>
      </w:pPr>
      <w:r w:rsidRPr="000951F1">
        <w:t>The PBAC did not recommend option 3.</w:t>
      </w:r>
    </w:p>
    <w:p w14:paraId="39124E8E" w14:textId="3B127C4C" w:rsidR="00E65C1B" w:rsidRPr="00C71638" w:rsidRDefault="00E65C1B" w:rsidP="00E65C1B">
      <w:pPr>
        <w:pStyle w:val="4Bodytextnumbered"/>
      </w:pPr>
      <w:r>
        <w:t>The PBAC noted that t</w:t>
      </w:r>
      <w:r w:rsidRPr="00E65C1B">
        <w:t>wo national guidelines and one international guideline</w:t>
      </w:r>
      <w:r>
        <w:t xml:space="preserve"> </w:t>
      </w:r>
      <w:r w:rsidRPr="00E65C1B">
        <w:t xml:space="preserve">recommended the use of </w:t>
      </w:r>
      <w:r>
        <w:t>VAR</w:t>
      </w:r>
      <w:r w:rsidRPr="00E65C1B">
        <w:t xml:space="preserve"> in combination with NRT</w:t>
      </w:r>
      <w:r w:rsidR="00F113DF">
        <w:t>,</w:t>
      </w:r>
      <w:r w:rsidRPr="00E65C1B">
        <w:t xml:space="preserve"> as an alternative to </w:t>
      </w:r>
      <w:r>
        <w:t>VAR</w:t>
      </w:r>
      <w:r w:rsidRPr="00E65C1B">
        <w:t xml:space="preserve"> alone.</w:t>
      </w:r>
    </w:p>
    <w:p w14:paraId="11C9BB4C" w14:textId="3609B722" w:rsidR="00AA7A2C" w:rsidRDefault="00AA7A2C" w:rsidP="00A51C55">
      <w:pPr>
        <w:pStyle w:val="4Bodytextnumbered"/>
      </w:pPr>
      <w:r>
        <w:t>The PBAC agreed with the ESC that g</w:t>
      </w:r>
      <w:r w:rsidRPr="00AA7A2C">
        <w:t xml:space="preserve">iven the limited and variable evidence for VAR+NRT there </w:t>
      </w:r>
      <w:r w:rsidR="003B2E6B">
        <w:t>wa</w:t>
      </w:r>
      <w:r w:rsidRPr="00AA7A2C">
        <w:t xml:space="preserve">s still considerable uncertainty </w:t>
      </w:r>
      <w:r w:rsidR="00ED37CF">
        <w:t>regarding</w:t>
      </w:r>
      <w:r w:rsidRPr="00AA7A2C">
        <w:t xml:space="preserve"> whether </w:t>
      </w:r>
      <w:r w:rsidR="00B21987">
        <w:t xml:space="preserve">this treatment </w:t>
      </w:r>
      <w:r w:rsidR="003B2E6B">
        <w:t>wa</w:t>
      </w:r>
      <w:r w:rsidRPr="00AA7A2C">
        <w:t xml:space="preserve">s more effective than VAR </w:t>
      </w:r>
      <w:r w:rsidR="00ED37CF">
        <w:t xml:space="preserve">monotherapy </w:t>
      </w:r>
      <w:r w:rsidRPr="00AA7A2C">
        <w:t>(RR=1.21, 95%CI 0.88, 1.66).</w:t>
      </w:r>
    </w:p>
    <w:p w14:paraId="056181F4" w14:textId="207E7364" w:rsidR="0017174F" w:rsidRDefault="00CE329A" w:rsidP="0000436F">
      <w:pPr>
        <w:pStyle w:val="4Bodytextnumbered"/>
      </w:pPr>
      <w:r>
        <w:t xml:space="preserve">The PBAC noted that the estimated ICER for VAR </w:t>
      </w:r>
      <w:r w:rsidR="0017174F">
        <w:t xml:space="preserve">monotherapy </w:t>
      </w:r>
      <w:r w:rsidRPr="00CE329A">
        <w:rPr>
          <w:i/>
          <w:iCs/>
        </w:rPr>
        <w:t>versus</w:t>
      </w:r>
      <w:r>
        <w:t xml:space="preserve"> NRT</w:t>
      </w:r>
      <w:r w:rsidR="0017174F">
        <w:t xml:space="preserve"> monotherapy</w:t>
      </w:r>
      <w:r w:rsidR="0000436F">
        <w:t xml:space="preserve"> was $</w:t>
      </w:r>
      <w:r w:rsidR="00C63072" w:rsidRPr="00C63072">
        <w:t>55,000 to &lt; $75,000</w:t>
      </w:r>
      <w:r w:rsidR="0000436F">
        <w:t xml:space="preserve">/QALY and considered that this was significantly higher than </w:t>
      </w:r>
      <w:r w:rsidR="000556BE">
        <w:t xml:space="preserve">the </w:t>
      </w:r>
      <w:r w:rsidR="0000436F">
        <w:t>ICERs that</w:t>
      </w:r>
      <w:r w:rsidR="00B45A51">
        <w:t xml:space="preserve"> were</w:t>
      </w:r>
      <w:r w:rsidR="0000436F">
        <w:t xml:space="preserve"> </w:t>
      </w:r>
      <w:r w:rsidR="00E374A9">
        <w:t>ty</w:t>
      </w:r>
      <w:r w:rsidR="00B45A51">
        <w:t>pically accepted</w:t>
      </w:r>
      <w:r w:rsidR="00B815A5">
        <w:t xml:space="preserve"> by the committee</w:t>
      </w:r>
      <w:r w:rsidR="0000436F">
        <w:t xml:space="preserve">. </w:t>
      </w:r>
      <w:r w:rsidR="0017174F">
        <w:t xml:space="preserve">The PBAC considered that a price reduction for VAR may be justified </w:t>
      </w:r>
      <w:r w:rsidR="00F113DF">
        <w:t>to</w:t>
      </w:r>
      <w:r w:rsidR="0017174F">
        <w:t xml:space="preserve"> bring the ICER </w:t>
      </w:r>
      <w:r w:rsidR="002F6BC8">
        <w:t xml:space="preserve">for VAR </w:t>
      </w:r>
      <w:r w:rsidR="002F6BC8">
        <w:rPr>
          <w:i/>
          <w:iCs/>
        </w:rPr>
        <w:t xml:space="preserve">versus </w:t>
      </w:r>
      <w:r w:rsidR="002F6BC8">
        <w:t xml:space="preserve">NRT </w:t>
      </w:r>
      <w:r w:rsidR="0017174F">
        <w:t>into an acceptable range</w:t>
      </w:r>
      <w:r w:rsidR="00B45A51">
        <w:t xml:space="preserve">. </w:t>
      </w:r>
    </w:p>
    <w:p w14:paraId="22EE196B" w14:textId="14142DFE" w:rsidR="0000436F" w:rsidRDefault="00BB1E97" w:rsidP="0000436F">
      <w:pPr>
        <w:pStyle w:val="4Bodytextnumbered"/>
      </w:pPr>
      <w:r>
        <w:t>The PBAC</w:t>
      </w:r>
      <w:r w:rsidR="0000436F">
        <w:t xml:space="preserve"> </w:t>
      </w:r>
      <w:r>
        <w:t>noted that</w:t>
      </w:r>
      <w:r w:rsidRPr="0000436F">
        <w:rPr>
          <w:rFonts w:ascii="Times New Roman" w:eastAsia="Times New Roman" w:hAnsi="Times New Roman" w:cs="Times New Roman"/>
          <w:szCs w:val="24"/>
        </w:rPr>
        <w:t xml:space="preserve"> </w:t>
      </w:r>
      <w:r w:rsidRPr="00BB1E97">
        <w:t xml:space="preserve">the estimated ICERs for </w:t>
      </w:r>
      <w:r>
        <w:t>VAR</w:t>
      </w:r>
      <w:r w:rsidRPr="00BB1E97">
        <w:t xml:space="preserve">+NRT </w:t>
      </w:r>
      <w:r w:rsidRPr="0000436F">
        <w:rPr>
          <w:i/>
          <w:iCs/>
        </w:rPr>
        <w:t>versus</w:t>
      </w:r>
      <w:r w:rsidRPr="00BB1E97">
        <w:t xml:space="preserve"> VAR</w:t>
      </w:r>
      <w:r w:rsidR="0021743F">
        <w:t xml:space="preserve"> and</w:t>
      </w:r>
      <w:r w:rsidRPr="00BB1E97">
        <w:t xml:space="preserve"> NRT</w:t>
      </w:r>
      <w:r w:rsidR="0021743F">
        <w:t xml:space="preserve"> </w:t>
      </w:r>
      <w:r w:rsidR="00F113DF">
        <w:t xml:space="preserve">as </w:t>
      </w:r>
      <w:r w:rsidR="0021743F">
        <w:t>monotherapy</w:t>
      </w:r>
      <w:r>
        <w:t xml:space="preserve"> were </w:t>
      </w:r>
      <w:r w:rsidR="00C63072">
        <w:t xml:space="preserve">both between </w:t>
      </w:r>
      <w:r w:rsidR="00C63072" w:rsidRPr="00C63072">
        <w:t>$35,000 to &lt; $45,000</w:t>
      </w:r>
      <w:r>
        <w:t>/QALY</w:t>
      </w:r>
      <w:r w:rsidR="006955D0">
        <w:t xml:space="preserve"> and</w:t>
      </w:r>
      <w:r w:rsidR="00B21987">
        <w:t xml:space="preserve"> </w:t>
      </w:r>
      <w:r w:rsidR="0000436F">
        <w:t>consider</w:t>
      </w:r>
      <w:r w:rsidR="00B21987">
        <w:t>ed that this was above</w:t>
      </w:r>
      <w:r w:rsidR="00914331">
        <w:t xml:space="preserve"> the</w:t>
      </w:r>
      <w:r w:rsidR="00B21987">
        <w:t xml:space="preserve"> </w:t>
      </w:r>
      <w:r w:rsidR="0000436F" w:rsidRPr="0000436F">
        <w:t xml:space="preserve">cost-effectiveness thresholds </w:t>
      </w:r>
      <w:r w:rsidR="002F6BC8">
        <w:t xml:space="preserve">for primary preventative treatments </w:t>
      </w:r>
      <w:r w:rsidR="0000436F" w:rsidRPr="0000436F">
        <w:t xml:space="preserve">that </w:t>
      </w:r>
      <w:r w:rsidR="003B2E6B">
        <w:t>we</w:t>
      </w:r>
      <w:r w:rsidR="0000436F" w:rsidRPr="0000436F">
        <w:t>re commonly considered reasonable value for money.</w:t>
      </w:r>
    </w:p>
    <w:p w14:paraId="5565E55A" w14:textId="60926A25" w:rsidR="00587940" w:rsidRPr="00587940" w:rsidRDefault="00587940" w:rsidP="0000436F">
      <w:pPr>
        <w:pStyle w:val="4Bodytextnumbered"/>
      </w:pPr>
      <w:r>
        <w:t xml:space="preserve">The PBAC recommended that the department contract an external evaluation group </w:t>
      </w:r>
      <w:r w:rsidRPr="00587940">
        <w:t>to explore</w:t>
      </w:r>
      <w:r>
        <w:t xml:space="preserve"> the</w:t>
      </w:r>
      <w:r w:rsidRPr="00587940">
        <w:t xml:space="preserve"> impact of different pricing options</w:t>
      </w:r>
      <w:r>
        <w:t xml:space="preserve"> </w:t>
      </w:r>
      <w:r w:rsidR="00395E44">
        <w:t>to</w:t>
      </w:r>
      <w:r>
        <w:t xml:space="preserve"> reduce the ICER</w:t>
      </w:r>
      <w:r w:rsidRPr="00587940">
        <w:t xml:space="preserve"> for </w:t>
      </w:r>
      <w:r w:rsidR="00395E44">
        <w:t xml:space="preserve">VAR </w:t>
      </w:r>
      <w:r w:rsidR="00395E44">
        <w:rPr>
          <w:i/>
          <w:iCs/>
        </w:rPr>
        <w:t xml:space="preserve">versus </w:t>
      </w:r>
      <w:r w:rsidR="00395E44">
        <w:t xml:space="preserve">NRT and </w:t>
      </w:r>
      <w:r>
        <w:t>VAR</w:t>
      </w:r>
      <w:r w:rsidRPr="00587940">
        <w:t xml:space="preserve">+NRT </w:t>
      </w:r>
      <w:r w:rsidRPr="0000436F">
        <w:rPr>
          <w:i/>
          <w:iCs/>
        </w:rPr>
        <w:t xml:space="preserve">versus </w:t>
      </w:r>
      <w:r w:rsidR="00E374A9">
        <w:t>VAR</w:t>
      </w:r>
      <w:r w:rsidRPr="0000436F">
        <w:rPr>
          <w:i/>
          <w:iCs/>
        </w:rPr>
        <w:t xml:space="preserve"> </w:t>
      </w:r>
      <w:r w:rsidRPr="00587940">
        <w:t xml:space="preserve">to </w:t>
      </w:r>
      <w:r>
        <w:t>be</w:t>
      </w:r>
      <w:r w:rsidR="00534972">
        <w:t>tween</w:t>
      </w:r>
      <w:r>
        <w:t xml:space="preserve"> </w:t>
      </w:r>
      <w:r w:rsidR="00534972" w:rsidRPr="00534972">
        <w:t>$</w:t>
      </w:r>
      <w:r w:rsidR="00534972">
        <w:t>2</w:t>
      </w:r>
      <w:r w:rsidR="00534972" w:rsidRPr="00534972">
        <w:t>5,000 to &lt; $</w:t>
      </w:r>
      <w:r w:rsidR="00534972">
        <w:t>3</w:t>
      </w:r>
      <w:r w:rsidR="00534972" w:rsidRPr="00534972">
        <w:t>5</w:t>
      </w:r>
      <w:r w:rsidRPr="00587940">
        <w:t>,000</w:t>
      </w:r>
      <w:r>
        <w:t>/</w:t>
      </w:r>
      <w:r w:rsidR="006955D0">
        <w:t>QALY and</w:t>
      </w:r>
      <w:r w:rsidRPr="00587940">
        <w:t xml:space="preserve"> negotiate with </w:t>
      </w:r>
      <w:r>
        <w:t>the sponsor</w:t>
      </w:r>
      <w:r w:rsidRPr="00587940">
        <w:t xml:space="preserve"> </w:t>
      </w:r>
      <w:r w:rsidR="008D2F45">
        <w:t xml:space="preserve">of VAR </w:t>
      </w:r>
      <w:r w:rsidRPr="00587940">
        <w:t>once supply</w:t>
      </w:r>
      <w:r>
        <w:t xml:space="preserve"> is</w:t>
      </w:r>
      <w:r w:rsidRPr="00587940">
        <w:t xml:space="preserve"> re-instated</w:t>
      </w:r>
      <w:r w:rsidRPr="00B21987">
        <w:t>.</w:t>
      </w:r>
    </w:p>
    <w:p w14:paraId="6F038220" w14:textId="3844136F" w:rsidR="008B46F1" w:rsidRPr="00A335E1" w:rsidRDefault="008B46F1" w:rsidP="008B46F1">
      <w:pPr>
        <w:pStyle w:val="4Bodytextnumbered"/>
        <w:rPr>
          <w:b/>
          <w:bCs/>
        </w:rPr>
      </w:pPr>
      <w:r w:rsidRPr="00A335E1">
        <w:rPr>
          <w:b/>
          <w:bCs/>
        </w:rPr>
        <w:t>Option 4: Recommend an education campaign targeting prescribers to raise awareness of the improved effectiveness of smoking cessation pharmacotherapies when provided in combination with comprehensive support and counselling and enable prescribers to support best practice in recommending or providing comprehensive support and counselling services.</w:t>
      </w:r>
    </w:p>
    <w:p w14:paraId="446145CB" w14:textId="1AF58251" w:rsidR="00587940" w:rsidRPr="000951F1" w:rsidRDefault="00587940" w:rsidP="00587940">
      <w:pPr>
        <w:pStyle w:val="4Bodytextnumbered"/>
      </w:pPr>
      <w:r w:rsidRPr="000951F1">
        <w:lastRenderedPageBreak/>
        <w:t xml:space="preserve">The PBAC </w:t>
      </w:r>
      <w:r w:rsidR="006E1931" w:rsidRPr="000951F1">
        <w:t>supported</w:t>
      </w:r>
      <w:r w:rsidRPr="000951F1">
        <w:t xml:space="preserve"> option 4. </w:t>
      </w:r>
    </w:p>
    <w:p w14:paraId="57951DDD" w14:textId="756E5BF8" w:rsidR="006E1931" w:rsidRPr="00C71638" w:rsidRDefault="006E1931" w:rsidP="006E1931">
      <w:pPr>
        <w:pStyle w:val="4Bodytextnumbered"/>
      </w:pPr>
      <w:r w:rsidRPr="006E1931">
        <w:t xml:space="preserve">The PBAC noted that evidence </w:t>
      </w:r>
      <w:r w:rsidR="00DE49CE">
        <w:t>from</w:t>
      </w:r>
      <w:r w:rsidRPr="006E1931">
        <w:t xml:space="preserve"> the ToR 3 report showed that smoking cessation rates improved with proactive telephone counselling and clinical guidelines considered that any smoking pharmacotherapy combined with behavioural support was more effective than pharmacotherapy alone.</w:t>
      </w:r>
    </w:p>
    <w:p w14:paraId="2E08C484" w14:textId="7E486276" w:rsidR="006E1931" w:rsidRPr="006E1931" w:rsidRDefault="006E1931" w:rsidP="00C54143">
      <w:pPr>
        <w:pStyle w:val="4Bodytextnumbered"/>
        <w:rPr>
          <w:iCs/>
        </w:rPr>
      </w:pPr>
      <w:r w:rsidRPr="006E1931">
        <w:rPr>
          <w:iCs/>
        </w:rPr>
        <w:t>The PBAC noted the ESC advice that the evidence from the ToR 2 report suggest</w:t>
      </w:r>
      <w:r w:rsidR="00D9740A">
        <w:rPr>
          <w:iCs/>
        </w:rPr>
        <w:t>ed</w:t>
      </w:r>
      <w:r w:rsidRPr="006E1931">
        <w:rPr>
          <w:iCs/>
        </w:rPr>
        <w:t xml:space="preserve"> low uptake of counselling services compared to the population accessing PBS medicines for smoking cessation</w:t>
      </w:r>
      <w:r w:rsidR="00DE49CE">
        <w:rPr>
          <w:iCs/>
        </w:rPr>
        <w:t>;</w:t>
      </w:r>
      <w:r w:rsidRPr="006E1931">
        <w:rPr>
          <w:iCs/>
        </w:rPr>
        <w:t xml:space="preserve"> despite the requirement that people accessing PBS-subsidised smoking cessation therapy “must be undergoing concurrent counselling for smoking cessation through a comprehensive support and counselling program.” </w:t>
      </w:r>
    </w:p>
    <w:p w14:paraId="33BCB9DC" w14:textId="07461BB2" w:rsidR="008B46F1" w:rsidRPr="00A335E1" w:rsidRDefault="008B46F1" w:rsidP="008B46F1">
      <w:pPr>
        <w:pStyle w:val="4Bodytextnumbered"/>
        <w:rPr>
          <w:b/>
          <w:bCs/>
        </w:rPr>
      </w:pPr>
      <w:r w:rsidRPr="00A335E1">
        <w:rPr>
          <w:b/>
          <w:bCs/>
        </w:rPr>
        <w:t>Option 5: Consider the PBS listing of nicotine inhaler* and/or nicotine mouth spray.</w:t>
      </w:r>
    </w:p>
    <w:p w14:paraId="27A1324A" w14:textId="6157C07A" w:rsidR="00C54143" w:rsidRPr="00A335E1" w:rsidRDefault="00C54143" w:rsidP="00C54143">
      <w:pPr>
        <w:pStyle w:val="4Bodytextnumbered"/>
        <w:numPr>
          <w:ilvl w:val="0"/>
          <w:numId w:val="0"/>
        </w:numPr>
        <w:ind w:left="720"/>
      </w:pPr>
      <w:r w:rsidRPr="00A335E1">
        <w:t>*Nicotine inhaler products do not include electronic cigarettes or e-liquids which were excluded from the PMR of medicines for smoking cessation.</w:t>
      </w:r>
    </w:p>
    <w:p w14:paraId="151C7287" w14:textId="3404379C" w:rsidR="00C54143" w:rsidRPr="00C54143" w:rsidRDefault="00C54143" w:rsidP="00C54143">
      <w:pPr>
        <w:pStyle w:val="4Bodytextnumbered"/>
      </w:pPr>
      <w:r>
        <w:t>The PBAC noted stakeholder feedback</w:t>
      </w:r>
      <w:r w:rsidRPr="00C54143">
        <w:t xml:space="preserve"> that all forms of NRT should be subsidised under the PBS because </w:t>
      </w:r>
      <w:r w:rsidR="00C47E69">
        <w:t>some</w:t>
      </w:r>
      <w:r w:rsidRPr="00C54143">
        <w:t xml:space="preserve"> formulations may not be clinically appropriate for certain patients. </w:t>
      </w:r>
      <w:r>
        <w:t>The PBAC noted however, that</w:t>
      </w:r>
      <w:r w:rsidRPr="00C54143">
        <w:t xml:space="preserve"> evidence from </w:t>
      </w:r>
      <w:r w:rsidR="006E1931">
        <w:t xml:space="preserve">the </w:t>
      </w:r>
      <w:r w:rsidRPr="00C54143">
        <w:t>ToR 3</w:t>
      </w:r>
      <w:r w:rsidR="006E1931">
        <w:t xml:space="preserve"> report</w:t>
      </w:r>
      <w:r w:rsidRPr="00C54143">
        <w:t xml:space="preserve"> showed no statistically significant difference in efficacy between NRT inhaler/inhalator and placebo and that these products </w:t>
      </w:r>
      <w:r w:rsidR="00B52E81">
        <w:t>a</w:t>
      </w:r>
      <w:r w:rsidRPr="00C54143">
        <w:t xml:space="preserve">re </w:t>
      </w:r>
      <w:r w:rsidR="00451F72">
        <w:t xml:space="preserve">available </w:t>
      </w:r>
      <w:r w:rsidRPr="00C54143">
        <w:t>OTC.</w:t>
      </w:r>
    </w:p>
    <w:p w14:paraId="3C736E53" w14:textId="074AD0A4" w:rsidR="00C54143" w:rsidRPr="00C54143" w:rsidRDefault="00D9740A" w:rsidP="00C71638">
      <w:pPr>
        <w:pStyle w:val="4Bodytextnumbered"/>
      </w:pPr>
      <w:r>
        <w:t>T</w:t>
      </w:r>
      <w:r w:rsidR="00C54143">
        <w:t xml:space="preserve">he PBAC supported increasing the range of </w:t>
      </w:r>
      <w:r w:rsidR="00C71638">
        <w:t>PBS-listed NRT formulations to provide additional treatment options for consumers and prescribers</w:t>
      </w:r>
      <w:r w:rsidR="00A06D8F">
        <w:t>. The PBAC</w:t>
      </w:r>
      <w:r>
        <w:t xml:space="preserve"> </w:t>
      </w:r>
      <w:r w:rsidR="006E1931" w:rsidRPr="000951F1">
        <w:t>advised</w:t>
      </w:r>
      <w:r w:rsidR="00C71638" w:rsidRPr="000951F1">
        <w:t xml:space="preserve"> that it would remain open to submissions from sponsors to list these formulations </w:t>
      </w:r>
      <w:r w:rsidR="00FE6B73" w:rsidRPr="000951F1">
        <w:t>on a cost-minimisation basis to</w:t>
      </w:r>
      <w:r w:rsidR="00C71638" w:rsidRPr="000951F1">
        <w:t xml:space="preserve"> the currently listed</w:t>
      </w:r>
      <w:r w:rsidR="00C54143" w:rsidRPr="000951F1">
        <w:t xml:space="preserve"> gum and lozenge</w:t>
      </w:r>
      <w:r w:rsidR="00C71638" w:rsidRPr="000951F1">
        <w:t>.</w:t>
      </w:r>
    </w:p>
    <w:p w14:paraId="19C75015" w14:textId="5A57EDE1" w:rsidR="008B46F1" w:rsidRPr="00A335E1" w:rsidRDefault="008B46F1" w:rsidP="008B46F1">
      <w:pPr>
        <w:pStyle w:val="4Bodytextnumbered"/>
        <w:rPr>
          <w:b/>
          <w:bCs/>
        </w:rPr>
      </w:pPr>
      <w:r w:rsidRPr="00A335E1">
        <w:rPr>
          <w:b/>
          <w:bCs/>
        </w:rPr>
        <w:t xml:space="preserve">Option 6: That the </w:t>
      </w:r>
      <w:r w:rsidR="00D433D6" w:rsidRPr="00A335E1">
        <w:rPr>
          <w:b/>
          <w:bCs/>
        </w:rPr>
        <w:t>d</w:t>
      </w:r>
      <w:r w:rsidRPr="00A335E1">
        <w:rPr>
          <w:b/>
          <w:bCs/>
        </w:rPr>
        <w:t>epartment follow-up with Q</w:t>
      </w:r>
      <w:r w:rsidR="007A396D" w:rsidRPr="00A335E1">
        <w:rPr>
          <w:b/>
          <w:bCs/>
        </w:rPr>
        <w:t>LD</w:t>
      </w:r>
      <w:r w:rsidRPr="00A335E1">
        <w:rPr>
          <w:b/>
          <w:bCs/>
        </w:rPr>
        <w:t xml:space="preserve"> Quitline following its evaluation of the ‘Intensive Quit Support Program’ and to explore if there are other effective ways of providing access to government funded NRT in addition to the current PBS and section 100 arrangements.</w:t>
      </w:r>
    </w:p>
    <w:p w14:paraId="620E8F02" w14:textId="259C24B0" w:rsidR="008B46F1" w:rsidRPr="00C71638" w:rsidRDefault="008B46F1" w:rsidP="00576CDD">
      <w:pPr>
        <w:pStyle w:val="4Bodytextnumbered"/>
      </w:pPr>
      <w:r w:rsidRPr="00DE0153">
        <w:t xml:space="preserve">The PBAC noted that access </w:t>
      </w:r>
      <w:r w:rsidR="00451F72">
        <w:t xml:space="preserve">to NRT </w:t>
      </w:r>
      <w:r w:rsidRPr="00DE0153">
        <w:t>should not be contingent on specific government programs</w:t>
      </w:r>
      <w:r w:rsidR="00576CDD">
        <w:t xml:space="preserve"> and considered </w:t>
      </w:r>
      <w:r w:rsidR="00586ABA">
        <w:t xml:space="preserve">that </w:t>
      </w:r>
      <w:r w:rsidRPr="00C71638">
        <w:t xml:space="preserve">whilst the program </w:t>
      </w:r>
      <w:r w:rsidR="00586ABA">
        <w:t>evaluation</w:t>
      </w:r>
      <w:r w:rsidR="008E1CC7">
        <w:t xml:space="preserve"> by QLD Health</w:t>
      </w:r>
      <w:r w:rsidR="00586ABA">
        <w:t xml:space="preserve"> may be informative</w:t>
      </w:r>
      <w:r w:rsidR="00576CDD">
        <w:t>,</w:t>
      </w:r>
      <w:r w:rsidR="00586ABA">
        <w:t xml:space="preserve"> </w:t>
      </w:r>
      <w:r w:rsidRPr="00C71638">
        <w:t xml:space="preserve">it would not limit other forms of access for consumers. </w:t>
      </w:r>
      <w:bookmarkEnd w:id="23"/>
    </w:p>
    <w:p w14:paraId="0CACF5E9" w14:textId="77777777" w:rsidR="00586ABA" w:rsidRPr="00586ABA" w:rsidRDefault="00586ABA" w:rsidP="00586ABA">
      <w:pPr>
        <w:spacing w:before="240"/>
        <w:jc w:val="both"/>
        <w:rPr>
          <w:rFonts w:ascii="Calibri" w:hAnsi="Calibri" w:cs="Arial"/>
          <w:b/>
          <w:bCs/>
          <w:snapToGrid w:val="0"/>
          <w:lang w:eastAsia="en-AU"/>
        </w:rPr>
      </w:pPr>
      <w:bookmarkStart w:id="24" w:name="_Hlk103235098"/>
      <w:r w:rsidRPr="00586ABA">
        <w:rPr>
          <w:rFonts w:ascii="Calibri" w:hAnsi="Calibri" w:cs="Arial"/>
          <w:b/>
          <w:bCs/>
          <w:snapToGrid w:val="0"/>
          <w:lang w:eastAsia="en-AU"/>
        </w:rPr>
        <w:t>Outcome:</w:t>
      </w:r>
    </w:p>
    <w:p w14:paraId="7FE198B9" w14:textId="1DA43898" w:rsidR="00586ABA" w:rsidRDefault="00586ABA" w:rsidP="00586ABA">
      <w:pPr>
        <w:spacing w:after="120"/>
        <w:jc w:val="both"/>
        <w:rPr>
          <w:rFonts w:ascii="Calibri" w:hAnsi="Calibri" w:cs="Arial"/>
          <w:snapToGrid w:val="0"/>
          <w:lang w:eastAsia="en-AU"/>
        </w:rPr>
      </w:pPr>
      <w:r w:rsidRPr="00586ABA">
        <w:rPr>
          <w:rFonts w:ascii="Calibri" w:hAnsi="Calibri" w:cs="Arial"/>
          <w:snapToGrid w:val="0"/>
          <w:lang w:eastAsia="en-AU"/>
        </w:rPr>
        <w:t xml:space="preserve">Recommended </w:t>
      </w:r>
      <w:r w:rsidR="00927E85">
        <w:rPr>
          <w:rFonts w:ascii="Calibri" w:hAnsi="Calibri" w:cs="Arial"/>
          <w:snapToGrid w:val="0"/>
          <w:lang w:eastAsia="en-AU"/>
        </w:rPr>
        <w:t>(</w:t>
      </w:r>
      <w:r w:rsidR="000262A5">
        <w:rPr>
          <w:rFonts w:ascii="Calibri" w:hAnsi="Calibri" w:cs="Arial"/>
          <w:snapToGrid w:val="0"/>
          <w:lang w:eastAsia="en-AU"/>
        </w:rPr>
        <w:t>as above</w:t>
      </w:r>
      <w:r w:rsidR="00927E85">
        <w:rPr>
          <w:rFonts w:ascii="Calibri" w:hAnsi="Calibri" w:cs="Arial"/>
          <w:snapToGrid w:val="0"/>
          <w:lang w:eastAsia="en-AU"/>
        </w:rPr>
        <w:t>)</w:t>
      </w:r>
    </w:p>
    <w:p w14:paraId="6D47EF37" w14:textId="77777777" w:rsidR="00174B1F" w:rsidRDefault="00174B1F" w:rsidP="00586ABA">
      <w:pPr>
        <w:spacing w:after="120"/>
        <w:jc w:val="both"/>
        <w:rPr>
          <w:rFonts w:ascii="Calibri" w:hAnsi="Calibri" w:cs="Arial"/>
          <w:snapToGrid w:val="0"/>
          <w:lang w:eastAsia="en-AU"/>
        </w:rPr>
        <w:sectPr w:rsidR="00174B1F" w:rsidSect="00A013C4">
          <w:headerReference w:type="default" r:id="rId11"/>
          <w:footerReference w:type="default" r:id="rId12"/>
          <w:pgSz w:w="11906" w:h="16838"/>
          <w:pgMar w:top="1440" w:right="1440" w:bottom="1440" w:left="1440" w:header="1440" w:footer="1440" w:gutter="0"/>
          <w:cols w:space="708"/>
          <w:docGrid w:linePitch="360"/>
        </w:sectPr>
      </w:pPr>
    </w:p>
    <w:bookmarkEnd w:id="24"/>
    <w:p w14:paraId="3BD24F9A" w14:textId="5246DB98" w:rsidR="008B46F1" w:rsidRPr="00174B1F" w:rsidRDefault="008B46F1" w:rsidP="00174B1F">
      <w:pPr>
        <w:pStyle w:val="2Sections"/>
      </w:pPr>
      <w:r w:rsidRPr="00174B1F">
        <w:lastRenderedPageBreak/>
        <w:t>Recommended listing</w:t>
      </w:r>
    </w:p>
    <w:p w14:paraId="254577E7" w14:textId="4DCCC393" w:rsidR="00586ABA" w:rsidRPr="008920F8" w:rsidRDefault="007202CB" w:rsidP="004F2654">
      <w:pPr>
        <w:pStyle w:val="4Bodytextnumbered"/>
      </w:pPr>
      <w:bookmarkStart w:id="26" w:name="_Hlk103850960"/>
      <w:bookmarkStart w:id="27" w:name="_Hlk103852470"/>
      <w:r w:rsidRPr="007202CB">
        <w:t xml:space="preserve">Amend current nicotine listings that have </w:t>
      </w:r>
      <w:r>
        <w:t xml:space="preserve">two </w:t>
      </w:r>
      <w:r w:rsidRPr="007202CB">
        <w:t>restriction summaries</w:t>
      </w:r>
      <w:r>
        <w:t xml:space="preserve"> </w:t>
      </w:r>
      <w:r w:rsidRPr="007202CB">
        <w:t xml:space="preserve">(one for Aboriginal </w:t>
      </w:r>
      <w:r>
        <w:t xml:space="preserve">and </w:t>
      </w:r>
      <w:r w:rsidRPr="007202CB">
        <w:t>Torres Strait Islander person</w:t>
      </w:r>
      <w:r>
        <w:t>s and</w:t>
      </w:r>
      <w:r w:rsidRPr="007202CB">
        <w:t xml:space="preserve"> one for non-Indigenous Australians) as follows:</w:t>
      </w:r>
      <w:bookmarkEnd w:id="2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1"/>
        <w:gridCol w:w="2035"/>
        <w:gridCol w:w="992"/>
        <w:gridCol w:w="709"/>
        <w:gridCol w:w="850"/>
        <w:gridCol w:w="851"/>
        <w:gridCol w:w="2409"/>
      </w:tblGrid>
      <w:tr w:rsidR="007202CB" w:rsidRPr="009A610D" w14:paraId="51163945" w14:textId="77777777" w:rsidTr="007202CB">
        <w:trPr>
          <w:cantSplit/>
          <w:trHeight w:val="471"/>
        </w:trPr>
        <w:tc>
          <w:tcPr>
            <w:tcW w:w="3256" w:type="dxa"/>
            <w:gridSpan w:val="2"/>
          </w:tcPr>
          <w:bookmarkEnd w:id="27"/>
          <w:p w14:paraId="7F47AF9C" w14:textId="77777777" w:rsidR="007202CB" w:rsidRDefault="007202CB" w:rsidP="007202CB">
            <w:pPr>
              <w:keepNext/>
              <w:ind w:left="-57"/>
              <w:rPr>
                <w:rFonts w:ascii="Arial Narrow" w:hAnsi="Arial Narrow" w:cs="Arial"/>
                <w:b/>
                <w:bCs/>
                <w:sz w:val="18"/>
                <w:szCs w:val="18"/>
              </w:rPr>
            </w:pPr>
            <w:r>
              <w:rPr>
                <w:rFonts w:ascii="Arial Narrow" w:hAnsi="Arial Narrow" w:cs="Arial"/>
                <w:b/>
                <w:bCs/>
                <w:sz w:val="18"/>
                <w:szCs w:val="18"/>
              </w:rPr>
              <w:t>MEDICINAL PRODUCT</w:t>
            </w:r>
          </w:p>
          <w:p w14:paraId="7C28F25F" w14:textId="77777777" w:rsidR="007202CB" w:rsidRPr="009A610D" w:rsidRDefault="007202CB" w:rsidP="007202CB">
            <w:pPr>
              <w:keepNext/>
              <w:ind w:left="-57"/>
              <w:rPr>
                <w:rFonts w:ascii="Arial Narrow" w:hAnsi="Arial Narrow" w:cs="Arial"/>
                <w:b/>
                <w:sz w:val="18"/>
                <w:szCs w:val="18"/>
              </w:rPr>
            </w:pPr>
            <w:r>
              <w:rPr>
                <w:rFonts w:ascii="Arial Narrow" w:hAnsi="Arial Narrow" w:cs="Arial"/>
                <w:b/>
                <w:bCs/>
                <w:sz w:val="18"/>
                <w:szCs w:val="18"/>
              </w:rPr>
              <w:t>medicinal product p</w:t>
            </w:r>
            <w:r w:rsidRPr="003A5B23">
              <w:rPr>
                <w:rFonts w:ascii="Arial Narrow" w:hAnsi="Arial Narrow" w:cs="Arial"/>
                <w:b/>
                <w:bCs/>
                <w:sz w:val="18"/>
                <w:szCs w:val="18"/>
              </w:rPr>
              <w:t>ack</w:t>
            </w:r>
          </w:p>
        </w:tc>
        <w:tc>
          <w:tcPr>
            <w:tcW w:w="992" w:type="dxa"/>
          </w:tcPr>
          <w:p w14:paraId="49E72CB5" w14:textId="77777777" w:rsidR="007202CB" w:rsidRPr="009A610D" w:rsidRDefault="007202CB" w:rsidP="007202CB">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709" w:type="dxa"/>
          </w:tcPr>
          <w:p w14:paraId="44AB01E2" w14:textId="77777777" w:rsidR="007202CB" w:rsidRPr="009A610D" w:rsidRDefault="007202CB" w:rsidP="007202CB">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850" w:type="dxa"/>
          </w:tcPr>
          <w:p w14:paraId="6F7404AE" w14:textId="77777777" w:rsidR="007202CB" w:rsidRPr="009A610D" w:rsidRDefault="007202CB" w:rsidP="007202CB">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851" w:type="dxa"/>
          </w:tcPr>
          <w:p w14:paraId="50E46F49" w14:textId="77777777" w:rsidR="007202CB" w:rsidRPr="009A610D" w:rsidRDefault="007202CB" w:rsidP="007202CB">
            <w:pPr>
              <w:keepNext/>
              <w:ind w:left="-108"/>
              <w:jc w:val="center"/>
              <w:rPr>
                <w:rFonts w:ascii="Arial Narrow" w:hAnsi="Arial Narrow" w:cs="Arial"/>
                <w:b/>
                <w:sz w:val="18"/>
                <w:szCs w:val="18"/>
              </w:rPr>
            </w:pPr>
            <w:r w:rsidRPr="009A610D">
              <w:rPr>
                <w:rFonts w:ascii="Arial Narrow" w:hAnsi="Arial Narrow" w:cs="Arial"/>
                <w:b/>
                <w:sz w:val="18"/>
                <w:szCs w:val="18"/>
              </w:rPr>
              <w:t>№. of</w:t>
            </w:r>
          </w:p>
          <w:p w14:paraId="668E28E5" w14:textId="77777777" w:rsidR="007202CB" w:rsidRPr="009A610D" w:rsidRDefault="007202CB" w:rsidP="007202CB">
            <w:pPr>
              <w:keepNext/>
              <w:ind w:left="-108"/>
              <w:jc w:val="center"/>
              <w:rPr>
                <w:rFonts w:ascii="Arial Narrow" w:hAnsi="Arial Narrow" w:cs="Arial"/>
                <w:b/>
                <w:sz w:val="18"/>
                <w:szCs w:val="18"/>
              </w:rPr>
            </w:pPr>
            <w:r w:rsidRPr="009A610D">
              <w:rPr>
                <w:rFonts w:ascii="Arial Narrow" w:hAnsi="Arial Narrow" w:cs="Arial"/>
                <w:b/>
                <w:sz w:val="18"/>
                <w:szCs w:val="18"/>
              </w:rPr>
              <w:t>Rpts</w:t>
            </w:r>
            <w:r>
              <w:rPr>
                <w:rFonts w:ascii="Arial Narrow" w:hAnsi="Arial Narrow" w:cs="Arial"/>
                <w:b/>
                <w:sz w:val="18"/>
                <w:szCs w:val="18"/>
              </w:rPr>
              <w:t>.</w:t>
            </w:r>
          </w:p>
        </w:tc>
        <w:tc>
          <w:tcPr>
            <w:tcW w:w="2409" w:type="dxa"/>
          </w:tcPr>
          <w:p w14:paraId="76C3D02D" w14:textId="77777777" w:rsidR="007202CB" w:rsidRPr="009A610D" w:rsidRDefault="007202CB" w:rsidP="007202CB">
            <w:pPr>
              <w:keepNext/>
              <w:rPr>
                <w:rFonts w:ascii="Arial Narrow" w:hAnsi="Arial Narrow" w:cs="Arial"/>
                <w:b/>
                <w:sz w:val="18"/>
                <w:szCs w:val="18"/>
                <w:lang w:val="fr-FR"/>
              </w:rPr>
            </w:pPr>
            <w:r>
              <w:rPr>
                <w:rFonts w:ascii="Arial Narrow" w:hAnsi="Arial Narrow" w:cs="Arial"/>
                <w:b/>
                <w:sz w:val="18"/>
                <w:szCs w:val="18"/>
              </w:rPr>
              <w:t>Available brands</w:t>
            </w:r>
          </w:p>
        </w:tc>
      </w:tr>
      <w:tr w:rsidR="007202CB" w:rsidRPr="009A610D" w14:paraId="7E6EB980" w14:textId="77777777" w:rsidTr="007202CB">
        <w:trPr>
          <w:cantSplit/>
          <w:trHeight w:val="224"/>
        </w:trPr>
        <w:tc>
          <w:tcPr>
            <w:tcW w:w="9067" w:type="dxa"/>
            <w:gridSpan w:val="7"/>
          </w:tcPr>
          <w:p w14:paraId="5C9FEDB2" w14:textId="77777777" w:rsidR="007202CB" w:rsidRPr="001A5667" w:rsidRDefault="007202CB" w:rsidP="007202CB">
            <w:pPr>
              <w:keepNext/>
              <w:ind w:left="-57"/>
              <w:rPr>
                <w:rFonts w:ascii="Arial Narrow" w:hAnsi="Arial Narrow" w:cs="Arial"/>
                <w:sz w:val="18"/>
                <w:szCs w:val="18"/>
              </w:rPr>
            </w:pPr>
            <w:r>
              <w:rPr>
                <w:rFonts w:ascii="Arial Narrow" w:hAnsi="Arial Narrow" w:cs="Arial"/>
                <w:sz w:val="18"/>
                <w:szCs w:val="18"/>
              </w:rPr>
              <w:t>NICOTINE</w:t>
            </w:r>
          </w:p>
        </w:tc>
      </w:tr>
      <w:tr w:rsidR="007202CB" w:rsidRPr="00F6273D" w14:paraId="53029094" w14:textId="77777777" w:rsidTr="007202CB">
        <w:trPr>
          <w:trHeight w:val="252"/>
        </w:trPr>
        <w:tc>
          <w:tcPr>
            <w:tcW w:w="3256" w:type="dxa"/>
            <w:gridSpan w:val="2"/>
          </w:tcPr>
          <w:p w14:paraId="78CF5CA8" w14:textId="77777777" w:rsidR="007202CB" w:rsidRPr="00BE11A0" w:rsidRDefault="007202CB" w:rsidP="007202CB">
            <w:pPr>
              <w:keepNext/>
              <w:ind w:left="-57"/>
              <w:rPr>
                <w:rFonts w:ascii="Arial Narrow" w:eastAsia="Calibri" w:hAnsi="Arial Narrow" w:cs="Arial"/>
                <w:sz w:val="18"/>
                <w:szCs w:val="18"/>
                <w:vertAlign w:val="superscript"/>
              </w:rPr>
            </w:pPr>
            <w:r w:rsidRPr="00F36388">
              <w:rPr>
                <w:rFonts w:ascii="Arial Narrow" w:eastAsia="Calibri" w:hAnsi="Arial Narrow" w:cs="Arial"/>
                <w:sz w:val="18"/>
                <w:szCs w:val="18"/>
              </w:rPr>
              <w:t>nicotine 4 mg lozenge, 216</w:t>
            </w:r>
          </w:p>
        </w:tc>
        <w:tc>
          <w:tcPr>
            <w:tcW w:w="992" w:type="dxa"/>
          </w:tcPr>
          <w:p w14:paraId="46228E4B" w14:textId="77777777" w:rsidR="007202CB" w:rsidRPr="00B7730E" w:rsidRDefault="007202CB" w:rsidP="007202CB">
            <w:pPr>
              <w:keepNext/>
              <w:jc w:val="center"/>
              <w:rPr>
                <w:rFonts w:ascii="Arial Narrow" w:eastAsia="Calibri" w:hAnsi="Arial Narrow" w:cs="Arial"/>
                <w:sz w:val="18"/>
                <w:szCs w:val="18"/>
              </w:rPr>
            </w:pPr>
            <w:r w:rsidRPr="00B7730E">
              <w:rPr>
                <w:rFonts w:ascii="Arial Narrow" w:eastAsia="Calibri" w:hAnsi="Arial Narrow" w:cs="Arial"/>
                <w:sz w:val="18"/>
                <w:szCs w:val="18"/>
              </w:rPr>
              <w:t>11619M</w:t>
            </w:r>
          </w:p>
        </w:tc>
        <w:tc>
          <w:tcPr>
            <w:tcW w:w="709" w:type="dxa"/>
          </w:tcPr>
          <w:p w14:paraId="36B9B76D"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1</w:t>
            </w:r>
          </w:p>
        </w:tc>
        <w:tc>
          <w:tcPr>
            <w:tcW w:w="850" w:type="dxa"/>
          </w:tcPr>
          <w:p w14:paraId="0DBEA4D2"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216</w:t>
            </w:r>
          </w:p>
        </w:tc>
        <w:tc>
          <w:tcPr>
            <w:tcW w:w="851" w:type="dxa"/>
          </w:tcPr>
          <w:p w14:paraId="65C5C60F"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w:t>
            </w:r>
          </w:p>
        </w:tc>
        <w:tc>
          <w:tcPr>
            <w:tcW w:w="2409" w:type="dxa"/>
          </w:tcPr>
          <w:p w14:paraId="6F4C0902" w14:textId="77777777" w:rsidR="007202CB" w:rsidRPr="008F7D9C" w:rsidRDefault="007202CB" w:rsidP="007202CB">
            <w:pPr>
              <w:keepNext/>
              <w:rPr>
                <w:rFonts w:ascii="Arial Narrow" w:eastAsia="Calibri" w:hAnsi="Arial Narrow" w:cs="Arial"/>
                <w:sz w:val="18"/>
                <w:szCs w:val="18"/>
              </w:rPr>
            </w:pPr>
            <w:r w:rsidRPr="00F36388">
              <w:rPr>
                <w:rFonts w:ascii="Arial Narrow" w:eastAsia="Calibri" w:hAnsi="Arial Narrow" w:cs="Arial"/>
                <w:sz w:val="18"/>
                <w:szCs w:val="18"/>
              </w:rPr>
              <w:t>Nicotinell</w:t>
            </w:r>
          </w:p>
        </w:tc>
      </w:tr>
      <w:tr w:rsidR="007202CB" w:rsidRPr="00F6273D" w14:paraId="3D2C0F57" w14:textId="77777777" w:rsidTr="007202CB">
        <w:trPr>
          <w:trHeight w:val="263"/>
        </w:trPr>
        <w:tc>
          <w:tcPr>
            <w:tcW w:w="3256" w:type="dxa"/>
            <w:gridSpan w:val="2"/>
          </w:tcPr>
          <w:p w14:paraId="24716B8A" w14:textId="77777777" w:rsidR="007202CB" w:rsidRPr="00BE11A0" w:rsidRDefault="007202CB" w:rsidP="007202CB">
            <w:pPr>
              <w:keepNext/>
              <w:ind w:left="-57"/>
              <w:rPr>
                <w:rFonts w:ascii="Arial Narrow" w:eastAsia="Calibri" w:hAnsi="Arial Narrow" w:cs="Arial"/>
                <w:sz w:val="18"/>
                <w:szCs w:val="18"/>
                <w:vertAlign w:val="superscript"/>
              </w:rPr>
            </w:pPr>
            <w:r w:rsidRPr="004A1A40">
              <w:rPr>
                <w:rFonts w:ascii="Arial Narrow" w:eastAsia="Calibri" w:hAnsi="Arial Narrow" w:cs="Arial"/>
                <w:sz w:val="18"/>
                <w:szCs w:val="18"/>
              </w:rPr>
              <w:t>nicotine 25 mg/16 hours patch, 28</w:t>
            </w:r>
          </w:p>
        </w:tc>
        <w:tc>
          <w:tcPr>
            <w:tcW w:w="992" w:type="dxa"/>
          </w:tcPr>
          <w:p w14:paraId="2E374495" w14:textId="77777777" w:rsidR="007202CB" w:rsidRPr="00B7730E" w:rsidRDefault="007202CB" w:rsidP="007202CB">
            <w:pPr>
              <w:keepNext/>
              <w:jc w:val="center"/>
              <w:rPr>
                <w:rFonts w:ascii="Arial Narrow" w:eastAsia="Calibri" w:hAnsi="Arial Narrow" w:cs="Arial"/>
                <w:sz w:val="18"/>
                <w:szCs w:val="18"/>
              </w:rPr>
            </w:pPr>
            <w:r w:rsidRPr="00B7730E">
              <w:rPr>
                <w:rFonts w:ascii="Arial Narrow" w:eastAsia="Calibri" w:hAnsi="Arial Narrow" w:cs="Arial"/>
                <w:sz w:val="18"/>
                <w:szCs w:val="18"/>
              </w:rPr>
              <w:t>10076H</w:t>
            </w:r>
          </w:p>
        </w:tc>
        <w:tc>
          <w:tcPr>
            <w:tcW w:w="709" w:type="dxa"/>
          </w:tcPr>
          <w:p w14:paraId="194ECB7E"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1</w:t>
            </w:r>
          </w:p>
        </w:tc>
        <w:tc>
          <w:tcPr>
            <w:tcW w:w="850" w:type="dxa"/>
          </w:tcPr>
          <w:p w14:paraId="7EE15F8F"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28</w:t>
            </w:r>
          </w:p>
        </w:tc>
        <w:tc>
          <w:tcPr>
            <w:tcW w:w="851" w:type="dxa"/>
          </w:tcPr>
          <w:p w14:paraId="271BF965"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w:t>
            </w:r>
          </w:p>
        </w:tc>
        <w:tc>
          <w:tcPr>
            <w:tcW w:w="2409" w:type="dxa"/>
          </w:tcPr>
          <w:p w14:paraId="773B68B0" w14:textId="7D02BFD8" w:rsidR="007202CB" w:rsidRPr="0002569E" w:rsidRDefault="007202CB" w:rsidP="007202CB">
            <w:pPr>
              <w:keepNext/>
              <w:rPr>
                <w:rFonts w:ascii="Arial Narrow" w:eastAsia="Calibri" w:hAnsi="Arial Narrow" w:cs="Arial"/>
                <w:sz w:val="18"/>
                <w:szCs w:val="18"/>
              </w:rPr>
            </w:pPr>
            <w:r>
              <w:rPr>
                <w:rFonts w:ascii="Arial Narrow" w:eastAsia="Calibri" w:hAnsi="Arial Narrow" w:cs="Arial"/>
                <w:sz w:val="18"/>
                <w:szCs w:val="18"/>
              </w:rPr>
              <w:t>N</w:t>
            </w:r>
            <w:r w:rsidRPr="004A1A40">
              <w:rPr>
                <w:rFonts w:ascii="Arial Narrow" w:eastAsia="Calibri" w:hAnsi="Arial Narrow" w:cs="Arial"/>
                <w:sz w:val="18"/>
                <w:szCs w:val="18"/>
              </w:rPr>
              <w:t>icorette 16hr Invisipatch</w:t>
            </w:r>
          </w:p>
        </w:tc>
      </w:tr>
      <w:tr w:rsidR="007202CB" w:rsidRPr="00F6273D" w14:paraId="47ADFED0" w14:textId="77777777" w:rsidTr="007202CB">
        <w:trPr>
          <w:trHeight w:val="214"/>
        </w:trPr>
        <w:tc>
          <w:tcPr>
            <w:tcW w:w="3256" w:type="dxa"/>
            <w:gridSpan w:val="2"/>
          </w:tcPr>
          <w:p w14:paraId="5E55498E" w14:textId="77777777" w:rsidR="007202CB" w:rsidRPr="006A3EE6" w:rsidRDefault="007202CB" w:rsidP="007202CB">
            <w:pPr>
              <w:keepNext/>
              <w:ind w:left="-57"/>
              <w:rPr>
                <w:rFonts w:ascii="Arial Narrow" w:eastAsia="Calibri" w:hAnsi="Arial Narrow" w:cs="Arial"/>
                <w:sz w:val="18"/>
                <w:szCs w:val="18"/>
                <w:vertAlign w:val="superscript"/>
              </w:rPr>
            </w:pPr>
            <w:r w:rsidRPr="006A3EE6">
              <w:rPr>
                <w:rFonts w:ascii="Arial Narrow" w:eastAsia="Calibri" w:hAnsi="Arial Narrow" w:cs="Arial"/>
                <w:sz w:val="18"/>
                <w:szCs w:val="18"/>
              </w:rPr>
              <w:t>nicotine 2 mg chewing gum, 216</w:t>
            </w:r>
          </w:p>
        </w:tc>
        <w:tc>
          <w:tcPr>
            <w:tcW w:w="992" w:type="dxa"/>
          </w:tcPr>
          <w:p w14:paraId="08F3BB55" w14:textId="77777777" w:rsidR="007202CB" w:rsidRPr="00B7730E" w:rsidRDefault="007202CB" w:rsidP="007202CB">
            <w:pPr>
              <w:keepNext/>
              <w:jc w:val="center"/>
              <w:rPr>
                <w:rFonts w:ascii="Arial Narrow" w:eastAsia="Calibri" w:hAnsi="Arial Narrow" w:cs="Arial"/>
                <w:sz w:val="18"/>
                <w:szCs w:val="18"/>
              </w:rPr>
            </w:pPr>
            <w:r w:rsidRPr="00B7730E">
              <w:rPr>
                <w:rFonts w:ascii="Arial Narrow" w:eastAsia="Calibri" w:hAnsi="Arial Narrow" w:cs="Arial"/>
                <w:sz w:val="18"/>
                <w:szCs w:val="18"/>
              </w:rPr>
              <w:t>11618L</w:t>
            </w:r>
          </w:p>
        </w:tc>
        <w:tc>
          <w:tcPr>
            <w:tcW w:w="709" w:type="dxa"/>
          </w:tcPr>
          <w:p w14:paraId="09667131"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w:t>
            </w:r>
          </w:p>
        </w:tc>
        <w:tc>
          <w:tcPr>
            <w:tcW w:w="850" w:type="dxa"/>
          </w:tcPr>
          <w:p w14:paraId="3A1118F4"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432</w:t>
            </w:r>
          </w:p>
        </w:tc>
        <w:tc>
          <w:tcPr>
            <w:tcW w:w="851" w:type="dxa"/>
          </w:tcPr>
          <w:p w14:paraId="3CF70C4D"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1</w:t>
            </w:r>
          </w:p>
        </w:tc>
        <w:tc>
          <w:tcPr>
            <w:tcW w:w="2409" w:type="dxa"/>
          </w:tcPr>
          <w:p w14:paraId="6C9FC0A2" w14:textId="77777777" w:rsidR="007202CB" w:rsidRPr="004A1A40" w:rsidRDefault="007202CB" w:rsidP="007202CB">
            <w:pPr>
              <w:keepNext/>
              <w:rPr>
                <w:rFonts w:ascii="Arial Narrow" w:eastAsia="Calibri" w:hAnsi="Arial Narrow" w:cs="Arial"/>
                <w:sz w:val="18"/>
                <w:szCs w:val="18"/>
              </w:rPr>
            </w:pPr>
            <w:r w:rsidRPr="00F36388">
              <w:rPr>
                <w:rFonts w:ascii="Arial Narrow" w:eastAsia="Calibri" w:hAnsi="Arial Narrow" w:cs="Arial"/>
                <w:sz w:val="18"/>
                <w:szCs w:val="18"/>
              </w:rPr>
              <w:t>Nicotinell</w:t>
            </w:r>
          </w:p>
        </w:tc>
      </w:tr>
      <w:tr w:rsidR="007202CB" w:rsidRPr="00F6273D" w14:paraId="6EBC862A" w14:textId="77777777" w:rsidTr="007202CB">
        <w:trPr>
          <w:trHeight w:val="247"/>
        </w:trPr>
        <w:tc>
          <w:tcPr>
            <w:tcW w:w="3256" w:type="dxa"/>
            <w:gridSpan w:val="2"/>
          </w:tcPr>
          <w:p w14:paraId="7915440E" w14:textId="77777777" w:rsidR="007202CB" w:rsidRPr="00B31539" w:rsidRDefault="007202CB" w:rsidP="007202CB">
            <w:pPr>
              <w:keepNext/>
              <w:ind w:left="-57"/>
              <w:rPr>
                <w:rFonts w:ascii="Arial Narrow" w:eastAsia="Calibri" w:hAnsi="Arial Narrow" w:cs="Arial"/>
                <w:sz w:val="18"/>
                <w:szCs w:val="18"/>
                <w:vertAlign w:val="superscript"/>
              </w:rPr>
            </w:pPr>
            <w:r w:rsidRPr="00B31539">
              <w:rPr>
                <w:rFonts w:ascii="Arial Narrow" w:eastAsia="Calibri" w:hAnsi="Arial Narrow" w:cs="Arial"/>
                <w:sz w:val="18"/>
                <w:szCs w:val="18"/>
              </w:rPr>
              <w:t>nicotine 4 mg chewing gum, 216</w:t>
            </w:r>
          </w:p>
        </w:tc>
        <w:tc>
          <w:tcPr>
            <w:tcW w:w="992" w:type="dxa"/>
          </w:tcPr>
          <w:p w14:paraId="3FE0CCC4" w14:textId="77777777" w:rsidR="007202CB" w:rsidRPr="00B7730E" w:rsidRDefault="007202CB" w:rsidP="007202CB">
            <w:pPr>
              <w:keepNext/>
              <w:jc w:val="center"/>
              <w:rPr>
                <w:rFonts w:ascii="Arial Narrow" w:eastAsia="Calibri" w:hAnsi="Arial Narrow" w:cs="Arial"/>
                <w:sz w:val="18"/>
                <w:szCs w:val="18"/>
              </w:rPr>
            </w:pPr>
            <w:r w:rsidRPr="00B7730E">
              <w:rPr>
                <w:rFonts w:ascii="Arial Narrow" w:eastAsia="Calibri" w:hAnsi="Arial Narrow" w:cs="Arial"/>
                <w:sz w:val="18"/>
                <w:szCs w:val="18"/>
              </w:rPr>
              <w:t>11612E</w:t>
            </w:r>
          </w:p>
        </w:tc>
        <w:tc>
          <w:tcPr>
            <w:tcW w:w="709" w:type="dxa"/>
          </w:tcPr>
          <w:p w14:paraId="2E1C4276"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1</w:t>
            </w:r>
          </w:p>
        </w:tc>
        <w:tc>
          <w:tcPr>
            <w:tcW w:w="850" w:type="dxa"/>
          </w:tcPr>
          <w:p w14:paraId="0D2E78BF"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216</w:t>
            </w:r>
          </w:p>
        </w:tc>
        <w:tc>
          <w:tcPr>
            <w:tcW w:w="851" w:type="dxa"/>
          </w:tcPr>
          <w:p w14:paraId="4ADADCA0"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w:t>
            </w:r>
          </w:p>
        </w:tc>
        <w:tc>
          <w:tcPr>
            <w:tcW w:w="2409" w:type="dxa"/>
          </w:tcPr>
          <w:p w14:paraId="494ECA87" w14:textId="77777777" w:rsidR="007202CB" w:rsidRPr="00F36388" w:rsidRDefault="007202CB" w:rsidP="007202CB">
            <w:pPr>
              <w:keepNext/>
              <w:rPr>
                <w:rFonts w:ascii="Arial Narrow" w:eastAsia="Calibri" w:hAnsi="Arial Narrow" w:cs="Arial"/>
                <w:sz w:val="18"/>
                <w:szCs w:val="18"/>
              </w:rPr>
            </w:pPr>
            <w:r w:rsidRPr="00F36388">
              <w:rPr>
                <w:rFonts w:ascii="Arial Narrow" w:eastAsia="Calibri" w:hAnsi="Arial Narrow" w:cs="Arial"/>
                <w:sz w:val="18"/>
                <w:szCs w:val="18"/>
              </w:rPr>
              <w:t>Nicotinell</w:t>
            </w:r>
          </w:p>
        </w:tc>
      </w:tr>
      <w:tr w:rsidR="007202CB" w:rsidRPr="00F6273D" w14:paraId="0AA947D6" w14:textId="77777777" w:rsidTr="007202CB">
        <w:trPr>
          <w:trHeight w:val="206"/>
        </w:trPr>
        <w:tc>
          <w:tcPr>
            <w:tcW w:w="3256" w:type="dxa"/>
            <w:gridSpan w:val="2"/>
          </w:tcPr>
          <w:p w14:paraId="5173F364" w14:textId="77777777" w:rsidR="007202CB" w:rsidRPr="00B31539" w:rsidRDefault="007202CB" w:rsidP="007202CB">
            <w:pPr>
              <w:keepNext/>
              <w:ind w:left="-57"/>
              <w:rPr>
                <w:rFonts w:ascii="Arial Narrow" w:eastAsia="Calibri" w:hAnsi="Arial Narrow" w:cs="Arial"/>
                <w:sz w:val="18"/>
                <w:szCs w:val="18"/>
                <w:vertAlign w:val="superscript"/>
              </w:rPr>
            </w:pPr>
            <w:r w:rsidRPr="00B31539">
              <w:rPr>
                <w:rFonts w:ascii="Arial Narrow" w:eastAsia="Calibri" w:hAnsi="Arial Narrow" w:cs="Arial"/>
                <w:sz w:val="18"/>
                <w:szCs w:val="18"/>
              </w:rPr>
              <w:t>nicotine 2 mg lozenge, 216</w:t>
            </w:r>
          </w:p>
        </w:tc>
        <w:tc>
          <w:tcPr>
            <w:tcW w:w="992" w:type="dxa"/>
          </w:tcPr>
          <w:p w14:paraId="684D202A" w14:textId="77777777" w:rsidR="007202CB" w:rsidRPr="00B7730E" w:rsidRDefault="007202CB" w:rsidP="007202CB">
            <w:pPr>
              <w:keepNext/>
              <w:jc w:val="center"/>
              <w:rPr>
                <w:rFonts w:ascii="Arial Narrow" w:eastAsia="Calibri" w:hAnsi="Arial Narrow" w:cs="Arial"/>
                <w:sz w:val="18"/>
                <w:szCs w:val="18"/>
              </w:rPr>
            </w:pPr>
            <w:r w:rsidRPr="00B7730E">
              <w:rPr>
                <w:rFonts w:ascii="Arial Narrow" w:eastAsia="Calibri" w:hAnsi="Arial Narrow" w:cs="Arial"/>
                <w:sz w:val="18"/>
                <w:szCs w:val="18"/>
              </w:rPr>
              <w:t>11617K</w:t>
            </w:r>
          </w:p>
        </w:tc>
        <w:tc>
          <w:tcPr>
            <w:tcW w:w="709" w:type="dxa"/>
          </w:tcPr>
          <w:p w14:paraId="71D7C71E"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1</w:t>
            </w:r>
          </w:p>
        </w:tc>
        <w:tc>
          <w:tcPr>
            <w:tcW w:w="850" w:type="dxa"/>
          </w:tcPr>
          <w:p w14:paraId="7DFEBE42"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216</w:t>
            </w:r>
          </w:p>
        </w:tc>
        <w:tc>
          <w:tcPr>
            <w:tcW w:w="851" w:type="dxa"/>
          </w:tcPr>
          <w:p w14:paraId="30D5EDA0"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w:t>
            </w:r>
          </w:p>
        </w:tc>
        <w:tc>
          <w:tcPr>
            <w:tcW w:w="2409" w:type="dxa"/>
          </w:tcPr>
          <w:p w14:paraId="1A09F283" w14:textId="77777777" w:rsidR="007202CB" w:rsidRPr="00F36388" w:rsidRDefault="007202CB" w:rsidP="007202CB">
            <w:pPr>
              <w:keepNext/>
              <w:rPr>
                <w:rFonts w:ascii="Arial Narrow" w:eastAsia="Calibri" w:hAnsi="Arial Narrow" w:cs="Arial"/>
                <w:sz w:val="18"/>
                <w:szCs w:val="18"/>
              </w:rPr>
            </w:pPr>
            <w:r w:rsidRPr="00F36388">
              <w:rPr>
                <w:rFonts w:ascii="Arial Narrow" w:eastAsia="Calibri" w:hAnsi="Arial Narrow" w:cs="Arial"/>
                <w:sz w:val="18"/>
                <w:szCs w:val="18"/>
              </w:rPr>
              <w:t>Nicotinell</w:t>
            </w:r>
          </w:p>
        </w:tc>
      </w:tr>
      <w:tr w:rsidR="007202CB" w:rsidRPr="00F6273D" w14:paraId="073EF103" w14:textId="77777777" w:rsidTr="007202CB">
        <w:trPr>
          <w:trHeight w:val="271"/>
        </w:trPr>
        <w:tc>
          <w:tcPr>
            <w:tcW w:w="3256" w:type="dxa"/>
            <w:gridSpan w:val="2"/>
          </w:tcPr>
          <w:p w14:paraId="1B3591B8" w14:textId="77777777" w:rsidR="007202CB" w:rsidRPr="005F5C42" w:rsidRDefault="007202CB" w:rsidP="007202CB">
            <w:pPr>
              <w:keepNext/>
              <w:ind w:left="-57"/>
              <w:rPr>
                <w:rFonts w:ascii="Arial Narrow" w:eastAsia="Calibri" w:hAnsi="Arial Narrow" w:cs="Arial"/>
                <w:sz w:val="18"/>
                <w:szCs w:val="18"/>
                <w:vertAlign w:val="superscript"/>
              </w:rPr>
            </w:pPr>
            <w:r w:rsidRPr="009C2181">
              <w:rPr>
                <w:rFonts w:ascii="Arial Narrow" w:eastAsia="Calibri" w:hAnsi="Arial Narrow" w:cs="Arial"/>
                <w:sz w:val="18"/>
                <w:szCs w:val="18"/>
              </w:rPr>
              <w:t>nicotine 21 mg/24 hours patch, 28</w:t>
            </w:r>
          </w:p>
        </w:tc>
        <w:tc>
          <w:tcPr>
            <w:tcW w:w="992" w:type="dxa"/>
          </w:tcPr>
          <w:p w14:paraId="7124036D" w14:textId="77777777" w:rsidR="007202CB" w:rsidRPr="00B7730E" w:rsidRDefault="007202CB" w:rsidP="007202CB">
            <w:pPr>
              <w:keepNext/>
              <w:jc w:val="center"/>
              <w:rPr>
                <w:rFonts w:ascii="Arial Narrow" w:eastAsia="Calibri" w:hAnsi="Arial Narrow" w:cs="Arial"/>
                <w:sz w:val="18"/>
                <w:szCs w:val="18"/>
              </w:rPr>
            </w:pPr>
            <w:r w:rsidRPr="00B7730E">
              <w:rPr>
                <w:rFonts w:ascii="Arial Narrow" w:eastAsia="Calibri" w:hAnsi="Arial Narrow" w:cs="Arial"/>
                <w:sz w:val="18"/>
                <w:szCs w:val="18"/>
              </w:rPr>
              <w:t>5465P</w:t>
            </w:r>
          </w:p>
        </w:tc>
        <w:tc>
          <w:tcPr>
            <w:tcW w:w="709" w:type="dxa"/>
          </w:tcPr>
          <w:p w14:paraId="0DA466A9"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1</w:t>
            </w:r>
          </w:p>
        </w:tc>
        <w:tc>
          <w:tcPr>
            <w:tcW w:w="850" w:type="dxa"/>
          </w:tcPr>
          <w:p w14:paraId="770310D2"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28</w:t>
            </w:r>
          </w:p>
        </w:tc>
        <w:tc>
          <w:tcPr>
            <w:tcW w:w="851" w:type="dxa"/>
          </w:tcPr>
          <w:p w14:paraId="4BA947AB"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w:t>
            </w:r>
          </w:p>
        </w:tc>
        <w:tc>
          <w:tcPr>
            <w:tcW w:w="2409" w:type="dxa"/>
          </w:tcPr>
          <w:p w14:paraId="382F3CDE" w14:textId="77777777" w:rsidR="007202CB" w:rsidRPr="009C2181" w:rsidRDefault="007202CB" w:rsidP="007202CB">
            <w:pPr>
              <w:keepNext/>
              <w:rPr>
                <w:rFonts w:ascii="Arial Narrow" w:eastAsia="Calibri" w:hAnsi="Arial Narrow" w:cs="Arial"/>
                <w:sz w:val="18"/>
                <w:szCs w:val="18"/>
              </w:rPr>
            </w:pPr>
            <w:r w:rsidRPr="005F5C42">
              <w:rPr>
                <w:rFonts w:ascii="Arial Narrow" w:eastAsia="Calibri" w:hAnsi="Arial Narrow" w:cs="Arial"/>
                <w:sz w:val="18"/>
                <w:szCs w:val="18"/>
              </w:rPr>
              <w:t>Nicabate P</w:t>
            </w:r>
          </w:p>
        </w:tc>
      </w:tr>
      <w:tr w:rsidR="007202CB" w:rsidRPr="00120A12" w14:paraId="5789EE81" w14:textId="77777777" w:rsidTr="007202C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14B0A3D5" w14:textId="77777777" w:rsidR="007202CB" w:rsidRPr="0020649C" w:rsidRDefault="007202CB" w:rsidP="007202CB">
            <w:pPr>
              <w:rPr>
                <w:rFonts w:ascii="Arial Narrow" w:hAnsi="Arial Narrow" w:cs="Arial"/>
                <w:b/>
                <w:sz w:val="18"/>
                <w:szCs w:val="18"/>
              </w:rPr>
            </w:pPr>
          </w:p>
        </w:tc>
      </w:tr>
      <w:tr w:rsidR="007202CB" w:rsidRPr="00120A12" w14:paraId="61D33AD9" w14:textId="77777777" w:rsidTr="007202C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618FB9AE" w14:textId="77777777" w:rsidR="007202CB" w:rsidRPr="0020649C" w:rsidRDefault="007202CB" w:rsidP="007202CB">
            <w:pPr>
              <w:rPr>
                <w:rFonts w:ascii="Arial Narrow" w:hAnsi="Arial Narrow" w:cs="Arial"/>
                <w:b/>
                <w:sz w:val="18"/>
                <w:szCs w:val="18"/>
              </w:rPr>
            </w:pPr>
            <w:r>
              <w:rPr>
                <w:rFonts w:ascii="Arial Narrow" w:hAnsi="Arial Narrow"/>
                <w:b/>
                <w:sz w:val="18"/>
                <w:szCs w:val="18"/>
              </w:rPr>
              <w:t xml:space="preserve">Delete </w:t>
            </w:r>
            <w:r w:rsidRPr="00507253">
              <w:rPr>
                <w:rFonts w:ascii="Arial Narrow" w:hAnsi="Arial Narrow"/>
                <w:b/>
                <w:sz w:val="18"/>
                <w:szCs w:val="18"/>
              </w:rPr>
              <w:t>Restriction Summary</w:t>
            </w:r>
            <w:r>
              <w:rPr>
                <w:rFonts w:ascii="Arial Narrow" w:hAnsi="Arial Narrow"/>
                <w:b/>
                <w:sz w:val="18"/>
                <w:szCs w:val="18"/>
              </w:rPr>
              <w:t xml:space="preserve"> 5140</w:t>
            </w:r>
            <w:r w:rsidRPr="00507253">
              <w:rPr>
                <w:rFonts w:ascii="Arial Narrow" w:hAnsi="Arial Narrow"/>
                <w:b/>
                <w:sz w:val="18"/>
                <w:szCs w:val="18"/>
              </w:rPr>
              <w:t xml:space="preserve"> / Treatment of Concept: </w:t>
            </w:r>
            <w:r>
              <w:rPr>
                <w:rFonts w:ascii="Arial Narrow" w:hAnsi="Arial Narrow"/>
                <w:b/>
                <w:sz w:val="18"/>
                <w:szCs w:val="18"/>
              </w:rPr>
              <w:t>5140</w:t>
            </w:r>
          </w:p>
        </w:tc>
      </w:tr>
      <w:tr w:rsidR="007202CB" w:rsidRPr="00120A12" w14:paraId="027CCD74" w14:textId="77777777" w:rsidTr="007202CB">
        <w:tblPrEx>
          <w:tblCellMar>
            <w:top w:w="15" w:type="dxa"/>
            <w:left w:w="15" w:type="dxa"/>
            <w:bottom w:w="15" w:type="dxa"/>
            <w:right w:w="15" w:type="dxa"/>
          </w:tblCellMar>
          <w:tblLook w:val="04A0" w:firstRow="1" w:lastRow="0" w:firstColumn="1" w:lastColumn="0" w:noHBand="0" w:noVBand="1"/>
        </w:tblPrEx>
        <w:tc>
          <w:tcPr>
            <w:tcW w:w="1221" w:type="dxa"/>
            <w:vMerge w:val="restart"/>
            <w:tcBorders>
              <w:top w:val="single" w:sz="4" w:space="0" w:color="auto"/>
              <w:left w:val="single" w:sz="4" w:space="0" w:color="auto"/>
              <w:right w:val="single" w:sz="4" w:space="0" w:color="auto"/>
            </w:tcBorders>
          </w:tcPr>
          <w:p w14:paraId="7F859396" w14:textId="77777777" w:rsidR="007202CB" w:rsidRPr="002D5AA5" w:rsidRDefault="007202CB" w:rsidP="007202CB">
            <w:pPr>
              <w:jc w:val="center"/>
              <w:rPr>
                <w:rFonts w:ascii="Arial Narrow" w:hAnsi="Arial Narrow" w:cs="Arial"/>
                <w:b/>
                <w:sz w:val="18"/>
                <w:szCs w:val="18"/>
              </w:rPr>
            </w:pPr>
            <w:r w:rsidRPr="00507253">
              <w:rPr>
                <w:rFonts w:ascii="Arial Narrow" w:hAnsi="Arial Narrow" w:cs="Arial"/>
                <w:b/>
                <w:sz w:val="18"/>
                <w:szCs w:val="18"/>
              </w:rPr>
              <w:t>Concept ID</w:t>
            </w:r>
          </w:p>
          <w:p w14:paraId="427BCBE4" w14:textId="77777777" w:rsidR="007202CB" w:rsidRPr="005C23A7" w:rsidRDefault="007202CB" w:rsidP="007202CB">
            <w:pPr>
              <w:jc w:val="center"/>
              <w:rPr>
                <w:rFonts w:ascii="Arial Narrow" w:hAnsi="Arial Narrow" w:cs="Arial"/>
                <w:sz w:val="18"/>
                <w:szCs w:val="18"/>
              </w:rPr>
            </w:pPr>
            <w:r>
              <w:rPr>
                <w:rFonts w:ascii="Arial Narrow" w:hAnsi="Arial Narrow" w:cs="Arial"/>
                <w:sz w:val="18"/>
                <w:szCs w:val="18"/>
              </w:rPr>
              <w:t>(for internal Dept. use)</w:t>
            </w:r>
          </w:p>
        </w:tc>
        <w:tc>
          <w:tcPr>
            <w:tcW w:w="7846" w:type="dxa"/>
            <w:gridSpan w:val="6"/>
            <w:tcBorders>
              <w:top w:val="single" w:sz="4" w:space="0" w:color="auto"/>
              <w:left w:val="single" w:sz="4" w:space="0" w:color="auto"/>
              <w:bottom w:val="single" w:sz="4" w:space="0" w:color="auto"/>
              <w:right w:val="single" w:sz="4" w:space="0" w:color="auto"/>
            </w:tcBorders>
          </w:tcPr>
          <w:p w14:paraId="2249C0F9" w14:textId="77777777" w:rsidR="007202CB" w:rsidRPr="00D33C2D" w:rsidRDefault="007202CB" w:rsidP="007202CB">
            <w:pPr>
              <w:rPr>
                <w:rFonts w:ascii="Arial Narrow" w:hAnsi="Arial Narrow" w:cs="Arial"/>
                <w:strike/>
                <w:sz w:val="18"/>
                <w:szCs w:val="18"/>
              </w:rPr>
            </w:pPr>
            <w:r w:rsidRPr="00D33C2D">
              <w:rPr>
                <w:rFonts w:ascii="Arial Narrow" w:hAnsi="Arial Narrow" w:cs="Arial"/>
                <w:b/>
                <w:strike/>
                <w:sz w:val="18"/>
                <w:szCs w:val="18"/>
              </w:rPr>
              <w:t xml:space="preserve">Category / Program:   </w:t>
            </w:r>
            <w:r w:rsidRPr="00D33C2D">
              <w:rPr>
                <w:rFonts w:ascii="Arial Narrow" w:hAnsi="Arial Narrow" w:cs="Arial"/>
                <w:strike/>
                <w:sz w:val="18"/>
                <w:szCs w:val="18"/>
              </w:rPr>
              <w:t xml:space="preserve">GENERAL – General Schedule (Code GE) </w:t>
            </w:r>
          </w:p>
        </w:tc>
      </w:tr>
      <w:tr w:rsidR="007202CB" w:rsidRPr="00120A12" w14:paraId="3088A804" w14:textId="77777777" w:rsidTr="007202CB">
        <w:tblPrEx>
          <w:tblCellMar>
            <w:top w:w="15" w:type="dxa"/>
            <w:left w:w="15" w:type="dxa"/>
            <w:bottom w:w="15" w:type="dxa"/>
            <w:right w:w="15" w:type="dxa"/>
          </w:tblCellMar>
          <w:tblLook w:val="04A0" w:firstRow="1" w:lastRow="0" w:firstColumn="1" w:lastColumn="0" w:noHBand="0" w:noVBand="1"/>
        </w:tblPrEx>
        <w:trPr>
          <w:trHeight w:val="240"/>
        </w:trPr>
        <w:tc>
          <w:tcPr>
            <w:tcW w:w="1221" w:type="dxa"/>
            <w:vMerge/>
            <w:tcBorders>
              <w:left w:val="single" w:sz="4" w:space="0" w:color="auto"/>
              <w:right w:val="single" w:sz="4" w:space="0" w:color="auto"/>
            </w:tcBorders>
          </w:tcPr>
          <w:p w14:paraId="08E28913" w14:textId="77777777" w:rsidR="007202CB" w:rsidRPr="0020649C" w:rsidRDefault="007202CB" w:rsidP="007202CB">
            <w:pP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75B15EA4" w14:textId="77777777" w:rsidR="007202CB" w:rsidRPr="00D33C2D" w:rsidRDefault="007202CB" w:rsidP="007202CB">
            <w:pPr>
              <w:rPr>
                <w:rFonts w:ascii="Arial Narrow" w:hAnsi="Arial Narrow" w:cs="Arial"/>
                <w:b/>
                <w:strike/>
                <w:sz w:val="18"/>
                <w:szCs w:val="18"/>
              </w:rPr>
            </w:pPr>
            <w:r w:rsidRPr="00D33C2D">
              <w:rPr>
                <w:rFonts w:ascii="Arial Narrow" w:hAnsi="Arial Narrow" w:cs="Arial"/>
                <w:b/>
                <w:strike/>
                <w:sz w:val="18"/>
                <w:szCs w:val="18"/>
              </w:rPr>
              <w:t xml:space="preserve">Prescriber type:   </w:t>
            </w:r>
            <w:r w:rsidRPr="00D33C2D">
              <w:rPr>
                <w:rFonts w:ascii="Arial Narrow" w:hAnsi="Arial Narrow" w:cs="Arial"/>
                <w:strike/>
                <w:sz w:val="18"/>
                <w:szCs w:val="18"/>
              </w:rPr>
              <w:fldChar w:fldCharType="begin">
                <w:ffData>
                  <w:name w:val=""/>
                  <w:enabled/>
                  <w:calcOnExit w:val="0"/>
                  <w:checkBox>
                    <w:sizeAuto/>
                    <w:default w:val="1"/>
                  </w:checkBox>
                </w:ffData>
              </w:fldChar>
            </w:r>
            <w:r w:rsidRPr="00D33C2D">
              <w:rPr>
                <w:rFonts w:ascii="Arial Narrow" w:hAnsi="Arial Narrow" w:cs="Arial"/>
                <w:strike/>
                <w:sz w:val="18"/>
                <w:szCs w:val="18"/>
              </w:rPr>
              <w:instrText xml:space="preserve"> FORMCHECKBOX </w:instrText>
            </w:r>
            <w:r w:rsidR="005069F9">
              <w:rPr>
                <w:rFonts w:ascii="Arial Narrow" w:hAnsi="Arial Narrow" w:cs="Arial"/>
                <w:strike/>
                <w:sz w:val="18"/>
                <w:szCs w:val="18"/>
              </w:rPr>
            </w:r>
            <w:r w:rsidR="005069F9">
              <w:rPr>
                <w:rFonts w:ascii="Arial Narrow" w:hAnsi="Arial Narrow" w:cs="Arial"/>
                <w:strike/>
                <w:sz w:val="18"/>
                <w:szCs w:val="18"/>
              </w:rPr>
              <w:fldChar w:fldCharType="separate"/>
            </w:r>
            <w:r w:rsidRPr="00D33C2D">
              <w:rPr>
                <w:rFonts w:ascii="Arial Narrow" w:hAnsi="Arial Narrow" w:cs="Arial"/>
                <w:strike/>
                <w:sz w:val="18"/>
                <w:szCs w:val="18"/>
              </w:rPr>
              <w:fldChar w:fldCharType="end"/>
            </w:r>
            <w:r w:rsidRPr="00D33C2D">
              <w:rPr>
                <w:rFonts w:ascii="Arial Narrow" w:hAnsi="Arial Narrow" w:cs="Arial"/>
                <w:strike/>
                <w:sz w:val="18"/>
                <w:szCs w:val="18"/>
              </w:rPr>
              <w:t xml:space="preserve">Medical Practitioners    </w:t>
            </w:r>
            <w:r w:rsidRPr="00D33C2D">
              <w:rPr>
                <w:rFonts w:ascii="Arial Narrow" w:hAnsi="Arial Narrow" w:cs="Arial"/>
                <w:strike/>
                <w:sz w:val="18"/>
                <w:szCs w:val="18"/>
              </w:rPr>
              <w:fldChar w:fldCharType="begin">
                <w:ffData>
                  <w:name w:val="Check3"/>
                  <w:enabled/>
                  <w:calcOnExit w:val="0"/>
                  <w:checkBox>
                    <w:sizeAuto/>
                    <w:default w:val="1"/>
                  </w:checkBox>
                </w:ffData>
              </w:fldChar>
            </w:r>
            <w:r w:rsidRPr="00D33C2D">
              <w:rPr>
                <w:rFonts w:ascii="Arial Narrow" w:hAnsi="Arial Narrow" w:cs="Arial"/>
                <w:strike/>
                <w:sz w:val="18"/>
                <w:szCs w:val="18"/>
              </w:rPr>
              <w:instrText xml:space="preserve"> FORMCHECKBOX </w:instrText>
            </w:r>
            <w:r w:rsidR="005069F9">
              <w:rPr>
                <w:rFonts w:ascii="Arial Narrow" w:hAnsi="Arial Narrow" w:cs="Arial"/>
                <w:strike/>
                <w:sz w:val="18"/>
                <w:szCs w:val="18"/>
              </w:rPr>
            </w:r>
            <w:r w:rsidR="005069F9">
              <w:rPr>
                <w:rFonts w:ascii="Arial Narrow" w:hAnsi="Arial Narrow" w:cs="Arial"/>
                <w:strike/>
                <w:sz w:val="18"/>
                <w:szCs w:val="18"/>
              </w:rPr>
              <w:fldChar w:fldCharType="separate"/>
            </w:r>
            <w:r w:rsidRPr="00D33C2D">
              <w:rPr>
                <w:rFonts w:ascii="Arial Narrow" w:hAnsi="Arial Narrow" w:cs="Arial"/>
                <w:strike/>
                <w:sz w:val="18"/>
                <w:szCs w:val="18"/>
              </w:rPr>
              <w:fldChar w:fldCharType="end"/>
            </w:r>
            <w:r w:rsidRPr="00D33C2D">
              <w:rPr>
                <w:rFonts w:ascii="Arial Narrow" w:hAnsi="Arial Narrow" w:cs="Arial"/>
                <w:strike/>
                <w:sz w:val="18"/>
                <w:szCs w:val="18"/>
              </w:rPr>
              <w:t xml:space="preserve">Nurse practitioners </w:t>
            </w:r>
          </w:p>
        </w:tc>
      </w:tr>
      <w:tr w:rsidR="007202CB" w:rsidRPr="00120A12" w14:paraId="6EF7BE7F" w14:textId="77777777" w:rsidTr="007202CB">
        <w:tblPrEx>
          <w:tblCellMar>
            <w:top w:w="15" w:type="dxa"/>
            <w:left w:w="15" w:type="dxa"/>
            <w:bottom w:w="15" w:type="dxa"/>
            <w:right w:w="15" w:type="dxa"/>
          </w:tblCellMar>
          <w:tblLook w:val="04A0" w:firstRow="1" w:lastRow="0" w:firstColumn="1" w:lastColumn="0" w:noHBand="0" w:noVBand="1"/>
        </w:tblPrEx>
        <w:tc>
          <w:tcPr>
            <w:tcW w:w="1221" w:type="dxa"/>
            <w:vMerge/>
            <w:tcBorders>
              <w:left w:val="single" w:sz="4" w:space="0" w:color="auto"/>
              <w:bottom w:val="single" w:sz="4" w:space="0" w:color="auto"/>
              <w:right w:val="single" w:sz="4" w:space="0" w:color="auto"/>
            </w:tcBorders>
          </w:tcPr>
          <w:p w14:paraId="05A2621F" w14:textId="77777777" w:rsidR="007202CB" w:rsidRPr="0020649C" w:rsidRDefault="007202CB" w:rsidP="007202CB">
            <w:pP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419AE95F" w14:textId="77777777" w:rsidR="007202CB" w:rsidRPr="00D33C2D" w:rsidRDefault="007202CB" w:rsidP="007202CB">
            <w:pPr>
              <w:rPr>
                <w:rFonts w:ascii="Arial Narrow" w:hAnsi="Arial Narrow" w:cs="Arial"/>
                <w:b/>
                <w:strike/>
                <w:sz w:val="18"/>
                <w:szCs w:val="18"/>
              </w:rPr>
            </w:pPr>
            <w:r w:rsidRPr="00D33C2D">
              <w:rPr>
                <w:rFonts w:ascii="Arial Narrow" w:hAnsi="Arial Narrow" w:cs="Arial"/>
                <w:b/>
                <w:strike/>
                <w:sz w:val="18"/>
                <w:szCs w:val="18"/>
              </w:rPr>
              <w:t xml:space="preserve">Restriction type: </w:t>
            </w:r>
            <w:r w:rsidRPr="00D33C2D">
              <w:rPr>
                <w:rFonts w:ascii="Arial Narrow" w:eastAsia="Calibri" w:hAnsi="Arial Narrow" w:cs="Arial"/>
                <w:strike/>
                <w:sz w:val="18"/>
                <w:szCs w:val="18"/>
              </w:rPr>
              <w:fldChar w:fldCharType="begin">
                <w:ffData>
                  <w:name w:val="Check1"/>
                  <w:enabled/>
                  <w:calcOnExit w:val="0"/>
                  <w:checkBox>
                    <w:sizeAuto/>
                    <w:default w:val="1"/>
                  </w:checkBox>
                </w:ffData>
              </w:fldChar>
            </w:r>
            <w:r w:rsidRPr="00D33C2D">
              <w:rPr>
                <w:rFonts w:ascii="Arial Narrow" w:eastAsia="Calibri" w:hAnsi="Arial Narrow" w:cs="Arial"/>
                <w:strike/>
                <w:sz w:val="18"/>
                <w:szCs w:val="18"/>
              </w:rPr>
              <w:instrText xml:space="preserve"> FORMCHECKBOX </w:instrText>
            </w:r>
            <w:r w:rsidR="005069F9">
              <w:rPr>
                <w:rFonts w:ascii="Arial Narrow" w:eastAsia="Calibri" w:hAnsi="Arial Narrow" w:cs="Arial"/>
                <w:strike/>
                <w:sz w:val="18"/>
                <w:szCs w:val="18"/>
              </w:rPr>
            </w:r>
            <w:r w:rsidR="005069F9">
              <w:rPr>
                <w:rFonts w:ascii="Arial Narrow" w:eastAsia="Calibri" w:hAnsi="Arial Narrow" w:cs="Arial"/>
                <w:strike/>
                <w:sz w:val="18"/>
                <w:szCs w:val="18"/>
              </w:rPr>
              <w:fldChar w:fldCharType="separate"/>
            </w:r>
            <w:r w:rsidRPr="00D33C2D">
              <w:rPr>
                <w:rFonts w:ascii="Arial Narrow" w:eastAsia="Calibri" w:hAnsi="Arial Narrow" w:cs="Arial"/>
                <w:strike/>
                <w:sz w:val="18"/>
                <w:szCs w:val="18"/>
              </w:rPr>
              <w:fldChar w:fldCharType="end"/>
            </w:r>
            <w:r w:rsidRPr="00D33C2D">
              <w:rPr>
                <w:rFonts w:ascii="Arial Narrow" w:eastAsia="Calibri" w:hAnsi="Arial Narrow" w:cs="Arial"/>
                <w:strike/>
                <w:sz w:val="18"/>
                <w:szCs w:val="18"/>
              </w:rPr>
              <w:t>Restricted benefit</w:t>
            </w:r>
          </w:p>
        </w:tc>
      </w:tr>
      <w:tr w:rsidR="007202CB" w:rsidRPr="00120A12" w14:paraId="39155CE0" w14:textId="77777777" w:rsidTr="007202CB">
        <w:tblPrEx>
          <w:tblCellMar>
            <w:top w:w="15" w:type="dxa"/>
            <w:left w:w="15" w:type="dxa"/>
            <w:bottom w:w="15" w:type="dxa"/>
            <w:right w:w="15" w:type="dxa"/>
          </w:tblCellMar>
          <w:tblLook w:val="04A0" w:firstRow="1" w:lastRow="0" w:firstColumn="1" w:lastColumn="0" w:noHBand="0" w:noVBand="1"/>
        </w:tblPrEx>
        <w:tc>
          <w:tcPr>
            <w:tcW w:w="1221" w:type="dxa"/>
            <w:tcBorders>
              <w:left w:val="single" w:sz="4" w:space="0" w:color="auto"/>
              <w:bottom w:val="single" w:sz="4" w:space="0" w:color="auto"/>
              <w:right w:val="single" w:sz="4" w:space="0" w:color="auto"/>
            </w:tcBorders>
          </w:tcPr>
          <w:p w14:paraId="3153F7F0" w14:textId="77777777" w:rsidR="007202CB" w:rsidRPr="0020649C" w:rsidRDefault="007202CB" w:rsidP="007202CB">
            <w:pP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7D5B77F1" w14:textId="77777777" w:rsidR="007202CB" w:rsidRPr="00D33C2D" w:rsidRDefault="007202CB" w:rsidP="007202CB">
            <w:pPr>
              <w:rPr>
                <w:rFonts w:ascii="Arial Narrow" w:hAnsi="Arial Narrow" w:cs="Arial"/>
                <w:b/>
                <w:strike/>
                <w:sz w:val="18"/>
                <w:szCs w:val="18"/>
              </w:rPr>
            </w:pPr>
          </w:p>
        </w:tc>
      </w:tr>
      <w:tr w:rsidR="007202CB" w:rsidRPr="001377EB" w14:paraId="65F3CE4D"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0398CED3" w14:textId="77777777" w:rsidR="007202CB" w:rsidRPr="001377EB" w:rsidRDefault="007202CB" w:rsidP="007202CB">
            <w:pPr>
              <w:jc w:val="center"/>
              <w:rPr>
                <w:rFonts w:ascii="Arial Narrow" w:hAnsi="Arial Narrow" w:cs="Arial"/>
                <w:sz w:val="18"/>
                <w:szCs w:val="18"/>
              </w:rPr>
            </w:pPr>
            <w:r w:rsidRPr="001377EB">
              <w:rPr>
                <w:rFonts w:ascii="Arial Narrow" w:hAnsi="Arial Narrow" w:cs="Arial"/>
                <w:sz w:val="18"/>
                <w:szCs w:val="18"/>
              </w:rPr>
              <w:t>8619</w:t>
            </w:r>
          </w:p>
        </w:tc>
        <w:tc>
          <w:tcPr>
            <w:tcW w:w="7846" w:type="dxa"/>
            <w:gridSpan w:val="6"/>
            <w:tcBorders>
              <w:top w:val="single" w:sz="4" w:space="0" w:color="auto"/>
              <w:left w:val="single" w:sz="4" w:space="0" w:color="auto"/>
              <w:bottom w:val="single" w:sz="4" w:space="0" w:color="auto"/>
              <w:right w:val="single" w:sz="4" w:space="0" w:color="auto"/>
            </w:tcBorders>
          </w:tcPr>
          <w:p w14:paraId="18433924" w14:textId="77777777" w:rsidR="007202CB" w:rsidRPr="00D33C2D" w:rsidRDefault="007202CB" w:rsidP="007202CB">
            <w:pPr>
              <w:rPr>
                <w:rFonts w:ascii="Arial Narrow" w:hAnsi="Arial Narrow" w:cs="Arial"/>
                <w:b/>
                <w:strike/>
                <w:sz w:val="18"/>
                <w:szCs w:val="18"/>
              </w:rPr>
            </w:pPr>
            <w:r w:rsidRPr="00D33C2D">
              <w:rPr>
                <w:rFonts w:ascii="Arial Narrow" w:hAnsi="Arial Narrow" w:cs="Arial"/>
                <w:b/>
                <w:strike/>
                <w:sz w:val="18"/>
                <w:szCs w:val="18"/>
              </w:rPr>
              <w:t xml:space="preserve">Indication: </w:t>
            </w:r>
            <w:r w:rsidRPr="00D33C2D">
              <w:rPr>
                <w:rFonts w:ascii="Arial Narrow" w:hAnsi="Arial Narrow" w:cs="Arial"/>
                <w:bCs/>
                <w:strike/>
                <w:sz w:val="18"/>
                <w:szCs w:val="18"/>
              </w:rPr>
              <w:t>Nicotine dependence</w:t>
            </w:r>
          </w:p>
        </w:tc>
      </w:tr>
      <w:tr w:rsidR="007202CB" w:rsidRPr="001377EB" w14:paraId="018C5168"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553E50F7" w14:textId="77777777" w:rsidR="007202CB" w:rsidRPr="001377EB"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52B4EA46" w14:textId="77777777" w:rsidR="007202CB" w:rsidRPr="00D33C2D" w:rsidRDefault="007202CB" w:rsidP="007202CB">
            <w:pPr>
              <w:rPr>
                <w:rFonts w:ascii="Arial Narrow" w:hAnsi="Arial Narrow" w:cs="Arial"/>
                <w:b/>
                <w:strike/>
                <w:sz w:val="18"/>
                <w:szCs w:val="18"/>
              </w:rPr>
            </w:pPr>
          </w:p>
        </w:tc>
      </w:tr>
      <w:tr w:rsidR="007202CB" w:rsidRPr="001377EB" w14:paraId="793B0831"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7F1BAB50" w14:textId="77777777" w:rsidR="007202CB" w:rsidRPr="001377EB" w:rsidRDefault="007202CB" w:rsidP="007202CB">
            <w:pPr>
              <w:jc w:val="center"/>
              <w:rPr>
                <w:rFonts w:ascii="Arial Narrow" w:hAnsi="Arial Narrow" w:cs="Arial"/>
                <w:sz w:val="18"/>
                <w:szCs w:val="18"/>
              </w:rPr>
            </w:pPr>
            <w:r w:rsidRPr="001377EB">
              <w:rPr>
                <w:rFonts w:ascii="Arial Narrow" w:hAnsi="Arial Narrow" w:cs="Arial"/>
                <w:sz w:val="18"/>
                <w:szCs w:val="18"/>
              </w:rPr>
              <w:t>8621</w:t>
            </w:r>
          </w:p>
        </w:tc>
        <w:tc>
          <w:tcPr>
            <w:tcW w:w="7846" w:type="dxa"/>
            <w:gridSpan w:val="6"/>
            <w:tcBorders>
              <w:top w:val="single" w:sz="4" w:space="0" w:color="auto"/>
              <w:left w:val="single" w:sz="4" w:space="0" w:color="auto"/>
              <w:bottom w:val="single" w:sz="4" w:space="0" w:color="auto"/>
              <w:right w:val="single" w:sz="4" w:space="0" w:color="auto"/>
            </w:tcBorders>
          </w:tcPr>
          <w:p w14:paraId="63882688" w14:textId="77777777" w:rsidR="007202CB" w:rsidRPr="00D33C2D" w:rsidRDefault="007202CB" w:rsidP="007202CB">
            <w:pPr>
              <w:rPr>
                <w:rFonts w:ascii="Arial Narrow" w:hAnsi="Arial Narrow" w:cs="Arial"/>
                <w:b/>
                <w:strike/>
                <w:sz w:val="18"/>
                <w:szCs w:val="18"/>
              </w:rPr>
            </w:pPr>
            <w:r w:rsidRPr="00D33C2D">
              <w:rPr>
                <w:rFonts w:ascii="Arial Narrow" w:hAnsi="Arial Narrow" w:cs="Arial"/>
                <w:b/>
                <w:strike/>
                <w:sz w:val="18"/>
                <w:szCs w:val="18"/>
              </w:rPr>
              <w:t>Population criteria:</w:t>
            </w:r>
          </w:p>
        </w:tc>
      </w:tr>
      <w:tr w:rsidR="007202CB" w:rsidRPr="001377EB" w14:paraId="384E3EFE"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68B6495E" w14:textId="77777777" w:rsidR="007202CB" w:rsidRPr="001377EB" w:rsidRDefault="007202CB" w:rsidP="007202CB">
            <w:pPr>
              <w:jc w:val="center"/>
              <w:rPr>
                <w:rFonts w:ascii="Arial Narrow" w:hAnsi="Arial Narrow" w:cs="Arial"/>
                <w:sz w:val="18"/>
                <w:szCs w:val="18"/>
              </w:rPr>
            </w:pPr>
            <w:r w:rsidRPr="001377EB">
              <w:rPr>
                <w:rFonts w:ascii="Arial Narrow" w:hAnsi="Arial Narrow" w:cs="Arial"/>
                <w:sz w:val="18"/>
                <w:szCs w:val="18"/>
              </w:rPr>
              <w:t>8620</w:t>
            </w:r>
          </w:p>
        </w:tc>
        <w:tc>
          <w:tcPr>
            <w:tcW w:w="7846" w:type="dxa"/>
            <w:gridSpan w:val="6"/>
            <w:tcBorders>
              <w:top w:val="single" w:sz="4" w:space="0" w:color="auto"/>
              <w:left w:val="single" w:sz="4" w:space="0" w:color="auto"/>
              <w:bottom w:val="single" w:sz="4" w:space="0" w:color="auto"/>
              <w:right w:val="single" w:sz="4" w:space="0" w:color="auto"/>
            </w:tcBorders>
          </w:tcPr>
          <w:p w14:paraId="342987DF" w14:textId="77777777" w:rsidR="007202CB" w:rsidRPr="00D33C2D" w:rsidRDefault="007202CB" w:rsidP="007202CB">
            <w:pPr>
              <w:rPr>
                <w:rFonts w:ascii="Arial Narrow" w:hAnsi="Arial Narrow" w:cs="Arial"/>
                <w:bCs/>
                <w:strike/>
                <w:sz w:val="18"/>
                <w:szCs w:val="18"/>
              </w:rPr>
            </w:pPr>
            <w:r w:rsidRPr="00D33C2D">
              <w:rPr>
                <w:rFonts w:ascii="Arial Narrow" w:hAnsi="Arial Narrow" w:cs="Arial"/>
                <w:bCs/>
                <w:strike/>
                <w:sz w:val="18"/>
                <w:szCs w:val="18"/>
              </w:rPr>
              <w:t>Patient must be an Aboriginal or a Torres Strait Islander person</w:t>
            </w:r>
          </w:p>
        </w:tc>
      </w:tr>
      <w:tr w:rsidR="007202CB" w:rsidRPr="001377EB" w14:paraId="40B29D3C"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2CD36CF8" w14:textId="77777777" w:rsidR="007202CB" w:rsidRPr="001377EB"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46081FA3" w14:textId="77777777" w:rsidR="007202CB" w:rsidRPr="00D33C2D" w:rsidRDefault="007202CB" w:rsidP="007202CB">
            <w:pPr>
              <w:rPr>
                <w:rFonts w:ascii="Arial Narrow" w:hAnsi="Arial Narrow" w:cs="Arial"/>
                <w:b/>
                <w:strike/>
                <w:sz w:val="18"/>
                <w:szCs w:val="18"/>
              </w:rPr>
            </w:pPr>
            <w:r w:rsidRPr="00D33C2D">
              <w:rPr>
                <w:rFonts w:ascii="Arial Narrow" w:hAnsi="Arial Narrow" w:cs="Arial"/>
                <w:b/>
                <w:strike/>
                <w:sz w:val="18"/>
                <w:szCs w:val="18"/>
              </w:rPr>
              <w:t>AND</w:t>
            </w:r>
          </w:p>
        </w:tc>
      </w:tr>
      <w:tr w:rsidR="007202CB" w:rsidRPr="001377EB" w14:paraId="535F11C8"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1F46EBA7" w14:textId="77777777" w:rsidR="007202CB" w:rsidRPr="001377EB" w:rsidRDefault="007202CB" w:rsidP="007202CB">
            <w:pPr>
              <w:jc w:val="center"/>
              <w:rPr>
                <w:rFonts w:ascii="Arial Narrow" w:hAnsi="Arial Narrow" w:cs="Arial"/>
                <w:sz w:val="18"/>
                <w:szCs w:val="18"/>
              </w:rPr>
            </w:pPr>
            <w:r w:rsidRPr="001377EB">
              <w:rPr>
                <w:rFonts w:ascii="Arial Narrow" w:hAnsi="Arial Narrow" w:cs="Arial"/>
                <w:sz w:val="18"/>
                <w:szCs w:val="18"/>
              </w:rPr>
              <w:t>7890</w:t>
            </w:r>
          </w:p>
        </w:tc>
        <w:tc>
          <w:tcPr>
            <w:tcW w:w="7846" w:type="dxa"/>
            <w:gridSpan w:val="6"/>
            <w:tcBorders>
              <w:top w:val="single" w:sz="4" w:space="0" w:color="auto"/>
              <w:left w:val="single" w:sz="4" w:space="0" w:color="auto"/>
              <w:bottom w:val="single" w:sz="4" w:space="0" w:color="auto"/>
              <w:right w:val="single" w:sz="4" w:space="0" w:color="auto"/>
            </w:tcBorders>
          </w:tcPr>
          <w:p w14:paraId="7ECB2BDF" w14:textId="77777777" w:rsidR="007202CB" w:rsidRPr="00D33C2D" w:rsidRDefault="007202CB" w:rsidP="007202CB">
            <w:pPr>
              <w:rPr>
                <w:rFonts w:ascii="Arial Narrow" w:hAnsi="Arial Narrow" w:cs="Arial"/>
                <w:b/>
                <w:strike/>
                <w:sz w:val="18"/>
                <w:szCs w:val="18"/>
              </w:rPr>
            </w:pPr>
            <w:r w:rsidRPr="00D33C2D">
              <w:rPr>
                <w:rFonts w:ascii="Arial Narrow" w:hAnsi="Arial Narrow" w:cs="Arial"/>
                <w:b/>
                <w:strike/>
                <w:sz w:val="18"/>
                <w:szCs w:val="18"/>
              </w:rPr>
              <w:t>Clinical criteria:</w:t>
            </w:r>
          </w:p>
        </w:tc>
      </w:tr>
      <w:tr w:rsidR="007202CB" w:rsidRPr="001377EB" w14:paraId="03740B29"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013A0498" w14:textId="77777777" w:rsidR="007202CB" w:rsidRPr="001377EB" w:rsidRDefault="007202CB" w:rsidP="007202CB">
            <w:pPr>
              <w:jc w:val="center"/>
              <w:rPr>
                <w:rFonts w:ascii="Arial Narrow" w:hAnsi="Arial Narrow" w:cs="Arial"/>
                <w:sz w:val="18"/>
                <w:szCs w:val="18"/>
              </w:rPr>
            </w:pPr>
            <w:r w:rsidRPr="001377EB">
              <w:rPr>
                <w:rFonts w:ascii="Arial Narrow" w:hAnsi="Arial Narrow" w:cs="Arial"/>
                <w:sz w:val="18"/>
                <w:szCs w:val="18"/>
              </w:rPr>
              <w:t>7889</w:t>
            </w:r>
          </w:p>
        </w:tc>
        <w:tc>
          <w:tcPr>
            <w:tcW w:w="7846" w:type="dxa"/>
            <w:gridSpan w:val="6"/>
            <w:tcBorders>
              <w:top w:val="single" w:sz="4" w:space="0" w:color="auto"/>
              <w:left w:val="single" w:sz="4" w:space="0" w:color="auto"/>
              <w:bottom w:val="single" w:sz="4" w:space="0" w:color="auto"/>
              <w:right w:val="single" w:sz="4" w:space="0" w:color="auto"/>
            </w:tcBorders>
          </w:tcPr>
          <w:p w14:paraId="29CEF404" w14:textId="77777777" w:rsidR="007202CB" w:rsidRPr="00D33C2D" w:rsidRDefault="007202CB" w:rsidP="007202CB">
            <w:pPr>
              <w:rPr>
                <w:rFonts w:ascii="Arial Narrow" w:hAnsi="Arial Narrow" w:cs="Arial"/>
                <w:bCs/>
                <w:strike/>
                <w:sz w:val="18"/>
                <w:szCs w:val="18"/>
              </w:rPr>
            </w:pPr>
            <w:r w:rsidRPr="00D33C2D">
              <w:rPr>
                <w:rFonts w:ascii="Arial Narrow" w:hAnsi="Arial Narrow" w:cs="Arial"/>
                <w:bCs/>
                <w:strike/>
                <w:sz w:val="18"/>
                <w:szCs w:val="18"/>
              </w:rPr>
              <w:t>The treatment must be the sole PBS-subsidised therapy for this condition</w:t>
            </w:r>
          </w:p>
        </w:tc>
      </w:tr>
      <w:tr w:rsidR="007202CB" w:rsidRPr="001377EB" w14:paraId="5963056F"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15DCCA60" w14:textId="77777777" w:rsidR="007202CB" w:rsidRPr="001377EB"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524C6F9F" w14:textId="77777777" w:rsidR="007202CB" w:rsidRPr="00D33C2D" w:rsidRDefault="007202CB" w:rsidP="007202CB">
            <w:pPr>
              <w:rPr>
                <w:rFonts w:ascii="Arial Narrow" w:hAnsi="Arial Narrow" w:cs="Arial"/>
                <w:b/>
                <w:strike/>
                <w:sz w:val="18"/>
                <w:szCs w:val="18"/>
              </w:rPr>
            </w:pPr>
          </w:p>
        </w:tc>
      </w:tr>
      <w:tr w:rsidR="007202CB" w:rsidRPr="001377EB" w14:paraId="0F940B5D"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46D44D3D" w14:textId="77777777" w:rsidR="007202CB" w:rsidRPr="001377EB" w:rsidRDefault="007202CB" w:rsidP="007202CB">
            <w:pPr>
              <w:jc w:val="center"/>
              <w:rPr>
                <w:rFonts w:ascii="Arial Narrow" w:hAnsi="Arial Narrow" w:cs="Arial"/>
                <w:sz w:val="18"/>
                <w:szCs w:val="18"/>
              </w:rPr>
            </w:pPr>
            <w:r w:rsidRPr="001377EB">
              <w:rPr>
                <w:rFonts w:ascii="Arial Narrow" w:hAnsi="Arial Narrow" w:cs="Arial"/>
                <w:sz w:val="18"/>
                <w:szCs w:val="18"/>
              </w:rPr>
              <w:t>9293</w:t>
            </w:r>
          </w:p>
        </w:tc>
        <w:tc>
          <w:tcPr>
            <w:tcW w:w="7846" w:type="dxa"/>
            <w:gridSpan w:val="6"/>
            <w:tcBorders>
              <w:top w:val="single" w:sz="4" w:space="0" w:color="auto"/>
              <w:left w:val="single" w:sz="4" w:space="0" w:color="auto"/>
              <w:bottom w:val="single" w:sz="4" w:space="0" w:color="auto"/>
              <w:right w:val="single" w:sz="4" w:space="0" w:color="auto"/>
            </w:tcBorders>
          </w:tcPr>
          <w:p w14:paraId="59A3F5CD" w14:textId="77777777" w:rsidR="007202CB" w:rsidRPr="00D33C2D" w:rsidRDefault="007202CB" w:rsidP="007202CB">
            <w:pPr>
              <w:rPr>
                <w:rFonts w:ascii="Arial Narrow" w:hAnsi="Arial Narrow" w:cs="Arial"/>
                <w:b/>
                <w:strike/>
                <w:sz w:val="18"/>
                <w:szCs w:val="18"/>
              </w:rPr>
            </w:pPr>
            <w:r w:rsidRPr="00D33C2D">
              <w:rPr>
                <w:rFonts w:ascii="Arial Narrow" w:hAnsi="Arial Narrow" w:cs="Arial"/>
                <w:b/>
                <w:strike/>
                <w:sz w:val="18"/>
                <w:szCs w:val="18"/>
              </w:rPr>
              <w:t>Administrative Advice:</w:t>
            </w:r>
          </w:p>
          <w:p w14:paraId="02198EBF" w14:textId="77777777" w:rsidR="007202CB" w:rsidRPr="00D33C2D" w:rsidRDefault="007202CB" w:rsidP="007202CB">
            <w:pPr>
              <w:rPr>
                <w:rFonts w:ascii="Arial Narrow" w:hAnsi="Arial Narrow" w:cs="Arial"/>
                <w:bCs/>
                <w:strike/>
                <w:sz w:val="18"/>
                <w:szCs w:val="18"/>
              </w:rPr>
            </w:pPr>
            <w:r w:rsidRPr="00D33C2D">
              <w:rPr>
                <w:rFonts w:ascii="Arial Narrow" w:hAnsi="Arial Narrow" w:cs="Arial"/>
                <w:bCs/>
                <w:strike/>
                <w:sz w:val="18"/>
                <w:szCs w:val="18"/>
              </w:rPr>
              <w:t>Only 2 courses of PBS-subsidised nicotine replacement therapy may be prescribed per 12-month period.</w:t>
            </w:r>
          </w:p>
          <w:p w14:paraId="2985DDA0" w14:textId="77777777" w:rsidR="007202CB" w:rsidRPr="00D33C2D" w:rsidRDefault="007202CB" w:rsidP="007202CB">
            <w:pPr>
              <w:rPr>
                <w:rFonts w:ascii="Arial Narrow" w:hAnsi="Arial Narrow" w:cs="Arial"/>
                <w:b/>
                <w:strike/>
                <w:sz w:val="18"/>
                <w:szCs w:val="18"/>
              </w:rPr>
            </w:pPr>
            <w:r w:rsidRPr="00D33C2D">
              <w:rPr>
                <w:rFonts w:ascii="Arial Narrow" w:hAnsi="Arial Narrow" w:cs="Arial"/>
                <w:bCs/>
                <w:strike/>
                <w:sz w:val="18"/>
                <w:szCs w:val="18"/>
              </w:rPr>
              <w:t>Benefit is improved if used in conjunction with a comprehensive support and counselling program.</w:t>
            </w:r>
          </w:p>
        </w:tc>
      </w:tr>
      <w:tr w:rsidR="007202CB" w:rsidRPr="001377EB" w14:paraId="05AB2136"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3D8496CC" w14:textId="77777777" w:rsidR="007202CB" w:rsidRPr="001377EB" w:rsidRDefault="007202CB" w:rsidP="007202CB">
            <w:pPr>
              <w:jc w:val="center"/>
              <w:rPr>
                <w:rFonts w:ascii="Arial Narrow" w:hAnsi="Arial Narrow" w:cs="Arial"/>
                <w:sz w:val="18"/>
                <w:szCs w:val="18"/>
              </w:rPr>
            </w:pPr>
            <w:r w:rsidRPr="001377EB">
              <w:rPr>
                <w:rFonts w:ascii="Arial Narrow" w:hAnsi="Arial Narrow" w:cs="Arial"/>
                <w:sz w:val="18"/>
                <w:szCs w:val="18"/>
              </w:rPr>
              <w:t>7606</w:t>
            </w:r>
          </w:p>
        </w:tc>
        <w:tc>
          <w:tcPr>
            <w:tcW w:w="7846" w:type="dxa"/>
            <w:gridSpan w:val="6"/>
            <w:tcBorders>
              <w:top w:val="single" w:sz="4" w:space="0" w:color="auto"/>
              <w:left w:val="single" w:sz="4" w:space="0" w:color="auto"/>
              <w:bottom w:val="single" w:sz="4" w:space="0" w:color="auto"/>
              <w:right w:val="single" w:sz="4" w:space="0" w:color="auto"/>
            </w:tcBorders>
          </w:tcPr>
          <w:p w14:paraId="2299E9CD" w14:textId="77777777" w:rsidR="007202CB" w:rsidRPr="00D33C2D" w:rsidRDefault="007202CB" w:rsidP="007202CB">
            <w:pPr>
              <w:rPr>
                <w:rFonts w:ascii="Arial Narrow" w:hAnsi="Arial Narrow" w:cs="Arial"/>
                <w:b/>
                <w:strike/>
                <w:sz w:val="18"/>
                <w:szCs w:val="18"/>
              </w:rPr>
            </w:pPr>
            <w:r w:rsidRPr="00D33C2D">
              <w:rPr>
                <w:rFonts w:ascii="Arial Narrow" w:hAnsi="Arial Narrow" w:cs="Arial"/>
                <w:b/>
                <w:strike/>
                <w:sz w:val="18"/>
                <w:szCs w:val="18"/>
              </w:rPr>
              <w:t xml:space="preserve">Administrative Advice: </w:t>
            </w:r>
            <w:r w:rsidRPr="00D33C2D">
              <w:rPr>
                <w:rFonts w:ascii="Arial Narrow" w:hAnsi="Arial Narrow" w:cs="Arial"/>
                <w:bCs/>
                <w:strike/>
                <w:sz w:val="18"/>
                <w:szCs w:val="18"/>
              </w:rPr>
              <w:t>No increase in the maximum quantity or number of units may be authorised.</w:t>
            </w:r>
          </w:p>
        </w:tc>
      </w:tr>
      <w:tr w:rsidR="007202CB" w:rsidRPr="001377EB" w14:paraId="3FBB6459"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1125CFE3" w14:textId="77777777" w:rsidR="007202CB" w:rsidRPr="001377EB" w:rsidRDefault="007202CB" w:rsidP="007202CB">
            <w:pPr>
              <w:jc w:val="center"/>
              <w:rPr>
                <w:rFonts w:ascii="Arial Narrow" w:hAnsi="Arial Narrow" w:cs="Arial"/>
                <w:sz w:val="18"/>
                <w:szCs w:val="18"/>
              </w:rPr>
            </w:pPr>
            <w:r w:rsidRPr="001377EB">
              <w:rPr>
                <w:rFonts w:ascii="Arial Narrow" w:hAnsi="Arial Narrow" w:cs="Arial"/>
                <w:sz w:val="18"/>
                <w:szCs w:val="18"/>
              </w:rPr>
              <w:t>7607</w:t>
            </w:r>
          </w:p>
        </w:tc>
        <w:tc>
          <w:tcPr>
            <w:tcW w:w="7846" w:type="dxa"/>
            <w:gridSpan w:val="6"/>
            <w:tcBorders>
              <w:top w:val="single" w:sz="4" w:space="0" w:color="auto"/>
              <w:left w:val="single" w:sz="4" w:space="0" w:color="auto"/>
              <w:bottom w:val="single" w:sz="4" w:space="0" w:color="auto"/>
              <w:right w:val="single" w:sz="4" w:space="0" w:color="auto"/>
            </w:tcBorders>
          </w:tcPr>
          <w:p w14:paraId="72A504F0" w14:textId="77777777" w:rsidR="007202CB" w:rsidRPr="00D33C2D" w:rsidRDefault="007202CB" w:rsidP="007202CB">
            <w:pPr>
              <w:rPr>
                <w:rFonts w:ascii="Arial Narrow" w:hAnsi="Arial Narrow" w:cs="Arial"/>
                <w:b/>
                <w:strike/>
                <w:sz w:val="18"/>
                <w:szCs w:val="18"/>
              </w:rPr>
            </w:pPr>
            <w:r w:rsidRPr="00D33C2D">
              <w:rPr>
                <w:rFonts w:ascii="Arial Narrow" w:hAnsi="Arial Narrow" w:cs="Arial"/>
                <w:b/>
                <w:strike/>
                <w:sz w:val="18"/>
                <w:szCs w:val="18"/>
              </w:rPr>
              <w:t xml:space="preserve">Administrative Advice: </w:t>
            </w:r>
            <w:r w:rsidRPr="00D33C2D">
              <w:rPr>
                <w:rFonts w:ascii="Arial Narrow" w:hAnsi="Arial Narrow" w:cs="Arial"/>
                <w:bCs/>
                <w:strike/>
                <w:sz w:val="18"/>
                <w:szCs w:val="18"/>
              </w:rPr>
              <w:t>No increase in the maximum number of repeats may be authorised.</w:t>
            </w:r>
          </w:p>
        </w:tc>
      </w:tr>
      <w:tr w:rsidR="007202CB" w:rsidRPr="001377EB" w14:paraId="5408B089"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1305793C" w14:textId="77777777" w:rsidR="007202CB" w:rsidRPr="001377EB" w:rsidRDefault="007202CB" w:rsidP="007202CB">
            <w:pPr>
              <w:rPr>
                <w:rFonts w:ascii="Arial Narrow" w:hAnsi="Arial Narrow" w:cs="Arial"/>
                <w:b/>
                <w:sz w:val="18"/>
                <w:szCs w:val="18"/>
              </w:rPr>
            </w:pPr>
          </w:p>
        </w:tc>
      </w:tr>
      <w:tr w:rsidR="007202CB" w:rsidRPr="001377EB" w14:paraId="234972DC"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6C696B62" w14:textId="77777777" w:rsidR="007202CB" w:rsidRPr="001377EB" w:rsidRDefault="007202CB" w:rsidP="007202CB">
            <w:pPr>
              <w:rPr>
                <w:rFonts w:ascii="Arial Narrow" w:hAnsi="Arial Narrow" w:cs="Arial"/>
                <w:b/>
                <w:sz w:val="18"/>
                <w:szCs w:val="18"/>
              </w:rPr>
            </w:pPr>
            <w:r>
              <w:rPr>
                <w:rFonts w:ascii="Arial Narrow" w:hAnsi="Arial Narrow"/>
                <w:b/>
                <w:sz w:val="18"/>
                <w:szCs w:val="18"/>
              </w:rPr>
              <w:t xml:space="preserve">Edit </w:t>
            </w:r>
            <w:r w:rsidRPr="00507253">
              <w:rPr>
                <w:rFonts w:ascii="Arial Narrow" w:hAnsi="Arial Narrow"/>
                <w:b/>
                <w:sz w:val="18"/>
                <w:szCs w:val="18"/>
              </w:rPr>
              <w:t>Restriction Summary</w:t>
            </w:r>
            <w:r>
              <w:rPr>
                <w:rFonts w:ascii="Arial Narrow" w:hAnsi="Arial Narrow"/>
                <w:b/>
                <w:sz w:val="18"/>
                <w:szCs w:val="18"/>
              </w:rPr>
              <w:t xml:space="preserve"> 6848</w:t>
            </w:r>
            <w:r w:rsidRPr="00507253">
              <w:rPr>
                <w:rFonts w:ascii="Arial Narrow" w:hAnsi="Arial Narrow"/>
                <w:b/>
                <w:sz w:val="18"/>
                <w:szCs w:val="18"/>
              </w:rPr>
              <w:t xml:space="preserve"> / Treatment of Concept: </w:t>
            </w:r>
            <w:r>
              <w:rPr>
                <w:rFonts w:ascii="Arial Narrow" w:hAnsi="Arial Narrow"/>
                <w:b/>
                <w:sz w:val="18"/>
                <w:szCs w:val="18"/>
              </w:rPr>
              <w:t>6848</w:t>
            </w:r>
          </w:p>
        </w:tc>
      </w:tr>
      <w:tr w:rsidR="007202CB" w:rsidRPr="00D33C2D" w14:paraId="6853EDC5"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53C816E5"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8619</w:t>
            </w:r>
          </w:p>
        </w:tc>
        <w:tc>
          <w:tcPr>
            <w:tcW w:w="7846" w:type="dxa"/>
            <w:gridSpan w:val="6"/>
            <w:tcBorders>
              <w:top w:val="single" w:sz="4" w:space="0" w:color="auto"/>
              <w:left w:val="single" w:sz="4" w:space="0" w:color="auto"/>
              <w:bottom w:val="single" w:sz="4" w:space="0" w:color="auto"/>
              <w:right w:val="single" w:sz="4" w:space="0" w:color="auto"/>
            </w:tcBorders>
          </w:tcPr>
          <w:p w14:paraId="3E233924"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Indication:</w:t>
            </w:r>
            <w:r>
              <w:rPr>
                <w:rFonts w:ascii="Arial Narrow" w:hAnsi="Arial Narrow" w:cs="Arial"/>
                <w:b/>
                <w:sz w:val="18"/>
                <w:szCs w:val="18"/>
              </w:rPr>
              <w:t xml:space="preserve"> </w:t>
            </w:r>
            <w:r w:rsidRPr="00D33C2D">
              <w:rPr>
                <w:rFonts w:ascii="Arial Narrow" w:hAnsi="Arial Narrow" w:cs="Arial"/>
                <w:bCs/>
                <w:sz w:val="18"/>
                <w:szCs w:val="18"/>
              </w:rPr>
              <w:t>Nicotine dependence</w:t>
            </w:r>
          </w:p>
        </w:tc>
      </w:tr>
      <w:tr w:rsidR="007202CB" w:rsidRPr="00D33C2D" w14:paraId="769FE6A3"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76D59AA5" w14:textId="77777777" w:rsidR="007202CB" w:rsidRPr="00D33C2D"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7B9AA459" w14:textId="77777777" w:rsidR="007202CB" w:rsidRPr="00D33C2D" w:rsidRDefault="007202CB" w:rsidP="007202CB">
            <w:pPr>
              <w:rPr>
                <w:rFonts w:ascii="Arial Narrow" w:hAnsi="Arial Narrow" w:cs="Arial"/>
                <w:b/>
                <w:sz w:val="18"/>
                <w:szCs w:val="18"/>
              </w:rPr>
            </w:pPr>
          </w:p>
        </w:tc>
      </w:tr>
      <w:tr w:rsidR="007202CB" w:rsidRPr="00D33C2D" w14:paraId="143BD792"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6F5FE23D"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11245</w:t>
            </w:r>
          </w:p>
        </w:tc>
        <w:tc>
          <w:tcPr>
            <w:tcW w:w="7846" w:type="dxa"/>
            <w:gridSpan w:val="6"/>
            <w:tcBorders>
              <w:top w:val="single" w:sz="4" w:space="0" w:color="auto"/>
              <w:left w:val="single" w:sz="4" w:space="0" w:color="auto"/>
              <w:bottom w:val="single" w:sz="4" w:space="0" w:color="auto"/>
              <w:right w:val="single" w:sz="4" w:space="0" w:color="auto"/>
            </w:tcBorders>
          </w:tcPr>
          <w:p w14:paraId="4C773512"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Clinical criteria:</w:t>
            </w:r>
          </w:p>
        </w:tc>
      </w:tr>
      <w:tr w:rsidR="007202CB" w:rsidRPr="00D33C2D" w14:paraId="0749A213"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56C9C252"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11244</w:t>
            </w:r>
          </w:p>
        </w:tc>
        <w:tc>
          <w:tcPr>
            <w:tcW w:w="7846" w:type="dxa"/>
            <w:gridSpan w:val="6"/>
            <w:tcBorders>
              <w:top w:val="single" w:sz="4" w:space="0" w:color="auto"/>
              <w:left w:val="single" w:sz="4" w:space="0" w:color="auto"/>
              <w:bottom w:val="single" w:sz="4" w:space="0" w:color="auto"/>
              <w:right w:val="single" w:sz="4" w:space="0" w:color="auto"/>
            </w:tcBorders>
          </w:tcPr>
          <w:p w14:paraId="1530AC2B" w14:textId="77777777" w:rsidR="007202CB" w:rsidRPr="00D33C2D" w:rsidRDefault="007202CB" w:rsidP="007202CB">
            <w:pPr>
              <w:rPr>
                <w:rFonts w:ascii="Arial Narrow" w:hAnsi="Arial Narrow" w:cs="Arial"/>
                <w:bCs/>
                <w:sz w:val="18"/>
                <w:szCs w:val="18"/>
              </w:rPr>
            </w:pPr>
            <w:r w:rsidRPr="00D33C2D">
              <w:rPr>
                <w:rFonts w:ascii="Arial Narrow" w:hAnsi="Arial Narrow" w:cs="Arial"/>
                <w:bCs/>
                <w:sz w:val="18"/>
                <w:szCs w:val="18"/>
              </w:rPr>
              <w:t>The treatment must be as an aid to achieving abstinence from smoking</w:t>
            </w:r>
          </w:p>
        </w:tc>
      </w:tr>
      <w:tr w:rsidR="007202CB" w:rsidRPr="00D33C2D" w14:paraId="1EF3FBBA"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2EDB6C13" w14:textId="77777777" w:rsidR="007202CB" w:rsidRPr="00D33C2D"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32CDDF15"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AND</w:t>
            </w:r>
          </w:p>
        </w:tc>
      </w:tr>
      <w:tr w:rsidR="007202CB" w:rsidRPr="00D33C2D" w14:paraId="12F2D5B3"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110CD2E8"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7890</w:t>
            </w:r>
          </w:p>
        </w:tc>
        <w:tc>
          <w:tcPr>
            <w:tcW w:w="7846" w:type="dxa"/>
            <w:gridSpan w:val="6"/>
            <w:tcBorders>
              <w:top w:val="single" w:sz="4" w:space="0" w:color="auto"/>
              <w:left w:val="single" w:sz="4" w:space="0" w:color="auto"/>
              <w:bottom w:val="single" w:sz="4" w:space="0" w:color="auto"/>
              <w:right w:val="single" w:sz="4" w:space="0" w:color="auto"/>
            </w:tcBorders>
          </w:tcPr>
          <w:p w14:paraId="3403DAEF"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Clinical criteria:</w:t>
            </w:r>
          </w:p>
        </w:tc>
      </w:tr>
      <w:tr w:rsidR="007202CB" w:rsidRPr="00D33C2D" w14:paraId="16B53811"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08FCE376" w14:textId="77777777" w:rsidR="007202CB" w:rsidRPr="00D33C2D" w:rsidRDefault="007202CB" w:rsidP="007202CB">
            <w:pPr>
              <w:jc w:val="center"/>
              <w:rPr>
                <w:rFonts w:ascii="Arial Narrow" w:hAnsi="Arial Narrow" w:cs="Arial"/>
                <w:sz w:val="18"/>
                <w:szCs w:val="18"/>
              </w:rPr>
            </w:pPr>
            <w:r>
              <w:rPr>
                <w:rFonts w:ascii="Arial Narrow" w:hAnsi="Arial Narrow" w:cs="Arial"/>
                <w:sz w:val="18"/>
                <w:szCs w:val="18"/>
              </w:rPr>
              <w:t xml:space="preserve">Remove </w:t>
            </w:r>
            <w:r w:rsidRPr="00D33C2D">
              <w:rPr>
                <w:rFonts w:ascii="Arial Narrow" w:hAnsi="Arial Narrow" w:cs="Arial"/>
                <w:sz w:val="18"/>
                <w:szCs w:val="18"/>
              </w:rPr>
              <w:t>7889</w:t>
            </w:r>
          </w:p>
        </w:tc>
        <w:tc>
          <w:tcPr>
            <w:tcW w:w="7846" w:type="dxa"/>
            <w:gridSpan w:val="6"/>
            <w:tcBorders>
              <w:top w:val="single" w:sz="4" w:space="0" w:color="auto"/>
              <w:left w:val="single" w:sz="4" w:space="0" w:color="auto"/>
              <w:bottom w:val="single" w:sz="4" w:space="0" w:color="auto"/>
              <w:right w:val="single" w:sz="4" w:space="0" w:color="auto"/>
            </w:tcBorders>
          </w:tcPr>
          <w:p w14:paraId="68AED884" w14:textId="77777777" w:rsidR="007202CB" w:rsidRPr="00D33C2D" w:rsidRDefault="007202CB" w:rsidP="007202CB">
            <w:pPr>
              <w:rPr>
                <w:rFonts w:ascii="Arial Narrow" w:hAnsi="Arial Narrow" w:cs="Arial"/>
                <w:bCs/>
                <w:strike/>
                <w:sz w:val="18"/>
                <w:szCs w:val="18"/>
              </w:rPr>
            </w:pPr>
            <w:r w:rsidRPr="00D33C2D">
              <w:rPr>
                <w:rFonts w:ascii="Arial Narrow" w:hAnsi="Arial Narrow" w:cs="Arial"/>
                <w:bCs/>
                <w:strike/>
                <w:sz w:val="18"/>
                <w:szCs w:val="18"/>
              </w:rPr>
              <w:t>The treatment must be the sole PBS-subsidised therapy for this condition</w:t>
            </w:r>
          </w:p>
        </w:tc>
      </w:tr>
      <w:tr w:rsidR="007202CB" w:rsidRPr="00D33C2D" w14:paraId="3E9CE67C"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41349E2C" w14:textId="77777777" w:rsidR="007202CB" w:rsidRDefault="007202CB" w:rsidP="007202CB">
            <w:pPr>
              <w:jc w:val="center"/>
              <w:rPr>
                <w:rFonts w:ascii="Arial Narrow" w:hAnsi="Arial Narrow" w:cs="Arial"/>
                <w:sz w:val="18"/>
                <w:szCs w:val="18"/>
              </w:rPr>
            </w:pPr>
            <w:r>
              <w:rPr>
                <w:rFonts w:ascii="Arial Narrow" w:hAnsi="Arial Narrow" w:cs="Arial"/>
                <w:sz w:val="18"/>
                <w:szCs w:val="18"/>
              </w:rPr>
              <w:t>Insert New CC1</w:t>
            </w:r>
          </w:p>
        </w:tc>
        <w:tc>
          <w:tcPr>
            <w:tcW w:w="7846" w:type="dxa"/>
            <w:gridSpan w:val="6"/>
            <w:tcBorders>
              <w:top w:val="single" w:sz="4" w:space="0" w:color="auto"/>
              <w:left w:val="single" w:sz="4" w:space="0" w:color="auto"/>
              <w:bottom w:val="single" w:sz="4" w:space="0" w:color="auto"/>
              <w:right w:val="single" w:sz="4" w:space="0" w:color="auto"/>
            </w:tcBorders>
          </w:tcPr>
          <w:p w14:paraId="1AA4C817" w14:textId="77777777" w:rsidR="007202CB" w:rsidRPr="00B728B1" w:rsidRDefault="007202CB" w:rsidP="007202CB">
            <w:pPr>
              <w:rPr>
                <w:rFonts w:ascii="Arial Narrow" w:hAnsi="Arial Narrow" w:cs="Arial"/>
                <w:bCs/>
                <w:i/>
                <w:iCs/>
                <w:sz w:val="18"/>
                <w:szCs w:val="18"/>
              </w:rPr>
            </w:pPr>
            <w:r w:rsidRPr="00B728B1">
              <w:rPr>
                <w:rFonts w:ascii="Arial Narrow" w:hAnsi="Arial Narrow" w:cs="Arial"/>
                <w:bCs/>
                <w:i/>
                <w:iCs/>
                <w:sz w:val="18"/>
                <w:szCs w:val="18"/>
              </w:rPr>
              <w:t>The treatment must not be a PBS-benefit with other non-nicotine drugs that are PBS indicated for smoking cessation</w:t>
            </w:r>
          </w:p>
        </w:tc>
      </w:tr>
      <w:tr w:rsidR="007202CB" w:rsidRPr="00D33C2D" w14:paraId="6FADBB78"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2442EB81" w14:textId="77777777" w:rsidR="007202CB" w:rsidRPr="00D33C2D"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36518024" w14:textId="77777777" w:rsidR="007202CB" w:rsidRPr="00D33C2D" w:rsidRDefault="007202CB" w:rsidP="007202CB">
            <w:pPr>
              <w:rPr>
                <w:rFonts w:ascii="Arial Narrow" w:hAnsi="Arial Narrow" w:cs="Arial"/>
                <w:b/>
                <w:i/>
                <w:iCs/>
                <w:sz w:val="18"/>
                <w:szCs w:val="18"/>
              </w:rPr>
            </w:pPr>
            <w:r w:rsidRPr="00D33C2D">
              <w:rPr>
                <w:rFonts w:ascii="Arial Narrow" w:hAnsi="Arial Narrow" w:cs="Arial"/>
                <w:b/>
                <w:i/>
                <w:iCs/>
                <w:sz w:val="18"/>
                <w:szCs w:val="18"/>
              </w:rPr>
              <w:t>AND</w:t>
            </w:r>
          </w:p>
        </w:tc>
      </w:tr>
      <w:tr w:rsidR="007202CB" w:rsidRPr="00D33C2D" w14:paraId="09B424F1"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76FDD4FD" w14:textId="77777777" w:rsidR="007202CB" w:rsidRPr="00D33C2D" w:rsidRDefault="007202CB" w:rsidP="007202CB">
            <w:pPr>
              <w:jc w:val="center"/>
              <w:rPr>
                <w:rFonts w:ascii="Arial Narrow" w:hAnsi="Arial Narrow" w:cs="Arial"/>
                <w:sz w:val="18"/>
                <w:szCs w:val="18"/>
              </w:rPr>
            </w:pPr>
            <w:r>
              <w:rPr>
                <w:rFonts w:ascii="Arial Narrow" w:hAnsi="Arial Narrow" w:cs="Arial"/>
                <w:sz w:val="18"/>
                <w:szCs w:val="18"/>
              </w:rPr>
              <w:t>Insert</w:t>
            </w:r>
          </w:p>
        </w:tc>
        <w:tc>
          <w:tcPr>
            <w:tcW w:w="7846" w:type="dxa"/>
            <w:gridSpan w:val="6"/>
            <w:tcBorders>
              <w:top w:val="single" w:sz="4" w:space="0" w:color="auto"/>
              <w:left w:val="single" w:sz="4" w:space="0" w:color="auto"/>
              <w:bottom w:val="single" w:sz="4" w:space="0" w:color="auto"/>
              <w:right w:val="single" w:sz="4" w:space="0" w:color="auto"/>
            </w:tcBorders>
          </w:tcPr>
          <w:p w14:paraId="02E0EB6B" w14:textId="77777777" w:rsidR="007202CB" w:rsidRPr="00CE78F9" w:rsidRDefault="007202CB" w:rsidP="007202CB">
            <w:pPr>
              <w:rPr>
                <w:rFonts w:ascii="Arial Narrow" w:hAnsi="Arial Narrow" w:cs="Arial"/>
                <w:b/>
                <w:i/>
                <w:iCs/>
                <w:sz w:val="18"/>
                <w:szCs w:val="18"/>
              </w:rPr>
            </w:pPr>
            <w:r w:rsidRPr="00CE78F9">
              <w:rPr>
                <w:rFonts w:ascii="Arial Narrow" w:hAnsi="Arial Narrow" w:cs="Arial"/>
                <w:b/>
                <w:i/>
                <w:iCs/>
                <w:sz w:val="18"/>
                <w:szCs w:val="18"/>
              </w:rPr>
              <w:t>Clinical criteria:</w:t>
            </w:r>
          </w:p>
        </w:tc>
      </w:tr>
      <w:tr w:rsidR="007202CB" w:rsidRPr="00D33C2D" w14:paraId="1C048294"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5EF9E673" w14:textId="77777777" w:rsidR="007202CB" w:rsidRPr="00D33C2D" w:rsidRDefault="007202CB" w:rsidP="007202CB">
            <w:pPr>
              <w:jc w:val="center"/>
              <w:rPr>
                <w:rFonts w:ascii="Arial Narrow" w:hAnsi="Arial Narrow" w:cs="Arial"/>
                <w:sz w:val="18"/>
                <w:szCs w:val="18"/>
              </w:rPr>
            </w:pPr>
            <w:r>
              <w:rPr>
                <w:rFonts w:ascii="Arial Narrow" w:hAnsi="Arial Narrow" w:cs="Arial"/>
                <w:sz w:val="18"/>
                <w:szCs w:val="18"/>
              </w:rPr>
              <w:t>New CC2</w:t>
            </w:r>
          </w:p>
        </w:tc>
        <w:tc>
          <w:tcPr>
            <w:tcW w:w="7846" w:type="dxa"/>
            <w:gridSpan w:val="6"/>
            <w:tcBorders>
              <w:top w:val="single" w:sz="4" w:space="0" w:color="auto"/>
              <w:left w:val="single" w:sz="4" w:space="0" w:color="auto"/>
              <w:bottom w:val="single" w:sz="4" w:space="0" w:color="auto"/>
              <w:right w:val="single" w:sz="4" w:space="0" w:color="auto"/>
            </w:tcBorders>
          </w:tcPr>
          <w:p w14:paraId="340AC3C1" w14:textId="4CE7697A" w:rsidR="007202CB" w:rsidRPr="00CE78F9" w:rsidRDefault="007202CB" w:rsidP="007202CB">
            <w:pPr>
              <w:rPr>
                <w:rFonts w:ascii="Arial Narrow" w:hAnsi="Arial Narrow" w:cs="Arial"/>
                <w:bCs/>
                <w:i/>
                <w:iCs/>
                <w:sz w:val="18"/>
                <w:szCs w:val="18"/>
              </w:rPr>
            </w:pPr>
            <w:r w:rsidRPr="00CE78F9">
              <w:rPr>
                <w:rFonts w:ascii="Arial Narrow" w:hAnsi="Arial Narrow" w:cs="Arial"/>
                <w:bCs/>
                <w:i/>
                <w:iCs/>
                <w:sz w:val="18"/>
                <w:szCs w:val="18"/>
              </w:rPr>
              <w:t>The treatment must, in terms of the number of forms/presentations prescribed, be limited to up to 2 (</w:t>
            </w:r>
            <w:r w:rsidR="004B3363" w:rsidRPr="00CE78F9">
              <w:rPr>
                <w:rFonts w:ascii="Arial Narrow" w:hAnsi="Arial Narrow" w:cs="Arial"/>
                <w:bCs/>
                <w:i/>
                <w:iCs/>
                <w:sz w:val="18"/>
                <w:szCs w:val="18"/>
              </w:rPr>
              <w:t>e.g.,</w:t>
            </w:r>
            <w:r w:rsidRPr="00CE78F9">
              <w:rPr>
                <w:rFonts w:ascii="Arial Narrow" w:hAnsi="Arial Narrow" w:cs="Arial"/>
                <w:bCs/>
                <w:i/>
                <w:iCs/>
                <w:sz w:val="18"/>
                <w:szCs w:val="18"/>
              </w:rPr>
              <w:t xml:space="preserve"> patches</w:t>
            </w:r>
            <w:r>
              <w:rPr>
                <w:rFonts w:ascii="Arial Narrow" w:hAnsi="Arial Narrow" w:cs="Arial"/>
                <w:bCs/>
                <w:i/>
                <w:iCs/>
                <w:sz w:val="18"/>
                <w:szCs w:val="18"/>
              </w:rPr>
              <w:t xml:space="preserve"> plus </w:t>
            </w:r>
            <w:r w:rsidRPr="00CE78F9">
              <w:rPr>
                <w:rFonts w:ascii="Arial Narrow" w:hAnsi="Arial Narrow" w:cs="Arial"/>
                <w:bCs/>
                <w:i/>
                <w:iCs/>
                <w:sz w:val="18"/>
                <w:szCs w:val="18"/>
              </w:rPr>
              <w:t>gum</w:t>
            </w:r>
            <w:r>
              <w:rPr>
                <w:rFonts w:ascii="Arial Narrow" w:hAnsi="Arial Narrow" w:cs="Arial"/>
                <w:bCs/>
                <w:i/>
                <w:iCs/>
                <w:sz w:val="18"/>
                <w:szCs w:val="18"/>
              </w:rPr>
              <w:t xml:space="preserve"> is permitted</w:t>
            </w:r>
            <w:r w:rsidRPr="00CE78F9">
              <w:rPr>
                <w:rFonts w:ascii="Arial Narrow" w:hAnsi="Arial Narrow" w:cs="Arial"/>
                <w:bCs/>
                <w:i/>
                <w:iCs/>
                <w:sz w:val="18"/>
                <w:szCs w:val="18"/>
              </w:rPr>
              <w:t>, but not patches</w:t>
            </w:r>
            <w:r>
              <w:rPr>
                <w:rFonts w:ascii="Arial Narrow" w:hAnsi="Arial Narrow" w:cs="Arial"/>
                <w:bCs/>
                <w:i/>
                <w:iCs/>
                <w:sz w:val="18"/>
                <w:szCs w:val="18"/>
              </w:rPr>
              <w:t xml:space="preserve"> plus </w:t>
            </w:r>
            <w:r w:rsidRPr="00CE78F9">
              <w:rPr>
                <w:rFonts w:ascii="Arial Narrow" w:hAnsi="Arial Narrow" w:cs="Arial"/>
                <w:bCs/>
                <w:i/>
                <w:iCs/>
                <w:sz w:val="18"/>
                <w:szCs w:val="18"/>
              </w:rPr>
              <w:t>gum</w:t>
            </w:r>
            <w:r>
              <w:rPr>
                <w:rFonts w:ascii="Arial Narrow" w:hAnsi="Arial Narrow" w:cs="Arial"/>
                <w:bCs/>
                <w:i/>
                <w:iCs/>
                <w:sz w:val="18"/>
                <w:szCs w:val="18"/>
              </w:rPr>
              <w:t xml:space="preserve"> plus l</w:t>
            </w:r>
            <w:r w:rsidRPr="00CE78F9">
              <w:rPr>
                <w:rFonts w:ascii="Arial Narrow" w:hAnsi="Arial Narrow" w:cs="Arial"/>
                <w:bCs/>
                <w:i/>
                <w:iCs/>
                <w:sz w:val="18"/>
                <w:szCs w:val="18"/>
              </w:rPr>
              <w:t>ozenges)</w:t>
            </w:r>
          </w:p>
        </w:tc>
      </w:tr>
      <w:tr w:rsidR="007202CB" w:rsidRPr="00D33C2D" w14:paraId="4110A511"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74123BD5" w14:textId="77777777" w:rsidR="007202CB"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7A8E52EF" w14:textId="77777777" w:rsidR="007202CB" w:rsidRPr="00CE78F9" w:rsidRDefault="007202CB" w:rsidP="007202CB">
            <w:pPr>
              <w:rPr>
                <w:rFonts w:ascii="Arial Narrow" w:hAnsi="Arial Narrow" w:cs="Arial"/>
                <w:b/>
                <w:i/>
                <w:iCs/>
                <w:sz w:val="18"/>
                <w:szCs w:val="18"/>
              </w:rPr>
            </w:pPr>
            <w:r w:rsidRPr="00CE78F9">
              <w:rPr>
                <w:rFonts w:ascii="Arial Narrow" w:hAnsi="Arial Narrow" w:cs="Arial"/>
                <w:b/>
                <w:i/>
                <w:iCs/>
                <w:sz w:val="18"/>
                <w:szCs w:val="18"/>
              </w:rPr>
              <w:t>AND</w:t>
            </w:r>
          </w:p>
        </w:tc>
      </w:tr>
      <w:tr w:rsidR="007202CB" w:rsidRPr="00D33C2D" w14:paraId="579B1FCC"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36995BF6"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lastRenderedPageBreak/>
              <w:t>8625</w:t>
            </w:r>
          </w:p>
        </w:tc>
        <w:tc>
          <w:tcPr>
            <w:tcW w:w="7846" w:type="dxa"/>
            <w:gridSpan w:val="6"/>
            <w:tcBorders>
              <w:top w:val="single" w:sz="4" w:space="0" w:color="auto"/>
              <w:left w:val="single" w:sz="4" w:space="0" w:color="auto"/>
              <w:bottom w:val="single" w:sz="4" w:space="0" w:color="auto"/>
              <w:right w:val="single" w:sz="4" w:space="0" w:color="auto"/>
            </w:tcBorders>
          </w:tcPr>
          <w:p w14:paraId="3469BD97"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Clinical criteria:</w:t>
            </w:r>
          </w:p>
        </w:tc>
      </w:tr>
      <w:tr w:rsidR="007202CB" w:rsidRPr="00D33C2D" w14:paraId="584DB39B"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751FBC0F"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8624</w:t>
            </w:r>
          </w:p>
        </w:tc>
        <w:tc>
          <w:tcPr>
            <w:tcW w:w="7846" w:type="dxa"/>
            <w:gridSpan w:val="6"/>
            <w:tcBorders>
              <w:top w:val="single" w:sz="4" w:space="0" w:color="auto"/>
              <w:left w:val="single" w:sz="4" w:space="0" w:color="auto"/>
              <w:bottom w:val="single" w:sz="4" w:space="0" w:color="auto"/>
              <w:right w:val="single" w:sz="4" w:space="0" w:color="auto"/>
            </w:tcBorders>
          </w:tcPr>
          <w:p w14:paraId="5D7E7B51" w14:textId="77777777" w:rsidR="007202CB" w:rsidRPr="00D33C2D" w:rsidRDefault="007202CB" w:rsidP="007202CB">
            <w:pPr>
              <w:rPr>
                <w:rFonts w:ascii="Arial Narrow" w:hAnsi="Arial Narrow" w:cs="Arial"/>
                <w:bCs/>
                <w:sz w:val="18"/>
                <w:szCs w:val="18"/>
              </w:rPr>
            </w:pPr>
            <w:r w:rsidRPr="00D33C2D">
              <w:rPr>
                <w:rFonts w:ascii="Arial Narrow" w:hAnsi="Arial Narrow" w:cs="Arial"/>
                <w:bCs/>
                <w:sz w:val="18"/>
                <w:szCs w:val="18"/>
              </w:rPr>
              <w:t>Patient must have indicated they are ready to cease smoking</w:t>
            </w:r>
          </w:p>
        </w:tc>
      </w:tr>
      <w:tr w:rsidR="007202CB" w:rsidRPr="00D33C2D" w14:paraId="2D896CCD"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37F031B4" w14:textId="77777777" w:rsidR="007202CB" w:rsidRPr="00D33C2D"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14AF8B8D"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AND</w:t>
            </w:r>
          </w:p>
        </w:tc>
      </w:tr>
      <w:tr w:rsidR="007202CB" w:rsidRPr="00D33C2D" w14:paraId="34A5AA06"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0C1FC061"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9296</w:t>
            </w:r>
          </w:p>
        </w:tc>
        <w:tc>
          <w:tcPr>
            <w:tcW w:w="7846" w:type="dxa"/>
            <w:gridSpan w:val="6"/>
            <w:tcBorders>
              <w:top w:val="single" w:sz="4" w:space="0" w:color="auto"/>
              <w:left w:val="single" w:sz="4" w:space="0" w:color="auto"/>
              <w:bottom w:val="single" w:sz="4" w:space="0" w:color="auto"/>
              <w:right w:val="single" w:sz="4" w:space="0" w:color="auto"/>
            </w:tcBorders>
          </w:tcPr>
          <w:p w14:paraId="3923FCCA"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Clinical criteria:</w:t>
            </w:r>
          </w:p>
        </w:tc>
      </w:tr>
      <w:tr w:rsidR="007202CB" w:rsidRPr="00D33C2D" w14:paraId="62641878"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52787D73" w14:textId="77777777" w:rsidR="007202CB" w:rsidRPr="00D33C2D" w:rsidRDefault="007202CB" w:rsidP="007202CB">
            <w:pPr>
              <w:jc w:val="center"/>
              <w:rPr>
                <w:rFonts w:ascii="Arial Narrow" w:hAnsi="Arial Narrow" w:cs="Arial"/>
                <w:sz w:val="18"/>
                <w:szCs w:val="18"/>
              </w:rPr>
            </w:pPr>
            <w:r>
              <w:rPr>
                <w:rFonts w:ascii="Arial Narrow" w:hAnsi="Arial Narrow" w:cs="Arial"/>
                <w:sz w:val="18"/>
                <w:szCs w:val="18"/>
              </w:rPr>
              <w:t xml:space="preserve">Remove </w:t>
            </w:r>
            <w:r w:rsidRPr="00D33C2D">
              <w:rPr>
                <w:rFonts w:ascii="Arial Narrow" w:hAnsi="Arial Narrow" w:cs="Arial"/>
                <w:sz w:val="18"/>
                <w:szCs w:val="18"/>
              </w:rPr>
              <w:t>9295</w:t>
            </w:r>
          </w:p>
        </w:tc>
        <w:tc>
          <w:tcPr>
            <w:tcW w:w="7846" w:type="dxa"/>
            <w:gridSpan w:val="6"/>
            <w:tcBorders>
              <w:top w:val="single" w:sz="4" w:space="0" w:color="auto"/>
              <w:left w:val="single" w:sz="4" w:space="0" w:color="auto"/>
              <w:bottom w:val="single" w:sz="4" w:space="0" w:color="auto"/>
              <w:right w:val="single" w:sz="4" w:space="0" w:color="auto"/>
            </w:tcBorders>
          </w:tcPr>
          <w:p w14:paraId="73717360" w14:textId="77777777" w:rsidR="007202CB" w:rsidRPr="00D33C2D" w:rsidRDefault="007202CB" w:rsidP="007202CB">
            <w:pPr>
              <w:rPr>
                <w:rFonts w:ascii="Arial Narrow" w:hAnsi="Arial Narrow" w:cs="Arial"/>
                <w:bCs/>
                <w:strike/>
                <w:sz w:val="18"/>
                <w:szCs w:val="18"/>
              </w:rPr>
            </w:pPr>
            <w:r w:rsidRPr="00D33C2D">
              <w:rPr>
                <w:rFonts w:ascii="Arial Narrow" w:hAnsi="Arial Narrow" w:cs="Arial"/>
                <w:bCs/>
                <w:strike/>
                <w:sz w:val="18"/>
                <w:szCs w:val="18"/>
              </w:rPr>
              <w:t>Patient must not receive more than 12 weeks of PBS-subsidised nicotine replacement therapy per 12-month period</w:t>
            </w:r>
          </w:p>
        </w:tc>
      </w:tr>
      <w:tr w:rsidR="007202CB" w:rsidRPr="00D33C2D" w14:paraId="1A700E58"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350B9154" w14:textId="77777777" w:rsidR="007202CB" w:rsidRDefault="007202CB" w:rsidP="007202CB">
            <w:pPr>
              <w:jc w:val="center"/>
              <w:rPr>
                <w:rFonts w:ascii="Arial Narrow" w:hAnsi="Arial Narrow" w:cs="Arial"/>
                <w:sz w:val="18"/>
                <w:szCs w:val="18"/>
              </w:rPr>
            </w:pPr>
            <w:r>
              <w:rPr>
                <w:rFonts w:ascii="Arial Narrow" w:hAnsi="Arial Narrow" w:cs="Arial"/>
                <w:sz w:val="18"/>
                <w:szCs w:val="18"/>
              </w:rPr>
              <w:t>Insert New CC2</w:t>
            </w:r>
          </w:p>
        </w:tc>
        <w:tc>
          <w:tcPr>
            <w:tcW w:w="7846" w:type="dxa"/>
            <w:gridSpan w:val="6"/>
            <w:tcBorders>
              <w:top w:val="single" w:sz="4" w:space="0" w:color="auto"/>
              <w:left w:val="single" w:sz="4" w:space="0" w:color="auto"/>
              <w:bottom w:val="single" w:sz="4" w:space="0" w:color="auto"/>
              <w:right w:val="single" w:sz="4" w:space="0" w:color="auto"/>
            </w:tcBorders>
          </w:tcPr>
          <w:p w14:paraId="17D32646" w14:textId="77777777" w:rsidR="007202CB" w:rsidRPr="00B728B1" w:rsidRDefault="007202CB" w:rsidP="007202CB">
            <w:pPr>
              <w:rPr>
                <w:rFonts w:ascii="Arial Narrow" w:hAnsi="Arial Narrow" w:cs="Arial"/>
                <w:bCs/>
                <w:i/>
                <w:iCs/>
                <w:sz w:val="18"/>
                <w:szCs w:val="18"/>
              </w:rPr>
            </w:pPr>
            <w:r w:rsidRPr="00B728B1">
              <w:rPr>
                <w:rFonts w:ascii="Arial Narrow" w:hAnsi="Arial Narrow" w:cs="Arial"/>
                <w:bCs/>
                <w:i/>
                <w:iCs/>
                <w:sz w:val="18"/>
                <w:szCs w:val="18"/>
              </w:rPr>
              <w:t>Patient must not receive more than 2 x 12-week PBS-subsidised treatment courses per 12 month period</w:t>
            </w:r>
          </w:p>
        </w:tc>
      </w:tr>
      <w:tr w:rsidR="007202CB" w:rsidRPr="00D33C2D" w14:paraId="7A22FFE6"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57E30150" w14:textId="77777777" w:rsidR="007202CB" w:rsidRPr="00D33C2D"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3AB62E82"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AND</w:t>
            </w:r>
          </w:p>
        </w:tc>
      </w:tr>
      <w:tr w:rsidR="007202CB" w:rsidRPr="00D33C2D" w14:paraId="191CEC98"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2BC0101E"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20605</w:t>
            </w:r>
          </w:p>
        </w:tc>
        <w:tc>
          <w:tcPr>
            <w:tcW w:w="7846" w:type="dxa"/>
            <w:gridSpan w:val="6"/>
            <w:tcBorders>
              <w:top w:val="single" w:sz="4" w:space="0" w:color="auto"/>
              <w:left w:val="single" w:sz="4" w:space="0" w:color="auto"/>
              <w:bottom w:val="single" w:sz="4" w:space="0" w:color="auto"/>
              <w:right w:val="single" w:sz="4" w:space="0" w:color="auto"/>
            </w:tcBorders>
          </w:tcPr>
          <w:p w14:paraId="02372897"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Treatment criteria:</w:t>
            </w:r>
          </w:p>
        </w:tc>
      </w:tr>
      <w:tr w:rsidR="007202CB" w:rsidRPr="00D33C2D" w14:paraId="4511658F"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05AD3E7E"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20604</w:t>
            </w:r>
          </w:p>
        </w:tc>
        <w:tc>
          <w:tcPr>
            <w:tcW w:w="7846" w:type="dxa"/>
            <w:gridSpan w:val="6"/>
            <w:tcBorders>
              <w:top w:val="single" w:sz="4" w:space="0" w:color="auto"/>
              <w:left w:val="single" w:sz="4" w:space="0" w:color="auto"/>
              <w:bottom w:val="single" w:sz="4" w:space="0" w:color="auto"/>
              <w:right w:val="single" w:sz="4" w:space="0" w:color="auto"/>
            </w:tcBorders>
          </w:tcPr>
          <w:p w14:paraId="624325E3" w14:textId="77777777" w:rsidR="007202CB" w:rsidRPr="00D33C2D" w:rsidRDefault="007202CB" w:rsidP="007202CB">
            <w:pPr>
              <w:rPr>
                <w:rFonts w:ascii="Arial Narrow" w:hAnsi="Arial Narrow" w:cs="Arial"/>
                <w:bCs/>
                <w:sz w:val="18"/>
                <w:szCs w:val="18"/>
              </w:rPr>
            </w:pPr>
            <w:r w:rsidRPr="00D33C2D">
              <w:rPr>
                <w:rFonts w:ascii="Arial Narrow" w:hAnsi="Arial Narrow" w:cs="Arial"/>
                <w:bCs/>
                <w:sz w:val="18"/>
                <w:szCs w:val="18"/>
              </w:rPr>
              <w:t>Patient must be undergoing concurrent counselling for smoking cessation through a comprehensive support and counselling program or is about to enter such a program at the time PBS-subsidised treatment is initiated</w:t>
            </w:r>
          </w:p>
        </w:tc>
      </w:tr>
      <w:tr w:rsidR="007202CB" w:rsidRPr="00D33C2D" w14:paraId="0E4BC459"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4771EE99" w14:textId="77777777" w:rsidR="007202CB" w:rsidRPr="00D33C2D"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78DB40A4" w14:textId="77777777" w:rsidR="007202CB" w:rsidRPr="00D33C2D" w:rsidRDefault="007202CB" w:rsidP="007202CB">
            <w:pPr>
              <w:rPr>
                <w:rFonts w:ascii="Arial Narrow" w:hAnsi="Arial Narrow" w:cs="Arial"/>
                <w:bCs/>
                <w:sz w:val="18"/>
                <w:szCs w:val="18"/>
              </w:rPr>
            </w:pPr>
          </w:p>
        </w:tc>
      </w:tr>
      <w:tr w:rsidR="007202CB" w:rsidRPr="00D33C2D" w14:paraId="475CE5CE"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371"/>
        </w:trPr>
        <w:tc>
          <w:tcPr>
            <w:tcW w:w="1221" w:type="dxa"/>
            <w:tcBorders>
              <w:top w:val="single" w:sz="4" w:space="0" w:color="auto"/>
              <w:left w:val="single" w:sz="4" w:space="0" w:color="auto"/>
              <w:bottom w:val="single" w:sz="4" w:space="0" w:color="auto"/>
              <w:right w:val="single" w:sz="4" w:space="0" w:color="auto"/>
            </w:tcBorders>
          </w:tcPr>
          <w:p w14:paraId="0BB84C0C" w14:textId="77777777" w:rsidR="007202CB" w:rsidRDefault="007202CB" w:rsidP="007202CB">
            <w:pPr>
              <w:jc w:val="center"/>
              <w:rPr>
                <w:rFonts w:ascii="Arial Narrow" w:hAnsi="Arial Narrow" w:cs="Arial"/>
                <w:sz w:val="18"/>
                <w:szCs w:val="18"/>
              </w:rPr>
            </w:pPr>
          </w:p>
          <w:p w14:paraId="384A274D"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9299</w:t>
            </w:r>
          </w:p>
        </w:tc>
        <w:tc>
          <w:tcPr>
            <w:tcW w:w="7846" w:type="dxa"/>
            <w:gridSpan w:val="6"/>
            <w:tcBorders>
              <w:top w:val="single" w:sz="4" w:space="0" w:color="auto"/>
              <w:left w:val="single" w:sz="4" w:space="0" w:color="auto"/>
              <w:bottom w:val="single" w:sz="4" w:space="0" w:color="auto"/>
              <w:right w:val="single" w:sz="4" w:space="0" w:color="auto"/>
            </w:tcBorders>
          </w:tcPr>
          <w:p w14:paraId="0FD27EA1"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Prescribing Instructions:</w:t>
            </w:r>
          </w:p>
          <w:p w14:paraId="1950AF2C" w14:textId="77777777" w:rsidR="007202CB" w:rsidRPr="00D33C2D" w:rsidRDefault="007202CB" w:rsidP="007202CB">
            <w:pPr>
              <w:rPr>
                <w:rFonts w:ascii="Arial Narrow" w:hAnsi="Arial Narrow" w:cs="Arial"/>
                <w:bCs/>
                <w:sz w:val="18"/>
                <w:szCs w:val="18"/>
              </w:rPr>
            </w:pPr>
            <w:r w:rsidRPr="00D33C2D">
              <w:rPr>
                <w:rFonts w:ascii="Arial Narrow" w:hAnsi="Arial Narrow" w:cs="Arial"/>
                <w:bCs/>
                <w:sz w:val="18"/>
                <w:szCs w:val="18"/>
              </w:rPr>
              <w:t>Details of the support and counselling program must be documented in the patient's medical records at the time treatment is initiated.</w:t>
            </w:r>
          </w:p>
        </w:tc>
      </w:tr>
      <w:tr w:rsidR="007202CB" w:rsidRPr="00D33C2D" w14:paraId="6F4277C6"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70"/>
        </w:trPr>
        <w:tc>
          <w:tcPr>
            <w:tcW w:w="1221" w:type="dxa"/>
            <w:tcBorders>
              <w:top w:val="single" w:sz="4" w:space="0" w:color="auto"/>
              <w:left w:val="single" w:sz="4" w:space="0" w:color="auto"/>
              <w:bottom w:val="single" w:sz="4" w:space="0" w:color="auto"/>
              <w:right w:val="single" w:sz="4" w:space="0" w:color="auto"/>
            </w:tcBorders>
          </w:tcPr>
          <w:p w14:paraId="51E8D9DD" w14:textId="77777777" w:rsidR="007202CB" w:rsidRPr="00D33C2D"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6CFADECE" w14:textId="77777777" w:rsidR="007202CB" w:rsidRPr="00D33C2D" w:rsidRDefault="007202CB" w:rsidP="007202CB">
            <w:pPr>
              <w:rPr>
                <w:rFonts w:ascii="Arial Narrow" w:hAnsi="Arial Narrow" w:cs="Arial"/>
                <w:b/>
                <w:sz w:val="18"/>
                <w:szCs w:val="18"/>
              </w:rPr>
            </w:pPr>
          </w:p>
        </w:tc>
      </w:tr>
      <w:tr w:rsidR="007202CB" w:rsidRPr="00D33C2D" w14:paraId="2E73E48F"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63F9D958"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7606</w:t>
            </w:r>
          </w:p>
        </w:tc>
        <w:tc>
          <w:tcPr>
            <w:tcW w:w="7846" w:type="dxa"/>
            <w:gridSpan w:val="6"/>
            <w:tcBorders>
              <w:top w:val="single" w:sz="4" w:space="0" w:color="auto"/>
              <w:left w:val="single" w:sz="4" w:space="0" w:color="auto"/>
              <w:bottom w:val="single" w:sz="4" w:space="0" w:color="auto"/>
              <w:right w:val="single" w:sz="4" w:space="0" w:color="auto"/>
            </w:tcBorders>
          </w:tcPr>
          <w:p w14:paraId="0313ECE6"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Administrative Advice:</w:t>
            </w:r>
            <w:r>
              <w:rPr>
                <w:rFonts w:ascii="Arial Narrow" w:hAnsi="Arial Narrow" w:cs="Arial"/>
                <w:b/>
                <w:sz w:val="18"/>
                <w:szCs w:val="18"/>
              </w:rPr>
              <w:t xml:space="preserve"> </w:t>
            </w:r>
            <w:r w:rsidRPr="00D33C2D">
              <w:rPr>
                <w:rFonts w:ascii="Arial Narrow" w:hAnsi="Arial Narrow" w:cs="Arial"/>
                <w:bCs/>
                <w:sz w:val="18"/>
                <w:szCs w:val="18"/>
              </w:rPr>
              <w:t>No increase in the maximum quantity or number of units may be authorised.</w:t>
            </w:r>
          </w:p>
        </w:tc>
      </w:tr>
      <w:tr w:rsidR="007202CB" w:rsidRPr="00D33C2D" w14:paraId="2D23205D"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2F1413D9"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7607</w:t>
            </w:r>
          </w:p>
        </w:tc>
        <w:tc>
          <w:tcPr>
            <w:tcW w:w="7846" w:type="dxa"/>
            <w:gridSpan w:val="6"/>
            <w:tcBorders>
              <w:top w:val="single" w:sz="4" w:space="0" w:color="auto"/>
              <w:left w:val="single" w:sz="4" w:space="0" w:color="auto"/>
              <w:bottom w:val="single" w:sz="4" w:space="0" w:color="auto"/>
              <w:right w:val="single" w:sz="4" w:space="0" w:color="auto"/>
            </w:tcBorders>
          </w:tcPr>
          <w:p w14:paraId="304A4AC4"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Administrative Advice:</w:t>
            </w:r>
            <w:r>
              <w:rPr>
                <w:rFonts w:ascii="Arial Narrow" w:hAnsi="Arial Narrow" w:cs="Arial"/>
                <w:b/>
                <w:sz w:val="18"/>
                <w:szCs w:val="18"/>
              </w:rPr>
              <w:t xml:space="preserve"> </w:t>
            </w:r>
            <w:r w:rsidRPr="00D33C2D">
              <w:rPr>
                <w:rFonts w:ascii="Arial Narrow" w:hAnsi="Arial Narrow" w:cs="Arial"/>
                <w:bCs/>
                <w:sz w:val="18"/>
                <w:szCs w:val="18"/>
              </w:rPr>
              <w:t>No increase in the maximum number of repeats may be authorised.</w:t>
            </w:r>
          </w:p>
        </w:tc>
      </w:tr>
    </w:tbl>
    <w:p w14:paraId="14FD0C47" w14:textId="23C01E3B" w:rsidR="007202CB" w:rsidRDefault="007202CB" w:rsidP="004B3363">
      <w:pPr>
        <w:pStyle w:val="4Bodytextnumbered"/>
        <w:spacing w:before="120"/>
      </w:pPr>
      <w:bookmarkStart w:id="28" w:name="_Hlk88477585"/>
      <w:bookmarkEnd w:id="21"/>
      <w:r w:rsidRPr="007202CB">
        <w:t xml:space="preserve">Amend current nicotine listings that have </w:t>
      </w:r>
      <w:r>
        <w:t>one</w:t>
      </w:r>
      <w:r w:rsidRPr="007202CB">
        <w:t xml:space="preserve"> restriction summary to appear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1"/>
        <w:gridCol w:w="2035"/>
        <w:gridCol w:w="992"/>
        <w:gridCol w:w="709"/>
        <w:gridCol w:w="850"/>
        <w:gridCol w:w="851"/>
        <w:gridCol w:w="2409"/>
      </w:tblGrid>
      <w:tr w:rsidR="007202CB" w:rsidRPr="009A610D" w14:paraId="4A6591CC" w14:textId="77777777" w:rsidTr="007202CB">
        <w:trPr>
          <w:cantSplit/>
          <w:trHeight w:val="471"/>
        </w:trPr>
        <w:tc>
          <w:tcPr>
            <w:tcW w:w="3256" w:type="dxa"/>
            <w:gridSpan w:val="2"/>
          </w:tcPr>
          <w:p w14:paraId="03140024" w14:textId="77777777" w:rsidR="007202CB" w:rsidRDefault="007202CB" w:rsidP="007202CB">
            <w:pPr>
              <w:keepNext/>
              <w:ind w:left="-57"/>
              <w:rPr>
                <w:rFonts w:ascii="Arial Narrow" w:hAnsi="Arial Narrow" w:cs="Arial"/>
                <w:b/>
                <w:bCs/>
                <w:sz w:val="18"/>
                <w:szCs w:val="18"/>
              </w:rPr>
            </w:pPr>
            <w:r>
              <w:rPr>
                <w:rFonts w:ascii="Arial Narrow" w:hAnsi="Arial Narrow" w:cs="Arial"/>
                <w:b/>
                <w:bCs/>
                <w:sz w:val="18"/>
                <w:szCs w:val="18"/>
              </w:rPr>
              <w:t>MEDICINAL PRODUCT</w:t>
            </w:r>
          </w:p>
          <w:p w14:paraId="315623CB" w14:textId="77777777" w:rsidR="007202CB" w:rsidRPr="009A610D" w:rsidRDefault="007202CB" w:rsidP="007202CB">
            <w:pPr>
              <w:keepNext/>
              <w:ind w:left="-57"/>
              <w:rPr>
                <w:rFonts w:ascii="Arial Narrow" w:hAnsi="Arial Narrow" w:cs="Arial"/>
                <w:b/>
                <w:sz w:val="18"/>
                <w:szCs w:val="18"/>
              </w:rPr>
            </w:pPr>
            <w:r>
              <w:rPr>
                <w:rFonts w:ascii="Arial Narrow" w:hAnsi="Arial Narrow" w:cs="Arial"/>
                <w:b/>
                <w:bCs/>
                <w:sz w:val="18"/>
                <w:szCs w:val="18"/>
              </w:rPr>
              <w:t>medicinal product p</w:t>
            </w:r>
            <w:r w:rsidRPr="003A5B23">
              <w:rPr>
                <w:rFonts w:ascii="Arial Narrow" w:hAnsi="Arial Narrow" w:cs="Arial"/>
                <w:b/>
                <w:bCs/>
                <w:sz w:val="18"/>
                <w:szCs w:val="18"/>
              </w:rPr>
              <w:t>ack</w:t>
            </w:r>
          </w:p>
        </w:tc>
        <w:tc>
          <w:tcPr>
            <w:tcW w:w="992" w:type="dxa"/>
          </w:tcPr>
          <w:p w14:paraId="50A7FDDC" w14:textId="77777777" w:rsidR="007202CB" w:rsidRPr="009A610D" w:rsidRDefault="007202CB" w:rsidP="007202CB">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709" w:type="dxa"/>
          </w:tcPr>
          <w:p w14:paraId="57C2CCF8" w14:textId="77777777" w:rsidR="007202CB" w:rsidRPr="009A610D" w:rsidRDefault="007202CB" w:rsidP="007202CB">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850" w:type="dxa"/>
          </w:tcPr>
          <w:p w14:paraId="673E1D15" w14:textId="77777777" w:rsidR="007202CB" w:rsidRPr="009A610D" w:rsidRDefault="007202CB" w:rsidP="007202CB">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851" w:type="dxa"/>
          </w:tcPr>
          <w:p w14:paraId="54EEAA69" w14:textId="77777777" w:rsidR="007202CB" w:rsidRPr="009A610D" w:rsidRDefault="007202CB" w:rsidP="007202CB">
            <w:pPr>
              <w:keepNext/>
              <w:ind w:left="-108"/>
              <w:jc w:val="center"/>
              <w:rPr>
                <w:rFonts w:ascii="Arial Narrow" w:hAnsi="Arial Narrow" w:cs="Arial"/>
                <w:b/>
                <w:sz w:val="18"/>
                <w:szCs w:val="18"/>
              </w:rPr>
            </w:pPr>
            <w:r w:rsidRPr="009A610D">
              <w:rPr>
                <w:rFonts w:ascii="Arial Narrow" w:hAnsi="Arial Narrow" w:cs="Arial"/>
                <w:b/>
                <w:sz w:val="18"/>
                <w:szCs w:val="18"/>
              </w:rPr>
              <w:t>№. of</w:t>
            </w:r>
          </w:p>
          <w:p w14:paraId="630C5AAE" w14:textId="77777777" w:rsidR="007202CB" w:rsidRPr="009A610D" w:rsidRDefault="007202CB" w:rsidP="007202CB">
            <w:pPr>
              <w:keepNext/>
              <w:ind w:left="-108"/>
              <w:jc w:val="center"/>
              <w:rPr>
                <w:rFonts w:ascii="Arial Narrow" w:hAnsi="Arial Narrow" w:cs="Arial"/>
                <w:b/>
                <w:sz w:val="18"/>
                <w:szCs w:val="18"/>
              </w:rPr>
            </w:pPr>
            <w:r w:rsidRPr="009A610D">
              <w:rPr>
                <w:rFonts w:ascii="Arial Narrow" w:hAnsi="Arial Narrow" w:cs="Arial"/>
                <w:b/>
                <w:sz w:val="18"/>
                <w:szCs w:val="18"/>
              </w:rPr>
              <w:t>Rpts</w:t>
            </w:r>
            <w:r>
              <w:rPr>
                <w:rFonts w:ascii="Arial Narrow" w:hAnsi="Arial Narrow" w:cs="Arial"/>
                <w:b/>
                <w:sz w:val="18"/>
                <w:szCs w:val="18"/>
              </w:rPr>
              <w:t>.</w:t>
            </w:r>
          </w:p>
        </w:tc>
        <w:tc>
          <w:tcPr>
            <w:tcW w:w="2409" w:type="dxa"/>
          </w:tcPr>
          <w:p w14:paraId="6BFFAB90" w14:textId="77777777" w:rsidR="007202CB" w:rsidRPr="009A610D" w:rsidRDefault="007202CB" w:rsidP="007202CB">
            <w:pPr>
              <w:keepNext/>
              <w:rPr>
                <w:rFonts w:ascii="Arial Narrow" w:hAnsi="Arial Narrow" w:cs="Arial"/>
                <w:b/>
                <w:sz w:val="18"/>
                <w:szCs w:val="18"/>
                <w:lang w:val="fr-FR"/>
              </w:rPr>
            </w:pPr>
            <w:r>
              <w:rPr>
                <w:rFonts w:ascii="Arial Narrow" w:hAnsi="Arial Narrow" w:cs="Arial"/>
                <w:b/>
                <w:sz w:val="18"/>
                <w:szCs w:val="18"/>
              </w:rPr>
              <w:t>Available brands</w:t>
            </w:r>
          </w:p>
        </w:tc>
      </w:tr>
      <w:tr w:rsidR="007202CB" w:rsidRPr="009A610D" w14:paraId="00EFB097" w14:textId="77777777" w:rsidTr="007202CB">
        <w:trPr>
          <w:cantSplit/>
          <w:trHeight w:val="224"/>
        </w:trPr>
        <w:tc>
          <w:tcPr>
            <w:tcW w:w="9067" w:type="dxa"/>
            <w:gridSpan w:val="7"/>
          </w:tcPr>
          <w:p w14:paraId="35971AE6" w14:textId="77777777" w:rsidR="007202CB" w:rsidRPr="001A5667" w:rsidRDefault="007202CB" w:rsidP="007202CB">
            <w:pPr>
              <w:keepNext/>
              <w:ind w:left="-57"/>
              <w:rPr>
                <w:rFonts w:ascii="Arial Narrow" w:hAnsi="Arial Narrow" w:cs="Arial"/>
                <w:sz w:val="18"/>
                <w:szCs w:val="18"/>
              </w:rPr>
            </w:pPr>
            <w:r>
              <w:rPr>
                <w:rFonts w:ascii="Arial Narrow" w:hAnsi="Arial Narrow" w:cs="Arial"/>
                <w:sz w:val="18"/>
                <w:szCs w:val="18"/>
              </w:rPr>
              <w:t>NICOTINE</w:t>
            </w:r>
          </w:p>
        </w:tc>
      </w:tr>
      <w:tr w:rsidR="007202CB" w:rsidRPr="00F6273D" w14:paraId="041AA29C" w14:textId="77777777" w:rsidTr="007202CB">
        <w:trPr>
          <w:trHeight w:val="91"/>
        </w:trPr>
        <w:tc>
          <w:tcPr>
            <w:tcW w:w="3256" w:type="dxa"/>
            <w:gridSpan w:val="2"/>
          </w:tcPr>
          <w:p w14:paraId="06564BD4" w14:textId="77777777" w:rsidR="007202CB" w:rsidRPr="00BB04F6" w:rsidRDefault="007202CB" w:rsidP="007202CB">
            <w:pPr>
              <w:keepNext/>
              <w:ind w:left="-57"/>
              <w:rPr>
                <w:rFonts w:ascii="Arial Narrow" w:eastAsia="Calibri" w:hAnsi="Arial Narrow" w:cs="Arial"/>
                <w:sz w:val="18"/>
                <w:szCs w:val="18"/>
              </w:rPr>
            </w:pPr>
            <w:r w:rsidRPr="008F7D9C">
              <w:rPr>
                <w:rFonts w:ascii="Arial Narrow" w:eastAsia="Calibri" w:hAnsi="Arial Narrow" w:cs="Arial"/>
                <w:sz w:val="18"/>
                <w:szCs w:val="18"/>
              </w:rPr>
              <w:t>nicotine 14 mg/24 hours patch, 28</w:t>
            </w:r>
          </w:p>
        </w:tc>
        <w:tc>
          <w:tcPr>
            <w:tcW w:w="992" w:type="dxa"/>
          </w:tcPr>
          <w:p w14:paraId="37A7B59F" w14:textId="77777777" w:rsidR="007202CB" w:rsidRPr="00B7730E" w:rsidRDefault="007202CB" w:rsidP="007202CB">
            <w:pPr>
              <w:keepNext/>
              <w:jc w:val="center"/>
              <w:rPr>
                <w:rFonts w:ascii="Arial Narrow" w:eastAsia="Calibri" w:hAnsi="Arial Narrow" w:cs="Arial"/>
                <w:sz w:val="18"/>
                <w:szCs w:val="18"/>
              </w:rPr>
            </w:pPr>
            <w:r w:rsidRPr="00B7730E">
              <w:rPr>
                <w:rFonts w:ascii="Arial Narrow" w:eastAsia="Calibri" w:hAnsi="Arial Narrow" w:cs="Arial"/>
                <w:sz w:val="18"/>
                <w:szCs w:val="18"/>
              </w:rPr>
              <w:t>5572G</w:t>
            </w:r>
          </w:p>
        </w:tc>
        <w:tc>
          <w:tcPr>
            <w:tcW w:w="709" w:type="dxa"/>
          </w:tcPr>
          <w:p w14:paraId="37EF5D2D" w14:textId="77777777" w:rsidR="007202CB" w:rsidRPr="00F6273D"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1</w:t>
            </w:r>
          </w:p>
        </w:tc>
        <w:tc>
          <w:tcPr>
            <w:tcW w:w="850" w:type="dxa"/>
          </w:tcPr>
          <w:p w14:paraId="74D65BB7"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28</w:t>
            </w:r>
          </w:p>
        </w:tc>
        <w:tc>
          <w:tcPr>
            <w:tcW w:w="851" w:type="dxa"/>
          </w:tcPr>
          <w:p w14:paraId="5E89698C"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w:t>
            </w:r>
          </w:p>
        </w:tc>
        <w:tc>
          <w:tcPr>
            <w:tcW w:w="2409" w:type="dxa"/>
          </w:tcPr>
          <w:p w14:paraId="58A3199E" w14:textId="77777777" w:rsidR="007202CB" w:rsidRDefault="007202CB" w:rsidP="007202CB">
            <w:pPr>
              <w:keepNext/>
              <w:rPr>
                <w:rFonts w:ascii="Arial Narrow" w:eastAsia="Calibri" w:hAnsi="Arial Narrow" w:cs="Arial"/>
                <w:sz w:val="18"/>
                <w:szCs w:val="18"/>
              </w:rPr>
            </w:pPr>
            <w:r w:rsidRPr="008F7D9C">
              <w:rPr>
                <w:rFonts w:ascii="Arial Narrow" w:eastAsia="Calibri" w:hAnsi="Arial Narrow" w:cs="Arial"/>
                <w:sz w:val="18"/>
                <w:szCs w:val="18"/>
              </w:rPr>
              <w:t>Nicotinell Step 2</w:t>
            </w:r>
          </w:p>
        </w:tc>
      </w:tr>
      <w:tr w:rsidR="007202CB" w:rsidRPr="00F6273D" w14:paraId="360A3C06" w14:textId="77777777" w:rsidTr="007202CB">
        <w:trPr>
          <w:trHeight w:val="145"/>
        </w:trPr>
        <w:tc>
          <w:tcPr>
            <w:tcW w:w="3256" w:type="dxa"/>
            <w:gridSpan w:val="2"/>
          </w:tcPr>
          <w:p w14:paraId="0CDCF6D8" w14:textId="77777777" w:rsidR="007202CB" w:rsidRPr="00F36388" w:rsidRDefault="007202CB" w:rsidP="007202CB">
            <w:pPr>
              <w:keepNext/>
              <w:ind w:left="-57"/>
              <w:rPr>
                <w:rFonts w:ascii="Arial Narrow" w:eastAsia="Calibri" w:hAnsi="Arial Narrow" w:cs="Arial"/>
                <w:sz w:val="18"/>
                <w:szCs w:val="18"/>
              </w:rPr>
            </w:pPr>
            <w:r w:rsidRPr="0002569E">
              <w:rPr>
                <w:rFonts w:ascii="Arial Narrow" w:eastAsia="Calibri" w:hAnsi="Arial Narrow" w:cs="Arial"/>
                <w:sz w:val="18"/>
                <w:szCs w:val="18"/>
              </w:rPr>
              <w:t>nicotine 7 mg/24 hours patch, 28</w:t>
            </w:r>
          </w:p>
        </w:tc>
        <w:tc>
          <w:tcPr>
            <w:tcW w:w="992" w:type="dxa"/>
          </w:tcPr>
          <w:p w14:paraId="13F66A7A" w14:textId="77777777" w:rsidR="007202CB" w:rsidRPr="00B7730E" w:rsidRDefault="007202CB" w:rsidP="007202CB">
            <w:pPr>
              <w:keepNext/>
              <w:jc w:val="center"/>
              <w:rPr>
                <w:rFonts w:ascii="Arial Narrow" w:eastAsia="Calibri" w:hAnsi="Arial Narrow" w:cs="Arial"/>
                <w:sz w:val="18"/>
                <w:szCs w:val="18"/>
              </w:rPr>
            </w:pPr>
            <w:r w:rsidRPr="00B7730E">
              <w:rPr>
                <w:rFonts w:ascii="Arial Narrow" w:eastAsia="Calibri" w:hAnsi="Arial Narrow" w:cs="Arial"/>
                <w:sz w:val="18"/>
                <w:szCs w:val="18"/>
              </w:rPr>
              <w:t>5573H</w:t>
            </w:r>
          </w:p>
        </w:tc>
        <w:tc>
          <w:tcPr>
            <w:tcW w:w="709" w:type="dxa"/>
          </w:tcPr>
          <w:p w14:paraId="6F5F9206"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1</w:t>
            </w:r>
          </w:p>
        </w:tc>
        <w:tc>
          <w:tcPr>
            <w:tcW w:w="850" w:type="dxa"/>
          </w:tcPr>
          <w:p w14:paraId="4071E9DD"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28</w:t>
            </w:r>
          </w:p>
        </w:tc>
        <w:tc>
          <w:tcPr>
            <w:tcW w:w="851" w:type="dxa"/>
          </w:tcPr>
          <w:p w14:paraId="6D259C86"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w:t>
            </w:r>
          </w:p>
        </w:tc>
        <w:tc>
          <w:tcPr>
            <w:tcW w:w="2409" w:type="dxa"/>
          </w:tcPr>
          <w:p w14:paraId="56F2A755" w14:textId="77777777" w:rsidR="007202CB" w:rsidRPr="00F36388" w:rsidRDefault="007202CB" w:rsidP="007202CB">
            <w:pPr>
              <w:keepNext/>
              <w:rPr>
                <w:rFonts w:ascii="Arial Narrow" w:eastAsia="Calibri" w:hAnsi="Arial Narrow" w:cs="Arial"/>
                <w:sz w:val="18"/>
                <w:szCs w:val="18"/>
              </w:rPr>
            </w:pPr>
            <w:r w:rsidRPr="0002569E">
              <w:rPr>
                <w:rFonts w:ascii="Arial Narrow" w:eastAsia="Calibri" w:hAnsi="Arial Narrow" w:cs="Arial"/>
                <w:sz w:val="18"/>
                <w:szCs w:val="18"/>
              </w:rPr>
              <w:t>Nicotinell Step 3</w:t>
            </w:r>
          </w:p>
        </w:tc>
      </w:tr>
      <w:tr w:rsidR="007202CB" w:rsidRPr="00F6273D" w14:paraId="7E680357" w14:textId="77777777" w:rsidTr="007202CB">
        <w:trPr>
          <w:trHeight w:val="195"/>
        </w:trPr>
        <w:tc>
          <w:tcPr>
            <w:tcW w:w="3256" w:type="dxa"/>
            <w:gridSpan w:val="2"/>
          </w:tcPr>
          <w:p w14:paraId="41AD8B58" w14:textId="77777777" w:rsidR="007202CB" w:rsidRPr="00055289" w:rsidRDefault="007202CB" w:rsidP="007202CB">
            <w:pPr>
              <w:keepNext/>
              <w:ind w:left="-57"/>
              <w:rPr>
                <w:rFonts w:ascii="Arial Narrow" w:eastAsia="Calibri" w:hAnsi="Arial Narrow" w:cs="Arial"/>
                <w:sz w:val="18"/>
                <w:szCs w:val="18"/>
                <w:vertAlign w:val="superscript"/>
              </w:rPr>
            </w:pPr>
            <w:r w:rsidRPr="009C2181">
              <w:rPr>
                <w:rFonts w:ascii="Arial Narrow" w:eastAsia="Calibri" w:hAnsi="Arial Narrow" w:cs="Arial"/>
                <w:sz w:val="18"/>
                <w:szCs w:val="18"/>
              </w:rPr>
              <w:t>nicotine 21 mg/24 hours patch, 28</w:t>
            </w:r>
          </w:p>
        </w:tc>
        <w:tc>
          <w:tcPr>
            <w:tcW w:w="992" w:type="dxa"/>
          </w:tcPr>
          <w:p w14:paraId="39C78EA7" w14:textId="77777777" w:rsidR="007202CB" w:rsidRPr="00B7730E" w:rsidRDefault="007202CB" w:rsidP="007202CB">
            <w:pPr>
              <w:keepNext/>
              <w:jc w:val="center"/>
              <w:rPr>
                <w:rFonts w:ascii="Arial Narrow" w:eastAsia="Calibri" w:hAnsi="Arial Narrow" w:cs="Arial"/>
                <w:sz w:val="18"/>
                <w:szCs w:val="18"/>
              </w:rPr>
            </w:pPr>
            <w:r w:rsidRPr="00B7730E">
              <w:rPr>
                <w:rFonts w:ascii="Arial Narrow" w:eastAsia="Calibri" w:hAnsi="Arial Narrow" w:cs="Arial"/>
                <w:sz w:val="18"/>
                <w:szCs w:val="18"/>
              </w:rPr>
              <w:t>3414Q</w:t>
            </w:r>
          </w:p>
        </w:tc>
        <w:tc>
          <w:tcPr>
            <w:tcW w:w="709" w:type="dxa"/>
          </w:tcPr>
          <w:p w14:paraId="37B874C9"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1</w:t>
            </w:r>
          </w:p>
        </w:tc>
        <w:tc>
          <w:tcPr>
            <w:tcW w:w="850" w:type="dxa"/>
          </w:tcPr>
          <w:p w14:paraId="3A650DE0"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28</w:t>
            </w:r>
          </w:p>
        </w:tc>
        <w:tc>
          <w:tcPr>
            <w:tcW w:w="851" w:type="dxa"/>
          </w:tcPr>
          <w:p w14:paraId="51D20F75" w14:textId="77777777" w:rsidR="007202CB" w:rsidRDefault="007202CB" w:rsidP="007202CB">
            <w:pPr>
              <w:keepNext/>
              <w:jc w:val="center"/>
              <w:rPr>
                <w:rFonts w:ascii="Arial Narrow" w:eastAsia="Calibri" w:hAnsi="Arial Narrow" w:cs="Arial"/>
                <w:sz w:val="18"/>
                <w:szCs w:val="18"/>
              </w:rPr>
            </w:pPr>
            <w:r>
              <w:rPr>
                <w:rFonts w:ascii="Arial Narrow" w:eastAsia="Calibri" w:hAnsi="Arial Narrow" w:cs="Arial"/>
                <w:sz w:val="18"/>
                <w:szCs w:val="18"/>
              </w:rPr>
              <w:t>2</w:t>
            </w:r>
          </w:p>
        </w:tc>
        <w:tc>
          <w:tcPr>
            <w:tcW w:w="2409" w:type="dxa"/>
          </w:tcPr>
          <w:p w14:paraId="02A7E77B" w14:textId="77777777" w:rsidR="007202CB" w:rsidRPr="00F36388" w:rsidRDefault="007202CB" w:rsidP="007202CB">
            <w:pPr>
              <w:keepNext/>
              <w:rPr>
                <w:rFonts w:ascii="Arial Narrow" w:eastAsia="Calibri" w:hAnsi="Arial Narrow" w:cs="Arial"/>
                <w:sz w:val="18"/>
                <w:szCs w:val="18"/>
              </w:rPr>
            </w:pPr>
            <w:r w:rsidRPr="009C2181">
              <w:rPr>
                <w:rFonts w:ascii="Arial Narrow" w:eastAsia="Calibri" w:hAnsi="Arial Narrow" w:cs="Arial"/>
                <w:sz w:val="18"/>
                <w:szCs w:val="18"/>
              </w:rPr>
              <w:t>Nicotinell Step 1</w:t>
            </w:r>
          </w:p>
        </w:tc>
      </w:tr>
      <w:tr w:rsidR="007202CB" w:rsidRPr="00120A12" w14:paraId="17CD0E65" w14:textId="77777777" w:rsidTr="007202C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77552082" w14:textId="77777777" w:rsidR="007202CB" w:rsidRPr="0020649C" w:rsidRDefault="007202CB" w:rsidP="007202CB">
            <w:pPr>
              <w:rPr>
                <w:rFonts w:ascii="Arial Narrow" w:hAnsi="Arial Narrow" w:cs="Arial"/>
                <w:b/>
                <w:sz w:val="18"/>
                <w:szCs w:val="18"/>
              </w:rPr>
            </w:pPr>
          </w:p>
        </w:tc>
      </w:tr>
      <w:tr w:rsidR="007202CB" w:rsidRPr="00120A12" w14:paraId="1C583324" w14:textId="77777777" w:rsidTr="007202C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30ADF336" w14:textId="77777777" w:rsidR="007202CB" w:rsidRPr="0020649C" w:rsidRDefault="007202CB" w:rsidP="007202CB">
            <w:pPr>
              <w:rPr>
                <w:rFonts w:ascii="Arial Narrow" w:hAnsi="Arial Narrow" w:cs="Arial"/>
                <w:b/>
                <w:sz w:val="18"/>
                <w:szCs w:val="18"/>
              </w:rPr>
            </w:pPr>
            <w:r>
              <w:rPr>
                <w:rFonts w:ascii="Arial Narrow" w:hAnsi="Arial Narrow"/>
                <w:b/>
                <w:sz w:val="18"/>
                <w:szCs w:val="18"/>
              </w:rPr>
              <w:t xml:space="preserve">Edit </w:t>
            </w:r>
            <w:r w:rsidRPr="00507253">
              <w:rPr>
                <w:rFonts w:ascii="Arial Narrow" w:hAnsi="Arial Narrow"/>
                <w:b/>
                <w:sz w:val="18"/>
                <w:szCs w:val="18"/>
              </w:rPr>
              <w:t>Restriction Summary</w:t>
            </w:r>
            <w:r>
              <w:rPr>
                <w:rFonts w:ascii="Arial Narrow" w:hAnsi="Arial Narrow"/>
                <w:b/>
                <w:sz w:val="18"/>
                <w:szCs w:val="18"/>
              </w:rPr>
              <w:t xml:space="preserve"> 6848</w:t>
            </w:r>
            <w:r w:rsidRPr="00507253">
              <w:rPr>
                <w:rFonts w:ascii="Arial Narrow" w:hAnsi="Arial Narrow"/>
                <w:b/>
                <w:sz w:val="18"/>
                <w:szCs w:val="18"/>
              </w:rPr>
              <w:t xml:space="preserve"> / Treatment of Concept: </w:t>
            </w:r>
            <w:r>
              <w:rPr>
                <w:rFonts w:ascii="Arial Narrow" w:hAnsi="Arial Narrow"/>
                <w:b/>
                <w:sz w:val="18"/>
                <w:szCs w:val="18"/>
              </w:rPr>
              <w:t>6848</w:t>
            </w:r>
          </w:p>
        </w:tc>
      </w:tr>
      <w:tr w:rsidR="007202CB" w:rsidRPr="00120A12" w14:paraId="2D9B7DC3" w14:textId="77777777" w:rsidTr="007202CB">
        <w:tblPrEx>
          <w:tblCellMar>
            <w:top w:w="15" w:type="dxa"/>
            <w:left w:w="15" w:type="dxa"/>
            <w:bottom w:w="15" w:type="dxa"/>
            <w:right w:w="15" w:type="dxa"/>
          </w:tblCellMar>
          <w:tblLook w:val="04A0" w:firstRow="1" w:lastRow="0" w:firstColumn="1" w:lastColumn="0" w:noHBand="0" w:noVBand="1"/>
        </w:tblPrEx>
        <w:tc>
          <w:tcPr>
            <w:tcW w:w="1221" w:type="dxa"/>
            <w:vMerge w:val="restart"/>
            <w:tcBorders>
              <w:top w:val="single" w:sz="4" w:space="0" w:color="auto"/>
              <w:left w:val="single" w:sz="4" w:space="0" w:color="auto"/>
              <w:right w:val="single" w:sz="4" w:space="0" w:color="auto"/>
            </w:tcBorders>
          </w:tcPr>
          <w:p w14:paraId="7EAE9B5B" w14:textId="77777777" w:rsidR="007202CB" w:rsidRPr="002D5AA5" w:rsidRDefault="007202CB" w:rsidP="007202CB">
            <w:pPr>
              <w:jc w:val="center"/>
              <w:rPr>
                <w:rFonts w:ascii="Arial Narrow" w:hAnsi="Arial Narrow" w:cs="Arial"/>
                <w:b/>
                <w:sz w:val="18"/>
                <w:szCs w:val="18"/>
              </w:rPr>
            </w:pPr>
            <w:r w:rsidRPr="00507253">
              <w:rPr>
                <w:rFonts w:ascii="Arial Narrow" w:hAnsi="Arial Narrow" w:cs="Arial"/>
                <w:b/>
                <w:sz w:val="18"/>
                <w:szCs w:val="18"/>
              </w:rPr>
              <w:t>Concept ID</w:t>
            </w:r>
          </w:p>
          <w:p w14:paraId="0B8AE381" w14:textId="77777777" w:rsidR="007202CB" w:rsidRPr="005C23A7" w:rsidRDefault="007202CB" w:rsidP="007202CB">
            <w:pPr>
              <w:jc w:val="center"/>
              <w:rPr>
                <w:rFonts w:ascii="Arial Narrow" w:hAnsi="Arial Narrow" w:cs="Arial"/>
                <w:sz w:val="18"/>
                <w:szCs w:val="18"/>
              </w:rPr>
            </w:pPr>
            <w:r>
              <w:rPr>
                <w:rFonts w:ascii="Arial Narrow" w:hAnsi="Arial Narrow" w:cs="Arial"/>
                <w:sz w:val="18"/>
                <w:szCs w:val="18"/>
              </w:rPr>
              <w:t>(for internal Dept. use)</w:t>
            </w:r>
          </w:p>
        </w:tc>
        <w:tc>
          <w:tcPr>
            <w:tcW w:w="7846" w:type="dxa"/>
            <w:gridSpan w:val="6"/>
            <w:tcBorders>
              <w:top w:val="single" w:sz="4" w:space="0" w:color="auto"/>
              <w:left w:val="single" w:sz="4" w:space="0" w:color="auto"/>
              <w:bottom w:val="single" w:sz="4" w:space="0" w:color="auto"/>
              <w:right w:val="single" w:sz="4" w:space="0" w:color="auto"/>
            </w:tcBorders>
          </w:tcPr>
          <w:p w14:paraId="6A467FA3" w14:textId="77777777" w:rsidR="007202CB" w:rsidRPr="00134D48" w:rsidRDefault="007202CB" w:rsidP="007202CB">
            <w:pPr>
              <w:rPr>
                <w:rFonts w:ascii="Arial Narrow" w:hAnsi="Arial Narrow" w:cs="Arial"/>
                <w:sz w:val="18"/>
                <w:szCs w:val="18"/>
              </w:rPr>
            </w:pPr>
            <w:r w:rsidRPr="00134D48">
              <w:rPr>
                <w:rFonts w:ascii="Arial Narrow" w:hAnsi="Arial Narrow" w:cs="Arial"/>
                <w:b/>
                <w:sz w:val="18"/>
                <w:szCs w:val="18"/>
              </w:rPr>
              <w:t xml:space="preserve">Category / Program:   </w:t>
            </w:r>
            <w:r w:rsidRPr="00134D48">
              <w:rPr>
                <w:rFonts w:ascii="Arial Narrow" w:hAnsi="Arial Narrow" w:cs="Arial"/>
                <w:sz w:val="18"/>
                <w:szCs w:val="18"/>
              </w:rPr>
              <w:t xml:space="preserve">GENERAL – General Schedule (Code GE) </w:t>
            </w:r>
          </w:p>
        </w:tc>
      </w:tr>
      <w:tr w:rsidR="007202CB" w:rsidRPr="00120A12" w14:paraId="1A01A334" w14:textId="77777777" w:rsidTr="007202CB">
        <w:tblPrEx>
          <w:tblCellMar>
            <w:top w:w="15" w:type="dxa"/>
            <w:left w:w="15" w:type="dxa"/>
            <w:bottom w:w="15" w:type="dxa"/>
            <w:right w:w="15" w:type="dxa"/>
          </w:tblCellMar>
          <w:tblLook w:val="04A0" w:firstRow="1" w:lastRow="0" w:firstColumn="1" w:lastColumn="0" w:noHBand="0" w:noVBand="1"/>
        </w:tblPrEx>
        <w:trPr>
          <w:trHeight w:val="240"/>
        </w:trPr>
        <w:tc>
          <w:tcPr>
            <w:tcW w:w="1221" w:type="dxa"/>
            <w:vMerge/>
            <w:tcBorders>
              <w:left w:val="single" w:sz="4" w:space="0" w:color="auto"/>
              <w:right w:val="single" w:sz="4" w:space="0" w:color="auto"/>
            </w:tcBorders>
          </w:tcPr>
          <w:p w14:paraId="41346ABF" w14:textId="77777777" w:rsidR="007202CB" w:rsidRPr="0020649C" w:rsidRDefault="007202CB" w:rsidP="007202CB">
            <w:pP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12EFF11D" w14:textId="77777777" w:rsidR="007202CB" w:rsidRPr="00134D48" w:rsidRDefault="007202CB" w:rsidP="007202CB">
            <w:pPr>
              <w:rPr>
                <w:rFonts w:ascii="Arial Narrow" w:hAnsi="Arial Narrow" w:cs="Arial"/>
                <w:b/>
                <w:sz w:val="18"/>
                <w:szCs w:val="18"/>
              </w:rPr>
            </w:pPr>
            <w:r w:rsidRPr="00134D48">
              <w:rPr>
                <w:rFonts w:ascii="Arial Narrow" w:hAnsi="Arial Narrow" w:cs="Arial"/>
                <w:b/>
                <w:sz w:val="18"/>
                <w:szCs w:val="18"/>
              </w:rPr>
              <w:t xml:space="preserve">Prescriber type:   </w:t>
            </w:r>
            <w:r w:rsidRPr="00134D48">
              <w:rPr>
                <w:rFonts w:ascii="Arial Narrow" w:hAnsi="Arial Narrow" w:cs="Arial"/>
                <w:sz w:val="18"/>
                <w:szCs w:val="18"/>
              </w:rPr>
              <w:fldChar w:fldCharType="begin">
                <w:ffData>
                  <w:name w:val=""/>
                  <w:enabled/>
                  <w:calcOnExit w:val="0"/>
                  <w:checkBox>
                    <w:sizeAuto/>
                    <w:default w:val="1"/>
                  </w:checkBox>
                </w:ffData>
              </w:fldChar>
            </w:r>
            <w:r w:rsidRPr="00134D48">
              <w:rPr>
                <w:rFonts w:ascii="Arial Narrow" w:hAnsi="Arial Narrow" w:cs="Arial"/>
                <w:sz w:val="18"/>
                <w:szCs w:val="18"/>
              </w:rPr>
              <w:instrText xml:space="preserve"> FORMCHECKBOX </w:instrText>
            </w:r>
            <w:r w:rsidR="005069F9">
              <w:rPr>
                <w:rFonts w:ascii="Arial Narrow" w:hAnsi="Arial Narrow" w:cs="Arial"/>
                <w:sz w:val="18"/>
                <w:szCs w:val="18"/>
              </w:rPr>
            </w:r>
            <w:r w:rsidR="005069F9">
              <w:rPr>
                <w:rFonts w:ascii="Arial Narrow" w:hAnsi="Arial Narrow" w:cs="Arial"/>
                <w:sz w:val="18"/>
                <w:szCs w:val="18"/>
              </w:rPr>
              <w:fldChar w:fldCharType="separate"/>
            </w:r>
            <w:r w:rsidRPr="00134D48">
              <w:rPr>
                <w:rFonts w:ascii="Arial Narrow" w:hAnsi="Arial Narrow" w:cs="Arial"/>
                <w:sz w:val="18"/>
                <w:szCs w:val="18"/>
              </w:rPr>
              <w:fldChar w:fldCharType="end"/>
            </w:r>
            <w:r w:rsidRPr="00134D48">
              <w:rPr>
                <w:rFonts w:ascii="Arial Narrow" w:hAnsi="Arial Narrow" w:cs="Arial"/>
                <w:sz w:val="18"/>
                <w:szCs w:val="18"/>
              </w:rPr>
              <w:t xml:space="preserve">Medical Practitioners    </w:t>
            </w:r>
            <w:r w:rsidRPr="00134D48">
              <w:rPr>
                <w:rFonts w:ascii="Arial Narrow" w:hAnsi="Arial Narrow" w:cs="Arial"/>
                <w:sz w:val="18"/>
                <w:szCs w:val="18"/>
              </w:rPr>
              <w:fldChar w:fldCharType="begin">
                <w:ffData>
                  <w:name w:val="Check3"/>
                  <w:enabled/>
                  <w:calcOnExit w:val="0"/>
                  <w:checkBox>
                    <w:sizeAuto/>
                    <w:default w:val="1"/>
                  </w:checkBox>
                </w:ffData>
              </w:fldChar>
            </w:r>
            <w:r w:rsidRPr="00134D48">
              <w:rPr>
                <w:rFonts w:ascii="Arial Narrow" w:hAnsi="Arial Narrow" w:cs="Arial"/>
                <w:sz w:val="18"/>
                <w:szCs w:val="18"/>
              </w:rPr>
              <w:instrText xml:space="preserve"> FORMCHECKBOX </w:instrText>
            </w:r>
            <w:r w:rsidR="005069F9">
              <w:rPr>
                <w:rFonts w:ascii="Arial Narrow" w:hAnsi="Arial Narrow" w:cs="Arial"/>
                <w:sz w:val="18"/>
                <w:szCs w:val="18"/>
              </w:rPr>
            </w:r>
            <w:r w:rsidR="005069F9">
              <w:rPr>
                <w:rFonts w:ascii="Arial Narrow" w:hAnsi="Arial Narrow" w:cs="Arial"/>
                <w:sz w:val="18"/>
                <w:szCs w:val="18"/>
              </w:rPr>
              <w:fldChar w:fldCharType="separate"/>
            </w:r>
            <w:r w:rsidRPr="00134D48">
              <w:rPr>
                <w:rFonts w:ascii="Arial Narrow" w:hAnsi="Arial Narrow" w:cs="Arial"/>
                <w:sz w:val="18"/>
                <w:szCs w:val="18"/>
              </w:rPr>
              <w:fldChar w:fldCharType="end"/>
            </w:r>
            <w:r w:rsidRPr="00134D48">
              <w:rPr>
                <w:rFonts w:ascii="Arial Narrow" w:hAnsi="Arial Narrow" w:cs="Arial"/>
                <w:sz w:val="18"/>
                <w:szCs w:val="18"/>
              </w:rPr>
              <w:t xml:space="preserve">Nurse practitioners </w:t>
            </w:r>
          </w:p>
        </w:tc>
      </w:tr>
      <w:tr w:rsidR="007202CB" w:rsidRPr="00120A12" w14:paraId="19C32C3D" w14:textId="77777777" w:rsidTr="007202CB">
        <w:tblPrEx>
          <w:tblCellMar>
            <w:top w:w="15" w:type="dxa"/>
            <w:left w:w="15" w:type="dxa"/>
            <w:bottom w:w="15" w:type="dxa"/>
            <w:right w:w="15" w:type="dxa"/>
          </w:tblCellMar>
          <w:tblLook w:val="04A0" w:firstRow="1" w:lastRow="0" w:firstColumn="1" w:lastColumn="0" w:noHBand="0" w:noVBand="1"/>
        </w:tblPrEx>
        <w:tc>
          <w:tcPr>
            <w:tcW w:w="1221" w:type="dxa"/>
            <w:vMerge/>
            <w:tcBorders>
              <w:left w:val="single" w:sz="4" w:space="0" w:color="auto"/>
              <w:bottom w:val="single" w:sz="4" w:space="0" w:color="auto"/>
              <w:right w:val="single" w:sz="4" w:space="0" w:color="auto"/>
            </w:tcBorders>
          </w:tcPr>
          <w:p w14:paraId="4BDEC82C" w14:textId="77777777" w:rsidR="007202CB" w:rsidRPr="0020649C" w:rsidRDefault="007202CB" w:rsidP="007202CB">
            <w:pP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3CB2285C" w14:textId="77777777" w:rsidR="007202CB" w:rsidRPr="00134D48" w:rsidRDefault="007202CB" w:rsidP="007202CB">
            <w:pPr>
              <w:rPr>
                <w:rFonts w:ascii="Arial Narrow" w:hAnsi="Arial Narrow" w:cs="Arial"/>
                <w:b/>
                <w:sz w:val="18"/>
                <w:szCs w:val="18"/>
              </w:rPr>
            </w:pPr>
            <w:r w:rsidRPr="00134D48">
              <w:rPr>
                <w:rFonts w:ascii="Arial Narrow" w:hAnsi="Arial Narrow" w:cs="Arial"/>
                <w:b/>
                <w:sz w:val="18"/>
                <w:szCs w:val="18"/>
              </w:rPr>
              <w:t xml:space="preserve">Restriction type: </w:t>
            </w:r>
            <w:r w:rsidRPr="00134D48">
              <w:rPr>
                <w:rFonts w:ascii="Arial Narrow" w:eastAsia="Calibri" w:hAnsi="Arial Narrow" w:cs="Arial"/>
                <w:sz w:val="18"/>
                <w:szCs w:val="18"/>
              </w:rPr>
              <w:fldChar w:fldCharType="begin">
                <w:ffData>
                  <w:name w:val="Check1"/>
                  <w:enabled/>
                  <w:calcOnExit w:val="0"/>
                  <w:checkBox>
                    <w:sizeAuto/>
                    <w:default w:val="1"/>
                  </w:checkBox>
                </w:ffData>
              </w:fldChar>
            </w:r>
            <w:r w:rsidRPr="00134D48">
              <w:rPr>
                <w:rFonts w:ascii="Arial Narrow" w:eastAsia="Calibri" w:hAnsi="Arial Narrow" w:cs="Arial"/>
                <w:sz w:val="18"/>
                <w:szCs w:val="18"/>
              </w:rPr>
              <w:instrText xml:space="preserve"> FORMCHECKBOX </w:instrText>
            </w:r>
            <w:r w:rsidR="005069F9">
              <w:rPr>
                <w:rFonts w:ascii="Arial Narrow" w:eastAsia="Calibri" w:hAnsi="Arial Narrow" w:cs="Arial"/>
                <w:sz w:val="18"/>
                <w:szCs w:val="18"/>
              </w:rPr>
            </w:r>
            <w:r w:rsidR="005069F9">
              <w:rPr>
                <w:rFonts w:ascii="Arial Narrow" w:eastAsia="Calibri" w:hAnsi="Arial Narrow" w:cs="Arial"/>
                <w:sz w:val="18"/>
                <w:szCs w:val="18"/>
              </w:rPr>
              <w:fldChar w:fldCharType="separate"/>
            </w:r>
            <w:r w:rsidRPr="00134D48">
              <w:rPr>
                <w:rFonts w:ascii="Arial Narrow" w:eastAsia="Calibri" w:hAnsi="Arial Narrow" w:cs="Arial"/>
                <w:sz w:val="18"/>
                <w:szCs w:val="18"/>
              </w:rPr>
              <w:fldChar w:fldCharType="end"/>
            </w:r>
            <w:r w:rsidRPr="00134D48">
              <w:rPr>
                <w:rFonts w:ascii="Arial Narrow" w:eastAsia="Calibri" w:hAnsi="Arial Narrow" w:cs="Arial"/>
                <w:sz w:val="18"/>
                <w:szCs w:val="18"/>
              </w:rPr>
              <w:t>Restricted benefit</w:t>
            </w:r>
          </w:p>
        </w:tc>
      </w:tr>
      <w:tr w:rsidR="007202CB" w:rsidRPr="00120A12" w14:paraId="47E27EB2" w14:textId="77777777" w:rsidTr="007202CB">
        <w:tblPrEx>
          <w:tblCellMar>
            <w:top w:w="15" w:type="dxa"/>
            <w:left w:w="15" w:type="dxa"/>
            <w:bottom w:w="15" w:type="dxa"/>
            <w:right w:w="15" w:type="dxa"/>
          </w:tblCellMar>
          <w:tblLook w:val="04A0" w:firstRow="1" w:lastRow="0" w:firstColumn="1" w:lastColumn="0" w:noHBand="0" w:noVBand="1"/>
        </w:tblPrEx>
        <w:tc>
          <w:tcPr>
            <w:tcW w:w="1221" w:type="dxa"/>
            <w:tcBorders>
              <w:left w:val="single" w:sz="4" w:space="0" w:color="auto"/>
              <w:bottom w:val="single" w:sz="4" w:space="0" w:color="auto"/>
              <w:right w:val="single" w:sz="4" w:space="0" w:color="auto"/>
            </w:tcBorders>
          </w:tcPr>
          <w:p w14:paraId="6F84D954" w14:textId="77777777" w:rsidR="007202CB" w:rsidRPr="0020649C" w:rsidRDefault="007202CB" w:rsidP="007202CB">
            <w:pP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56925C0F" w14:textId="77777777" w:rsidR="007202CB" w:rsidRPr="00134D48" w:rsidRDefault="007202CB" w:rsidP="007202CB">
            <w:pPr>
              <w:rPr>
                <w:rFonts w:ascii="Arial Narrow" w:hAnsi="Arial Narrow" w:cs="Arial"/>
                <w:b/>
                <w:sz w:val="18"/>
                <w:szCs w:val="18"/>
              </w:rPr>
            </w:pPr>
          </w:p>
        </w:tc>
      </w:tr>
      <w:tr w:rsidR="007202CB" w:rsidRPr="00D33C2D" w14:paraId="677E1433"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572344EF"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8619</w:t>
            </w:r>
          </w:p>
        </w:tc>
        <w:tc>
          <w:tcPr>
            <w:tcW w:w="7846" w:type="dxa"/>
            <w:gridSpan w:val="6"/>
            <w:tcBorders>
              <w:top w:val="single" w:sz="4" w:space="0" w:color="auto"/>
              <w:left w:val="single" w:sz="4" w:space="0" w:color="auto"/>
              <w:bottom w:val="single" w:sz="4" w:space="0" w:color="auto"/>
              <w:right w:val="single" w:sz="4" w:space="0" w:color="auto"/>
            </w:tcBorders>
          </w:tcPr>
          <w:p w14:paraId="7F186F98"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Indication:</w:t>
            </w:r>
            <w:r>
              <w:rPr>
                <w:rFonts w:ascii="Arial Narrow" w:hAnsi="Arial Narrow" w:cs="Arial"/>
                <w:b/>
                <w:sz w:val="18"/>
                <w:szCs w:val="18"/>
              </w:rPr>
              <w:t xml:space="preserve"> </w:t>
            </w:r>
            <w:r w:rsidRPr="00D33C2D">
              <w:rPr>
                <w:rFonts w:ascii="Arial Narrow" w:hAnsi="Arial Narrow" w:cs="Arial"/>
                <w:bCs/>
                <w:sz w:val="18"/>
                <w:szCs w:val="18"/>
              </w:rPr>
              <w:t>Nicotine dependence</w:t>
            </w:r>
          </w:p>
        </w:tc>
      </w:tr>
      <w:tr w:rsidR="007202CB" w:rsidRPr="00D33C2D" w14:paraId="258E1F08"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6AD9DDA3" w14:textId="77777777" w:rsidR="007202CB" w:rsidRPr="00D33C2D"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4318B2BF" w14:textId="77777777" w:rsidR="007202CB" w:rsidRPr="00D33C2D" w:rsidRDefault="007202CB" w:rsidP="007202CB">
            <w:pPr>
              <w:rPr>
                <w:rFonts w:ascii="Arial Narrow" w:hAnsi="Arial Narrow" w:cs="Arial"/>
                <w:b/>
                <w:sz w:val="18"/>
                <w:szCs w:val="18"/>
              </w:rPr>
            </w:pPr>
          </w:p>
        </w:tc>
      </w:tr>
      <w:tr w:rsidR="007202CB" w:rsidRPr="00D33C2D" w14:paraId="2595B061"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584940FC"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11245</w:t>
            </w:r>
          </w:p>
        </w:tc>
        <w:tc>
          <w:tcPr>
            <w:tcW w:w="7846" w:type="dxa"/>
            <w:gridSpan w:val="6"/>
            <w:tcBorders>
              <w:top w:val="single" w:sz="4" w:space="0" w:color="auto"/>
              <w:left w:val="single" w:sz="4" w:space="0" w:color="auto"/>
              <w:bottom w:val="single" w:sz="4" w:space="0" w:color="auto"/>
              <w:right w:val="single" w:sz="4" w:space="0" w:color="auto"/>
            </w:tcBorders>
          </w:tcPr>
          <w:p w14:paraId="0D4EDD8A"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Clinical criteria:</w:t>
            </w:r>
          </w:p>
        </w:tc>
      </w:tr>
      <w:tr w:rsidR="007202CB" w:rsidRPr="00D33C2D" w14:paraId="6BEB9068"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7A9C4A62"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11244</w:t>
            </w:r>
          </w:p>
        </w:tc>
        <w:tc>
          <w:tcPr>
            <w:tcW w:w="7846" w:type="dxa"/>
            <w:gridSpan w:val="6"/>
            <w:tcBorders>
              <w:top w:val="single" w:sz="4" w:space="0" w:color="auto"/>
              <w:left w:val="single" w:sz="4" w:space="0" w:color="auto"/>
              <w:bottom w:val="single" w:sz="4" w:space="0" w:color="auto"/>
              <w:right w:val="single" w:sz="4" w:space="0" w:color="auto"/>
            </w:tcBorders>
          </w:tcPr>
          <w:p w14:paraId="58DE86F0" w14:textId="77777777" w:rsidR="007202CB" w:rsidRPr="00D33C2D" w:rsidRDefault="007202CB" w:rsidP="007202CB">
            <w:pPr>
              <w:rPr>
                <w:rFonts w:ascii="Arial Narrow" w:hAnsi="Arial Narrow" w:cs="Arial"/>
                <w:bCs/>
                <w:sz w:val="18"/>
                <w:szCs w:val="18"/>
              </w:rPr>
            </w:pPr>
            <w:r w:rsidRPr="00D33C2D">
              <w:rPr>
                <w:rFonts w:ascii="Arial Narrow" w:hAnsi="Arial Narrow" w:cs="Arial"/>
                <w:bCs/>
                <w:sz w:val="18"/>
                <w:szCs w:val="18"/>
              </w:rPr>
              <w:t>The treatment must be as an aid to achieving abstinence from smoking</w:t>
            </w:r>
          </w:p>
        </w:tc>
      </w:tr>
      <w:tr w:rsidR="007202CB" w:rsidRPr="00D33C2D" w14:paraId="70F79D84"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470FE336" w14:textId="77777777" w:rsidR="007202CB" w:rsidRPr="00D33C2D"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478C6B27"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AND</w:t>
            </w:r>
          </w:p>
        </w:tc>
      </w:tr>
      <w:tr w:rsidR="007202CB" w:rsidRPr="00D33C2D" w14:paraId="37BDD25F"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6662D5CD"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7890</w:t>
            </w:r>
          </w:p>
        </w:tc>
        <w:tc>
          <w:tcPr>
            <w:tcW w:w="7846" w:type="dxa"/>
            <w:gridSpan w:val="6"/>
            <w:tcBorders>
              <w:top w:val="single" w:sz="4" w:space="0" w:color="auto"/>
              <w:left w:val="single" w:sz="4" w:space="0" w:color="auto"/>
              <w:bottom w:val="single" w:sz="4" w:space="0" w:color="auto"/>
              <w:right w:val="single" w:sz="4" w:space="0" w:color="auto"/>
            </w:tcBorders>
          </w:tcPr>
          <w:p w14:paraId="78B0F542"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Clinical criteria:</w:t>
            </w:r>
          </w:p>
        </w:tc>
      </w:tr>
      <w:tr w:rsidR="007202CB" w:rsidRPr="00D33C2D" w14:paraId="1906029B"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083C67D9" w14:textId="77777777" w:rsidR="007202CB" w:rsidRPr="00D33C2D" w:rsidRDefault="007202CB" w:rsidP="007202CB">
            <w:pPr>
              <w:jc w:val="center"/>
              <w:rPr>
                <w:rFonts w:ascii="Arial Narrow" w:hAnsi="Arial Narrow" w:cs="Arial"/>
                <w:sz w:val="18"/>
                <w:szCs w:val="18"/>
              </w:rPr>
            </w:pPr>
            <w:r>
              <w:rPr>
                <w:rFonts w:ascii="Arial Narrow" w:hAnsi="Arial Narrow" w:cs="Arial"/>
                <w:sz w:val="18"/>
                <w:szCs w:val="18"/>
              </w:rPr>
              <w:t xml:space="preserve">Remove </w:t>
            </w:r>
            <w:r w:rsidRPr="00D33C2D">
              <w:rPr>
                <w:rFonts w:ascii="Arial Narrow" w:hAnsi="Arial Narrow" w:cs="Arial"/>
                <w:sz w:val="18"/>
                <w:szCs w:val="18"/>
              </w:rPr>
              <w:t>7889</w:t>
            </w:r>
          </w:p>
        </w:tc>
        <w:tc>
          <w:tcPr>
            <w:tcW w:w="7846" w:type="dxa"/>
            <w:gridSpan w:val="6"/>
            <w:tcBorders>
              <w:top w:val="single" w:sz="4" w:space="0" w:color="auto"/>
              <w:left w:val="single" w:sz="4" w:space="0" w:color="auto"/>
              <w:bottom w:val="single" w:sz="4" w:space="0" w:color="auto"/>
              <w:right w:val="single" w:sz="4" w:space="0" w:color="auto"/>
            </w:tcBorders>
          </w:tcPr>
          <w:p w14:paraId="1068A170" w14:textId="77777777" w:rsidR="007202CB" w:rsidRPr="00D33C2D" w:rsidRDefault="007202CB" w:rsidP="007202CB">
            <w:pPr>
              <w:rPr>
                <w:rFonts w:ascii="Arial Narrow" w:hAnsi="Arial Narrow" w:cs="Arial"/>
                <w:bCs/>
                <w:strike/>
                <w:sz w:val="18"/>
                <w:szCs w:val="18"/>
              </w:rPr>
            </w:pPr>
            <w:r w:rsidRPr="00D33C2D">
              <w:rPr>
                <w:rFonts w:ascii="Arial Narrow" w:hAnsi="Arial Narrow" w:cs="Arial"/>
                <w:bCs/>
                <w:strike/>
                <w:sz w:val="18"/>
                <w:szCs w:val="18"/>
              </w:rPr>
              <w:t>The treatment must be the sole PBS-subsidised therapy for this condition</w:t>
            </w:r>
          </w:p>
        </w:tc>
      </w:tr>
      <w:tr w:rsidR="007202CB" w:rsidRPr="00D33C2D" w14:paraId="732162F7"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169EC1A3" w14:textId="77777777" w:rsidR="007202CB" w:rsidRDefault="007202CB" w:rsidP="007202CB">
            <w:pPr>
              <w:jc w:val="center"/>
              <w:rPr>
                <w:rFonts w:ascii="Arial Narrow" w:hAnsi="Arial Narrow" w:cs="Arial"/>
                <w:sz w:val="18"/>
                <w:szCs w:val="18"/>
              </w:rPr>
            </w:pPr>
            <w:r>
              <w:rPr>
                <w:rFonts w:ascii="Arial Narrow" w:hAnsi="Arial Narrow" w:cs="Arial"/>
                <w:sz w:val="18"/>
                <w:szCs w:val="18"/>
              </w:rPr>
              <w:t>Insert New CC1</w:t>
            </w:r>
          </w:p>
        </w:tc>
        <w:tc>
          <w:tcPr>
            <w:tcW w:w="7846" w:type="dxa"/>
            <w:gridSpan w:val="6"/>
            <w:tcBorders>
              <w:top w:val="single" w:sz="4" w:space="0" w:color="auto"/>
              <w:left w:val="single" w:sz="4" w:space="0" w:color="auto"/>
              <w:bottom w:val="single" w:sz="4" w:space="0" w:color="auto"/>
              <w:right w:val="single" w:sz="4" w:space="0" w:color="auto"/>
            </w:tcBorders>
          </w:tcPr>
          <w:p w14:paraId="63774F12" w14:textId="77777777" w:rsidR="007202CB" w:rsidRPr="00B728B1" w:rsidRDefault="007202CB" w:rsidP="007202CB">
            <w:pPr>
              <w:rPr>
                <w:rFonts w:ascii="Arial Narrow" w:hAnsi="Arial Narrow" w:cs="Arial"/>
                <w:bCs/>
                <w:i/>
                <w:iCs/>
                <w:sz w:val="18"/>
                <w:szCs w:val="18"/>
              </w:rPr>
            </w:pPr>
            <w:r w:rsidRPr="00B728B1">
              <w:rPr>
                <w:rFonts w:ascii="Arial Narrow" w:hAnsi="Arial Narrow" w:cs="Arial"/>
                <w:bCs/>
                <w:i/>
                <w:iCs/>
                <w:sz w:val="18"/>
                <w:szCs w:val="18"/>
              </w:rPr>
              <w:t>The treatment must not be a PBS-benefit with other non-nicotine drugs that are PBS indicated for smoking cessation</w:t>
            </w:r>
          </w:p>
        </w:tc>
      </w:tr>
      <w:tr w:rsidR="007202CB" w:rsidRPr="00D33C2D" w14:paraId="76E5F0AD"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62DEA07B" w14:textId="77777777" w:rsidR="007202CB" w:rsidRPr="00D33C2D"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11BF672D" w14:textId="77777777" w:rsidR="007202CB" w:rsidRPr="00D33C2D" w:rsidRDefault="007202CB" w:rsidP="007202CB">
            <w:pPr>
              <w:rPr>
                <w:rFonts w:ascii="Arial Narrow" w:hAnsi="Arial Narrow" w:cs="Arial"/>
                <w:b/>
                <w:i/>
                <w:iCs/>
                <w:sz w:val="18"/>
                <w:szCs w:val="18"/>
              </w:rPr>
            </w:pPr>
            <w:r w:rsidRPr="00D33C2D">
              <w:rPr>
                <w:rFonts w:ascii="Arial Narrow" w:hAnsi="Arial Narrow" w:cs="Arial"/>
                <w:b/>
                <w:i/>
                <w:iCs/>
                <w:sz w:val="18"/>
                <w:szCs w:val="18"/>
              </w:rPr>
              <w:t>AND</w:t>
            </w:r>
          </w:p>
        </w:tc>
      </w:tr>
      <w:tr w:rsidR="007202CB" w:rsidRPr="00D33C2D" w14:paraId="0D1A4967"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6E4F1A0D" w14:textId="77777777" w:rsidR="007202CB" w:rsidRPr="00D33C2D" w:rsidRDefault="007202CB" w:rsidP="007202CB">
            <w:pPr>
              <w:jc w:val="center"/>
              <w:rPr>
                <w:rFonts w:ascii="Arial Narrow" w:hAnsi="Arial Narrow" w:cs="Arial"/>
                <w:sz w:val="18"/>
                <w:szCs w:val="18"/>
              </w:rPr>
            </w:pPr>
            <w:r>
              <w:rPr>
                <w:rFonts w:ascii="Arial Narrow" w:hAnsi="Arial Narrow" w:cs="Arial"/>
                <w:sz w:val="18"/>
                <w:szCs w:val="18"/>
              </w:rPr>
              <w:t>Insert</w:t>
            </w:r>
          </w:p>
        </w:tc>
        <w:tc>
          <w:tcPr>
            <w:tcW w:w="7846" w:type="dxa"/>
            <w:gridSpan w:val="6"/>
            <w:tcBorders>
              <w:top w:val="single" w:sz="4" w:space="0" w:color="auto"/>
              <w:left w:val="single" w:sz="4" w:space="0" w:color="auto"/>
              <w:bottom w:val="single" w:sz="4" w:space="0" w:color="auto"/>
              <w:right w:val="single" w:sz="4" w:space="0" w:color="auto"/>
            </w:tcBorders>
          </w:tcPr>
          <w:p w14:paraId="6BA752A4" w14:textId="77777777" w:rsidR="007202CB" w:rsidRPr="00CE78F9" w:rsidRDefault="007202CB" w:rsidP="007202CB">
            <w:pPr>
              <w:rPr>
                <w:rFonts w:ascii="Arial Narrow" w:hAnsi="Arial Narrow" w:cs="Arial"/>
                <w:b/>
                <w:i/>
                <w:iCs/>
                <w:sz w:val="18"/>
                <w:szCs w:val="18"/>
              </w:rPr>
            </w:pPr>
            <w:r w:rsidRPr="00CE78F9">
              <w:rPr>
                <w:rFonts w:ascii="Arial Narrow" w:hAnsi="Arial Narrow" w:cs="Arial"/>
                <w:b/>
                <w:i/>
                <w:iCs/>
                <w:sz w:val="18"/>
                <w:szCs w:val="18"/>
              </w:rPr>
              <w:t>Clinical criteria:</w:t>
            </w:r>
          </w:p>
        </w:tc>
      </w:tr>
      <w:tr w:rsidR="007202CB" w:rsidRPr="00D33C2D" w14:paraId="49FE833F"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447EB694" w14:textId="77777777" w:rsidR="007202CB" w:rsidRPr="00D33C2D" w:rsidRDefault="007202CB" w:rsidP="007202CB">
            <w:pPr>
              <w:jc w:val="center"/>
              <w:rPr>
                <w:rFonts w:ascii="Arial Narrow" w:hAnsi="Arial Narrow" w:cs="Arial"/>
                <w:sz w:val="18"/>
                <w:szCs w:val="18"/>
              </w:rPr>
            </w:pPr>
            <w:r>
              <w:rPr>
                <w:rFonts w:ascii="Arial Narrow" w:hAnsi="Arial Narrow" w:cs="Arial"/>
                <w:sz w:val="18"/>
                <w:szCs w:val="18"/>
              </w:rPr>
              <w:t>New CC2</w:t>
            </w:r>
          </w:p>
        </w:tc>
        <w:tc>
          <w:tcPr>
            <w:tcW w:w="7846" w:type="dxa"/>
            <w:gridSpan w:val="6"/>
            <w:tcBorders>
              <w:top w:val="single" w:sz="4" w:space="0" w:color="auto"/>
              <w:left w:val="single" w:sz="4" w:space="0" w:color="auto"/>
              <w:bottom w:val="single" w:sz="4" w:space="0" w:color="auto"/>
              <w:right w:val="single" w:sz="4" w:space="0" w:color="auto"/>
            </w:tcBorders>
          </w:tcPr>
          <w:p w14:paraId="4C2F3484" w14:textId="40B43896" w:rsidR="007202CB" w:rsidRPr="00CE78F9" w:rsidRDefault="007202CB" w:rsidP="007202CB">
            <w:pPr>
              <w:rPr>
                <w:rFonts w:ascii="Arial Narrow" w:hAnsi="Arial Narrow" w:cs="Arial"/>
                <w:bCs/>
                <w:i/>
                <w:iCs/>
                <w:sz w:val="18"/>
                <w:szCs w:val="18"/>
              </w:rPr>
            </w:pPr>
            <w:r w:rsidRPr="00CE78F9">
              <w:rPr>
                <w:rFonts w:ascii="Arial Narrow" w:hAnsi="Arial Narrow" w:cs="Arial"/>
                <w:bCs/>
                <w:i/>
                <w:iCs/>
                <w:sz w:val="18"/>
                <w:szCs w:val="18"/>
              </w:rPr>
              <w:t>The treatment must, in terms of the number of forms/presentations prescribed, be limited to up to 2 (</w:t>
            </w:r>
            <w:r w:rsidR="004B3363" w:rsidRPr="00CE78F9">
              <w:rPr>
                <w:rFonts w:ascii="Arial Narrow" w:hAnsi="Arial Narrow" w:cs="Arial"/>
                <w:bCs/>
                <w:i/>
                <w:iCs/>
                <w:sz w:val="18"/>
                <w:szCs w:val="18"/>
              </w:rPr>
              <w:t>e.g.,</w:t>
            </w:r>
            <w:r w:rsidRPr="00CE78F9">
              <w:rPr>
                <w:rFonts w:ascii="Arial Narrow" w:hAnsi="Arial Narrow" w:cs="Arial"/>
                <w:bCs/>
                <w:i/>
                <w:iCs/>
                <w:sz w:val="18"/>
                <w:szCs w:val="18"/>
              </w:rPr>
              <w:t xml:space="preserve"> patches</w:t>
            </w:r>
            <w:r>
              <w:rPr>
                <w:rFonts w:ascii="Arial Narrow" w:hAnsi="Arial Narrow" w:cs="Arial"/>
                <w:bCs/>
                <w:i/>
                <w:iCs/>
                <w:sz w:val="18"/>
                <w:szCs w:val="18"/>
              </w:rPr>
              <w:t xml:space="preserve"> plus </w:t>
            </w:r>
            <w:r w:rsidRPr="00CE78F9">
              <w:rPr>
                <w:rFonts w:ascii="Arial Narrow" w:hAnsi="Arial Narrow" w:cs="Arial"/>
                <w:bCs/>
                <w:i/>
                <w:iCs/>
                <w:sz w:val="18"/>
                <w:szCs w:val="18"/>
              </w:rPr>
              <w:t>gum</w:t>
            </w:r>
            <w:r>
              <w:rPr>
                <w:rFonts w:ascii="Arial Narrow" w:hAnsi="Arial Narrow" w:cs="Arial"/>
                <w:bCs/>
                <w:i/>
                <w:iCs/>
                <w:sz w:val="18"/>
                <w:szCs w:val="18"/>
              </w:rPr>
              <w:t xml:space="preserve"> is permitted</w:t>
            </w:r>
            <w:r w:rsidRPr="00CE78F9">
              <w:rPr>
                <w:rFonts w:ascii="Arial Narrow" w:hAnsi="Arial Narrow" w:cs="Arial"/>
                <w:bCs/>
                <w:i/>
                <w:iCs/>
                <w:sz w:val="18"/>
                <w:szCs w:val="18"/>
              </w:rPr>
              <w:t>, but not patches</w:t>
            </w:r>
            <w:r>
              <w:rPr>
                <w:rFonts w:ascii="Arial Narrow" w:hAnsi="Arial Narrow" w:cs="Arial"/>
                <w:bCs/>
                <w:i/>
                <w:iCs/>
                <w:sz w:val="18"/>
                <w:szCs w:val="18"/>
              </w:rPr>
              <w:t xml:space="preserve"> plus </w:t>
            </w:r>
            <w:r w:rsidRPr="00CE78F9">
              <w:rPr>
                <w:rFonts w:ascii="Arial Narrow" w:hAnsi="Arial Narrow" w:cs="Arial"/>
                <w:bCs/>
                <w:i/>
                <w:iCs/>
                <w:sz w:val="18"/>
                <w:szCs w:val="18"/>
              </w:rPr>
              <w:t>gum</w:t>
            </w:r>
            <w:r>
              <w:rPr>
                <w:rFonts w:ascii="Arial Narrow" w:hAnsi="Arial Narrow" w:cs="Arial"/>
                <w:bCs/>
                <w:i/>
                <w:iCs/>
                <w:sz w:val="18"/>
                <w:szCs w:val="18"/>
              </w:rPr>
              <w:t xml:space="preserve"> plus l</w:t>
            </w:r>
            <w:r w:rsidRPr="00CE78F9">
              <w:rPr>
                <w:rFonts w:ascii="Arial Narrow" w:hAnsi="Arial Narrow" w:cs="Arial"/>
                <w:bCs/>
                <w:i/>
                <w:iCs/>
                <w:sz w:val="18"/>
                <w:szCs w:val="18"/>
              </w:rPr>
              <w:t>ozenges)</w:t>
            </w:r>
          </w:p>
        </w:tc>
      </w:tr>
      <w:tr w:rsidR="007202CB" w:rsidRPr="00D33C2D" w14:paraId="7ADAC9AB"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43FDD2D1" w14:textId="77777777" w:rsidR="007202CB"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7B8D67FA" w14:textId="77777777" w:rsidR="007202CB" w:rsidRPr="00CE78F9" w:rsidRDefault="007202CB" w:rsidP="007202CB">
            <w:pPr>
              <w:rPr>
                <w:rFonts w:ascii="Arial Narrow" w:hAnsi="Arial Narrow" w:cs="Arial"/>
                <w:b/>
                <w:i/>
                <w:iCs/>
                <w:sz w:val="18"/>
                <w:szCs w:val="18"/>
              </w:rPr>
            </w:pPr>
            <w:r w:rsidRPr="00CE78F9">
              <w:rPr>
                <w:rFonts w:ascii="Arial Narrow" w:hAnsi="Arial Narrow" w:cs="Arial"/>
                <w:b/>
                <w:i/>
                <w:iCs/>
                <w:sz w:val="18"/>
                <w:szCs w:val="18"/>
              </w:rPr>
              <w:t>AND</w:t>
            </w:r>
          </w:p>
        </w:tc>
      </w:tr>
      <w:tr w:rsidR="007202CB" w:rsidRPr="00D33C2D" w14:paraId="7CA83778"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36779C09"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8625</w:t>
            </w:r>
          </w:p>
        </w:tc>
        <w:tc>
          <w:tcPr>
            <w:tcW w:w="7846" w:type="dxa"/>
            <w:gridSpan w:val="6"/>
            <w:tcBorders>
              <w:top w:val="single" w:sz="4" w:space="0" w:color="auto"/>
              <w:left w:val="single" w:sz="4" w:space="0" w:color="auto"/>
              <w:bottom w:val="single" w:sz="4" w:space="0" w:color="auto"/>
              <w:right w:val="single" w:sz="4" w:space="0" w:color="auto"/>
            </w:tcBorders>
          </w:tcPr>
          <w:p w14:paraId="25A9C2F0"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Clinical criteria:</w:t>
            </w:r>
          </w:p>
        </w:tc>
      </w:tr>
      <w:tr w:rsidR="007202CB" w:rsidRPr="00D33C2D" w14:paraId="0E0E45B0"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5C64DEF8"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8624</w:t>
            </w:r>
          </w:p>
        </w:tc>
        <w:tc>
          <w:tcPr>
            <w:tcW w:w="7846" w:type="dxa"/>
            <w:gridSpan w:val="6"/>
            <w:tcBorders>
              <w:top w:val="single" w:sz="4" w:space="0" w:color="auto"/>
              <w:left w:val="single" w:sz="4" w:space="0" w:color="auto"/>
              <w:bottom w:val="single" w:sz="4" w:space="0" w:color="auto"/>
              <w:right w:val="single" w:sz="4" w:space="0" w:color="auto"/>
            </w:tcBorders>
          </w:tcPr>
          <w:p w14:paraId="24CAAAFC" w14:textId="77777777" w:rsidR="007202CB" w:rsidRPr="00D33C2D" w:rsidRDefault="007202CB" w:rsidP="007202CB">
            <w:pPr>
              <w:rPr>
                <w:rFonts w:ascii="Arial Narrow" w:hAnsi="Arial Narrow" w:cs="Arial"/>
                <w:bCs/>
                <w:sz w:val="18"/>
                <w:szCs w:val="18"/>
              </w:rPr>
            </w:pPr>
            <w:r w:rsidRPr="00D33C2D">
              <w:rPr>
                <w:rFonts w:ascii="Arial Narrow" w:hAnsi="Arial Narrow" w:cs="Arial"/>
                <w:bCs/>
                <w:sz w:val="18"/>
                <w:szCs w:val="18"/>
              </w:rPr>
              <w:t>Patient must have indicated they are ready to cease smoking</w:t>
            </w:r>
          </w:p>
        </w:tc>
      </w:tr>
      <w:tr w:rsidR="007202CB" w:rsidRPr="00D33C2D" w14:paraId="2E53FAFC"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549436FF" w14:textId="77777777" w:rsidR="007202CB" w:rsidRPr="00D33C2D"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550EA81B"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AND</w:t>
            </w:r>
          </w:p>
        </w:tc>
      </w:tr>
      <w:tr w:rsidR="007202CB" w:rsidRPr="00D33C2D" w14:paraId="425C53EF"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66D073F4"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9296</w:t>
            </w:r>
          </w:p>
        </w:tc>
        <w:tc>
          <w:tcPr>
            <w:tcW w:w="7846" w:type="dxa"/>
            <w:gridSpan w:val="6"/>
            <w:tcBorders>
              <w:top w:val="single" w:sz="4" w:space="0" w:color="auto"/>
              <w:left w:val="single" w:sz="4" w:space="0" w:color="auto"/>
              <w:bottom w:val="single" w:sz="4" w:space="0" w:color="auto"/>
              <w:right w:val="single" w:sz="4" w:space="0" w:color="auto"/>
            </w:tcBorders>
          </w:tcPr>
          <w:p w14:paraId="65FD52BF"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Clinical criteria:</w:t>
            </w:r>
          </w:p>
        </w:tc>
      </w:tr>
      <w:tr w:rsidR="007202CB" w:rsidRPr="00D33C2D" w14:paraId="36C7B8F3"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6B0CDCE6" w14:textId="77777777" w:rsidR="007202CB" w:rsidRPr="00D33C2D" w:rsidRDefault="007202CB" w:rsidP="007202CB">
            <w:pPr>
              <w:jc w:val="center"/>
              <w:rPr>
                <w:rFonts w:ascii="Arial Narrow" w:hAnsi="Arial Narrow" w:cs="Arial"/>
                <w:sz w:val="18"/>
                <w:szCs w:val="18"/>
              </w:rPr>
            </w:pPr>
            <w:r>
              <w:rPr>
                <w:rFonts w:ascii="Arial Narrow" w:hAnsi="Arial Narrow" w:cs="Arial"/>
                <w:sz w:val="18"/>
                <w:szCs w:val="18"/>
              </w:rPr>
              <w:t xml:space="preserve">Remove </w:t>
            </w:r>
            <w:r w:rsidRPr="00D33C2D">
              <w:rPr>
                <w:rFonts w:ascii="Arial Narrow" w:hAnsi="Arial Narrow" w:cs="Arial"/>
                <w:sz w:val="18"/>
                <w:szCs w:val="18"/>
              </w:rPr>
              <w:t>9295</w:t>
            </w:r>
          </w:p>
        </w:tc>
        <w:tc>
          <w:tcPr>
            <w:tcW w:w="7846" w:type="dxa"/>
            <w:gridSpan w:val="6"/>
            <w:tcBorders>
              <w:top w:val="single" w:sz="4" w:space="0" w:color="auto"/>
              <w:left w:val="single" w:sz="4" w:space="0" w:color="auto"/>
              <w:bottom w:val="single" w:sz="4" w:space="0" w:color="auto"/>
              <w:right w:val="single" w:sz="4" w:space="0" w:color="auto"/>
            </w:tcBorders>
          </w:tcPr>
          <w:p w14:paraId="67836507" w14:textId="77777777" w:rsidR="007202CB" w:rsidRPr="00D33C2D" w:rsidRDefault="007202CB" w:rsidP="007202CB">
            <w:pPr>
              <w:rPr>
                <w:rFonts w:ascii="Arial Narrow" w:hAnsi="Arial Narrow" w:cs="Arial"/>
                <w:bCs/>
                <w:strike/>
                <w:sz w:val="18"/>
                <w:szCs w:val="18"/>
              </w:rPr>
            </w:pPr>
            <w:r w:rsidRPr="00D33C2D">
              <w:rPr>
                <w:rFonts w:ascii="Arial Narrow" w:hAnsi="Arial Narrow" w:cs="Arial"/>
                <w:bCs/>
                <w:strike/>
                <w:sz w:val="18"/>
                <w:szCs w:val="18"/>
              </w:rPr>
              <w:t>Patient must not receive more than 12 weeks of PBS-subsidised nicotine replacement therapy per 12-month period</w:t>
            </w:r>
          </w:p>
        </w:tc>
      </w:tr>
      <w:tr w:rsidR="007202CB" w:rsidRPr="00D33C2D" w14:paraId="79AA1B5A"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270F2256" w14:textId="77777777" w:rsidR="007202CB" w:rsidRDefault="007202CB" w:rsidP="007202CB">
            <w:pPr>
              <w:jc w:val="center"/>
              <w:rPr>
                <w:rFonts w:ascii="Arial Narrow" w:hAnsi="Arial Narrow" w:cs="Arial"/>
                <w:sz w:val="18"/>
                <w:szCs w:val="18"/>
              </w:rPr>
            </w:pPr>
            <w:r>
              <w:rPr>
                <w:rFonts w:ascii="Arial Narrow" w:hAnsi="Arial Narrow" w:cs="Arial"/>
                <w:sz w:val="18"/>
                <w:szCs w:val="18"/>
              </w:rPr>
              <w:lastRenderedPageBreak/>
              <w:t>Insert New CC2</w:t>
            </w:r>
          </w:p>
        </w:tc>
        <w:tc>
          <w:tcPr>
            <w:tcW w:w="7846" w:type="dxa"/>
            <w:gridSpan w:val="6"/>
            <w:tcBorders>
              <w:top w:val="single" w:sz="4" w:space="0" w:color="auto"/>
              <w:left w:val="single" w:sz="4" w:space="0" w:color="auto"/>
              <w:bottom w:val="single" w:sz="4" w:space="0" w:color="auto"/>
              <w:right w:val="single" w:sz="4" w:space="0" w:color="auto"/>
            </w:tcBorders>
          </w:tcPr>
          <w:p w14:paraId="0AA511D7" w14:textId="77777777" w:rsidR="007202CB" w:rsidRPr="00B728B1" w:rsidRDefault="007202CB" w:rsidP="007202CB">
            <w:pPr>
              <w:rPr>
                <w:rFonts w:ascii="Arial Narrow" w:hAnsi="Arial Narrow" w:cs="Arial"/>
                <w:bCs/>
                <w:i/>
                <w:iCs/>
                <w:sz w:val="18"/>
                <w:szCs w:val="18"/>
              </w:rPr>
            </w:pPr>
            <w:r w:rsidRPr="00B728B1">
              <w:rPr>
                <w:rFonts w:ascii="Arial Narrow" w:hAnsi="Arial Narrow" w:cs="Arial"/>
                <w:bCs/>
                <w:i/>
                <w:iCs/>
                <w:sz w:val="18"/>
                <w:szCs w:val="18"/>
              </w:rPr>
              <w:t>Patient must not receive more than 2 x 12-week PBS-subsidised treatment courses per 12 month period</w:t>
            </w:r>
          </w:p>
        </w:tc>
      </w:tr>
      <w:tr w:rsidR="007202CB" w:rsidRPr="00D33C2D" w14:paraId="528D95E2"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0DE83905" w14:textId="77777777" w:rsidR="007202CB" w:rsidRPr="00D33C2D"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20E028E5"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AND</w:t>
            </w:r>
          </w:p>
        </w:tc>
      </w:tr>
      <w:tr w:rsidR="007202CB" w:rsidRPr="00D33C2D" w14:paraId="13721BE2"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1CBBDDE3"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20605</w:t>
            </w:r>
          </w:p>
        </w:tc>
        <w:tc>
          <w:tcPr>
            <w:tcW w:w="7846" w:type="dxa"/>
            <w:gridSpan w:val="6"/>
            <w:tcBorders>
              <w:top w:val="single" w:sz="4" w:space="0" w:color="auto"/>
              <w:left w:val="single" w:sz="4" w:space="0" w:color="auto"/>
              <w:bottom w:val="single" w:sz="4" w:space="0" w:color="auto"/>
              <w:right w:val="single" w:sz="4" w:space="0" w:color="auto"/>
            </w:tcBorders>
          </w:tcPr>
          <w:p w14:paraId="6E3C1EAF"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Treatment criteria:</w:t>
            </w:r>
          </w:p>
        </w:tc>
      </w:tr>
      <w:tr w:rsidR="007202CB" w:rsidRPr="00D33C2D" w14:paraId="280671D6"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1BA46DC4"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20604</w:t>
            </w:r>
          </w:p>
        </w:tc>
        <w:tc>
          <w:tcPr>
            <w:tcW w:w="7846" w:type="dxa"/>
            <w:gridSpan w:val="6"/>
            <w:tcBorders>
              <w:top w:val="single" w:sz="4" w:space="0" w:color="auto"/>
              <w:left w:val="single" w:sz="4" w:space="0" w:color="auto"/>
              <w:bottom w:val="single" w:sz="4" w:space="0" w:color="auto"/>
              <w:right w:val="single" w:sz="4" w:space="0" w:color="auto"/>
            </w:tcBorders>
          </w:tcPr>
          <w:p w14:paraId="0E13C8AE" w14:textId="77777777" w:rsidR="007202CB" w:rsidRPr="00D33C2D" w:rsidRDefault="007202CB" w:rsidP="007202CB">
            <w:pPr>
              <w:rPr>
                <w:rFonts w:ascii="Arial Narrow" w:hAnsi="Arial Narrow" w:cs="Arial"/>
                <w:bCs/>
                <w:sz w:val="18"/>
                <w:szCs w:val="18"/>
              </w:rPr>
            </w:pPr>
            <w:r w:rsidRPr="00D33C2D">
              <w:rPr>
                <w:rFonts w:ascii="Arial Narrow" w:hAnsi="Arial Narrow" w:cs="Arial"/>
                <w:bCs/>
                <w:sz w:val="18"/>
                <w:szCs w:val="18"/>
              </w:rPr>
              <w:t>Patient must be undergoing concurrent counselling for smoking cessation through a comprehensive support and counselling program or is about to enter such a program at the time PBS-subsidised treatment is initiated</w:t>
            </w:r>
          </w:p>
        </w:tc>
      </w:tr>
      <w:tr w:rsidR="007202CB" w:rsidRPr="00D33C2D" w14:paraId="2A5C0D8E"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1A49E22E" w14:textId="77777777" w:rsidR="007202CB" w:rsidRPr="00D33C2D"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1F76C479" w14:textId="77777777" w:rsidR="007202CB" w:rsidRPr="00D33C2D" w:rsidRDefault="007202CB" w:rsidP="007202CB">
            <w:pPr>
              <w:rPr>
                <w:rFonts w:ascii="Arial Narrow" w:hAnsi="Arial Narrow" w:cs="Arial"/>
                <w:bCs/>
                <w:sz w:val="18"/>
                <w:szCs w:val="18"/>
              </w:rPr>
            </w:pPr>
          </w:p>
        </w:tc>
      </w:tr>
      <w:tr w:rsidR="007202CB" w:rsidRPr="00D33C2D" w14:paraId="51EB747E"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371"/>
        </w:trPr>
        <w:tc>
          <w:tcPr>
            <w:tcW w:w="1221" w:type="dxa"/>
            <w:tcBorders>
              <w:top w:val="single" w:sz="4" w:space="0" w:color="auto"/>
              <w:left w:val="single" w:sz="4" w:space="0" w:color="auto"/>
              <w:bottom w:val="single" w:sz="4" w:space="0" w:color="auto"/>
              <w:right w:val="single" w:sz="4" w:space="0" w:color="auto"/>
            </w:tcBorders>
          </w:tcPr>
          <w:p w14:paraId="2880D1E3" w14:textId="77777777" w:rsidR="007202CB" w:rsidRDefault="007202CB" w:rsidP="007202CB">
            <w:pPr>
              <w:jc w:val="center"/>
              <w:rPr>
                <w:rFonts w:ascii="Arial Narrow" w:hAnsi="Arial Narrow" w:cs="Arial"/>
                <w:sz w:val="18"/>
                <w:szCs w:val="18"/>
              </w:rPr>
            </w:pPr>
          </w:p>
          <w:p w14:paraId="7100A803"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9299</w:t>
            </w:r>
          </w:p>
        </w:tc>
        <w:tc>
          <w:tcPr>
            <w:tcW w:w="7846" w:type="dxa"/>
            <w:gridSpan w:val="6"/>
            <w:tcBorders>
              <w:top w:val="single" w:sz="4" w:space="0" w:color="auto"/>
              <w:left w:val="single" w:sz="4" w:space="0" w:color="auto"/>
              <w:bottom w:val="single" w:sz="4" w:space="0" w:color="auto"/>
              <w:right w:val="single" w:sz="4" w:space="0" w:color="auto"/>
            </w:tcBorders>
          </w:tcPr>
          <w:p w14:paraId="413A5DEC"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Prescribing Instructions:</w:t>
            </w:r>
          </w:p>
          <w:p w14:paraId="7731F0B0" w14:textId="77777777" w:rsidR="007202CB" w:rsidRPr="00D33C2D" w:rsidRDefault="007202CB" w:rsidP="007202CB">
            <w:pPr>
              <w:rPr>
                <w:rFonts w:ascii="Arial Narrow" w:hAnsi="Arial Narrow" w:cs="Arial"/>
                <w:bCs/>
                <w:sz w:val="18"/>
                <w:szCs w:val="18"/>
              </w:rPr>
            </w:pPr>
            <w:r w:rsidRPr="00D33C2D">
              <w:rPr>
                <w:rFonts w:ascii="Arial Narrow" w:hAnsi="Arial Narrow" w:cs="Arial"/>
                <w:bCs/>
                <w:sz w:val="18"/>
                <w:szCs w:val="18"/>
              </w:rPr>
              <w:t>Details of the support and counselling program must be documented in the patient's medical records at the time treatment is initiated.</w:t>
            </w:r>
          </w:p>
        </w:tc>
      </w:tr>
      <w:tr w:rsidR="007202CB" w:rsidRPr="00D33C2D" w14:paraId="119C6544"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70"/>
        </w:trPr>
        <w:tc>
          <w:tcPr>
            <w:tcW w:w="1221" w:type="dxa"/>
            <w:tcBorders>
              <w:top w:val="single" w:sz="4" w:space="0" w:color="auto"/>
              <w:left w:val="single" w:sz="4" w:space="0" w:color="auto"/>
              <w:bottom w:val="single" w:sz="4" w:space="0" w:color="auto"/>
              <w:right w:val="single" w:sz="4" w:space="0" w:color="auto"/>
            </w:tcBorders>
          </w:tcPr>
          <w:p w14:paraId="50E0D69F" w14:textId="77777777" w:rsidR="007202CB" w:rsidRPr="00D33C2D" w:rsidRDefault="007202CB" w:rsidP="007202CB">
            <w:pPr>
              <w:jc w:val="center"/>
              <w:rPr>
                <w:rFonts w:ascii="Arial Narrow" w:hAnsi="Arial Narrow" w:cs="Arial"/>
                <w:sz w:val="18"/>
                <w:szCs w:val="18"/>
              </w:rPr>
            </w:pPr>
          </w:p>
        </w:tc>
        <w:tc>
          <w:tcPr>
            <w:tcW w:w="7846" w:type="dxa"/>
            <w:gridSpan w:val="6"/>
            <w:tcBorders>
              <w:top w:val="single" w:sz="4" w:space="0" w:color="auto"/>
              <w:left w:val="single" w:sz="4" w:space="0" w:color="auto"/>
              <w:bottom w:val="single" w:sz="4" w:space="0" w:color="auto"/>
              <w:right w:val="single" w:sz="4" w:space="0" w:color="auto"/>
            </w:tcBorders>
          </w:tcPr>
          <w:p w14:paraId="5C966B3A" w14:textId="77777777" w:rsidR="007202CB" w:rsidRPr="00D33C2D" w:rsidRDefault="007202CB" w:rsidP="007202CB">
            <w:pPr>
              <w:rPr>
                <w:rFonts w:ascii="Arial Narrow" w:hAnsi="Arial Narrow" w:cs="Arial"/>
                <w:b/>
                <w:sz w:val="18"/>
                <w:szCs w:val="18"/>
              </w:rPr>
            </w:pPr>
          </w:p>
        </w:tc>
      </w:tr>
      <w:tr w:rsidR="007202CB" w:rsidRPr="00D33C2D" w14:paraId="4B88E894"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37E5A956"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7606</w:t>
            </w:r>
          </w:p>
        </w:tc>
        <w:tc>
          <w:tcPr>
            <w:tcW w:w="7846" w:type="dxa"/>
            <w:gridSpan w:val="6"/>
            <w:tcBorders>
              <w:top w:val="single" w:sz="4" w:space="0" w:color="auto"/>
              <w:left w:val="single" w:sz="4" w:space="0" w:color="auto"/>
              <w:bottom w:val="single" w:sz="4" w:space="0" w:color="auto"/>
              <w:right w:val="single" w:sz="4" w:space="0" w:color="auto"/>
            </w:tcBorders>
          </w:tcPr>
          <w:p w14:paraId="009E1499"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Administrative Advice:</w:t>
            </w:r>
            <w:r>
              <w:rPr>
                <w:rFonts w:ascii="Arial Narrow" w:hAnsi="Arial Narrow" w:cs="Arial"/>
                <w:b/>
                <w:sz w:val="18"/>
                <w:szCs w:val="18"/>
              </w:rPr>
              <w:t xml:space="preserve"> </w:t>
            </w:r>
            <w:r w:rsidRPr="00D33C2D">
              <w:rPr>
                <w:rFonts w:ascii="Arial Narrow" w:hAnsi="Arial Narrow" w:cs="Arial"/>
                <w:bCs/>
                <w:sz w:val="18"/>
                <w:szCs w:val="18"/>
              </w:rPr>
              <w:t>No increase in the maximum quantity or number of units may be authorised.</w:t>
            </w:r>
          </w:p>
        </w:tc>
      </w:tr>
      <w:tr w:rsidR="007202CB" w:rsidRPr="00D33C2D" w14:paraId="5EE4F2A2" w14:textId="77777777" w:rsidTr="00720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221" w:type="dxa"/>
            <w:tcBorders>
              <w:top w:val="single" w:sz="4" w:space="0" w:color="auto"/>
              <w:left w:val="single" w:sz="4" w:space="0" w:color="auto"/>
              <w:bottom w:val="single" w:sz="4" w:space="0" w:color="auto"/>
              <w:right w:val="single" w:sz="4" w:space="0" w:color="auto"/>
            </w:tcBorders>
          </w:tcPr>
          <w:p w14:paraId="5E4F5C0B" w14:textId="77777777" w:rsidR="007202CB" w:rsidRPr="00D33C2D" w:rsidRDefault="007202CB" w:rsidP="007202CB">
            <w:pPr>
              <w:jc w:val="center"/>
              <w:rPr>
                <w:rFonts w:ascii="Arial Narrow" w:hAnsi="Arial Narrow" w:cs="Arial"/>
                <w:sz w:val="18"/>
                <w:szCs w:val="18"/>
              </w:rPr>
            </w:pPr>
            <w:r w:rsidRPr="00D33C2D">
              <w:rPr>
                <w:rFonts w:ascii="Arial Narrow" w:hAnsi="Arial Narrow" w:cs="Arial"/>
                <w:sz w:val="18"/>
                <w:szCs w:val="18"/>
              </w:rPr>
              <w:t>7607</w:t>
            </w:r>
          </w:p>
        </w:tc>
        <w:tc>
          <w:tcPr>
            <w:tcW w:w="7846" w:type="dxa"/>
            <w:gridSpan w:val="6"/>
            <w:tcBorders>
              <w:top w:val="single" w:sz="4" w:space="0" w:color="auto"/>
              <w:left w:val="single" w:sz="4" w:space="0" w:color="auto"/>
              <w:bottom w:val="single" w:sz="4" w:space="0" w:color="auto"/>
              <w:right w:val="single" w:sz="4" w:space="0" w:color="auto"/>
            </w:tcBorders>
          </w:tcPr>
          <w:p w14:paraId="258AF4FA" w14:textId="77777777" w:rsidR="007202CB" w:rsidRPr="00D33C2D" w:rsidRDefault="007202CB" w:rsidP="007202CB">
            <w:pPr>
              <w:rPr>
                <w:rFonts w:ascii="Arial Narrow" w:hAnsi="Arial Narrow" w:cs="Arial"/>
                <w:b/>
                <w:sz w:val="18"/>
                <w:szCs w:val="18"/>
              </w:rPr>
            </w:pPr>
            <w:r w:rsidRPr="00D33C2D">
              <w:rPr>
                <w:rFonts w:ascii="Arial Narrow" w:hAnsi="Arial Narrow" w:cs="Arial"/>
                <w:b/>
                <w:sz w:val="18"/>
                <w:szCs w:val="18"/>
              </w:rPr>
              <w:t>Administrative Advice:</w:t>
            </w:r>
            <w:r>
              <w:rPr>
                <w:rFonts w:ascii="Arial Narrow" w:hAnsi="Arial Narrow" w:cs="Arial"/>
                <w:b/>
                <w:sz w:val="18"/>
                <w:szCs w:val="18"/>
              </w:rPr>
              <w:t xml:space="preserve"> </w:t>
            </w:r>
            <w:r w:rsidRPr="00D33C2D">
              <w:rPr>
                <w:rFonts w:ascii="Arial Narrow" w:hAnsi="Arial Narrow" w:cs="Arial"/>
                <w:bCs/>
                <w:sz w:val="18"/>
                <w:szCs w:val="18"/>
              </w:rPr>
              <w:t>No increase in the maximum number of repeats may be authorised.</w:t>
            </w:r>
          </w:p>
        </w:tc>
      </w:tr>
    </w:tbl>
    <w:p w14:paraId="4873DCD3" w14:textId="2EEE5016" w:rsidR="004B3363" w:rsidRPr="007202CB" w:rsidRDefault="004B3363" w:rsidP="004B3363">
      <w:pPr>
        <w:spacing w:before="120"/>
        <w:jc w:val="both"/>
        <w:rPr>
          <w:rFonts w:asciiTheme="minorHAnsi" w:hAnsiTheme="minorHAnsi" w:cstheme="minorHAnsi"/>
        </w:rPr>
      </w:pPr>
      <w:r>
        <w:rPr>
          <w:rFonts w:asciiTheme="minorHAnsi" w:hAnsiTheme="minorHAnsi" w:cstheme="minorHAnsi"/>
        </w:rPr>
        <w:t>T</w:t>
      </w:r>
      <w:r w:rsidR="007202CB" w:rsidRPr="007202CB">
        <w:rPr>
          <w:rFonts w:asciiTheme="minorHAnsi" w:hAnsiTheme="minorHAnsi" w:cstheme="minorHAnsi"/>
        </w:rPr>
        <w:t xml:space="preserve">here </w:t>
      </w:r>
      <w:r>
        <w:rPr>
          <w:rFonts w:asciiTheme="minorHAnsi" w:hAnsiTheme="minorHAnsi" w:cstheme="minorHAnsi"/>
        </w:rPr>
        <w:t>was</w:t>
      </w:r>
      <w:r w:rsidR="007202CB" w:rsidRPr="007202CB">
        <w:rPr>
          <w:rFonts w:asciiTheme="minorHAnsi" w:hAnsiTheme="minorHAnsi" w:cstheme="minorHAnsi"/>
        </w:rPr>
        <w:t xml:space="preserve"> no PBAC recommendation pertaining to PBS item codes relating to </w:t>
      </w:r>
      <w:r>
        <w:rPr>
          <w:rFonts w:asciiTheme="minorHAnsi" w:hAnsiTheme="minorHAnsi" w:cstheme="minorHAnsi"/>
        </w:rPr>
        <w:t xml:space="preserve">the </w:t>
      </w:r>
      <w:r w:rsidR="007202CB" w:rsidRPr="007202CB">
        <w:rPr>
          <w:rFonts w:asciiTheme="minorHAnsi" w:hAnsiTheme="minorHAnsi" w:cstheme="minorHAnsi"/>
        </w:rPr>
        <w:t>Repatriation Pharmaceutical Benefits Scheme</w:t>
      </w:r>
      <w:r>
        <w:rPr>
          <w:rFonts w:asciiTheme="minorHAnsi" w:hAnsiTheme="minorHAnsi" w:cstheme="minorHAnsi"/>
        </w:rPr>
        <w:t>.</w:t>
      </w:r>
    </w:p>
    <w:p w14:paraId="19282421" w14:textId="1AD585F3" w:rsidR="008B46F1" w:rsidRPr="00A45DC3" w:rsidRDefault="00A45DC3" w:rsidP="00D000BC">
      <w:pPr>
        <w:spacing w:before="120"/>
        <w:jc w:val="both"/>
        <w:rPr>
          <w:rFonts w:ascii="Calibri" w:eastAsia="Calibri" w:hAnsi="Calibri" w:cs="Calibri"/>
          <w:b/>
          <w:i/>
        </w:rPr>
      </w:pPr>
      <w:r w:rsidRPr="00A45DC3">
        <w:rPr>
          <w:rFonts w:ascii="Calibri" w:hAnsi="Calibri"/>
          <w:b/>
          <w:i/>
          <w:lang w:eastAsia="en-AU"/>
        </w:rPr>
        <w:t xml:space="preserve">This restriction may be subject to further review. Should there be any changes made to the restriction </w:t>
      </w:r>
      <w:r w:rsidR="003F20B5">
        <w:rPr>
          <w:rFonts w:ascii="Calibri" w:hAnsi="Calibri"/>
          <w:b/>
          <w:i/>
          <w:lang w:eastAsia="en-AU"/>
        </w:rPr>
        <w:t>s</w:t>
      </w:r>
      <w:r w:rsidRPr="00A45DC3">
        <w:rPr>
          <w:rFonts w:ascii="Calibri" w:hAnsi="Calibri"/>
          <w:b/>
          <w:i/>
          <w:lang w:eastAsia="en-AU"/>
        </w:rPr>
        <w:t>ponsor</w:t>
      </w:r>
      <w:r>
        <w:rPr>
          <w:rFonts w:ascii="Calibri" w:hAnsi="Calibri"/>
          <w:b/>
          <w:i/>
          <w:lang w:eastAsia="en-AU"/>
        </w:rPr>
        <w:t>s</w:t>
      </w:r>
      <w:r w:rsidRPr="00A45DC3">
        <w:rPr>
          <w:rFonts w:ascii="Calibri" w:hAnsi="Calibri"/>
          <w:b/>
          <w:i/>
          <w:lang w:eastAsia="en-AU"/>
        </w:rPr>
        <w:t xml:space="preserve"> will be informed</w:t>
      </w:r>
      <w:bookmarkEnd w:id="28"/>
      <w:r>
        <w:rPr>
          <w:rFonts w:ascii="Calibri" w:hAnsi="Calibri"/>
          <w:b/>
          <w:i/>
          <w:lang w:eastAsia="en-AU"/>
        </w:rPr>
        <w:t>.</w:t>
      </w:r>
    </w:p>
    <w:sectPr w:rsidR="008B46F1" w:rsidRPr="00A45DC3" w:rsidSect="00174B1F">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EC3A2" w14:textId="77777777" w:rsidR="00173529" w:rsidRDefault="00173529" w:rsidP="00331FF4">
      <w:r>
        <w:separator/>
      </w:r>
    </w:p>
    <w:p w14:paraId="27F3F692" w14:textId="77777777" w:rsidR="00173529" w:rsidRDefault="00173529"/>
    <w:p w14:paraId="5546F4E9" w14:textId="77777777" w:rsidR="00173529" w:rsidRDefault="00173529"/>
  </w:endnote>
  <w:endnote w:type="continuationSeparator" w:id="0">
    <w:p w14:paraId="78DDA703" w14:textId="77777777" w:rsidR="00173529" w:rsidRDefault="00173529" w:rsidP="00331FF4">
      <w:r>
        <w:continuationSeparator/>
      </w:r>
    </w:p>
    <w:p w14:paraId="6A5D1EAA" w14:textId="77777777" w:rsidR="00173529" w:rsidRDefault="00173529"/>
    <w:p w14:paraId="116E5446" w14:textId="77777777" w:rsidR="00173529" w:rsidRDefault="00173529"/>
  </w:endnote>
  <w:endnote w:type="continuationNotice" w:id="1">
    <w:p w14:paraId="35F7FC14" w14:textId="77777777" w:rsidR="00173529" w:rsidRDefault="00173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0553" w14:textId="77777777" w:rsidR="00F63813" w:rsidRDefault="00F63813">
    <w:pPr>
      <w:pStyle w:val="Footer"/>
      <w:jc w:val="center"/>
    </w:pPr>
  </w:p>
  <w:p w14:paraId="19C3236A" w14:textId="77777777" w:rsidR="00F63813" w:rsidRPr="00D8233A" w:rsidRDefault="00F63813" w:rsidP="001B7FEE">
    <w:pPr>
      <w:keepNext/>
      <w:tabs>
        <w:tab w:val="center" w:pos="4153"/>
        <w:tab w:val="right" w:pos="8306"/>
      </w:tabs>
      <w:spacing w:after="120"/>
      <w:ind w:left="360"/>
      <w:jc w:val="center"/>
      <w:rPr>
        <w:rFonts w:cs="Arial"/>
      </w:rPr>
    </w:pPr>
    <w:r w:rsidRPr="005826ED">
      <w:t xml:space="preserve"> </w:t>
    </w:r>
    <w:r w:rsidRPr="00C30CD4">
      <w:rPr>
        <w:rFonts w:ascii="Calibri" w:hAnsi="Calibri" w:cs="Arial"/>
        <w:b/>
      </w:rPr>
      <w:fldChar w:fldCharType="begin"/>
    </w:r>
    <w:r w:rsidRPr="00C30CD4">
      <w:rPr>
        <w:rFonts w:ascii="Calibri" w:hAnsi="Calibri" w:cs="Arial"/>
        <w:b/>
      </w:rPr>
      <w:instrText xml:space="preserve"> PAGE   \* MERGEFORMAT </w:instrText>
    </w:r>
    <w:r w:rsidRPr="00C30CD4">
      <w:rPr>
        <w:rFonts w:ascii="Calibri" w:hAnsi="Calibri" w:cs="Arial"/>
        <w:b/>
      </w:rPr>
      <w:fldChar w:fldCharType="separate"/>
    </w:r>
    <w:r>
      <w:rPr>
        <w:rFonts w:ascii="Calibri" w:hAnsi="Calibri" w:cs="Arial"/>
        <w:b/>
      </w:rPr>
      <w:t>1</w:t>
    </w:r>
    <w:r w:rsidRPr="00C30CD4">
      <w:rPr>
        <w:rFonts w:ascii="Calibri" w:hAnsi="Calibri"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89141" w14:textId="77777777" w:rsidR="00173529" w:rsidRDefault="00173529" w:rsidP="00331FF4">
      <w:r>
        <w:separator/>
      </w:r>
    </w:p>
    <w:p w14:paraId="1CA9267C" w14:textId="77777777" w:rsidR="00173529" w:rsidRDefault="00173529"/>
    <w:p w14:paraId="20361B8C" w14:textId="77777777" w:rsidR="00173529" w:rsidRDefault="00173529"/>
  </w:footnote>
  <w:footnote w:type="continuationSeparator" w:id="0">
    <w:p w14:paraId="5754E0C2" w14:textId="77777777" w:rsidR="00173529" w:rsidRDefault="00173529" w:rsidP="00331FF4">
      <w:r>
        <w:continuationSeparator/>
      </w:r>
    </w:p>
    <w:p w14:paraId="6E3F59CD" w14:textId="77777777" w:rsidR="00173529" w:rsidRDefault="00173529"/>
    <w:p w14:paraId="0F64F9D3" w14:textId="77777777" w:rsidR="00173529" w:rsidRDefault="00173529"/>
  </w:footnote>
  <w:footnote w:type="continuationNotice" w:id="1">
    <w:p w14:paraId="757A256B" w14:textId="77777777" w:rsidR="00173529" w:rsidRDefault="00173529"/>
  </w:footnote>
  <w:footnote w:id="2">
    <w:p w14:paraId="22FA00EA" w14:textId="1A545EED" w:rsidR="000E406E" w:rsidRPr="000E406E" w:rsidRDefault="000E406E" w:rsidP="00801078">
      <w:pPr>
        <w:pStyle w:val="FootnoteText"/>
        <w:rPr>
          <w:rFonts w:asciiTheme="minorHAnsi" w:hAnsiTheme="minorHAnsi" w:cstheme="minorHAnsi"/>
          <w:highlight w:val="black"/>
        </w:rPr>
      </w:pPr>
      <w:r w:rsidRPr="000E406E">
        <w:rPr>
          <w:rFonts w:asciiTheme="minorHAnsi" w:hAnsiTheme="minorHAnsi" w:cstheme="minorHAnsi"/>
          <w:highlight w:val="black"/>
        </w:rPr>
        <w:t xml:space="preserve"> </w:t>
      </w:r>
      <w:r w:rsidRPr="00B836B5">
        <w:rPr>
          <w:rFonts w:asciiTheme="minorHAnsi" w:hAnsiTheme="minorHAnsi" w:cstheme="minorHAnsi"/>
          <w:color w:val="000000"/>
          <w:w w:val="66"/>
          <w:highlight w:val="black"/>
          <w:shd w:val="solid" w:color="000000" w:fill="000000"/>
          <w:fitText w:val="8420" w:id="-1402812416"/>
          <w14:textFill>
            <w14:solidFill>
              <w14:srgbClr w14:val="000000">
                <w14:alpha w14:val="100000"/>
              </w14:srgbClr>
            </w14:solidFill>
          </w14:textFill>
        </w:rPr>
        <w:t>|||||||||||||||||||||||||||||||||||||||||||||||||||||||||||||||||||||||||||||||||||||||||||||||||||||||||||||||||||||||||||||||||||||||||</w:t>
      </w:r>
      <w:r w:rsidRPr="00B836B5">
        <w:rPr>
          <w:rFonts w:asciiTheme="minorHAnsi" w:hAnsiTheme="minorHAnsi" w:cstheme="minorHAnsi"/>
          <w:color w:val="000000"/>
          <w:spacing w:val="37"/>
          <w:w w:val="66"/>
          <w:highlight w:val="black"/>
          <w:shd w:val="solid" w:color="000000" w:fill="000000"/>
          <w:fitText w:val="8420" w:id="-1402812416"/>
          <w14:textFill>
            <w14:solidFill>
              <w14:srgbClr w14:val="000000">
                <w14:alpha w14:val="100000"/>
              </w14:srgbClr>
            </w14:solidFill>
          </w14:textFill>
        </w:rPr>
        <w:t>|</w:t>
      </w:r>
      <w:r w:rsidRPr="000E406E">
        <w:rPr>
          <w:rFonts w:asciiTheme="minorHAnsi" w:hAnsiTheme="minorHAnsi" w:cstheme="minorHAnsi"/>
          <w:highlight w:val="black"/>
        </w:rPr>
        <w:t xml:space="preserve"> </w:t>
      </w:r>
      <w:r w:rsidRPr="00B836B5">
        <w:rPr>
          <w:rFonts w:asciiTheme="minorHAnsi" w:hAnsiTheme="minorHAnsi" w:cstheme="minorHAnsi"/>
          <w:color w:val="000000"/>
          <w:w w:val="65"/>
          <w:highlight w:val="black"/>
          <w:shd w:val="solid" w:color="000000" w:fill="000000"/>
          <w:fitText w:val="8120" w:id="-1402812415"/>
          <w14:textFill>
            <w14:solidFill>
              <w14:srgbClr w14:val="000000">
                <w14:alpha w14:val="100000"/>
              </w14:srgbClr>
            </w14:solidFill>
          </w14:textFill>
        </w:rPr>
        <w:t>|||||||||||||||||||||||||||||||||||||||||||||||||||||||||||||||||||||||||||||||||||||||||||||||||||||||||||||||||||||||||||||||||||||</w:t>
      </w:r>
      <w:r w:rsidRPr="00B836B5">
        <w:rPr>
          <w:rFonts w:asciiTheme="minorHAnsi" w:hAnsiTheme="minorHAnsi" w:cstheme="minorHAnsi"/>
          <w:color w:val="000000"/>
          <w:spacing w:val="111"/>
          <w:w w:val="65"/>
          <w:highlight w:val="black"/>
          <w:shd w:val="solid" w:color="000000" w:fill="000000"/>
          <w:fitText w:val="8120" w:id="-1402812415"/>
          <w14:textFill>
            <w14:solidFill>
              <w14:srgbClr w14:val="000000">
                <w14:alpha w14:val="100000"/>
              </w14:srgbClr>
            </w14:solidFill>
          </w14:textFill>
        </w:rPr>
        <w:t>|</w:t>
      </w:r>
      <w:r w:rsidRPr="000E406E">
        <w:rPr>
          <w:rFonts w:asciiTheme="minorHAnsi" w:hAnsiTheme="minorHAnsi" w:cstheme="minorHAnsi"/>
          <w:highlight w:val="black"/>
        </w:rPr>
        <w:t xml:space="preserve"> </w:t>
      </w:r>
      <w:r w:rsidRPr="00B836B5">
        <w:rPr>
          <w:rFonts w:asciiTheme="minorHAnsi" w:hAnsiTheme="minorHAnsi" w:cstheme="minorHAnsi"/>
          <w:color w:val="000000"/>
          <w:w w:val="68"/>
          <w:highlight w:val="black"/>
          <w:shd w:val="solid" w:color="000000" w:fill="000000"/>
          <w:fitText w:val="1760" w:id="-1402812414"/>
          <w14:textFill>
            <w14:solidFill>
              <w14:srgbClr w14:val="000000">
                <w14:alpha w14:val="100000"/>
              </w14:srgbClr>
            </w14:solidFill>
          </w14:textFill>
        </w:rPr>
        <w:t>|||||||||||||||||||||||||||</w:t>
      </w:r>
      <w:r w:rsidRPr="00B836B5">
        <w:rPr>
          <w:rFonts w:asciiTheme="minorHAnsi" w:hAnsiTheme="minorHAnsi" w:cstheme="minorHAnsi"/>
          <w:color w:val="000000"/>
          <w:spacing w:val="7"/>
          <w:w w:val="68"/>
          <w:highlight w:val="black"/>
          <w:shd w:val="solid" w:color="000000" w:fill="000000"/>
          <w:fitText w:val="1760" w:id="-1402812414"/>
          <w14:textFill>
            <w14:solidFill>
              <w14:srgbClr w14:val="000000">
                <w14:alpha w14:val="100000"/>
              </w14:srgbClr>
            </w14:solidFill>
          </w14:textFill>
        </w:rPr>
        <w:t>|</w:t>
      </w:r>
    </w:p>
    <w:p w14:paraId="6002C32A" w14:textId="0F7F5559" w:rsidR="00F63813" w:rsidRDefault="00F63813" w:rsidP="008010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852D" w14:textId="636C3375" w:rsidR="00F63813" w:rsidRPr="00612124" w:rsidRDefault="00F63813" w:rsidP="001B7FEE">
    <w:pPr>
      <w:pStyle w:val="MinorOVRHeader"/>
      <w:jc w:val="center"/>
      <w:rPr>
        <w:rFonts w:asciiTheme="minorHAnsi" w:hAnsiTheme="minorHAnsi" w:cstheme="minorHAnsi"/>
        <w:i/>
      </w:rPr>
    </w:pPr>
    <w:bookmarkStart w:id="25" w:name="_Hlk76375146"/>
    <w:r>
      <w:rPr>
        <w:rFonts w:asciiTheme="minorHAnsi" w:hAnsiTheme="minorHAnsi" w:cstheme="minorHAnsi"/>
        <w:i/>
      </w:rPr>
      <w:t>Ratified</w:t>
    </w:r>
    <w:r w:rsidRPr="00612124">
      <w:rPr>
        <w:rFonts w:asciiTheme="minorHAnsi" w:hAnsiTheme="minorHAnsi" w:cstheme="minorHAnsi"/>
        <w:i/>
      </w:rPr>
      <w:t xml:space="preserve"> Minutes – </w:t>
    </w:r>
    <w:r>
      <w:rPr>
        <w:rFonts w:asciiTheme="minorHAnsi" w:hAnsiTheme="minorHAnsi" w:cstheme="minorHAnsi"/>
        <w:i/>
      </w:rPr>
      <w:t xml:space="preserve">May </w:t>
    </w:r>
    <w:r w:rsidRPr="00612124">
      <w:rPr>
        <w:rFonts w:asciiTheme="minorHAnsi" w:hAnsiTheme="minorHAnsi" w:cstheme="minorHAnsi"/>
        <w:i/>
      </w:rPr>
      <w:t>202</w:t>
    </w:r>
    <w:r>
      <w:rPr>
        <w:rFonts w:asciiTheme="minorHAnsi" w:hAnsiTheme="minorHAnsi" w:cstheme="minorHAnsi"/>
        <w:i/>
      </w:rPr>
      <w:t>2</w:t>
    </w:r>
    <w:r w:rsidRPr="00612124">
      <w:rPr>
        <w:rFonts w:asciiTheme="minorHAnsi" w:hAnsiTheme="minorHAnsi" w:cstheme="minorHAnsi"/>
        <w:i/>
      </w:rPr>
      <w:t xml:space="preserve"> PBAC </w:t>
    </w:r>
    <w:r>
      <w:rPr>
        <w:rFonts w:asciiTheme="minorHAnsi" w:hAnsiTheme="minorHAnsi" w:cstheme="minorHAnsi"/>
        <w:i/>
      </w:rPr>
      <w:t xml:space="preserve">Intracycle </w:t>
    </w:r>
    <w:r w:rsidRPr="00612124">
      <w:rPr>
        <w:rFonts w:asciiTheme="minorHAnsi" w:hAnsiTheme="minorHAnsi" w:cstheme="minorHAnsi"/>
        <w:i/>
      </w:rPr>
      <w:t>Meeting</w:t>
    </w:r>
  </w:p>
  <w:p w14:paraId="670EAC92" w14:textId="67F166DA" w:rsidR="00F63813" w:rsidRDefault="00F63813" w:rsidP="001B7FEE">
    <w:pPr>
      <w:pStyle w:val="MinorOVRHeader"/>
      <w:jc w:val="center"/>
      <w:rPr>
        <w:rFonts w:asciiTheme="minorHAnsi" w:hAnsiTheme="minorHAnsi" w:cstheme="minorHAnsi"/>
        <w:i/>
      </w:rPr>
    </w:pPr>
    <w:r w:rsidRPr="00612124">
      <w:rPr>
        <w:rFonts w:asciiTheme="minorHAnsi" w:hAnsiTheme="minorHAnsi" w:cstheme="minorHAnsi"/>
        <w:i/>
      </w:rPr>
      <w:t>Comm</w:t>
    </w:r>
    <w:r>
      <w:rPr>
        <w:rFonts w:asciiTheme="minorHAnsi" w:hAnsiTheme="minorHAnsi" w:cstheme="minorHAnsi"/>
        <w:i/>
      </w:rPr>
      <w:t>ittee</w:t>
    </w:r>
    <w:r w:rsidRPr="00612124">
      <w:rPr>
        <w:rFonts w:asciiTheme="minorHAnsi" w:hAnsiTheme="minorHAnsi" w:cstheme="minorHAnsi"/>
        <w:i/>
      </w:rPr>
      <w:t>-In-Confidence</w:t>
    </w:r>
    <w:bookmarkEnd w:id="25"/>
  </w:p>
  <w:p w14:paraId="63981F49" w14:textId="77777777" w:rsidR="00F63813" w:rsidRPr="001B7FEE" w:rsidRDefault="00F63813" w:rsidP="001B7FEE">
    <w:pPr>
      <w:pStyle w:val="MinorOVRHeader"/>
      <w:jc w:val="center"/>
      <w:rPr>
        <w:rFonts w:asciiTheme="minorHAnsi" w:hAnsiTheme="minorHAnsi" w:cstheme="minorHAnsi"/>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619"/>
    <w:multiLevelType w:val="multilevel"/>
    <w:tmpl w:val="38D8192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872240A"/>
    <w:multiLevelType w:val="hybridMultilevel"/>
    <w:tmpl w:val="B3D6A8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C93084"/>
    <w:multiLevelType w:val="multilevel"/>
    <w:tmpl w:val="24866BF0"/>
    <w:lvl w:ilvl="0">
      <w:start w:val="2"/>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19D947EB"/>
    <w:multiLevelType w:val="hybridMultilevel"/>
    <w:tmpl w:val="5044C10C"/>
    <w:lvl w:ilvl="0" w:tplc="0C09000F">
      <w:start w:val="1"/>
      <w:numFmt w:val="decimal"/>
      <w:lvlText w:val="%1."/>
      <w:lvlJc w:val="left"/>
      <w:pPr>
        <w:ind w:left="1083" w:hanging="360"/>
      </w:pPr>
    </w:lvl>
    <w:lvl w:ilvl="1" w:tplc="0C090019" w:tentative="1">
      <w:start w:val="1"/>
      <w:numFmt w:val="lowerLetter"/>
      <w:lvlText w:val="%2."/>
      <w:lvlJc w:val="left"/>
      <w:pPr>
        <w:ind w:left="1803" w:hanging="360"/>
      </w:p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4" w15:restartNumberingAfterBreak="0">
    <w:nsid w:val="27B20248"/>
    <w:multiLevelType w:val="hybridMultilevel"/>
    <w:tmpl w:val="891A2C74"/>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FF15FEF"/>
    <w:multiLevelType w:val="hybridMultilevel"/>
    <w:tmpl w:val="19C4FD50"/>
    <w:lvl w:ilvl="0" w:tplc="0C090001">
      <w:start w:val="1"/>
      <w:numFmt w:val="bullet"/>
      <w:lvlText w:val=""/>
      <w:lvlJc w:val="left"/>
      <w:pPr>
        <w:ind w:left="366"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6" w15:restartNumberingAfterBreak="0">
    <w:nsid w:val="308179AA"/>
    <w:multiLevelType w:val="multilevel"/>
    <w:tmpl w:val="B0A4F860"/>
    <w:lvl w:ilvl="0">
      <w:start w:val="1"/>
      <w:numFmt w:val="decimal"/>
      <w:lvlText w:val="%1"/>
      <w:lvlJc w:val="left"/>
      <w:pPr>
        <w:ind w:left="720" w:hanging="720"/>
      </w:pPr>
      <w:rPr>
        <w:rFonts w:hint="default"/>
        <w:b/>
      </w:rPr>
    </w:lvl>
    <w:lvl w:ilvl="1">
      <w:start w:val="1"/>
      <w:numFmt w:val="upperRoman"/>
      <w:lvlText w:val="%2."/>
      <w:lvlJc w:val="right"/>
      <w:pPr>
        <w:ind w:left="720"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lowerRoman"/>
      <w:pStyle w:val="bullet3"/>
      <w:lvlText w:val="%4."/>
      <w:lvlJc w:val="right"/>
      <w:pPr>
        <w:ind w:left="1080" w:hanging="1080"/>
      </w:pPr>
      <w:rPr>
        <w:rFonts w:hint="default"/>
      </w:rPr>
    </w:lvl>
    <w:lvl w:ilvl="4">
      <w:start w:val="11"/>
      <w:numFmt w:val="bullet"/>
      <w:lvlText w:val=""/>
      <w:lvlJc w:val="left"/>
      <w:pPr>
        <w:ind w:left="1080" w:hanging="1080"/>
      </w:pPr>
      <w:rPr>
        <w:rFonts w:ascii="Symbol" w:eastAsia="Times New Roman" w:hAnsi="Symbol" w:cstheme="minorHAnsi"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10760E"/>
    <w:multiLevelType w:val="hybridMultilevel"/>
    <w:tmpl w:val="91BA15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7F606DB"/>
    <w:multiLevelType w:val="hybridMultilevel"/>
    <w:tmpl w:val="6570D4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1BB5C3A"/>
    <w:multiLevelType w:val="multilevel"/>
    <w:tmpl w:val="257A0364"/>
    <w:lvl w:ilvl="0">
      <w:start w:val="1"/>
      <w:numFmt w:val="decimal"/>
      <w:lvlText w:val="%1."/>
      <w:legacy w:legacy="1" w:legacySpace="0" w:legacyIndent="360"/>
      <w:lvlJc w:val="left"/>
      <w:pPr>
        <w:ind w:left="360" w:hanging="360"/>
      </w:pPr>
    </w:lvl>
    <w:lvl w:ilvl="1">
      <w:start w:val="1"/>
      <w:numFmt w:val="decimal"/>
      <w:isLgl/>
      <w:lvlText w:val="%1.%2"/>
      <w:lvlJc w:val="left"/>
      <w:pPr>
        <w:ind w:left="502" w:hanging="360"/>
      </w:pPr>
      <w:rPr>
        <w:rFonts w:hint="default"/>
        <w:b w:val="0"/>
        <w:i w:val="0"/>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0" w15:restartNumberingAfterBreak="0">
    <w:nsid w:val="44442297"/>
    <w:multiLevelType w:val="hybridMultilevel"/>
    <w:tmpl w:val="1256E66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4447A"/>
    <w:multiLevelType w:val="hybridMultilevel"/>
    <w:tmpl w:val="C31CBFF0"/>
    <w:lvl w:ilvl="0" w:tplc="0C090001">
      <w:start w:val="1"/>
      <w:numFmt w:val="bullet"/>
      <w:lvlText w:val=""/>
      <w:lvlJc w:val="left"/>
      <w:pPr>
        <w:ind w:left="764" w:hanging="360"/>
      </w:pPr>
      <w:rPr>
        <w:rFonts w:ascii="Symbol" w:hAnsi="Symbol" w:hint="default"/>
      </w:rPr>
    </w:lvl>
    <w:lvl w:ilvl="1" w:tplc="0C090003">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2" w15:restartNumberingAfterBreak="0">
    <w:nsid w:val="5FCD0C22"/>
    <w:multiLevelType w:val="hybridMultilevel"/>
    <w:tmpl w:val="E6583B9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456429"/>
    <w:multiLevelType w:val="multilevel"/>
    <w:tmpl w:val="683C6312"/>
    <w:lvl w:ilvl="0">
      <w:start w:val="1"/>
      <w:numFmt w:val="bullet"/>
      <w:pStyle w:val="ListNumber"/>
      <w:lvlText w:val=""/>
      <w:lvlJc w:val="left"/>
      <w:pPr>
        <w:ind w:left="369" w:hanging="369"/>
      </w:pPr>
      <w:rPr>
        <w:rFonts w:ascii="Symbol" w:hAnsi="Symbol" w:hint="default"/>
        <w:color w:val="auto"/>
        <w:sz w:val="24"/>
        <w:szCs w:val="24"/>
      </w:rPr>
    </w:lvl>
    <w:lvl w:ilvl="1">
      <w:start w:val="1"/>
      <w:numFmt w:val="bullet"/>
      <w:pStyle w:val="ListNumber2"/>
      <w:lvlText w:val="-"/>
      <w:lvlJc w:val="left"/>
      <w:pPr>
        <w:ind w:left="738" w:hanging="369"/>
      </w:pPr>
      <w:rPr>
        <w:rFonts w:ascii="Courier New" w:hAnsi="Courier New"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4" w15:restartNumberingAfterBreak="0">
    <w:nsid w:val="6797476F"/>
    <w:multiLevelType w:val="hybridMultilevel"/>
    <w:tmpl w:val="4C667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4D033C"/>
    <w:multiLevelType w:val="multilevel"/>
    <w:tmpl w:val="B192A63C"/>
    <w:lvl w:ilvl="0">
      <w:start w:val="1"/>
      <w:numFmt w:val="decimal"/>
      <w:pStyle w:val="2Sections"/>
      <w:lvlText w:val="%1"/>
      <w:lvlJc w:val="left"/>
      <w:pPr>
        <w:ind w:left="720" w:hanging="720"/>
      </w:pPr>
      <w:rPr>
        <w:rFonts w:hint="default"/>
        <w:b/>
        <w:color w:val="000000" w:themeColor="text1"/>
      </w:rPr>
    </w:lvl>
    <w:lvl w:ilvl="1">
      <w:start w:val="1"/>
      <w:numFmt w:val="decimal"/>
      <w:pStyle w:val="4Bodytextnumbered"/>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1C4B44"/>
    <w:multiLevelType w:val="hybridMultilevel"/>
    <w:tmpl w:val="D54EB26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num w:numId="1">
    <w:abstractNumId w:val="16"/>
  </w:num>
  <w:num w:numId="2">
    <w:abstractNumId w:val="10"/>
  </w:num>
  <w:num w:numId="3">
    <w:abstractNumId w:val="15"/>
  </w:num>
  <w:num w:numId="4">
    <w:abstractNumId w:val="13"/>
  </w:num>
  <w:num w:numId="5">
    <w:abstractNumId w:val="6"/>
  </w:num>
  <w:num w:numId="6">
    <w:abstractNumId w:val="5"/>
  </w:num>
  <w:num w:numId="7">
    <w:abstractNumId w:val="12"/>
  </w:num>
  <w:num w:numId="8">
    <w:abstractNumId w:val="17"/>
  </w:num>
  <w:num w:numId="9">
    <w:abstractNumId w:val="2"/>
  </w:num>
  <w:num w:numId="10">
    <w:abstractNumId w:val="8"/>
  </w:num>
  <w:num w:numId="11">
    <w:abstractNumId w:val="0"/>
  </w:num>
  <w:num w:numId="12">
    <w:abstractNumId w:val="9"/>
  </w:num>
  <w:num w:numId="13">
    <w:abstractNumId w:val="3"/>
  </w:num>
  <w:num w:numId="14">
    <w:abstractNumId w:val="4"/>
  </w:num>
  <w:num w:numId="15">
    <w:abstractNumId w:val="7"/>
  </w:num>
  <w:num w:numId="16">
    <w:abstractNumId w:val="15"/>
  </w:num>
  <w:num w:numId="17">
    <w:abstractNumId w:val="1"/>
  </w:num>
  <w:num w:numId="18">
    <w:abstractNumId w:val="11"/>
  </w:num>
  <w:num w:numId="19">
    <w:abstractNumId w:val="15"/>
  </w:num>
  <w:num w:numId="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num>
  <w:num w:numId="2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5B"/>
    <w:rsid w:val="0000436F"/>
    <w:rsid w:val="00004FA2"/>
    <w:rsid w:val="00005E9E"/>
    <w:rsid w:val="0001293C"/>
    <w:rsid w:val="0001345A"/>
    <w:rsid w:val="00014A2B"/>
    <w:rsid w:val="00021316"/>
    <w:rsid w:val="0002605D"/>
    <w:rsid w:val="000262A5"/>
    <w:rsid w:val="000443C1"/>
    <w:rsid w:val="000503B5"/>
    <w:rsid w:val="000556BE"/>
    <w:rsid w:val="00055E20"/>
    <w:rsid w:val="000624D6"/>
    <w:rsid w:val="0006312E"/>
    <w:rsid w:val="00065E3F"/>
    <w:rsid w:val="00067879"/>
    <w:rsid w:val="000705D9"/>
    <w:rsid w:val="000707C6"/>
    <w:rsid w:val="000708EB"/>
    <w:rsid w:val="0007494B"/>
    <w:rsid w:val="0007701D"/>
    <w:rsid w:val="000856BD"/>
    <w:rsid w:val="000901F7"/>
    <w:rsid w:val="000949C8"/>
    <w:rsid w:val="000951F1"/>
    <w:rsid w:val="000A36A0"/>
    <w:rsid w:val="000A3F7C"/>
    <w:rsid w:val="000A6303"/>
    <w:rsid w:val="000A7645"/>
    <w:rsid w:val="000B2DD5"/>
    <w:rsid w:val="000B507F"/>
    <w:rsid w:val="000C1BB8"/>
    <w:rsid w:val="000C3033"/>
    <w:rsid w:val="000C3190"/>
    <w:rsid w:val="000C3C98"/>
    <w:rsid w:val="000C44F6"/>
    <w:rsid w:val="000C5D22"/>
    <w:rsid w:val="000D08D7"/>
    <w:rsid w:val="000D703B"/>
    <w:rsid w:val="000D78EC"/>
    <w:rsid w:val="000E406E"/>
    <w:rsid w:val="000E6C4C"/>
    <w:rsid w:val="000F2253"/>
    <w:rsid w:val="000F43B9"/>
    <w:rsid w:val="000F4C09"/>
    <w:rsid w:val="001007C0"/>
    <w:rsid w:val="0010188A"/>
    <w:rsid w:val="00104E41"/>
    <w:rsid w:val="001107F3"/>
    <w:rsid w:val="00110ED9"/>
    <w:rsid w:val="00112D83"/>
    <w:rsid w:val="00113A41"/>
    <w:rsid w:val="001147B4"/>
    <w:rsid w:val="00123526"/>
    <w:rsid w:val="0013185D"/>
    <w:rsid w:val="001318F7"/>
    <w:rsid w:val="00131AFC"/>
    <w:rsid w:val="0014405D"/>
    <w:rsid w:val="00144345"/>
    <w:rsid w:val="001458D9"/>
    <w:rsid w:val="00146BAC"/>
    <w:rsid w:val="00150A5E"/>
    <w:rsid w:val="00151759"/>
    <w:rsid w:val="00154E6C"/>
    <w:rsid w:val="001550BB"/>
    <w:rsid w:val="00155254"/>
    <w:rsid w:val="00155462"/>
    <w:rsid w:val="001666FB"/>
    <w:rsid w:val="001706D9"/>
    <w:rsid w:val="0017174F"/>
    <w:rsid w:val="00172837"/>
    <w:rsid w:val="00173529"/>
    <w:rsid w:val="00173595"/>
    <w:rsid w:val="00174B1F"/>
    <w:rsid w:val="001762DD"/>
    <w:rsid w:val="001772AD"/>
    <w:rsid w:val="00177EF9"/>
    <w:rsid w:val="00183791"/>
    <w:rsid w:val="0019471E"/>
    <w:rsid w:val="001A4CC3"/>
    <w:rsid w:val="001A5BB9"/>
    <w:rsid w:val="001A6B1D"/>
    <w:rsid w:val="001A7805"/>
    <w:rsid w:val="001B0437"/>
    <w:rsid w:val="001B6F56"/>
    <w:rsid w:val="001B7FEE"/>
    <w:rsid w:val="001C0253"/>
    <w:rsid w:val="001C4EE5"/>
    <w:rsid w:val="001C770C"/>
    <w:rsid w:val="001D2074"/>
    <w:rsid w:val="001D4928"/>
    <w:rsid w:val="001D4A1A"/>
    <w:rsid w:val="001D7525"/>
    <w:rsid w:val="001F0532"/>
    <w:rsid w:val="001F54AB"/>
    <w:rsid w:val="001F7EF4"/>
    <w:rsid w:val="00200081"/>
    <w:rsid w:val="00204CB0"/>
    <w:rsid w:val="0021023D"/>
    <w:rsid w:val="002116D4"/>
    <w:rsid w:val="0021743F"/>
    <w:rsid w:val="00221427"/>
    <w:rsid w:val="00223629"/>
    <w:rsid w:val="00226448"/>
    <w:rsid w:val="0023199D"/>
    <w:rsid w:val="00232030"/>
    <w:rsid w:val="00232918"/>
    <w:rsid w:val="00236E56"/>
    <w:rsid w:val="00236F54"/>
    <w:rsid w:val="00237E49"/>
    <w:rsid w:val="00240264"/>
    <w:rsid w:val="002545BF"/>
    <w:rsid w:val="002555F7"/>
    <w:rsid w:val="0025567A"/>
    <w:rsid w:val="00256967"/>
    <w:rsid w:val="00266BCB"/>
    <w:rsid w:val="00266E43"/>
    <w:rsid w:val="0027270B"/>
    <w:rsid w:val="0028349A"/>
    <w:rsid w:val="002904E3"/>
    <w:rsid w:val="0029092A"/>
    <w:rsid w:val="002967EB"/>
    <w:rsid w:val="002968CF"/>
    <w:rsid w:val="00297E0D"/>
    <w:rsid w:val="002A324F"/>
    <w:rsid w:val="002A4F3B"/>
    <w:rsid w:val="002A56DB"/>
    <w:rsid w:val="002A58F3"/>
    <w:rsid w:val="002A5F73"/>
    <w:rsid w:val="002B4FB3"/>
    <w:rsid w:val="002B6204"/>
    <w:rsid w:val="002C646B"/>
    <w:rsid w:val="002D0102"/>
    <w:rsid w:val="002D278B"/>
    <w:rsid w:val="002E1624"/>
    <w:rsid w:val="002E19F8"/>
    <w:rsid w:val="002E501D"/>
    <w:rsid w:val="002E52F1"/>
    <w:rsid w:val="002E6D3D"/>
    <w:rsid w:val="002F5D6A"/>
    <w:rsid w:val="002F6BC8"/>
    <w:rsid w:val="00300F5F"/>
    <w:rsid w:val="00304EE8"/>
    <w:rsid w:val="00311846"/>
    <w:rsid w:val="00314322"/>
    <w:rsid w:val="0031748C"/>
    <w:rsid w:val="00317A6A"/>
    <w:rsid w:val="00323A31"/>
    <w:rsid w:val="00323B50"/>
    <w:rsid w:val="00323F4D"/>
    <w:rsid w:val="00330DEB"/>
    <w:rsid w:val="00331FF4"/>
    <w:rsid w:val="003326B0"/>
    <w:rsid w:val="0034131D"/>
    <w:rsid w:val="003469CE"/>
    <w:rsid w:val="00352ACD"/>
    <w:rsid w:val="00353BB5"/>
    <w:rsid w:val="00354A0C"/>
    <w:rsid w:val="00355D67"/>
    <w:rsid w:val="003634B2"/>
    <w:rsid w:val="00363C6C"/>
    <w:rsid w:val="00365FEA"/>
    <w:rsid w:val="003703F6"/>
    <w:rsid w:val="003732D7"/>
    <w:rsid w:val="00374B70"/>
    <w:rsid w:val="00377647"/>
    <w:rsid w:val="00380F1A"/>
    <w:rsid w:val="00384DA0"/>
    <w:rsid w:val="00391C57"/>
    <w:rsid w:val="00395E44"/>
    <w:rsid w:val="00396098"/>
    <w:rsid w:val="003A2891"/>
    <w:rsid w:val="003A372E"/>
    <w:rsid w:val="003A7DA6"/>
    <w:rsid w:val="003B2E6B"/>
    <w:rsid w:val="003B60FA"/>
    <w:rsid w:val="003C553D"/>
    <w:rsid w:val="003C7CC6"/>
    <w:rsid w:val="003D5A17"/>
    <w:rsid w:val="003F20B5"/>
    <w:rsid w:val="003F3895"/>
    <w:rsid w:val="003F50CE"/>
    <w:rsid w:val="003F6565"/>
    <w:rsid w:val="00403A88"/>
    <w:rsid w:val="004048AC"/>
    <w:rsid w:val="004054AC"/>
    <w:rsid w:val="00407A4C"/>
    <w:rsid w:val="00411D21"/>
    <w:rsid w:val="0041703B"/>
    <w:rsid w:val="00417264"/>
    <w:rsid w:val="00417FD7"/>
    <w:rsid w:val="0042033A"/>
    <w:rsid w:val="00422270"/>
    <w:rsid w:val="004239EA"/>
    <w:rsid w:val="00435D88"/>
    <w:rsid w:val="00436CFE"/>
    <w:rsid w:val="0045134F"/>
    <w:rsid w:val="004517E1"/>
    <w:rsid w:val="00451F72"/>
    <w:rsid w:val="00453A9C"/>
    <w:rsid w:val="00460EAD"/>
    <w:rsid w:val="0047447C"/>
    <w:rsid w:val="00475D52"/>
    <w:rsid w:val="00476ADD"/>
    <w:rsid w:val="004802D6"/>
    <w:rsid w:val="00495819"/>
    <w:rsid w:val="00496883"/>
    <w:rsid w:val="004A5F0D"/>
    <w:rsid w:val="004B0014"/>
    <w:rsid w:val="004B0520"/>
    <w:rsid w:val="004B1C71"/>
    <w:rsid w:val="004B2849"/>
    <w:rsid w:val="004B3363"/>
    <w:rsid w:val="004B3ABA"/>
    <w:rsid w:val="004B4CD0"/>
    <w:rsid w:val="004C1E9A"/>
    <w:rsid w:val="004C26C1"/>
    <w:rsid w:val="004C3284"/>
    <w:rsid w:val="004C4FEA"/>
    <w:rsid w:val="004D4F09"/>
    <w:rsid w:val="004E0E8E"/>
    <w:rsid w:val="004E1B3C"/>
    <w:rsid w:val="004E42DF"/>
    <w:rsid w:val="004E438C"/>
    <w:rsid w:val="004E5294"/>
    <w:rsid w:val="004F2654"/>
    <w:rsid w:val="004F3356"/>
    <w:rsid w:val="004F7872"/>
    <w:rsid w:val="004F7F4F"/>
    <w:rsid w:val="0050106C"/>
    <w:rsid w:val="00504653"/>
    <w:rsid w:val="00506176"/>
    <w:rsid w:val="005069F9"/>
    <w:rsid w:val="005147A6"/>
    <w:rsid w:val="00517DC6"/>
    <w:rsid w:val="005276A0"/>
    <w:rsid w:val="00534972"/>
    <w:rsid w:val="00536352"/>
    <w:rsid w:val="005377B8"/>
    <w:rsid w:val="00547ED3"/>
    <w:rsid w:val="005518D3"/>
    <w:rsid w:val="005552AA"/>
    <w:rsid w:val="00557053"/>
    <w:rsid w:val="00562886"/>
    <w:rsid w:val="005763AD"/>
    <w:rsid w:val="00576CDD"/>
    <w:rsid w:val="00581732"/>
    <w:rsid w:val="005826ED"/>
    <w:rsid w:val="00582DFF"/>
    <w:rsid w:val="00583B16"/>
    <w:rsid w:val="00586ABA"/>
    <w:rsid w:val="00586BA1"/>
    <w:rsid w:val="00587885"/>
    <w:rsid w:val="00587940"/>
    <w:rsid w:val="005929FF"/>
    <w:rsid w:val="0059732E"/>
    <w:rsid w:val="005A01A7"/>
    <w:rsid w:val="005A3BE8"/>
    <w:rsid w:val="005A4D3C"/>
    <w:rsid w:val="005B23E1"/>
    <w:rsid w:val="005B45C4"/>
    <w:rsid w:val="005B6C84"/>
    <w:rsid w:val="005C3E37"/>
    <w:rsid w:val="005C615F"/>
    <w:rsid w:val="005D3D25"/>
    <w:rsid w:val="005D5685"/>
    <w:rsid w:val="005D57B1"/>
    <w:rsid w:val="005D7329"/>
    <w:rsid w:val="005D7699"/>
    <w:rsid w:val="005E2CA3"/>
    <w:rsid w:val="005E4B36"/>
    <w:rsid w:val="005F2A79"/>
    <w:rsid w:val="005F5535"/>
    <w:rsid w:val="005F6B71"/>
    <w:rsid w:val="005F7065"/>
    <w:rsid w:val="005F73D9"/>
    <w:rsid w:val="0060086A"/>
    <w:rsid w:val="00602C8F"/>
    <w:rsid w:val="00613B5C"/>
    <w:rsid w:val="00616A39"/>
    <w:rsid w:val="00622300"/>
    <w:rsid w:val="0063223C"/>
    <w:rsid w:val="0064410A"/>
    <w:rsid w:val="00647245"/>
    <w:rsid w:val="006522D3"/>
    <w:rsid w:val="0065260A"/>
    <w:rsid w:val="00657CFA"/>
    <w:rsid w:val="00660979"/>
    <w:rsid w:val="0067120F"/>
    <w:rsid w:val="00673710"/>
    <w:rsid w:val="00673EE5"/>
    <w:rsid w:val="00676D8C"/>
    <w:rsid w:val="0068676A"/>
    <w:rsid w:val="00687343"/>
    <w:rsid w:val="00691427"/>
    <w:rsid w:val="00695269"/>
    <w:rsid w:val="006955D0"/>
    <w:rsid w:val="00695AF7"/>
    <w:rsid w:val="006A0259"/>
    <w:rsid w:val="006B5AF4"/>
    <w:rsid w:val="006B75B8"/>
    <w:rsid w:val="006D3032"/>
    <w:rsid w:val="006D6519"/>
    <w:rsid w:val="006D72BA"/>
    <w:rsid w:val="006D7E1A"/>
    <w:rsid w:val="006E1931"/>
    <w:rsid w:val="006E1EDB"/>
    <w:rsid w:val="006E3BF1"/>
    <w:rsid w:val="006E5374"/>
    <w:rsid w:val="006F06DB"/>
    <w:rsid w:val="006F69F0"/>
    <w:rsid w:val="0071153C"/>
    <w:rsid w:val="007141E3"/>
    <w:rsid w:val="007158A6"/>
    <w:rsid w:val="0071655B"/>
    <w:rsid w:val="00716B0D"/>
    <w:rsid w:val="007202CB"/>
    <w:rsid w:val="00721144"/>
    <w:rsid w:val="007273A4"/>
    <w:rsid w:val="00730213"/>
    <w:rsid w:val="007332C0"/>
    <w:rsid w:val="00744240"/>
    <w:rsid w:val="00746759"/>
    <w:rsid w:val="00747D8E"/>
    <w:rsid w:val="00750C42"/>
    <w:rsid w:val="00752271"/>
    <w:rsid w:val="00752D3D"/>
    <w:rsid w:val="00753A53"/>
    <w:rsid w:val="00756C06"/>
    <w:rsid w:val="00764ABE"/>
    <w:rsid w:val="00767B17"/>
    <w:rsid w:val="0077217E"/>
    <w:rsid w:val="00774F87"/>
    <w:rsid w:val="00780689"/>
    <w:rsid w:val="00783C52"/>
    <w:rsid w:val="0078520F"/>
    <w:rsid w:val="00794F99"/>
    <w:rsid w:val="007974A0"/>
    <w:rsid w:val="007A037B"/>
    <w:rsid w:val="007A396D"/>
    <w:rsid w:val="007A45C0"/>
    <w:rsid w:val="007A6A4B"/>
    <w:rsid w:val="007B009A"/>
    <w:rsid w:val="007B4716"/>
    <w:rsid w:val="007B559F"/>
    <w:rsid w:val="007C74B9"/>
    <w:rsid w:val="007D199E"/>
    <w:rsid w:val="007D464F"/>
    <w:rsid w:val="007D58C3"/>
    <w:rsid w:val="007E0A64"/>
    <w:rsid w:val="007F1114"/>
    <w:rsid w:val="007F4B5F"/>
    <w:rsid w:val="007F66AC"/>
    <w:rsid w:val="007F6883"/>
    <w:rsid w:val="00801078"/>
    <w:rsid w:val="00801587"/>
    <w:rsid w:val="00805998"/>
    <w:rsid w:val="00811C19"/>
    <w:rsid w:val="008123D0"/>
    <w:rsid w:val="00823469"/>
    <w:rsid w:val="008236F6"/>
    <w:rsid w:val="008326A7"/>
    <w:rsid w:val="0083270E"/>
    <w:rsid w:val="00833C96"/>
    <w:rsid w:val="0084069E"/>
    <w:rsid w:val="0084111E"/>
    <w:rsid w:val="0084156C"/>
    <w:rsid w:val="00843BE4"/>
    <w:rsid w:val="008529E9"/>
    <w:rsid w:val="00857224"/>
    <w:rsid w:val="00861E45"/>
    <w:rsid w:val="008636BD"/>
    <w:rsid w:val="008817C9"/>
    <w:rsid w:val="00886382"/>
    <w:rsid w:val="00886C8A"/>
    <w:rsid w:val="0089197F"/>
    <w:rsid w:val="008A0955"/>
    <w:rsid w:val="008A09CE"/>
    <w:rsid w:val="008A6972"/>
    <w:rsid w:val="008A71E0"/>
    <w:rsid w:val="008A738E"/>
    <w:rsid w:val="008A7E6D"/>
    <w:rsid w:val="008B1E50"/>
    <w:rsid w:val="008B46F1"/>
    <w:rsid w:val="008B68C7"/>
    <w:rsid w:val="008B708D"/>
    <w:rsid w:val="008B73C8"/>
    <w:rsid w:val="008C22EB"/>
    <w:rsid w:val="008C50AD"/>
    <w:rsid w:val="008C7251"/>
    <w:rsid w:val="008D20A7"/>
    <w:rsid w:val="008D2F45"/>
    <w:rsid w:val="008E1CC7"/>
    <w:rsid w:val="008E7030"/>
    <w:rsid w:val="008E7D72"/>
    <w:rsid w:val="008F0231"/>
    <w:rsid w:val="008F6350"/>
    <w:rsid w:val="00903523"/>
    <w:rsid w:val="00910E18"/>
    <w:rsid w:val="00914331"/>
    <w:rsid w:val="009161A2"/>
    <w:rsid w:val="009161B2"/>
    <w:rsid w:val="009177CF"/>
    <w:rsid w:val="00927BAA"/>
    <w:rsid w:val="00927E85"/>
    <w:rsid w:val="00934623"/>
    <w:rsid w:val="00936001"/>
    <w:rsid w:val="00936485"/>
    <w:rsid w:val="009370AE"/>
    <w:rsid w:val="009401F7"/>
    <w:rsid w:val="009410E1"/>
    <w:rsid w:val="009448AA"/>
    <w:rsid w:val="0094728D"/>
    <w:rsid w:val="0096152F"/>
    <w:rsid w:val="00963D5B"/>
    <w:rsid w:val="0096475D"/>
    <w:rsid w:val="00974827"/>
    <w:rsid w:val="009838C7"/>
    <w:rsid w:val="00987C71"/>
    <w:rsid w:val="009957A8"/>
    <w:rsid w:val="009A0CAD"/>
    <w:rsid w:val="009A106E"/>
    <w:rsid w:val="009A4053"/>
    <w:rsid w:val="009A4BD4"/>
    <w:rsid w:val="009A7A7D"/>
    <w:rsid w:val="009B1E85"/>
    <w:rsid w:val="009C2E72"/>
    <w:rsid w:val="009C6F0A"/>
    <w:rsid w:val="009E4C5A"/>
    <w:rsid w:val="009F0844"/>
    <w:rsid w:val="009F391E"/>
    <w:rsid w:val="009F648A"/>
    <w:rsid w:val="00A013C4"/>
    <w:rsid w:val="00A04138"/>
    <w:rsid w:val="00A05AE9"/>
    <w:rsid w:val="00A06D8F"/>
    <w:rsid w:val="00A1667E"/>
    <w:rsid w:val="00A20A12"/>
    <w:rsid w:val="00A2169B"/>
    <w:rsid w:val="00A268E4"/>
    <w:rsid w:val="00A26F13"/>
    <w:rsid w:val="00A31B53"/>
    <w:rsid w:val="00A335E1"/>
    <w:rsid w:val="00A40B1C"/>
    <w:rsid w:val="00A45320"/>
    <w:rsid w:val="00A456AC"/>
    <w:rsid w:val="00A45DC3"/>
    <w:rsid w:val="00A51C55"/>
    <w:rsid w:val="00A62238"/>
    <w:rsid w:val="00A65D59"/>
    <w:rsid w:val="00A679BC"/>
    <w:rsid w:val="00A7372A"/>
    <w:rsid w:val="00A839A8"/>
    <w:rsid w:val="00A84C81"/>
    <w:rsid w:val="00A864CC"/>
    <w:rsid w:val="00A87D28"/>
    <w:rsid w:val="00A90A71"/>
    <w:rsid w:val="00A92D02"/>
    <w:rsid w:val="00A96711"/>
    <w:rsid w:val="00AA5669"/>
    <w:rsid w:val="00AA7418"/>
    <w:rsid w:val="00AA7A2C"/>
    <w:rsid w:val="00AB1752"/>
    <w:rsid w:val="00AB2708"/>
    <w:rsid w:val="00AB4C88"/>
    <w:rsid w:val="00AB534F"/>
    <w:rsid w:val="00AB61EB"/>
    <w:rsid w:val="00AB62BC"/>
    <w:rsid w:val="00AC0529"/>
    <w:rsid w:val="00AC1A24"/>
    <w:rsid w:val="00AC307B"/>
    <w:rsid w:val="00AC35CE"/>
    <w:rsid w:val="00AC6175"/>
    <w:rsid w:val="00AC6A71"/>
    <w:rsid w:val="00AD50E5"/>
    <w:rsid w:val="00AE1D88"/>
    <w:rsid w:val="00AE7C50"/>
    <w:rsid w:val="00AF300E"/>
    <w:rsid w:val="00AF63C4"/>
    <w:rsid w:val="00B0210E"/>
    <w:rsid w:val="00B0724B"/>
    <w:rsid w:val="00B10D11"/>
    <w:rsid w:val="00B136D8"/>
    <w:rsid w:val="00B13BFC"/>
    <w:rsid w:val="00B21987"/>
    <w:rsid w:val="00B22C29"/>
    <w:rsid w:val="00B237C8"/>
    <w:rsid w:val="00B23867"/>
    <w:rsid w:val="00B33D61"/>
    <w:rsid w:val="00B3421E"/>
    <w:rsid w:val="00B3493D"/>
    <w:rsid w:val="00B37524"/>
    <w:rsid w:val="00B455F0"/>
    <w:rsid w:val="00B45A51"/>
    <w:rsid w:val="00B461B2"/>
    <w:rsid w:val="00B46EDA"/>
    <w:rsid w:val="00B506A7"/>
    <w:rsid w:val="00B50AFA"/>
    <w:rsid w:val="00B5117B"/>
    <w:rsid w:val="00B52E81"/>
    <w:rsid w:val="00B56DAB"/>
    <w:rsid w:val="00B60480"/>
    <w:rsid w:val="00B6350B"/>
    <w:rsid w:val="00B6757B"/>
    <w:rsid w:val="00B7303D"/>
    <w:rsid w:val="00B757DB"/>
    <w:rsid w:val="00B800D0"/>
    <w:rsid w:val="00B815A5"/>
    <w:rsid w:val="00B836B5"/>
    <w:rsid w:val="00B862CA"/>
    <w:rsid w:val="00B9593D"/>
    <w:rsid w:val="00BA204F"/>
    <w:rsid w:val="00BA7DB9"/>
    <w:rsid w:val="00BB1B0E"/>
    <w:rsid w:val="00BB1E97"/>
    <w:rsid w:val="00BB2410"/>
    <w:rsid w:val="00BB58AE"/>
    <w:rsid w:val="00BC0D89"/>
    <w:rsid w:val="00BC0DFC"/>
    <w:rsid w:val="00BC4DEA"/>
    <w:rsid w:val="00BC6391"/>
    <w:rsid w:val="00BC7C41"/>
    <w:rsid w:val="00BD3FA7"/>
    <w:rsid w:val="00BD5413"/>
    <w:rsid w:val="00BD6D6A"/>
    <w:rsid w:val="00BE26F1"/>
    <w:rsid w:val="00BE2ECA"/>
    <w:rsid w:val="00BE5012"/>
    <w:rsid w:val="00BF00FA"/>
    <w:rsid w:val="00BF600C"/>
    <w:rsid w:val="00C071FC"/>
    <w:rsid w:val="00C113B4"/>
    <w:rsid w:val="00C11541"/>
    <w:rsid w:val="00C15405"/>
    <w:rsid w:val="00C24A51"/>
    <w:rsid w:val="00C419AC"/>
    <w:rsid w:val="00C4214C"/>
    <w:rsid w:val="00C445FC"/>
    <w:rsid w:val="00C47010"/>
    <w:rsid w:val="00C471CF"/>
    <w:rsid w:val="00C47E69"/>
    <w:rsid w:val="00C5372C"/>
    <w:rsid w:val="00C54143"/>
    <w:rsid w:val="00C542E7"/>
    <w:rsid w:val="00C54E88"/>
    <w:rsid w:val="00C63072"/>
    <w:rsid w:val="00C65A16"/>
    <w:rsid w:val="00C65B88"/>
    <w:rsid w:val="00C71638"/>
    <w:rsid w:val="00C723CB"/>
    <w:rsid w:val="00C74E66"/>
    <w:rsid w:val="00C7592E"/>
    <w:rsid w:val="00C77DC2"/>
    <w:rsid w:val="00C82796"/>
    <w:rsid w:val="00C84EC5"/>
    <w:rsid w:val="00C86246"/>
    <w:rsid w:val="00C86390"/>
    <w:rsid w:val="00C9034E"/>
    <w:rsid w:val="00C9211C"/>
    <w:rsid w:val="00C94222"/>
    <w:rsid w:val="00C962BB"/>
    <w:rsid w:val="00C9676A"/>
    <w:rsid w:val="00CA43F2"/>
    <w:rsid w:val="00CA4C6F"/>
    <w:rsid w:val="00CA75F0"/>
    <w:rsid w:val="00CB633E"/>
    <w:rsid w:val="00CB781A"/>
    <w:rsid w:val="00CC0DD5"/>
    <w:rsid w:val="00CD4B9E"/>
    <w:rsid w:val="00CD57AF"/>
    <w:rsid w:val="00CE1840"/>
    <w:rsid w:val="00CE1C8A"/>
    <w:rsid w:val="00CE329A"/>
    <w:rsid w:val="00CE39A5"/>
    <w:rsid w:val="00CE6DE4"/>
    <w:rsid w:val="00CF2308"/>
    <w:rsid w:val="00CF6556"/>
    <w:rsid w:val="00CF7C80"/>
    <w:rsid w:val="00D000BC"/>
    <w:rsid w:val="00D0080E"/>
    <w:rsid w:val="00D047F0"/>
    <w:rsid w:val="00D04DD4"/>
    <w:rsid w:val="00D0661D"/>
    <w:rsid w:val="00D123C6"/>
    <w:rsid w:val="00D15422"/>
    <w:rsid w:val="00D17F49"/>
    <w:rsid w:val="00D206A4"/>
    <w:rsid w:val="00D216CA"/>
    <w:rsid w:val="00D3301E"/>
    <w:rsid w:val="00D33370"/>
    <w:rsid w:val="00D353DE"/>
    <w:rsid w:val="00D35908"/>
    <w:rsid w:val="00D433D6"/>
    <w:rsid w:val="00D525BB"/>
    <w:rsid w:val="00D548AC"/>
    <w:rsid w:val="00D54C0B"/>
    <w:rsid w:val="00D71C2F"/>
    <w:rsid w:val="00D723B5"/>
    <w:rsid w:val="00D7444E"/>
    <w:rsid w:val="00D758B3"/>
    <w:rsid w:val="00D75F1F"/>
    <w:rsid w:val="00D76DFD"/>
    <w:rsid w:val="00D81350"/>
    <w:rsid w:val="00D81923"/>
    <w:rsid w:val="00D867FC"/>
    <w:rsid w:val="00D90065"/>
    <w:rsid w:val="00D9740A"/>
    <w:rsid w:val="00DA19A3"/>
    <w:rsid w:val="00DA2373"/>
    <w:rsid w:val="00DA2B67"/>
    <w:rsid w:val="00DB0342"/>
    <w:rsid w:val="00DB3EE8"/>
    <w:rsid w:val="00DB46BA"/>
    <w:rsid w:val="00DC59B0"/>
    <w:rsid w:val="00DD22A1"/>
    <w:rsid w:val="00DD5111"/>
    <w:rsid w:val="00DE0153"/>
    <w:rsid w:val="00DE0872"/>
    <w:rsid w:val="00DE12F7"/>
    <w:rsid w:val="00DE28FD"/>
    <w:rsid w:val="00DE49CE"/>
    <w:rsid w:val="00DE5AED"/>
    <w:rsid w:val="00DE70D8"/>
    <w:rsid w:val="00DF5270"/>
    <w:rsid w:val="00DF6711"/>
    <w:rsid w:val="00E072B6"/>
    <w:rsid w:val="00E07B03"/>
    <w:rsid w:val="00E1182B"/>
    <w:rsid w:val="00E12B42"/>
    <w:rsid w:val="00E13C1B"/>
    <w:rsid w:val="00E1405A"/>
    <w:rsid w:val="00E14E97"/>
    <w:rsid w:val="00E16D74"/>
    <w:rsid w:val="00E21337"/>
    <w:rsid w:val="00E214B3"/>
    <w:rsid w:val="00E22AB4"/>
    <w:rsid w:val="00E312C0"/>
    <w:rsid w:val="00E32855"/>
    <w:rsid w:val="00E34A48"/>
    <w:rsid w:val="00E36CB9"/>
    <w:rsid w:val="00E3725E"/>
    <w:rsid w:val="00E374A9"/>
    <w:rsid w:val="00E421D6"/>
    <w:rsid w:val="00E428F7"/>
    <w:rsid w:val="00E4372E"/>
    <w:rsid w:val="00E45B83"/>
    <w:rsid w:val="00E52AE4"/>
    <w:rsid w:val="00E54360"/>
    <w:rsid w:val="00E564FA"/>
    <w:rsid w:val="00E61B02"/>
    <w:rsid w:val="00E65C1B"/>
    <w:rsid w:val="00E67C05"/>
    <w:rsid w:val="00E71A1B"/>
    <w:rsid w:val="00E80BAB"/>
    <w:rsid w:val="00E81901"/>
    <w:rsid w:val="00E826CC"/>
    <w:rsid w:val="00E84393"/>
    <w:rsid w:val="00E91013"/>
    <w:rsid w:val="00E952F8"/>
    <w:rsid w:val="00E9534B"/>
    <w:rsid w:val="00E95B43"/>
    <w:rsid w:val="00E96BCB"/>
    <w:rsid w:val="00EA17BF"/>
    <w:rsid w:val="00EA359E"/>
    <w:rsid w:val="00EA57EF"/>
    <w:rsid w:val="00EB1F8C"/>
    <w:rsid w:val="00EB5F23"/>
    <w:rsid w:val="00EB6FA0"/>
    <w:rsid w:val="00EB7385"/>
    <w:rsid w:val="00EB7665"/>
    <w:rsid w:val="00EC3F9B"/>
    <w:rsid w:val="00EC5DDF"/>
    <w:rsid w:val="00ED1E6D"/>
    <w:rsid w:val="00ED2569"/>
    <w:rsid w:val="00ED37CF"/>
    <w:rsid w:val="00ED380E"/>
    <w:rsid w:val="00ED3B61"/>
    <w:rsid w:val="00EE3B97"/>
    <w:rsid w:val="00EE63F5"/>
    <w:rsid w:val="00EF02C3"/>
    <w:rsid w:val="00EF7D66"/>
    <w:rsid w:val="00F00BE1"/>
    <w:rsid w:val="00F02C02"/>
    <w:rsid w:val="00F04B7A"/>
    <w:rsid w:val="00F10F96"/>
    <w:rsid w:val="00F1123B"/>
    <w:rsid w:val="00F113DF"/>
    <w:rsid w:val="00F1566E"/>
    <w:rsid w:val="00F15752"/>
    <w:rsid w:val="00F15BA5"/>
    <w:rsid w:val="00F1763D"/>
    <w:rsid w:val="00F22E94"/>
    <w:rsid w:val="00F24781"/>
    <w:rsid w:val="00F27398"/>
    <w:rsid w:val="00F3021A"/>
    <w:rsid w:val="00F311B3"/>
    <w:rsid w:val="00F40919"/>
    <w:rsid w:val="00F4262B"/>
    <w:rsid w:val="00F467C1"/>
    <w:rsid w:val="00F507A4"/>
    <w:rsid w:val="00F51382"/>
    <w:rsid w:val="00F51AE5"/>
    <w:rsid w:val="00F5471D"/>
    <w:rsid w:val="00F5791E"/>
    <w:rsid w:val="00F63813"/>
    <w:rsid w:val="00F64555"/>
    <w:rsid w:val="00F71693"/>
    <w:rsid w:val="00F72113"/>
    <w:rsid w:val="00F75D2C"/>
    <w:rsid w:val="00F76D6E"/>
    <w:rsid w:val="00F844A7"/>
    <w:rsid w:val="00F86D5D"/>
    <w:rsid w:val="00F87218"/>
    <w:rsid w:val="00F927AC"/>
    <w:rsid w:val="00FB2CCF"/>
    <w:rsid w:val="00FC051B"/>
    <w:rsid w:val="00FC1FF3"/>
    <w:rsid w:val="00FC2CCB"/>
    <w:rsid w:val="00FD0EA1"/>
    <w:rsid w:val="00FD1FB2"/>
    <w:rsid w:val="00FD71F5"/>
    <w:rsid w:val="00FE0FB8"/>
    <w:rsid w:val="00FE3664"/>
    <w:rsid w:val="00FE4BB0"/>
    <w:rsid w:val="00FE6B73"/>
    <w:rsid w:val="00FE7E1F"/>
    <w:rsid w:val="00FF3A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2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390"/>
    <w:rPr>
      <w:sz w:val="24"/>
      <w:szCs w:val="24"/>
    </w:rPr>
  </w:style>
  <w:style w:type="paragraph" w:styleId="Heading1">
    <w:name w:val="heading 1"/>
    <w:basedOn w:val="PBACheading1"/>
    <w:next w:val="Normal"/>
    <w:link w:val="Heading1Char"/>
    <w:uiPriority w:val="9"/>
    <w:qFormat/>
    <w:rsid w:val="0071655B"/>
    <w:pPr>
      <w:spacing w:before="240" w:after="120"/>
      <w:outlineLvl w:val="0"/>
    </w:pPr>
    <w:rPr>
      <w:sz w:val="32"/>
      <w:szCs w:val="32"/>
    </w:rPr>
  </w:style>
  <w:style w:type="paragraph" w:styleId="Heading2">
    <w:name w:val="heading 2"/>
    <w:aliases w:val="3. Subsection Heading"/>
    <w:basedOn w:val="Normal"/>
    <w:next w:val="Normal"/>
    <w:link w:val="Heading2Char"/>
    <w:uiPriority w:val="1"/>
    <w:qFormat/>
    <w:rsid w:val="00AB4C88"/>
    <w:pPr>
      <w:keepNext/>
      <w:spacing w:before="240" w:after="120"/>
      <w:outlineLvl w:val="1"/>
    </w:pPr>
    <w:rPr>
      <w:rFonts w:asciiTheme="minorHAnsi" w:eastAsiaTheme="majorEastAsia" w:hAnsiTheme="minorHAnsi"/>
      <w:b/>
      <w:i/>
      <w:sz w:val="28"/>
      <w:szCs w:val="28"/>
    </w:rPr>
  </w:style>
  <w:style w:type="paragraph" w:styleId="Heading3">
    <w:name w:val="heading 3"/>
    <w:basedOn w:val="Normal"/>
    <w:next w:val="Normal"/>
    <w:link w:val="Heading3Char"/>
    <w:semiHidden/>
    <w:unhideWhenUsed/>
    <w:qFormat/>
    <w:rsid w:val="006712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67120F"/>
    <w:pPr>
      <w:widowControl w:val="0"/>
      <w:ind w:left="720"/>
      <w:contextualSpacing/>
      <w:jc w:val="both"/>
    </w:pPr>
    <w:rPr>
      <w:rFonts w:ascii="Arial" w:hAnsi="Arial" w:cs="Arial"/>
      <w:snapToGrid w:val="0"/>
      <w:sz w:val="22"/>
      <w:szCs w:val="20"/>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locked/>
    <w:rsid w:val="0067120F"/>
    <w:rPr>
      <w:rFonts w:ascii="Arial" w:hAnsi="Arial" w:cs="Arial"/>
      <w:snapToGrid w:val="0"/>
      <w:sz w:val="22"/>
    </w:rPr>
  </w:style>
  <w:style w:type="character" w:styleId="CommentReference">
    <w:name w:val="annotation reference"/>
    <w:aliases w:val="Table Title"/>
    <w:basedOn w:val="DefaultParagraphFont"/>
    <w:qFormat/>
    <w:rsid w:val="0067120F"/>
    <w:rPr>
      <w:sz w:val="16"/>
      <w:szCs w:val="16"/>
    </w:rPr>
  </w:style>
  <w:style w:type="paragraph" w:styleId="CommentText">
    <w:name w:val="annotation text"/>
    <w:basedOn w:val="Normal"/>
    <w:link w:val="CommentTextChar"/>
    <w:uiPriority w:val="99"/>
    <w:rsid w:val="00A013C4"/>
    <w:rPr>
      <w:sz w:val="20"/>
    </w:rPr>
  </w:style>
  <w:style w:type="character" w:customStyle="1" w:styleId="CommentTextChar">
    <w:name w:val="Comment Text Char"/>
    <w:basedOn w:val="DefaultParagraphFont"/>
    <w:link w:val="CommentText"/>
    <w:uiPriority w:val="99"/>
    <w:rsid w:val="00A013C4"/>
    <w:rPr>
      <w:rFonts w:ascii="Times New Roman" w:eastAsia="Times New Roman" w:hAnsi="Times New Roman" w:cs="Times New Roman"/>
      <w:snapToGrid w:val="0"/>
      <w:sz w:val="20"/>
      <w:szCs w:val="20"/>
    </w:rPr>
  </w:style>
  <w:style w:type="paragraph" w:customStyle="1" w:styleId="PBACheading1">
    <w:name w:val="PBAC heading 1"/>
    <w:basedOn w:val="Title"/>
    <w:qFormat/>
    <w:rsid w:val="00331FF4"/>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71655B"/>
    <w:rPr>
      <w:b/>
      <w:snapToGrid w:val="0"/>
      <w:sz w:val="36"/>
      <w:szCs w:val="36"/>
      <w:lang w:eastAsia="en-AU"/>
    </w:rPr>
  </w:style>
  <w:style w:type="character" w:customStyle="1" w:styleId="TitleChar">
    <w:name w:val="Title Char"/>
    <w:basedOn w:val="DefaultParagraphFont"/>
    <w:link w:val="Title"/>
    <w:rsid w:val="0071655B"/>
    <w:rPr>
      <w:rFonts w:eastAsia="Times New Roman" w:cstheme="minorHAnsi"/>
      <w:b/>
      <w:sz w:val="36"/>
      <w:szCs w:val="36"/>
      <w:lang w:eastAsia="en-AU"/>
    </w:rPr>
  </w:style>
  <w:style w:type="paragraph" w:styleId="Header">
    <w:name w:val="header"/>
    <w:basedOn w:val="Normal"/>
    <w:link w:val="HeaderChar"/>
    <w:unhideWhenUsed/>
    <w:qFormat/>
    <w:rsid w:val="00A013C4"/>
    <w:pPr>
      <w:tabs>
        <w:tab w:val="center" w:pos="4513"/>
        <w:tab w:val="right" w:pos="9026"/>
      </w:tabs>
    </w:pPr>
  </w:style>
  <w:style w:type="character" w:customStyle="1" w:styleId="HeaderChar">
    <w:name w:val="Header Char"/>
    <w:basedOn w:val="DefaultParagraphFont"/>
    <w:link w:val="Header"/>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paragraph" w:styleId="CommentSubject">
    <w:name w:val="annotation subject"/>
    <w:basedOn w:val="CommentText"/>
    <w:next w:val="CommentText"/>
    <w:link w:val="CommentSubjectChar"/>
    <w:uiPriority w:val="99"/>
    <w:semiHidden/>
    <w:unhideWhenUsed/>
    <w:rsid w:val="002545BF"/>
    <w:rPr>
      <w:rFonts w:ascii="Arial" w:hAnsi="Arial" w:cs="Arial"/>
      <w:b/>
      <w:bCs/>
    </w:rPr>
  </w:style>
  <w:style w:type="character" w:customStyle="1" w:styleId="CommentSubjectChar">
    <w:name w:val="Comment Subject Char"/>
    <w:basedOn w:val="CommentTextChar"/>
    <w:link w:val="CommentSubject"/>
    <w:uiPriority w:val="99"/>
    <w:semiHidden/>
    <w:rsid w:val="002545BF"/>
    <w:rPr>
      <w:rFonts w:ascii="Arial" w:eastAsia="Times New Roman" w:hAnsi="Arial" w:cs="Arial"/>
      <w:b/>
      <w:bCs/>
      <w:snapToGrid w:val="0"/>
      <w:sz w:val="20"/>
      <w:szCs w:val="20"/>
    </w:rPr>
  </w:style>
  <w:style w:type="paragraph" w:styleId="NoSpacing">
    <w:name w:val="No Spacing"/>
    <w:basedOn w:val="Normal"/>
    <w:link w:val="NoSpacingChar"/>
    <w:uiPriority w:val="1"/>
    <w:qFormat/>
    <w:rsid w:val="0067120F"/>
    <w:pPr>
      <w:jc w:val="both"/>
    </w:pPr>
    <w:rPr>
      <w:rFonts w:asciiTheme="minorHAnsi" w:hAnsiTheme="minorHAnsi" w:cstheme="minorHAnsi"/>
    </w:rPr>
  </w:style>
  <w:style w:type="character" w:customStyle="1" w:styleId="Heading1Char">
    <w:name w:val="Heading 1 Char"/>
    <w:basedOn w:val="DefaultParagraphFont"/>
    <w:link w:val="Heading1"/>
    <w:uiPriority w:val="9"/>
    <w:rsid w:val="0071655B"/>
    <w:rPr>
      <w:rFonts w:eastAsia="Times New Roman" w:cstheme="minorHAnsi"/>
      <w:b/>
      <w:snapToGrid w:val="0"/>
      <w:sz w:val="32"/>
      <w:szCs w:val="32"/>
    </w:rPr>
  </w:style>
  <w:style w:type="paragraph" w:styleId="Caption">
    <w:name w:val="caption"/>
    <w:basedOn w:val="Normal"/>
    <w:next w:val="Normal"/>
    <w:link w:val="CaptionChar"/>
    <w:uiPriority w:val="35"/>
    <w:unhideWhenUsed/>
    <w:qFormat/>
    <w:rsid w:val="0067120F"/>
    <w:pPr>
      <w:spacing w:after="200"/>
    </w:pPr>
    <w:rPr>
      <w:rFonts w:ascii="Calibri" w:hAnsi="Calibri"/>
      <w:i/>
      <w:iCs/>
      <w:color w:val="000000" w:themeColor="text1"/>
      <w:sz w:val="18"/>
      <w:szCs w:val="18"/>
    </w:rPr>
  </w:style>
  <w:style w:type="character" w:customStyle="1" w:styleId="Heading2Char">
    <w:name w:val="Heading 2 Char"/>
    <w:aliases w:val="3. Subsection Heading Char"/>
    <w:basedOn w:val="DefaultParagraphFont"/>
    <w:link w:val="Heading2"/>
    <w:uiPriority w:val="1"/>
    <w:rsid w:val="00AB4C88"/>
    <w:rPr>
      <w:rFonts w:asciiTheme="minorHAnsi" w:eastAsiaTheme="majorEastAsia" w:hAnsiTheme="minorHAnsi"/>
      <w:b/>
      <w:i/>
      <w:sz w:val="28"/>
      <w:szCs w:val="28"/>
    </w:rPr>
  </w:style>
  <w:style w:type="paragraph" w:customStyle="1" w:styleId="4bulletpoint">
    <w:name w:val="4. bullet point"/>
    <w:basedOn w:val="ListParagraph"/>
    <w:link w:val="4bulletpointChar"/>
    <w:qFormat/>
    <w:rsid w:val="00CE39A5"/>
    <w:pPr>
      <w:numPr>
        <w:numId w:val="1"/>
      </w:numPr>
      <w:spacing w:after="120"/>
      <w:contextualSpacing w:val="0"/>
    </w:pPr>
    <w:rPr>
      <w:rFonts w:asciiTheme="minorHAnsi" w:hAnsiTheme="minorHAnsi"/>
      <w:sz w:val="24"/>
      <w:szCs w:val="24"/>
    </w:rPr>
  </w:style>
  <w:style w:type="paragraph" w:customStyle="1" w:styleId="5Tabletext">
    <w:name w:val="5. Table text"/>
    <w:basedOn w:val="BodyText2"/>
    <w:qFormat/>
    <w:rsid w:val="00CE39A5"/>
    <w:pPr>
      <w:widowControl w:val="0"/>
      <w:spacing w:after="0" w:line="240" w:lineRule="auto"/>
      <w:jc w:val="both"/>
    </w:pPr>
    <w:rPr>
      <w:rFonts w:ascii="Arial Narrow" w:hAnsi="Arial Narrow"/>
      <w:snapToGrid w:val="0"/>
      <w:sz w:val="20"/>
      <w:szCs w:val="20"/>
    </w:rPr>
  </w:style>
  <w:style w:type="character" w:customStyle="1" w:styleId="4bulletpointChar">
    <w:name w:val="4. bullet point Char"/>
    <w:basedOn w:val="ListParagraphChar"/>
    <w:link w:val="4bulletpoint"/>
    <w:rsid w:val="00CE39A5"/>
    <w:rPr>
      <w:rFonts w:asciiTheme="minorHAnsi" w:hAnsiTheme="minorHAnsi" w:cs="Arial"/>
      <w:snapToGrid w:val="0"/>
      <w:sz w:val="24"/>
      <w:szCs w:val="24"/>
    </w:rPr>
  </w:style>
  <w:style w:type="paragraph" w:styleId="BodyText2">
    <w:name w:val="Body Text 2"/>
    <w:basedOn w:val="Normal"/>
    <w:link w:val="BodyText2Char"/>
    <w:uiPriority w:val="99"/>
    <w:semiHidden/>
    <w:unhideWhenUsed/>
    <w:rsid w:val="0067120F"/>
    <w:pPr>
      <w:spacing w:after="120" w:line="480" w:lineRule="auto"/>
    </w:pPr>
  </w:style>
  <w:style w:type="character" w:customStyle="1" w:styleId="BodyText2Char">
    <w:name w:val="Body Text 2 Char"/>
    <w:basedOn w:val="DefaultParagraphFont"/>
    <w:link w:val="BodyText2"/>
    <w:uiPriority w:val="99"/>
    <w:semiHidden/>
    <w:rsid w:val="0067120F"/>
  </w:style>
  <w:style w:type="paragraph" w:customStyle="1" w:styleId="2Sections">
    <w:name w:val="2. Sections"/>
    <w:qFormat/>
    <w:rsid w:val="0067120F"/>
    <w:pPr>
      <w:numPr>
        <w:numId w:val="3"/>
      </w:numPr>
      <w:spacing w:before="240" w:after="120"/>
      <w:outlineLvl w:val="0"/>
    </w:pPr>
    <w:rPr>
      <w:rFonts w:asciiTheme="minorHAnsi" w:hAnsiTheme="minorHAnsi" w:cs="Arial"/>
      <w:b/>
      <w:snapToGrid w:val="0"/>
      <w:sz w:val="32"/>
      <w:szCs w:val="32"/>
    </w:rPr>
  </w:style>
  <w:style w:type="paragraph" w:customStyle="1" w:styleId="1MainTitle">
    <w:name w:val="1. Main Title"/>
    <w:basedOn w:val="Title"/>
    <w:link w:val="1MainTitleChar"/>
    <w:qFormat/>
    <w:rsid w:val="003326B0"/>
    <w:pPr>
      <w:spacing w:after="120"/>
      <w:ind w:left="720" w:hanging="720"/>
      <w:contextualSpacing/>
      <w:outlineLvl w:val="0"/>
    </w:pPr>
    <w:rPr>
      <w:rFonts w:asciiTheme="minorHAnsi" w:eastAsiaTheme="majorEastAsia" w:hAnsiTheme="minorHAnsi" w:cstheme="majorBidi"/>
      <w:snapToGrid/>
      <w:spacing w:val="5"/>
      <w:kern w:val="28"/>
      <w:lang w:eastAsia="en-US"/>
    </w:rPr>
  </w:style>
  <w:style w:type="character" w:customStyle="1" w:styleId="1MainTitleChar">
    <w:name w:val="1. Main Title Char"/>
    <w:basedOn w:val="TitleChar"/>
    <w:link w:val="1MainTitle"/>
    <w:rsid w:val="003326B0"/>
    <w:rPr>
      <w:rFonts w:asciiTheme="minorHAnsi" w:eastAsiaTheme="majorEastAsia" w:hAnsiTheme="minorHAnsi" w:cstheme="majorBidi"/>
      <w:b/>
      <w:spacing w:val="5"/>
      <w:kern w:val="28"/>
      <w:sz w:val="36"/>
      <w:szCs w:val="36"/>
      <w:lang w:eastAsia="en-AU"/>
    </w:rPr>
  </w:style>
  <w:style w:type="paragraph" w:customStyle="1" w:styleId="5Tableheaders">
    <w:name w:val="5. Table headers"/>
    <w:basedOn w:val="NoSpacing"/>
    <w:link w:val="5TableheadersChar"/>
    <w:qFormat/>
    <w:rsid w:val="00CE39A5"/>
    <w:rPr>
      <w:rFonts w:ascii="Arial Narrow" w:hAnsi="Arial Narrow" w:cs="Times New Roman"/>
      <w:b/>
      <w:sz w:val="20"/>
    </w:rPr>
  </w:style>
  <w:style w:type="character" w:customStyle="1" w:styleId="5TableheadersChar">
    <w:name w:val="5. Table headers Char"/>
    <w:basedOn w:val="NoSpacingChar"/>
    <w:link w:val="5Tableheaders"/>
    <w:rsid w:val="00CE39A5"/>
    <w:rPr>
      <w:rFonts w:ascii="Arial Narrow" w:hAnsi="Arial Narrow" w:cstheme="minorHAnsi"/>
      <w:b/>
      <w:sz w:val="24"/>
      <w:szCs w:val="24"/>
    </w:rPr>
  </w:style>
  <w:style w:type="paragraph" w:customStyle="1" w:styleId="4Bodytext">
    <w:name w:val="4. Body text"/>
    <w:basedOn w:val="4Bodytextnumbered"/>
    <w:link w:val="4BodytextChar"/>
    <w:qFormat/>
    <w:rsid w:val="0067120F"/>
    <w:pPr>
      <w:numPr>
        <w:ilvl w:val="0"/>
        <w:numId w:val="0"/>
      </w:numPr>
      <w:ind w:left="720" w:hanging="720"/>
    </w:pPr>
  </w:style>
  <w:style w:type="character" w:customStyle="1" w:styleId="4BodytextChar">
    <w:name w:val="4. Body text Char"/>
    <w:basedOn w:val="ListParagraphChar"/>
    <w:link w:val="4Bodytext"/>
    <w:rsid w:val="0067120F"/>
    <w:rPr>
      <w:rFonts w:asciiTheme="minorHAnsi" w:eastAsiaTheme="minorHAnsi" w:hAnsiTheme="minorHAnsi" w:cstheme="minorBidi"/>
      <w:snapToGrid/>
      <w:sz w:val="24"/>
      <w:szCs w:val="22"/>
    </w:rPr>
  </w:style>
  <w:style w:type="paragraph" w:customStyle="1" w:styleId="PBACFooter">
    <w:name w:val="PBAC Footer"/>
    <w:basedOn w:val="5TableFooter"/>
    <w:link w:val="PBACFooterChar"/>
    <w:qFormat/>
    <w:rsid w:val="00495819"/>
  </w:style>
  <w:style w:type="character" w:customStyle="1" w:styleId="PBACFooterChar">
    <w:name w:val="PBAC Footer Char"/>
    <w:basedOn w:val="FooterChar"/>
    <w:link w:val="PBACFooter"/>
    <w:rsid w:val="00495819"/>
    <w:rPr>
      <w:rFonts w:ascii="Arial Narrow" w:eastAsia="Times New Roman" w:hAnsi="Arial Narrow" w:cs="Arial"/>
      <w:snapToGrid w:val="0"/>
      <w:sz w:val="18"/>
      <w:szCs w:val="22"/>
    </w:rPr>
  </w:style>
  <w:style w:type="paragraph" w:customStyle="1" w:styleId="5Tabletitle">
    <w:name w:val="5. Table title"/>
    <w:basedOn w:val="Normal"/>
    <w:link w:val="5TabletitleChar"/>
    <w:qFormat/>
    <w:rsid w:val="00CE39A5"/>
    <w:rPr>
      <w:rFonts w:ascii="Arial Narrow" w:hAnsi="Arial Narrow" w:cs="Arial"/>
      <w:b/>
      <w:sz w:val="20"/>
      <w:szCs w:val="22"/>
    </w:rPr>
  </w:style>
  <w:style w:type="character" w:customStyle="1" w:styleId="5TabletitleChar">
    <w:name w:val="5. Table title Char"/>
    <w:basedOn w:val="NoSpacingChar"/>
    <w:link w:val="5Tabletitle"/>
    <w:rsid w:val="00CE39A5"/>
    <w:rPr>
      <w:rFonts w:ascii="Arial Narrow" w:hAnsi="Arial Narrow" w:cs="Arial"/>
      <w:b/>
      <w:sz w:val="24"/>
      <w:szCs w:val="22"/>
    </w:rPr>
  </w:style>
  <w:style w:type="paragraph" w:customStyle="1" w:styleId="Lists">
    <w:name w:val="Lists"/>
    <w:basedOn w:val="4Bodytext"/>
    <w:link w:val="ListsChar"/>
    <w:qFormat/>
    <w:rsid w:val="0067120F"/>
    <w:pPr>
      <w:ind w:left="1080" w:hanging="360"/>
    </w:pPr>
  </w:style>
  <w:style w:type="character" w:customStyle="1" w:styleId="ListsChar">
    <w:name w:val="Lists Char"/>
    <w:basedOn w:val="4BodytextChar"/>
    <w:link w:val="Lists"/>
    <w:rsid w:val="0067120F"/>
    <w:rPr>
      <w:rFonts w:asciiTheme="minorHAnsi" w:eastAsiaTheme="minorHAnsi" w:hAnsiTheme="minorHAnsi" w:cstheme="minorBidi"/>
      <w:snapToGrid/>
      <w:sz w:val="24"/>
      <w:szCs w:val="22"/>
    </w:rPr>
  </w:style>
  <w:style w:type="paragraph" w:customStyle="1" w:styleId="Bulletpoints">
    <w:name w:val="Bullet points"/>
    <w:basedOn w:val="ListParagraph"/>
    <w:qFormat/>
    <w:rsid w:val="0067120F"/>
    <w:pPr>
      <w:numPr>
        <w:numId w:val="2"/>
      </w:numPr>
      <w:contextualSpacing w:val="0"/>
    </w:pPr>
    <w:rPr>
      <w:rFonts w:ascii="Calibri" w:hAnsi="Calibri"/>
      <w:sz w:val="24"/>
      <w:szCs w:val="24"/>
    </w:rPr>
  </w:style>
  <w:style w:type="paragraph" w:customStyle="1" w:styleId="5TableFooter">
    <w:name w:val="5. Table Footer"/>
    <w:basedOn w:val="Normal"/>
    <w:link w:val="5TableFooterChar"/>
    <w:qFormat/>
    <w:rsid w:val="0067120F"/>
    <w:pPr>
      <w:widowControl w:val="0"/>
      <w:jc w:val="both"/>
    </w:pPr>
    <w:rPr>
      <w:rFonts w:ascii="Arial Narrow" w:hAnsi="Arial Narrow" w:cs="Arial"/>
      <w:snapToGrid w:val="0"/>
      <w:sz w:val="18"/>
      <w:szCs w:val="22"/>
    </w:rPr>
  </w:style>
  <w:style w:type="character" w:customStyle="1" w:styleId="5TableFooterChar">
    <w:name w:val="5. Table Footer Char"/>
    <w:link w:val="5TableFooter"/>
    <w:rsid w:val="0067120F"/>
    <w:rPr>
      <w:rFonts w:ascii="Arial Narrow" w:hAnsi="Arial Narrow" w:cs="Arial"/>
      <w:snapToGrid w:val="0"/>
      <w:sz w:val="18"/>
      <w:szCs w:val="22"/>
    </w:rPr>
  </w:style>
  <w:style w:type="paragraph" w:customStyle="1" w:styleId="4Bodytextnumbered">
    <w:name w:val="4. Body text numbered"/>
    <w:basedOn w:val="ListParagraph"/>
    <w:qFormat/>
    <w:rsid w:val="0067120F"/>
    <w:pPr>
      <w:widowControl/>
      <w:numPr>
        <w:ilvl w:val="1"/>
        <w:numId w:val="3"/>
      </w:numPr>
      <w:spacing w:after="120"/>
      <w:contextualSpacing w:val="0"/>
    </w:pPr>
    <w:rPr>
      <w:rFonts w:asciiTheme="minorHAnsi" w:eastAsiaTheme="minorHAnsi" w:hAnsiTheme="minorHAnsi" w:cstheme="minorBidi"/>
      <w:snapToGrid/>
      <w:sz w:val="24"/>
      <w:szCs w:val="22"/>
    </w:rPr>
  </w:style>
  <w:style w:type="paragraph" w:styleId="BodyText">
    <w:name w:val="Body Text"/>
    <w:basedOn w:val="Normal"/>
    <w:link w:val="BodyTextChar"/>
    <w:uiPriority w:val="99"/>
    <w:semiHidden/>
    <w:unhideWhenUsed/>
    <w:rsid w:val="0067120F"/>
    <w:pPr>
      <w:spacing w:after="120"/>
    </w:pPr>
  </w:style>
  <w:style w:type="character" w:customStyle="1" w:styleId="BodyTextChar">
    <w:name w:val="Body Text Char"/>
    <w:basedOn w:val="DefaultParagraphFont"/>
    <w:link w:val="BodyText"/>
    <w:uiPriority w:val="99"/>
    <w:semiHidden/>
    <w:rsid w:val="0067120F"/>
  </w:style>
  <w:style w:type="character" w:customStyle="1" w:styleId="Heading3Char">
    <w:name w:val="Heading 3 Char"/>
    <w:basedOn w:val="DefaultParagraphFont"/>
    <w:link w:val="Heading3"/>
    <w:semiHidden/>
    <w:rsid w:val="0067120F"/>
    <w:rPr>
      <w:rFonts w:asciiTheme="majorHAnsi" w:eastAsiaTheme="majorEastAsia" w:hAnsiTheme="majorHAnsi" w:cstheme="majorBidi"/>
      <w:b/>
      <w:bCs/>
      <w:color w:val="4F81BD" w:themeColor="accent1"/>
      <w:sz w:val="24"/>
      <w:szCs w:val="24"/>
    </w:rPr>
  </w:style>
  <w:style w:type="character" w:customStyle="1" w:styleId="NoSpacingChar">
    <w:name w:val="No Spacing Char"/>
    <w:basedOn w:val="DefaultParagraphFont"/>
    <w:link w:val="NoSpacing"/>
    <w:uiPriority w:val="1"/>
    <w:rsid w:val="0067120F"/>
    <w:rPr>
      <w:rFonts w:asciiTheme="minorHAnsi" w:hAnsiTheme="minorHAnsi" w:cstheme="minorHAnsi"/>
      <w:sz w:val="24"/>
      <w:szCs w:val="24"/>
    </w:rPr>
  </w:style>
  <w:style w:type="paragraph" w:customStyle="1" w:styleId="3Subheading2">
    <w:name w:val="3. Subheading 2"/>
    <w:basedOn w:val="Heading2"/>
    <w:link w:val="3Subheading2Char"/>
    <w:qFormat/>
    <w:rsid w:val="00AB4C88"/>
    <w:pPr>
      <w:spacing w:before="0"/>
    </w:pPr>
    <w:rPr>
      <w:sz w:val="24"/>
    </w:rPr>
  </w:style>
  <w:style w:type="paragraph" w:customStyle="1" w:styleId="3Subheading1">
    <w:name w:val="3. Subheading 1"/>
    <w:basedOn w:val="Heading2"/>
    <w:link w:val="3Subheading1Char"/>
    <w:qFormat/>
    <w:rsid w:val="00AB4C88"/>
  </w:style>
  <w:style w:type="character" w:customStyle="1" w:styleId="3Subheading2Char">
    <w:name w:val="3. Subheading 2 Char"/>
    <w:basedOn w:val="Heading2Char"/>
    <w:link w:val="3Subheading2"/>
    <w:rsid w:val="00AB4C88"/>
    <w:rPr>
      <w:rFonts w:asciiTheme="minorHAnsi" w:eastAsiaTheme="majorEastAsia" w:hAnsiTheme="minorHAnsi"/>
      <w:b/>
      <w:i/>
      <w:sz w:val="24"/>
      <w:szCs w:val="28"/>
    </w:rPr>
  </w:style>
  <w:style w:type="paragraph" w:customStyle="1" w:styleId="6attachments">
    <w:name w:val="6. attachments"/>
    <w:basedOn w:val="NoSpacing"/>
    <w:link w:val="6attachmentsChar"/>
    <w:qFormat/>
    <w:rsid w:val="00495819"/>
    <w:rPr>
      <w:b/>
    </w:rPr>
  </w:style>
  <w:style w:type="character" w:customStyle="1" w:styleId="3Subheading1Char">
    <w:name w:val="3. Subheading 1 Char"/>
    <w:basedOn w:val="Heading2Char"/>
    <w:link w:val="3Subheading1"/>
    <w:rsid w:val="00AB4C88"/>
    <w:rPr>
      <w:rFonts w:asciiTheme="minorHAnsi" w:eastAsiaTheme="majorEastAsia" w:hAnsiTheme="minorHAnsi"/>
      <w:b/>
      <w:i/>
      <w:sz w:val="28"/>
      <w:szCs w:val="28"/>
    </w:rPr>
  </w:style>
  <w:style w:type="character" w:customStyle="1" w:styleId="6attachmentsChar">
    <w:name w:val="6. attachments Char"/>
    <w:basedOn w:val="NoSpacingChar"/>
    <w:link w:val="6attachments"/>
    <w:rsid w:val="00495819"/>
    <w:rPr>
      <w:rFonts w:asciiTheme="minorHAnsi" w:hAnsiTheme="minorHAnsi" w:cstheme="minorHAnsi"/>
      <w:b/>
      <w:sz w:val="24"/>
      <w:szCs w:val="24"/>
    </w:rPr>
  </w:style>
  <w:style w:type="character" w:styleId="Hyperlink">
    <w:name w:val="Hyperlink"/>
    <w:rsid w:val="00DE12F7"/>
    <w:rPr>
      <w:color w:val="0000FF"/>
      <w:u w:val="single"/>
    </w:rPr>
  </w:style>
  <w:style w:type="paragraph" w:customStyle="1" w:styleId="PBACHeading10">
    <w:name w:val="PBAC Heading 1"/>
    <w:qFormat/>
    <w:rsid w:val="004A5F0D"/>
    <w:pPr>
      <w:keepNext/>
      <w:keepLines/>
      <w:spacing w:after="120"/>
      <w:ind w:left="720" w:hanging="720"/>
      <w:outlineLvl w:val="0"/>
    </w:pPr>
    <w:rPr>
      <w:rFonts w:asciiTheme="minorHAnsi" w:hAnsiTheme="minorHAnsi" w:cstheme="minorHAnsi"/>
      <w:b/>
      <w:snapToGrid w:val="0"/>
      <w:sz w:val="32"/>
      <w:szCs w:val="28"/>
    </w:rPr>
  </w:style>
  <w:style w:type="paragraph" w:customStyle="1" w:styleId="Default">
    <w:name w:val="Default"/>
    <w:rsid w:val="00C419AC"/>
    <w:pPr>
      <w:autoSpaceDE w:val="0"/>
      <w:autoSpaceDN w:val="0"/>
      <w:adjustRightInd w:val="0"/>
    </w:pPr>
    <w:rPr>
      <w:rFonts w:ascii="Symbol" w:hAnsi="Symbol" w:cs="Symbol"/>
      <w:color w:val="000000"/>
      <w:sz w:val="24"/>
      <w:szCs w:val="24"/>
      <w:lang w:eastAsia="en-AU"/>
    </w:rPr>
  </w:style>
  <w:style w:type="table" w:styleId="TableGrid">
    <w:name w:val="Table Grid"/>
    <w:aliases w:val="Summary box,Table Gridbeth,CMA Table Template,ASD Table"/>
    <w:basedOn w:val="TableNormal"/>
    <w:uiPriority w:val="59"/>
    <w:rsid w:val="00C419AC"/>
    <w:rPr>
      <w:rFonts w:ascii="Calibri"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419AC"/>
    <w:pPr>
      <w:numPr>
        <w:numId w:val="4"/>
      </w:numPr>
      <w:spacing w:after="200" w:line="276" w:lineRule="auto"/>
    </w:pPr>
    <w:rPr>
      <w:rFonts w:ascii="Arial" w:eastAsia="Calibri" w:hAnsi="Arial"/>
      <w:sz w:val="22"/>
      <w:szCs w:val="22"/>
    </w:rPr>
  </w:style>
  <w:style w:type="paragraph" w:styleId="ListNumber2">
    <w:name w:val="List Number 2"/>
    <w:basedOn w:val="Normal"/>
    <w:uiPriority w:val="99"/>
    <w:rsid w:val="00C419AC"/>
    <w:pPr>
      <w:numPr>
        <w:ilvl w:val="1"/>
        <w:numId w:val="4"/>
      </w:numPr>
      <w:spacing w:after="200" w:line="276" w:lineRule="auto"/>
    </w:pPr>
    <w:rPr>
      <w:rFonts w:ascii="Arial" w:eastAsia="Calibri" w:hAnsi="Arial"/>
      <w:sz w:val="22"/>
      <w:szCs w:val="22"/>
    </w:rPr>
  </w:style>
  <w:style w:type="paragraph" w:styleId="ListNumber3">
    <w:name w:val="List Number 3"/>
    <w:basedOn w:val="Normal"/>
    <w:uiPriority w:val="99"/>
    <w:rsid w:val="00C419AC"/>
    <w:pPr>
      <w:numPr>
        <w:ilvl w:val="2"/>
        <w:numId w:val="4"/>
      </w:numPr>
      <w:spacing w:after="200" w:line="276" w:lineRule="auto"/>
    </w:pPr>
    <w:rPr>
      <w:rFonts w:ascii="Arial" w:eastAsia="Calibri" w:hAnsi="Arial"/>
      <w:sz w:val="22"/>
      <w:szCs w:val="22"/>
    </w:rPr>
  </w:style>
  <w:style w:type="paragraph" w:styleId="ListNumber4">
    <w:name w:val="List Number 4"/>
    <w:basedOn w:val="Normal"/>
    <w:uiPriority w:val="99"/>
    <w:rsid w:val="00C419AC"/>
    <w:pPr>
      <w:numPr>
        <w:ilvl w:val="3"/>
        <w:numId w:val="4"/>
      </w:numPr>
      <w:spacing w:after="200" w:line="276" w:lineRule="auto"/>
    </w:pPr>
    <w:rPr>
      <w:rFonts w:ascii="Arial" w:eastAsia="Calibri" w:hAnsi="Arial"/>
      <w:sz w:val="22"/>
      <w:szCs w:val="22"/>
    </w:rPr>
  </w:style>
  <w:style w:type="paragraph" w:styleId="ListNumber5">
    <w:name w:val="List Number 5"/>
    <w:basedOn w:val="Normal"/>
    <w:uiPriority w:val="99"/>
    <w:rsid w:val="00C419AC"/>
    <w:pPr>
      <w:numPr>
        <w:ilvl w:val="4"/>
        <w:numId w:val="4"/>
      </w:numPr>
      <w:spacing w:after="200" w:line="276" w:lineRule="auto"/>
    </w:pPr>
    <w:rPr>
      <w:rFonts w:ascii="Arial" w:eastAsia="Calibri" w:hAnsi="Arial"/>
      <w:sz w:val="22"/>
      <w:szCs w:val="22"/>
    </w:rPr>
  </w:style>
  <w:style w:type="paragraph" w:customStyle="1" w:styleId="bullet3">
    <w:name w:val="bullet3"/>
    <w:basedOn w:val="ListParagraph"/>
    <w:link w:val="bullet3Char"/>
    <w:qFormat/>
    <w:rsid w:val="00C419AC"/>
    <w:pPr>
      <w:numPr>
        <w:ilvl w:val="3"/>
        <w:numId w:val="5"/>
      </w:numPr>
      <w:spacing w:after="120"/>
      <w:ind w:left="1418" w:hanging="567"/>
      <w:contextualSpacing w:val="0"/>
      <w:jc w:val="left"/>
    </w:pPr>
    <w:rPr>
      <w:rFonts w:asciiTheme="minorHAnsi" w:hAnsiTheme="minorHAnsi"/>
      <w:sz w:val="24"/>
    </w:rPr>
  </w:style>
  <w:style w:type="character" w:customStyle="1" w:styleId="bullet3Char">
    <w:name w:val="bullet3 Char"/>
    <w:basedOn w:val="ListParagraphChar"/>
    <w:link w:val="bullet3"/>
    <w:rsid w:val="00C419AC"/>
    <w:rPr>
      <w:rFonts w:asciiTheme="minorHAnsi" w:hAnsiTheme="minorHAnsi" w:cs="Arial"/>
      <w:snapToGrid w:val="0"/>
      <w:sz w:val="24"/>
    </w:rPr>
  </w:style>
  <w:style w:type="paragraph" w:styleId="EndnoteText">
    <w:name w:val="endnote text"/>
    <w:basedOn w:val="Normal"/>
    <w:link w:val="EndnoteTextChar"/>
    <w:uiPriority w:val="99"/>
    <w:semiHidden/>
    <w:unhideWhenUsed/>
    <w:rsid w:val="00377647"/>
    <w:rPr>
      <w:sz w:val="20"/>
      <w:szCs w:val="20"/>
    </w:rPr>
  </w:style>
  <w:style w:type="character" w:customStyle="1" w:styleId="EndnoteTextChar">
    <w:name w:val="Endnote Text Char"/>
    <w:basedOn w:val="DefaultParagraphFont"/>
    <w:link w:val="EndnoteText"/>
    <w:uiPriority w:val="99"/>
    <w:semiHidden/>
    <w:rsid w:val="00377647"/>
  </w:style>
  <w:style w:type="character" w:styleId="EndnoteReference">
    <w:name w:val="endnote reference"/>
    <w:basedOn w:val="DefaultParagraphFont"/>
    <w:uiPriority w:val="99"/>
    <w:semiHidden/>
    <w:unhideWhenUsed/>
    <w:rsid w:val="00377647"/>
    <w:rPr>
      <w:vertAlign w:val="superscript"/>
    </w:rPr>
  </w:style>
  <w:style w:type="character" w:styleId="FollowedHyperlink">
    <w:name w:val="FollowedHyperlink"/>
    <w:basedOn w:val="DefaultParagraphFont"/>
    <w:uiPriority w:val="99"/>
    <w:semiHidden/>
    <w:unhideWhenUsed/>
    <w:rsid w:val="000C3190"/>
    <w:rPr>
      <w:color w:val="800080" w:themeColor="followedHyperlink"/>
      <w:u w:val="single"/>
    </w:rPr>
  </w:style>
  <w:style w:type="paragraph" w:styleId="FootnoteText">
    <w:name w:val="footnote text"/>
    <w:basedOn w:val="Normal"/>
    <w:link w:val="FootnoteTextChar"/>
    <w:uiPriority w:val="99"/>
    <w:semiHidden/>
    <w:unhideWhenUsed/>
    <w:rsid w:val="003634B2"/>
    <w:rPr>
      <w:sz w:val="20"/>
      <w:szCs w:val="20"/>
    </w:rPr>
  </w:style>
  <w:style w:type="character" w:customStyle="1" w:styleId="FootnoteTextChar">
    <w:name w:val="Footnote Text Char"/>
    <w:basedOn w:val="DefaultParagraphFont"/>
    <w:link w:val="FootnoteText"/>
    <w:uiPriority w:val="99"/>
    <w:semiHidden/>
    <w:rsid w:val="003634B2"/>
  </w:style>
  <w:style w:type="character" w:styleId="FootnoteReference">
    <w:name w:val="footnote reference"/>
    <w:basedOn w:val="DefaultParagraphFont"/>
    <w:uiPriority w:val="99"/>
    <w:unhideWhenUsed/>
    <w:rsid w:val="003634B2"/>
    <w:rPr>
      <w:vertAlign w:val="superscript"/>
    </w:rPr>
  </w:style>
  <w:style w:type="paragraph" w:styleId="Revision">
    <w:name w:val="Revision"/>
    <w:hidden/>
    <w:uiPriority w:val="99"/>
    <w:semiHidden/>
    <w:rsid w:val="005C3E37"/>
    <w:rPr>
      <w:sz w:val="24"/>
      <w:szCs w:val="24"/>
    </w:rPr>
  </w:style>
  <w:style w:type="paragraph" w:customStyle="1" w:styleId="3Bodytext">
    <w:name w:val="3. Body text"/>
    <w:basedOn w:val="ListParagraph"/>
    <w:link w:val="3BodytextChar"/>
    <w:qFormat/>
    <w:rsid w:val="00A65D59"/>
    <w:pPr>
      <w:widowControl/>
      <w:spacing w:after="120"/>
      <w:ind w:hanging="720"/>
      <w:contextualSpacing w:val="0"/>
    </w:pPr>
    <w:rPr>
      <w:rFonts w:asciiTheme="minorHAnsi" w:hAnsiTheme="minorHAnsi" w:cstheme="minorBidi"/>
      <w:snapToGrid/>
      <w:sz w:val="24"/>
      <w:szCs w:val="22"/>
      <w:lang w:eastAsia="en-AU"/>
    </w:rPr>
  </w:style>
  <w:style w:type="paragraph" w:customStyle="1" w:styleId="2-SectionHeading">
    <w:name w:val="2-Section Heading"/>
    <w:qFormat/>
    <w:rsid w:val="00A65D59"/>
    <w:pPr>
      <w:keepNext/>
      <w:spacing w:before="240" w:after="120"/>
      <w:ind w:left="720" w:hanging="720"/>
      <w:outlineLvl w:val="0"/>
    </w:pPr>
    <w:rPr>
      <w:rFonts w:asciiTheme="minorHAnsi" w:hAnsiTheme="minorHAnsi" w:cs="Arial"/>
      <w:b/>
      <w:snapToGrid w:val="0"/>
      <w:sz w:val="32"/>
      <w:szCs w:val="32"/>
      <w:lang w:eastAsia="en-AU"/>
    </w:rPr>
  </w:style>
  <w:style w:type="paragraph" w:customStyle="1" w:styleId="05Tabletext">
    <w:name w:val="05 Table text"/>
    <w:next w:val="Normal"/>
    <w:qFormat/>
    <w:rsid w:val="000F2253"/>
    <w:pPr>
      <w:spacing w:before="20"/>
      <w:ind w:left="57" w:right="57"/>
    </w:pPr>
    <w:rPr>
      <w:rFonts w:ascii="Arial Narrow" w:eastAsia="Calibri" w:hAnsi="Arial Narrow"/>
      <w:sz w:val="18"/>
      <w:szCs w:val="24"/>
    </w:rPr>
  </w:style>
  <w:style w:type="paragraph" w:customStyle="1" w:styleId="MDTabCaption">
    <w:name w:val="MD_TabCaption"/>
    <w:basedOn w:val="Normal"/>
    <w:next w:val="Normal"/>
    <w:link w:val="MDTabCaptionChar"/>
    <w:qFormat/>
    <w:rsid w:val="000F2253"/>
    <w:pPr>
      <w:keepNext/>
      <w:spacing w:before="200" w:after="20"/>
      <w:ind w:right="57"/>
      <w:contextualSpacing/>
    </w:pPr>
    <w:rPr>
      <w:rFonts w:asciiTheme="minorHAnsi" w:eastAsiaTheme="minorEastAsia" w:hAnsiTheme="minorHAnsi" w:cs="Calibri"/>
      <w:b/>
      <w:lang w:val="en-US"/>
    </w:rPr>
  </w:style>
  <w:style w:type="character" w:customStyle="1" w:styleId="MDTabCaptionChar">
    <w:name w:val="MD_TabCaption Char"/>
    <w:basedOn w:val="DefaultParagraphFont"/>
    <w:link w:val="MDTabCaption"/>
    <w:rsid w:val="000F2253"/>
    <w:rPr>
      <w:rFonts w:asciiTheme="minorHAnsi" w:eastAsiaTheme="minorEastAsia" w:hAnsiTheme="minorHAnsi" w:cs="Calibri"/>
      <w:b/>
      <w:sz w:val="24"/>
      <w:szCs w:val="24"/>
      <w:lang w:val="en-US"/>
    </w:rPr>
  </w:style>
  <w:style w:type="paragraph" w:customStyle="1" w:styleId="Footnotes">
    <w:name w:val="Footnotes"/>
    <w:basedOn w:val="Normal"/>
    <w:link w:val="FootnotesChar"/>
    <w:qFormat/>
    <w:rsid w:val="000F2253"/>
    <w:pPr>
      <w:spacing w:after="200"/>
      <w:ind w:right="57"/>
      <w:contextualSpacing/>
    </w:pPr>
    <w:rPr>
      <w:rFonts w:asciiTheme="minorHAnsi" w:eastAsiaTheme="minorEastAsia" w:hAnsiTheme="minorHAnsi" w:cs="Calibri"/>
      <w:sz w:val="20"/>
      <w:szCs w:val="20"/>
      <w:lang w:val="en-GB" w:eastAsia="en-AU"/>
    </w:rPr>
  </w:style>
  <w:style w:type="character" w:customStyle="1" w:styleId="FootnotesChar">
    <w:name w:val="Footnotes Char"/>
    <w:basedOn w:val="DefaultParagraphFont"/>
    <w:link w:val="Footnotes"/>
    <w:rsid w:val="000F2253"/>
    <w:rPr>
      <w:rFonts w:asciiTheme="minorHAnsi" w:eastAsiaTheme="minorEastAsia" w:hAnsiTheme="minorHAnsi" w:cs="Calibri"/>
      <w:lang w:val="en-GB" w:eastAsia="en-AU"/>
    </w:rPr>
  </w:style>
  <w:style w:type="paragraph" w:customStyle="1" w:styleId="02TableHEADINGcentred">
    <w:name w:val="02 Table HEADING centred"/>
    <w:qFormat/>
    <w:rsid w:val="000F2253"/>
    <w:pPr>
      <w:keepNext/>
      <w:spacing w:before="60"/>
      <w:ind w:left="57" w:right="57"/>
      <w:jc w:val="center"/>
    </w:pPr>
    <w:rPr>
      <w:rFonts w:ascii="Arial Narrow" w:eastAsia="Calibri" w:hAnsi="Arial Narrow"/>
      <w:b/>
      <w:sz w:val="18"/>
      <w:szCs w:val="24"/>
    </w:rPr>
  </w:style>
  <w:style w:type="table" w:customStyle="1" w:styleId="TableGridLight2">
    <w:name w:val="Table Grid Light2"/>
    <w:basedOn w:val="TableNormal"/>
    <w:uiPriority w:val="40"/>
    <w:rsid w:val="000F2253"/>
    <w:rPr>
      <w:rFonts w:eastAsiaTheme="minorHAnsi" w:cstheme="minorBidi"/>
      <w:sz w:val="24"/>
      <w:szCs w:val="22"/>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4-SubsectionHeading">
    <w:name w:val="4-Subsection Heading"/>
    <w:basedOn w:val="Heading2"/>
    <w:next w:val="Normal"/>
    <w:link w:val="4-SubsectionHeadingChar"/>
    <w:qFormat/>
    <w:rsid w:val="009A0CAD"/>
    <w:pPr>
      <w:spacing w:before="120"/>
      <w:jc w:val="both"/>
    </w:pPr>
    <w:rPr>
      <w:rFonts w:cstheme="majorBidi"/>
      <w:spacing w:val="5"/>
      <w:kern w:val="28"/>
      <w:szCs w:val="36"/>
      <w:lang w:eastAsia="en-AU"/>
    </w:rPr>
  </w:style>
  <w:style w:type="character" w:customStyle="1" w:styleId="4-SubsectionHeadingChar">
    <w:name w:val="4-Subsection Heading Char"/>
    <w:basedOn w:val="DefaultParagraphFont"/>
    <w:link w:val="4-SubsectionHeading"/>
    <w:rsid w:val="009A0CAD"/>
    <w:rPr>
      <w:rFonts w:asciiTheme="minorHAnsi" w:eastAsiaTheme="majorEastAsia" w:hAnsiTheme="minorHAnsi" w:cstheme="majorBidi"/>
      <w:b/>
      <w:i/>
      <w:spacing w:val="5"/>
      <w:kern w:val="28"/>
      <w:sz w:val="28"/>
      <w:szCs w:val="36"/>
      <w:lang w:eastAsia="en-AU"/>
    </w:rPr>
  </w:style>
  <w:style w:type="character" w:customStyle="1" w:styleId="3BodytextChar">
    <w:name w:val="3. Body text Char"/>
    <w:basedOn w:val="DefaultParagraphFont"/>
    <w:link w:val="3Bodytext"/>
    <w:rsid w:val="005276A0"/>
    <w:rPr>
      <w:rFonts w:asciiTheme="minorHAnsi" w:hAnsiTheme="minorHAnsi" w:cstheme="minorBidi"/>
      <w:sz w:val="24"/>
      <w:szCs w:val="22"/>
      <w:lang w:eastAsia="en-AU"/>
    </w:rPr>
  </w:style>
  <w:style w:type="table" w:customStyle="1" w:styleId="TableGridbeth2">
    <w:name w:val="Table Gridbeth2"/>
    <w:basedOn w:val="TableNormal"/>
    <w:next w:val="TableGrid"/>
    <w:uiPriority w:val="39"/>
    <w:rsid w:val="0006312E"/>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sid w:val="0006312E"/>
    <w:rPr>
      <w:rFonts w:ascii="Calibri" w:hAnsi="Calibri"/>
      <w:i/>
      <w:iCs/>
      <w:color w:val="000000" w:themeColor="text1"/>
      <w:sz w:val="18"/>
      <w:szCs w:val="18"/>
    </w:rPr>
  </w:style>
  <w:style w:type="table" w:customStyle="1" w:styleId="TableGridbeth1">
    <w:name w:val="Table Gridbeth1"/>
    <w:basedOn w:val="TableNormal"/>
    <w:next w:val="TableGrid"/>
    <w:uiPriority w:val="39"/>
    <w:rsid w:val="00691427"/>
    <w:rPr>
      <w:rFonts w:ascii="Calibri"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next w:val="Normal"/>
    <w:link w:val="TableFigureHeadingChar"/>
    <w:qFormat/>
    <w:rsid w:val="00691427"/>
    <w:pPr>
      <w:keepNext/>
    </w:pPr>
    <w:rPr>
      <w:rFonts w:asciiTheme="minorHAnsi" w:eastAsiaTheme="majorEastAsia" w:hAnsiTheme="minorHAnsi" w:cstheme="majorBidi"/>
      <w:b/>
      <w:bCs/>
      <w:sz w:val="24"/>
      <w:szCs w:val="24"/>
      <w:lang w:eastAsia="en-AU"/>
    </w:rPr>
  </w:style>
  <w:style w:type="character" w:customStyle="1" w:styleId="TableFigureHeadingChar">
    <w:name w:val="Table/Figure Heading Char"/>
    <w:basedOn w:val="DefaultParagraphFont"/>
    <w:link w:val="TableFigureHeading"/>
    <w:rsid w:val="00691427"/>
    <w:rPr>
      <w:rFonts w:asciiTheme="minorHAnsi" w:eastAsiaTheme="majorEastAsia" w:hAnsiTheme="minorHAnsi" w:cstheme="majorBidi"/>
      <w:b/>
      <w:bCs/>
      <w:sz w:val="24"/>
      <w:szCs w:val="24"/>
      <w:lang w:eastAsia="en-AU"/>
    </w:rPr>
  </w:style>
  <w:style w:type="paragraph" w:customStyle="1" w:styleId="3-BodyText">
    <w:name w:val="3-Body Text"/>
    <w:link w:val="3-BodyTextChar"/>
    <w:qFormat/>
    <w:rsid w:val="00903523"/>
    <w:pPr>
      <w:spacing w:after="120"/>
      <w:ind w:left="720" w:hanging="720"/>
      <w:jc w:val="both"/>
    </w:pPr>
    <w:rPr>
      <w:rFonts w:asciiTheme="minorHAnsi" w:hAnsiTheme="minorHAnsi" w:cs="Arial"/>
      <w:snapToGrid w:val="0"/>
      <w:sz w:val="24"/>
      <w:szCs w:val="24"/>
    </w:rPr>
  </w:style>
  <w:style w:type="character" w:customStyle="1" w:styleId="3-BodyTextChar">
    <w:name w:val="3-Body Text Char"/>
    <w:basedOn w:val="DefaultParagraphFont"/>
    <w:link w:val="3-BodyText"/>
    <w:rsid w:val="00903523"/>
    <w:rPr>
      <w:rFonts w:asciiTheme="minorHAnsi" w:hAnsiTheme="minorHAnsi" w:cs="Arial"/>
      <w:snapToGrid w:val="0"/>
      <w:sz w:val="24"/>
      <w:szCs w:val="24"/>
    </w:rPr>
  </w:style>
  <w:style w:type="paragraph" w:customStyle="1" w:styleId="V50Heading2nonumbers">
    <w:name w:val="V5.0 Heading 2 no numbers"/>
    <w:basedOn w:val="Heading2"/>
    <w:qFormat/>
    <w:rsid w:val="00A90A71"/>
    <w:pPr>
      <w:keepLines/>
      <w:ind w:left="578" w:hanging="578"/>
    </w:pPr>
    <w:rPr>
      <w:rFonts w:ascii="Calibri" w:eastAsia="Times New Roman" w:hAnsi="Calibri"/>
    </w:rPr>
  </w:style>
  <w:style w:type="table" w:styleId="GridTable4-Accent1">
    <w:name w:val="Grid Table 4 Accent 1"/>
    <w:basedOn w:val="TableNormal"/>
    <w:uiPriority w:val="49"/>
    <w:rsid w:val="00A90A71"/>
    <w:rPr>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A679BC"/>
    <w:rPr>
      <w:color w:val="605E5C"/>
      <w:shd w:val="clear" w:color="auto" w:fill="E1DFDD"/>
    </w:rPr>
  </w:style>
  <w:style w:type="paragraph" w:customStyle="1" w:styleId="MinorOVRHeader">
    <w:name w:val="Minor OVR Header"/>
    <w:basedOn w:val="Header"/>
    <w:link w:val="MinorOVRHeaderChar"/>
    <w:rsid w:val="001B7FEE"/>
    <w:pPr>
      <w:keepNext/>
      <w:jc w:val="right"/>
    </w:pPr>
    <w:rPr>
      <w:rFonts w:ascii="Calibri" w:hAnsi="Calibri" w:cs="Arial"/>
      <w:lang w:eastAsia="en-AU"/>
    </w:rPr>
  </w:style>
  <w:style w:type="character" w:customStyle="1" w:styleId="MinorOVRHeaderChar">
    <w:name w:val="Minor OVR Header Char"/>
    <w:basedOn w:val="DefaultParagraphFont"/>
    <w:link w:val="MinorOVRHeader"/>
    <w:rsid w:val="001B7FEE"/>
    <w:rPr>
      <w:rFonts w:ascii="Calibri" w:hAnsi="Calibri" w:cs="Arial"/>
      <w:sz w:val="24"/>
      <w:szCs w:val="24"/>
      <w:lang w:eastAsia="en-AU"/>
    </w:rPr>
  </w:style>
  <w:style w:type="paragraph" w:styleId="NormalWeb">
    <w:name w:val="Normal (Web)"/>
    <w:basedOn w:val="Normal"/>
    <w:uiPriority w:val="99"/>
    <w:semiHidden/>
    <w:unhideWhenUsed/>
    <w:rsid w:val="00587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0649">
      <w:bodyDiv w:val="1"/>
      <w:marLeft w:val="0"/>
      <w:marRight w:val="0"/>
      <w:marTop w:val="0"/>
      <w:marBottom w:val="0"/>
      <w:divBdr>
        <w:top w:val="none" w:sz="0" w:space="0" w:color="auto"/>
        <w:left w:val="none" w:sz="0" w:space="0" w:color="auto"/>
        <w:bottom w:val="none" w:sz="0" w:space="0" w:color="auto"/>
        <w:right w:val="none" w:sz="0" w:space="0" w:color="auto"/>
      </w:divBdr>
    </w:div>
    <w:div w:id="740754393">
      <w:bodyDiv w:val="1"/>
      <w:marLeft w:val="0"/>
      <w:marRight w:val="0"/>
      <w:marTop w:val="0"/>
      <w:marBottom w:val="0"/>
      <w:divBdr>
        <w:top w:val="none" w:sz="0" w:space="0" w:color="auto"/>
        <w:left w:val="none" w:sz="0" w:space="0" w:color="auto"/>
        <w:bottom w:val="none" w:sz="0" w:space="0" w:color="auto"/>
        <w:right w:val="none" w:sz="0" w:space="0" w:color="auto"/>
      </w:divBdr>
    </w:div>
    <w:div w:id="917863331">
      <w:bodyDiv w:val="1"/>
      <w:marLeft w:val="0"/>
      <w:marRight w:val="0"/>
      <w:marTop w:val="0"/>
      <w:marBottom w:val="0"/>
      <w:divBdr>
        <w:top w:val="none" w:sz="0" w:space="0" w:color="auto"/>
        <w:left w:val="none" w:sz="0" w:space="0" w:color="auto"/>
        <w:bottom w:val="none" w:sz="0" w:space="0" w:color="auto"/>
        <w:right w:val="none" w:sz="0" w:space="0" w:color="auto"/>
      </w:divBdr>
    </w:div>
    <w:div w:id="1035689106">
      <w:bodyDiv w:val="1"/>
      <w:marLeft w:val="0"/>
      <w:marRight w:val="0"/>
      <w:marTop w:val="0"/>
      <w:marBottom w:val="0"/>
      <w:divBdr>
        <w:top w:val="none" w:sz="0" w:space="0" w:color="auto"/>
        <w:left w:val="none" w:sz="0" w:space="0" w:color="auto"/>
        <w:bottom w:val="none" w:sz="0" w:space="0" w:color="auto"/>
        <w:right w:val="none" w:sz="0" w:space="0" w:color="auto"/>
      </w:divBdr>
    </w:div>
    <w:div w:id="10700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reviews/public-consultation-on-the-post-market-review-of-medici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pbs.gov.au/info/reviews/public-consultation-on-the-post-market-review-of-medicines"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VAR</c:v>
                </c:pt>
              </c:strCache>
            </c:strRef>
          </c:tx>
          <c:spPr>
            <a:ln w="28575" cap="rnd">
              <a:solidFill>
                <a:schemeClr val="accent1"/>
              </a:solidFill>
              <a:round/>
            </a:ln>
            <a:effectLst/>
          </c:spPr>
          <c:marker>
            <c:symbol val="none"/>
          </c:marker>
          <c:cat>
            <c:numRef>
              <c:f>Sheet1!$A$2:$A$27</c:f>
              <c:numCache>
                <c:formatCode>mmm\-yy</c:formatCode>
                <c:ptCount val="26"/>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numCache>
            </c:numRef>
          </c:cat>
          <c:val>
            <c:numRef>
              <c:f>Sheet1!$B$2:$B$27</c:f>
              <c:numCache>
                <c:formatCode>#,##0</c:formatCode>
                <c:ptCount val="26"/>
                <c:pt idx="0">
                  <c:v>27003</c:v>
                </c:pt>
                <c:pt idx="1">
                  <c:v>26917</c:v>
                </c:pt>
                <c:pt idx="2">
                  <c:v>26242</c:v>
                </c:pt>
                <c:pt idx="3">
                  <c:v>26790</c:v>
                </c:pt>
                <c:pt idx="4">
                  <c:v>22069</c:v>
                </c:pt>
                <c:pt idx="5">
                  <c:v>22490</c:v>
                </c:pt>
                <c:pt idx="6">
                  <c:v>26391</c:v>
                </c:pt>
                <c:pt idx="7">
                  <c:v>24893</c:v>
                </c:pt>
                <c:pt idx="8">
                  <c:v>24523</c:v>
                </c:pt>
                <c:pt idx="9">
                  <c:v>27793</c:v>
                </c:pt>
                <c:pt idx="10">
                  <c:v>26198</c:v>
                </c:pt>
                <c:pt idx="11">
                  <c:v>24411</c:v>
                </c:pt>
                <c:pt idx="12">
                  <c:v>25541</c:v>
                </c:pt>
                <c:pt idx="13">
                  <c:v>25194</c:v>
                </c:pt>
                <c:pt idx="14">
                  <c:v>21713</c:v>
                </c:pt>
                <c:pt idx="15">
                  <c:v>23298</c:v>
                </c:pt>
                <c:pt idx="16">
                  <c:v>22003</c:v>
                </c:pt>
                <c:pt idx="17">
                  <c:v>20575</c:v>
                </c:pt>
                <c:pt idx="18">
                  <c:v>19615</c:v>
                </c:pt>
                <c:pt idx="19">
                  <c:v>9266</c:v>
                </c:pt>
                <c:pt idx="20">
                  <c:v>3138</c:v>
                </c:pt>
                <c:pt idx="21">
                  <c:v>1312</c:v>
                </c:pt>
                <c:pt idx="22">
                  <c:v>1103</c:v>
                </c:pt>
                <c:pt idx="23">
                  <c:v>1021</c:v>
                </c:pt>
                <c:pt idx="24" formatCode="General">
                  <c:v>635</c:v>
                </c:pt>
                <c:pt idx="25" formatCode="General">
                  <c:v>491</c:v>
                </c:pt>
              </c:numCache>
            </c:numRef>
          </c:val>
          <c:smooth val="0"/>
          <c:extLst>
            <c:ext xmlns:c16="http://schemas.microsoft.com/office/drawing/2014/chart" uri="{C3380CC4-5D6E-409C-BE32-E72D297353CC}">
              <c16:uniqueId val="{00000000-C30A-4557-AA5F-D5857687CE58}"/>
            </c:ext>
          </c:extLst>
        </c:ser>
        <c:ser>
          <c:idx val="1"/>
          <c:order val="1"/>
          <c:tx>
            <c:strRef>
              <c:f>Sheet1!$C$1</c:f>
              <c:strCache>
                <c:ptCount val="1"/>
                <c:pt idx="0">
                  <c:v>NRT</c:v>
                </c:pt>
              </c:strCache>
            </c:strRef>
          </c:tx>
          <c:spPr>
            <a:ln w="28575" cap="rnd">
              <a:solidFill>
                <a:schemeClr val="accent2"/>
              </a:solidFill>
              <a:round/>
            </a:ln>
            <a:effectLst/>
          </c:spPr>
          <c:marker>
            <c:symbol val="none"/>
          </c:marker>
          <c:cat>
            <c:numRef>
              <c:f>Sheet1!$A$2:$A$27</c:f>
              <c:numCache>
                <c:formatCode>mmm\-yy</c:formatCode>
                <c:ptCount val="26"/>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numCache>
            </c:numRef>
          </c:cat>
          <c:val>
            <c:numRef>
              <c:f>Sheet1!$C$2:$C$27</c:f>
              <c:numCache>
                <c:formatCode>#,##0</c:formatCode>
                <c:ptCount val="26"/>
                <c:pt idx="0">
                  <c:v>21423</c:v>
                </c:pt>
                <c:pt idx="1">
                  <c:v>18894</c:v>
                </c:pt>
                <c:pt idx="2">
                  <c:v>19723</c:v>
                </c:pt>
                <c:pt idx="3">
                  <c:v>20221</c:v>
                </c:pt>
                <c:pt idx="4">
                  <c:v>16217</c:v>
                </c:pt>
                <c:pt idx="5">
                  <c:v>16670</c:v>
                </c:pt>
                <c:pt idx="6">
                  <c:v>19623</c:v>
                </c:pt>
                <c:pt idx="7">
                  <c:v>18931</c:v>
                </c:pt>
                <c:pt idx="8">
                  <c:v>18690</c:v>
                </c:pt>
                <c:pt idx="9">
                  <c:v>20957</c:v>
                </c:pt>
                <c:pt idx="10">
                  <c:v>20980</c:v>
                </c:pt>
                <c:pt idx="11">
                  <c:v>21158</c:v>
                </c:pt>
                <c:pt idx="12">
                  <c:v>20707</c:v>
                </c:pt>
                <c:pt idx="13">
                  <c:v>18122</c:v>
                </c:pt>
                <c:pt idx="14">
                  <c:v>17032</c:v>
                </c:pt>
                <c:pt idx="15">
                  <c:v>17633</c:v>
                </c:pt>
                <c:pt idx="16">
                  <c:v>17838</c:v>
                </c:pt>
                <c:pt idx="17">
                  <c:v>16855</c:v>
                </c:pt>
                <c:pt idx="18">
                  <c:v>18994</c:v>
                </c:pt>
                <c:pt idx="19">
                  <c:v>17614</c:v>
                </c:pt>
                <c:pt idx="20">
                  <c:v>18216</c:v>
                </c:pt>
                <c:pt idx="21">
                  <c:v>18551</c:v>
                </c:pt>
                <c:pt idx="22">
                  <c:v>18315</c:v>
                </c:pt>
                <c:pt idx="23">
                  <c:v>19943</c:v>
                </c:pt>
                <c:pt idx="24">
                  <c:v>18240</c:v>
                </c:pt>
                <c:pt idx="25">
                  <c:v>14557</c:v>
                </c:pt>
              </c:numCache>
            </c:numRef>
          </c:val>
          <c:smooth val="0"/>
          <c:extLst>
            <c:ext xmlns:c16="http://schemas.microsoft.com/office/drawing/2014/chart" uri="{C3380CC4-5D6E-409C-BE32-E72D297353CC}">
              <c16:uniqueId val="{00000001-C30A-4557-AA5F-D5857687CE58}"/>
            </c:ext>
          </c:extLst>
        </c:ser>
        <c:ser>
          <c:idx val="2"/>
          <c:order val="2"/>
          <c:tx>
            <c:strRef>
              <c:f>Sheet1!$D$1</c:f>
              <c:strCache>
                <c:ptCount val="1"/>
                <c:pt idx="0">
                  <c:v>BUP</c:v>
                </c:pt>
              </c:strCache>
            </c:strRef>
          </c:tx>
          <c:spPr>
            <a:ln w="28575" cap="rnd">
              <a:solidFill>
                <a:schemeClr val="accent3"/>
              </a:solidFill>
              <a:round/>
            </a:ln>
            <a:effectLst/>
          </c:spPr>
          <c:marker>
            <c:symbol val="none"/>
          </c:marker>
          <c:cat>
            <c:numRef>
              <c:f>Sheet1!$A$2:$A$27</c:f>
              <c:numCache>
                <c:formatCode>mmm\-yy</c:formatCode>
                <c:ptCount val="26"/>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numCache>
            </c:numRef>
          </c:cat>
          <c:val>
            <c:numRef>
              <c:f>Sheet1!$D$2:$D$27</c:f>
              <c:numCache>
                <c:formatCode>General</c:formatCode>
                <c:ptCount val="26"/>
                <c:pt idx="0">
                  <c:v>750</c:v>
                </c:pt>
                <c:pt idx="1">
                  <c:v>928</c:v>
                </c:pt>
                <c:pt idx="2">
                  <c:v>679</c:v>
                </c:pt>
                <c:pt idx="3">
                  <c:v>535</c:v>
                </c:pt>
                <c:pt idx="4">
                  <c:v>273</c:v>
                </c:pt>
                <c:pt idx="5">
                  <c:v>389</c:v>
                </c:pt>
                <c:pt idx="6" formatCode="#,##0">
                  <c:v>1372</c:v>
                </c:pt>
                <c:pt idx="7" formatCode="#,##0">
                  <c:v>1970</c:v>
                </c:pt>
                <c:pt idx="8" formatCode="#,##0">
                  <c:v>2027</c:v>
                </c:pt>
                <c:pt idx="9" formatCode="#,##0">
                  <c:v>2068</c:v>
                </c:pt>
                <c:pt idx="10" formatCode="#,##0">
                  <c:v>2123</c:v>
                </c:pt>
                <c:pt idx="11" formatCode="#,##0">
                  <c:v>1976</c:v>
                </c:pt>
                <c:pt idx="12" formatCode="#,##0">
                  <c:v>2007</c:v>
                </c:pt>
                <c:pt idx="13" formatCode="#,##0">
                  <c:v>2044</c:v>
                </c:pt>
                <c:pt idx="14" formatCode="#,##0">
                  <c:v>1852</c:v>
                </c:pt>
                <c:pt idx="15" formatCode="#,##0">
                  <c:v>2032</c:v>
                </c:pt>
                <c:pt idx="16" formatCode="#,##0">
                  <c:v>2030</c:v>
                </c:pt>
                <c:pt idx="17" formatCode="#,##0">
                  <c:v>1926</c:v>
                </c:pt>
                <c:pt idx="18" formatCode="#,##0">
                  <c:v>2197</c:v>
                </c:pt>
                <c:pt idx="19" formatCode="#,##0">
                  <c:v>3393</c:v>
                </c:pt>
                <c:pt idx="20" formatCode="#,##0">
                  <c:v>5159</c:v>
                </c:pt>
                <c:pt idx="21" formatCode="#,##0">
                  <c:v>6396</c:v>
                </c:pt>
                <c:pt idx="22" formatCode="#,##0">
                  <c:v>6112</c:v>
                </c:pt>
                <c:pt idx="23" formatCode="#,##0">
                  <c:v>6220</c:v>
                </c:pt>
                <c:pt idx="24" formatCode="#,##0">
                  <c:v>6570</c:v>
                </c:pt>
                <c:pt idx="25" formatCode="#,##0">
                  <c:v>6666</c:v>
                </c:pt>
              </c:numCache>
            </c:numRef>
          </c:val>
          <c:smooth val="0"/>
          <c:extLst>
            <c:ext xmlns:c16="http://schemas.microsoft.com/office/drawing/2014/chart" uri="{C3380CC4-5D6E-409C-BE32-E72D297353CC}">
              <c16:uniqueId val="{00000002-C30A-4557-AA5F-D5857687CE58}"/>
            </c:ext>
          </c:extLst>
        </c:ser>
        <c:dLbls>
          <c:showLegendKey val="0"/>
          <c:showVal val="0"/>
          <c:showCatName val="0"/>
          <c:showSerName val="0"/>
          <c:showPercent val="0"/>
          <c:showBubbleSize val="0"/>
        </c:dLbls>
        <c:smooth val="0"/>
        <c:axId val="984861904"/>
        <c:axId val="984860920"/>
      </c:lineChart>
      <c:dateAx>
        <c:axId val="98486190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4860920"/>
        <c:crosses val="autoZero"/>
        <c:auto val="1"/>
        <c:lblOffset val="100"/>
        <c:baseTimeUnit val="months"/>
      </c:dateAx>
      <c:valAx>
        <c:axId val="984860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486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4271C-E72E-4370-9A11-BAD352B8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5410</Words>
  <Characters>30838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2022-12-12T01:52:00Z</dcterms:created>
  <dcterms:modified xsi:type="dcterms:W3CDTF">2022-12-14T02:33:00Z</dcterms:modified>
</cp:coreProperties>
</file>