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8E1" w:rsidRDefault="008428E1" w:rsidP="002E61EB">
      <w:pPr>
        <w:spacing w:after="240"/>
        <w:jc w:val="center"/>
        <w:rPr>
          <w:b/>
          <w:sz w:val="52"/>
          <w:szCs w:val="52"/>
        </w:rPr>
      </w:pPr>
    </w:p>
    <w:p w:rsidR="008428E1" w:rsidRDefault="008428E1" w:rsidP="002E61EB">
      <w:pPr>
        <w:spacing w:after="240"/>
        <w:jc w:val="center"/>
        <w:rPr>
          <w:b/>
          <w:sz w:val="52"/>
          <w:szCs w:val="52"/>
        </w:rPr>
      </w:pPr>
    </w:p>
    <w:p w:rsidR="008428E1" w:rsidRDefault="008428E1" w:rsidP="002E61EB">
      <w:pPr>
        <w:spacing w:after="240"/>
        <w:jc w:val="center"/>
        <w:rPr>
          <w:b/>
          <w:sz w:val="52"/>
          <w:szCs w:val="52"/>
        </w:rPr>
      </w:pPr>
    </w:p>
    <w:p w:rsidR="008428E1" w:rsidRDefault="008428E1" w:rsidP="002E61EB">
      <w:pPr>
        <w:spacing w:after="240"/>
        <w:jc w:val="center"/>
        <w:rPr>
          <w:b/>
          <w:sz w:val="52"/>
          <w:szCs w:val="52"/>
        </w:rPr>
      </w:pPr>
    </w:p>
    <w:p w:rsidR="008428E1" w:rsidRDefault="008428E1" w:rsidP="002E61EB">
      <w:pPr>
        <w:spacing w:after="240"/>
        <w:jc w:val="center"/>
        <w:rPr>
          <w:b/>
          <w:sz w:val="52"/>
          <w:szCs w:val="52"/>
        </w:rPr>
      </w:pPr>
    </w:p>
    <w:p w:rsidR="002E61EB" w:rsidRPr="00FE1642" w:rsidRDefault="002E61EB" w:rsidP="0009206C">
      <w:pPr>
        <w:spacing w:after="240"/>
        <w:jc w:val="center"/>
        <w:rPr>
          <w:b/>
          <w:sz w:val="52"/>
          <w:szCs w:val="52"/>
        </w:rPr>
      </w:pPr>
      <w:r w:rsidRPr="00FE1642">
        <w:rPr>
          <w:b/>
          <w:sz w:val="52"/>
          <w:szCs w:val="52"/>
        </w:rPr>
        <w:t>Pharmaceutical Benefits Scheme</w:t>
      </w:r>
    </w:p>
    <w:p w:rsidR="002E61EB" w:rsidRPr="00FE1642" w:rsidRDefault="002E61EB" w:rsidP="002E61EB">
      <w:pPr>
        <w:spacing w:before="480" w:after="240"/>
        <w:jc w:val="center"/>
        <w:rPr>
          <w:b/>
          <w:sz w:val="40"/>
          <w:szCs w:val="40"/>
        </w:rPr>
      </w:pPr>
      <w:r w:rsidRPr="00FE1642">
        <w:rPr>
          <w:b/>
          <w:sz w:val="40"/>
          <w:szCs w:val="40"/>
        </w:rPr>
        <w:t>Post-market Review</w:t>
      </w:r>
    </w:p>
    <w:p w:rsidR="00C56D46" w:rsidRPr="00C820C1" w:rsidRDefault="00C56D46" w:rsidP="00C56D46">
      <w:pPr>
        <w:spacing w:before="480" w:after="240"/>
        <w:jc w:val="center"/>
        <w:rPr>
          <w:b/>
          <w:color w:val="365F91" w:themeColor="accent1" w:themeShade="BF"/>
          <w:sz w:val="32"/>
          <w:szCs w:val="32"/>
        </w:rPr>
      </w:pPr>
      <w:r w:rsidRPr="00C820C1">
        <w:rPr>
          <w:b/>
          <w:color w:val="365F91" w:themeColor="accent1" w:themeShade="BF"/>
          <w:sz w:val="32"/>
          <w:szCs w:val="32"/>
        </w:rPr>
        <w:t xml:space="preserve">Post-market Review of Medicines </w:t>
      </w:r>
      <w:r>
        <w:rPr>
          <w:b/>
          <w:color w:val="365F91" w:themeColor="accent1" w:themeShade="BF"/>
          <w:sz w:val="32"/>
          <w:szCs w:val="32"/>
        </w:rPr>
        <w:t xml:space="preserve">Used </w:t>
      </w:r>
      <w:r w:rsidRPr="00C820C1">
        <w:rPr>
          <w:b/>
          <w:color w:val="365F91" w:themeColor="accent1" w:themeShade="BF"/>
          <w:sz w:val="32"/>
          <w:szCs w:val="32"/>
        </w:rPr>
        <w:t xml:space="preserve">for Smoking Cessation </w:t>
      </w:r>
    </w:p>
    <w:p w:rsidR="002E61EB" w:rsidRPr="00FE1642" w:rsidRDefault="002E61EB" w:rsidP="002E61EB">
      <w:pPr>
        <w:spacing w:before="240"/>
        <w:jc w:val="center"/>
        <w:rPr>
          <w:b/>
          <w:i/>
          <w:color w:val="365F91" w:themeColor="accent1" w:themeShade="BF"/>
          <w:sz w:val="28"/>
          <w:szCs w:val="28"/>
        </w:rPr>
      </w:pPr>
      <w:r w:rsidRPr="00FE1642">
        <w:rPr>
          <w:b/>
          <w:i/>
          <w:color w:val="365F91" w:themeColor="accent1" w:themeShade="BF"/>
          <w:sz w:val="28"/>
          <w:szCs w:val="28"/>
        </w:rPr>
        <w:t>Report to PBAC</w:t>
      </w:r>
    </w:p>
    <w:p w:rsidR="00C56D46" w:rsidRDefault="00C56D46" w:rsidP="002E61EB">
      <w:pPr>
        <w:spacing w:before="240"/>
        <w:jc w:val="center"/>
        <w:rPr>
          <w:b/>
          <w:i/>
          <w:color w:val="365F91" w:themeColor="accent1" w:themeShade="BF"/>
          <w:sz w:val="28"/>
          <w:szCs w:val="28"/>
        </w:rPr>
      </w:pPr>
    </w:p>
    <w:p w:rsidR="00C56D46" w:rsidRDefault="00C56D46" w:rsidP="002E61EB">
      <w:pPr>
        <w:spacing w:before="240"/>
        <w:jc w:val="center"/>
        <w:rPr>
          <w:b/>
          <w:i/>
          <w:color w:val="365F91" w:themeColor="accent1" w:themeShade="BF"/>
          <w:sz w:val="28"/>
          <w:szCs w:val="28"/>
        </w:rPr>
      </w:pPr>
    </w:p>
    <w:p w:rsidR="008428E1" w:rsidRDefault="000F482F" w:rsidP="008428E1">
      <w:pPr>
        <w:spacing w:before="240"/>
        <w:jc w:val="center"/>
        <w:rPr>
          <w:b/>
          <w:i/>
          <w:color w:val="365F91" w:themeColor="accent1" w:themeShade="BF"/>
          <w:sz w:val="28"/>
          <w:szCs w:val="28"/>
        </w:rPr>
      </w:pPr>
      <w:r>
        <w:rPr>
          <w:b/>
          <w:i/>
          <w:color w:val="365F91" w:themeColor="accent1" w:themeShade="BF"/>
          <w:sz w:val="28"/>
          <w:szCs w:val="28"/>
        </w:rPr>
        <w:t>Report S</w:t>
      </w:r>
      <w:r w:rsidR="002E61EB" w:rsidRPr="00FE1642">
        <w:rPr>
          <w:b/>
          <w:i/>
          <w:color w:val="365F91" w:themeColor="accent1" w:themeShade="BF"/>
          <w:sz w:val="28"/>
          <w:szCs w:val="28"/>
        </w:rPr>
        <w:t>ummary</w:t>
      </w:r>
      <w:r>
        <w:rPr>
          <w:b/>
          <w:i/>
          <w:color w:val="365F91" w:themeColor="accent1" w:themeShade="BF"/>
          <w:sz w:val="28"/>
          <w:szCs w:val="28"/>
        </w:rPr>
        <w:t xml:space="preserve"> and Options for PBAC consideration</w:t>
      </w:r>
    </w:p>
    <w:p w:rsidR="00C625C0" w:rsidRPr="008428E1" w:rsidRDefault="008428E1" w:rsidP="008428E1">
      <w:pPr>
        <w:spacing w:line="276" w:lineRule="auto"/>
        <w:rPr>
          <w:b/>
          <w:i/>
          <w:color w:val="365F91" w:themeColor="accent1" w:themeShade="BF"/>
          <w:sz w:val="28"/>
          <w:szCs w:val="28"/>
        </w:rPr>
      </w:pPr>
      <w:r>
        <w:rPr>
          <w:b/>
          <w:i/>
          <w:color w:val="365F91" w:themeColor="accent1" w:themeShade="BF"/>
          <w:sz w:val="28"/>
          <w:szCs w:val="28"/>
        </w:rPr>
        <w:br w:type="page"/>
      </w:r>
    </w:p>
    <w:sdt>
      <w:sdtPr>
        <w:rPr>
          <w:rFonts w:eastAsiaTheme="minorHAnsi" w:cstheme="minorHAnsi"/>
          <w:b w:val="0"/>
          <w:bCs w:val="0"/>
          <w:color w:val="auto"/>
          <w:sz w:val="24"/>
          <w:szCs w:val="22"/>
          <w:lang w:val="en-AU" w:eastAsia="en-AU"/>
        </w:rPr>
        <w:id w:val="-250509964"/>
        <w:docPartObj>
          <w:docPartGallery w:val="Table of Contents"/>
          <w:docPartUnique/>
        </w:docPartObj>
      </w:sdtPr>
      <w:sdtEndPr>
        <w:rPr>
          <w:noProof/>
        </w:rPr>
      </w:sdtEndPr>
      <w:sdtContent>
        <w:p w:rsidR="005F16EA" w:rsidRDefault="005F16EA">
          <w:pPr>
            <w:pStyle w:val="TOCHeading"/>
          </w:pPr>
          <w:r>
            <w:t>Contents</w:t>
          </w:r>
        </w:p>
        <w:p w:rsidR="00DE31A5" w:rsidRDefault="00DE31A5">
          <w:pPr>
            <w:pStyle w:val="TOC1"/>
            <w:tabs>
              <w:tab w:val="right" w:leader="dot" w:pos="9016"/>
            </w:tabs>
            <w:rPr>
              <w:rFonts w:eastAsiaTheme="minorEastAsia" w:cstheme="minorBidi"/>
              <w:noProof/>
              <w:sz w:val="22"/>
            </w:rPr>
          </w:pPr>
          <w:r w:rsidRPr="005C09E7">
            <w:rPr>
              <w:noProof/>
            </w:rPr>
            <w:t>Abbreviations</w:t>
          </w:r>
          <w:r>
            <w:rPr>
              <w:noProof/>
              <w:webHidden/>
            </w:rPr>
            <w:tab/>
            <w:t>4</w:t>
          </w:r>
        </w:p>
        <w:p w:rsidR="00DE31A5" w:rsidRDefault="00DE31A5">
          <w:pPr>
            <w:pStyle w:val="TOC1"/>
            <w:tabs>
              <w:tab w:val="right" w:leader="dot" w:pos="9016"/>
            </w:tabs>
            <w:rPr>
              <w:rFonts w:eastAsiaTheme="minorEastAsia" w:cstheme="minorBidi"/>
              <w:noProof/>
              <w:sz w:val="22"/>
            </w:rPr>
          </w:pPr>
          <w:r w:rsidRPr="005C09E7">
            <w:rPr>
              <w:noProof/>
            </w:rPr>
            <w:t>Acknowledgements</w:t>
          </w:r>
          <w:r>
            <w:rPr>
              <w:noProof/>
              <w:webHidden/>
            </w:rPr>
            <w:tab/>
            <w:t>5</w:t>
          </w:r>
        </w:p>
        <w:p w:rsidR="00DE31A5" w:rsidRDefault="00DE31A5">
          <w:pPr>
            <w:pStyle w:val="TOC1"/>
            <w:tabs>
              <w:tab w:val="right" w:leader="dot" w:pos="9016"/>
            </w:tabs>
            <w:rPr>
              <w:rFonts w:eastAsiaTheme="minorEastAsia" w:cstheme="minorBidi"/>
              <w:noProof/>
              <w:sz w:val="22"/>
            </w:rPr>
          </w:pPr>
          <w:r w:rsidRPr="005C09E7">
            <w:rPr>
              <w:noProof/>
            </w:rPr>
            <w:t>Report Summary</w:t>
          </w:r>
          <w:r>
            <w:rPr>
              <w:noProof/>
              <w:webHidden/>
            </w:rPr>
            <w:tab/>
            <w:t>6</w:t>
          </w:r>
        </w:p>
        <w:p w:rsidR="00DE31A5" w:rsidRDefault="00DE31A5">
          <w:pPr>
            <w:pStyle w:val="TOC2"/>
            <w:tabs>
              <w:tab w:val="right" w:leader="dot" w:pos="9016"/>
            </w:tabs>
            <w:rPr>
              <w:rFonts w:eastAsiaTheme="minorEastAsia" w:cstheme="minorBidi"/>
              <w:noProof/>
              <w:sz w:val="22"/>
            </w:rPr>
          </w:pPr>
          <w:r w:rsidRPr="005C09E7">
            <w:rPr>
              <w:noProof/>
            </w:rPr>
            <w:t>Background and context</w:t>
          </w:r>
          <w:r>
            <w:rPr>
              <w:noProof/>
              <w:webHidden/>
            </w:rPr>
            <w:tab/>
            <w:t>6</w:t>
          </w:r>
        </w:p>
        <w:p w:rsidR="00DE31A5" w:rsidRDefault="00DE31A5">
          <w:pPr>
            <w:pStyle w:val="TOC2"/>
            <w:tabs>
              <w:tab w:val="right" w:leader="dot" w:pos="9016"/>
            </w:tabs>
            <w:rPr>
              <w:rFonts w:eastAsiaTheme="minorEastAsia" w:cstheme="minorBidi"/>
              <w:noProof/>
              <w:sz w:val="22"/>
            </w:rPr>
          </w:pPr>
          <w:r w:rsidRPr="005C09E7">
            <w:rPr>
              <w:noProof/>
            </w:rPr>
            <w:t>Review Terms of Reference</w:t>
          </w:r>
          <w:r>
            <w:rPr>
              <w:noProof/>
              <w:webHidden/>
            </w:rPr>
            <w:tab/>
            <w:t>8</w:t>
          </w:r>
        </w:p>
        <w:p w:rsidR="00DE31A5" w:rsidRDefault="00DE31A5">
          <w:pPr>
            <w:pStyle w:val="TOC2"/>
            <w:tabs>
              <w:tab w:val="right" w:leader="dot" w:pos="9016"/>
            </w:tabs>
            <w:rPr>
              <w:rFonts w:eastAsiaTheme="minorEastAsia" w:cstheme="minorBidi"/>
              <w:noProof/>
              <w:sz w:val="22"/>
            </w:rPr>
          </w:pPr>
          <w:r w:rsidRPr="005C09E7">
            <w:rPr>
              <w:noProof/>
            </w:rPr>
            <w:t>Structure and approach to the report</w:t>
          </w:r>
          <w:r>
            <w:rPr>
              <w:noProof/>
              <w:webHidden/>
            </w:rPr>
            <w:tab/>
            <w:t>8</w:t>
          </w:r>
        </w:p>
        <w:p w:rsidR="00DE31A5" w:rsidRDefault="00DE31A5">
          <w:pPr>
            <w:pStyle w:val="TOC2"/>
            <w:tabs>
              <w:tab w:val="right" w:leader="dot" w:pos="9016"/>
            </w:tabs>
            <w:rPr>
              <w:rFonts w:eastAsiaTheme="minorEastAsia" w:cstheme="minorBidi"/>
              <w:noProof/>
              <w:sz w:val="22"/>
            </w:rPr>
          </w:pPr>
          <w:r w:rsidRPr="005C09E7">
            <w:rPr>
              <w:noProof/>
            </w:rPr>
            <w:t>Stakeholder consultation</w:t>
          </w:r>
          <w:r>
            <w:rPr>
              <w:noProof/>
              <w:webHidden/>
            </w:rPr>
            <w:tab/>
            <w:t>8</w:t>
          </w:r>
        </w:p>
        <w:p w:rsidR="00DE31A5" w:rsidRDefault="00DE31A5">
          <w:pPr>
            <w:pStyle w:val="TOC1"/>
            <w:tabs>
              <w:tab w:val="right" w:leader="dot" w:pos="9016"/>
            </w:tabs>
            <w:rPr>
              <w:rFonts w:eastAsiaTheme="minorEastAsia" w:cstheme="minorBidi"/>
              <w:noProof/>
              <w:sz w:val="22"/>
            </w:rPr>
          </w:pPr>
          <w:r w:rsidRPr="005C09E7">
            <w:rPr>
              <w:noProof/>
            </w:rPr>
            <w:t>Key Review findings</w:t>
          </w:r>
          <w:r>
            <w:rPr>
              <w:noProof/>
              <w:webHidden/>
            </w:rPr>
            <w:tab/>
            <w:t>10</w:t>
          </w:r>
        </w:p>
        <w:p w:rsidR="00DE31A5" w:rsidRDefault="00DE31A5">
          <w:pPr>
            <w:pStyle w:val="TOC2"/>
            <w:tabs>
              <w:tab w:val="right" w:leader="dot" w:pos="9016"/>
            </w:tabs>
            <w:rPr>
              <w:rFonts w:eastAsiaTheme="minorEastAsia" w:cstheme="minorBidi"/>
              <w:noProof/>
              <w:sz w:val="22"/>
            </w:rPr>
          </w:pPr>
          <w:r w:rsidRPr="005C09E7">
            <w:rPr>
              <w:noProof/>
            </w:rPr>
            <w:t>ToR 1: Comparison of prescribing restrictions and clinical guidelines</w:t>
          </w:r>
          <w:r>
            <w:rPr>
              <w:noProof/>
              <w:webHidden/>
            </w:rPr>
            <w:tab/>
            <w:t>10</w:t>
          </w:r>
        </w:p>
        <w:p w:rsidR="00DE31A5" w:rsidRDefault="00DE31A5">
          <w:pPr>
            <w:pStyle w:val="TOC3"/>
            <w:tabs>
              <w:tab w:val="right" w:leader="dot" w:pos="9016"/>
            </w:tabs>
            <w:rPr>
              <w:rFonts w:eastAsiaTheme="minorEastAsia" w:cstheme="minorBidi"/>
              <w:noProof/>
              <w:sz w:val="22"/>
            </w:rPr>
          </w:pPr>
          <w:r w:rsidRPr="005C09E7">
            <w:rPr>
              <w:noProof/>
            </w:rPr>
            <w:t>1.1 Identify and compare relevant clinical guidelines including Australian, Health service and international guidelines</w:t>
          </w:r>
          <w:r>
            <w:rPr>
              <w:noProof/>
              <w:webHidden/>
            </w:rPr>
            <w:tab/>
            <w:t>10</w:t>
          </w:r>
        </w:p>
        <w:p w:rsidR="00DE31A5" w:rsidRDefault="00DE31A5">
          <w:pPr>
            <w:pStyle w:val="TOC3"/>
            <w:tabs>
              <w:tab w:val="right" w:leader="dot" w:pos="9016"/>
            </w:tabs>
            <w:rPr>
              <w:rFonts w:eastAsiaTheme="minorEastAsia" w:cstheme="minorBidi"/>
              <w:noProof/>
              <w:sz w:val="22"/>
            </w:rPr>
          </w:pPr>
          <w:r w:rsidRPr="005C09E7">
            <w:rPr>
              <w:noProof/>
            </w:rPr>
            <w:t>1.2 Compare TGA indications and PBS restrictions to the most clinically relevant clinical guidelines identified in 1.1</w:t>
          </w:r>
          <w:r>
            <w:rPr>
              <w:noProof/>
              <w:webHidden/>
            </w:rPr>
            <w:tab/>
            <w:t>11</w:t>
          </w:r>
        </w:p>
        <w:p w:rsidR="00DE31A5" w:rsidRDefault="00DE31A5">
          <w:pPr>
            <w:pStyle w:val="TOC3"/>
            <w:tabs>
              <w:tab w:val="right" w:leader="dot" w:pos="9016"/>
            </w:tabs>
            <w:rPr>
              <w:rFonts w:eastAsiaTheme="minorEastAsia" w:cstheme="minorBidi"/>
              <w:noProof/>
              <w:sz w:val="22"/>
            </w:rPr>
          </w:pPr>
          <w:r w:rsidRPr="005C09E7">
            <w:rPr>
              <w:noProof/>
            </w:rPr>
            <w:t>1.3 Review the most commonly recommended clinical assessment measure used to evaluate the severity of nicotine dependence</w:t>
          </w:r>
          <w:r>
            <w:rPr>
              <w:noProof/>
              <w:webHidden/>
            </w:rPr>
            <w:tab/>
            <w:t>12</w:t>
          </w:r>
        </w:p>
        <w:p w:rsidR="00DE31A5" w:rsidRDefault="00DE31A5">
          <w:pPr>
            <w:pStyle w:val="TOC3"/>
            <w:tabs>
              <w:tab w:val="right" w:leader="dot" w:pos="9016"/>
            </w:tabs>
            <w:rPr>
              <w:rFonts w:eastAsiaTheme="minorEastAsia" w:cstheme="minorBidi"/>
              <w:noProof/>
              <w:sz w:val="22"/>
            </w:rPr>
          </w:pPr>
          <w:r w:rsidRPr="005C09E7">
            <w:rPr>
              <w:noProof/>
            </w:rPr>
            <w:t>1.4 Stakeholder views (Forum and public consultations)</w:t>
          </w:r>
          <w:r>
            <w:rPr>
              <w:noProof/>
              <w:webHidden/>
            </w:rPr>
            <w:tab/>
            <w:t>12</w:t>
          </w:r>
        </w:p>
        <w:p w:rsidR="00DE31A5" w:rsidRDefault="00DE31A5">
          <w:pPr>
            <w:pStyle w:val="TOC2"/>
            <w:tabs>
              <w:tab w:val="right" w:leader="dot" w:pos="9016"/>
            </w:tabs>
            <w:rPr>
              <w:rFonts w:eastAsiaTheme="minorEastAsia" w:cstheme="minorBidi"/>
              <w:noProof/>
              <w:sz w:val="22"/>
            </w:rPr>
          </w:pPr>
          <w:r w:rsidRPr="005C09E7">
            <w:rPr>
              <w:noProof/>
            </w:rPr>
            <w:t>ToR 2: Analysis of utilisation of PBS-listed medicines for smoking cessation</w:t>
          </w:r>
          <w:r>
            <w:rPr>
              <w:noProof/>
              <w:webHidden/>
            </w:rPr>
            <w:tab/>
            <w:t>13</w:t>
          </w:r>
        </w:p>
        <w:p w:rsidR="00DE31A5" w:rsidRDefault="00DE31A5">
          <w:pPr>
            <w:pStyle w:val="TOC3"/>
            <w:tabs>
              <w:tab w:val="right" w:leader="dot" w:pos="9016"/>
            </w:tabs>
            <w:rPr>
              <w:rFonts w:eastAsiaTheme="minorEastAsia" w:cstheme="minorBidi"/>
              <w:noProof/>
              <w:sz w:val="22"/>
            </w:rPr>
          </w:pPr>
          <w:r w:rsidRPr="005C09E7">
            <w:rPr>
              <w:noProof/>
            </w:rPr>
            <w:t>2.1 Describe the overall trends in the utilisation and cost of smoking cessation medicines in Australia</w:t>
          </w:r>
          <w:r>
            <w:rPr>
              <w:noProof/>
              <w:webHidden/>
            </w:rPr>
            <w:tab/>
            <w:t>13</w:t>
          </w:r>
        </w:p>
        <w:p w:rsidR="00DE31A5" w:rsidRDefault="00DE31A5">
          <w:pPr>
            <w:pStyle w:val="TOC3"/>
            <w:tabs>
              <w:tab w:val="left" w:pos="1100"/>
              <w:tab w:val="right" w:leader="dot" w:pos="9016"/>
            </w:tabs>
            <w:rPr>
              <w:rFonts w:eastAsiaTheme="minorEastAsia" w:cstheme="minorBidi"/>
              <w:noProof/>
              <w:sz w:val="22"/>
            </w:rPr>
          </w:pPr>
          <w:r w:rsidRPr="005C09E7">
            <w:rPr>
              <w:noProof/>
            </w:rPr>
            <w:t>2.2</w:t>
          </w:r>
          <w:r>
            <w:rPr>
              <w:rFonts w:eastAsiaTheme="minorEastAsia" w:cstheme="minorBidi"/>
              <w:noProof/>
              <w:sz w:val="22"/>
            </w:rPr>
            <w:t xml:space="preserve"> </w:t>
          </w:r>
          <w:r w:rsidRPr="005C09E7">
            <w:rPr>
              <w:noProof/>
            </w:rPr>
            <w:t>Determine the prevalent and incident population treated with PBS listed medicines for smoking cessation.</w:t>
          </w:r>
          <w:r>
            <w:rPr>
              <w:noProof/>
              <w:webHidden/>
            </w:rPr>
            <w:tab/>
            <w:t>13</w:t>
          </w:r>
        </w:p>
        <w:p w:rsidR="00DE31A5" w:rsidRDefault="00DE31A5">
          <w:pPr>
            <w:pStyle w:val="TOC3"/>
            <w:tabs>
              <w:tab w:val="left" w:pos="1100"/>
              <w:tab w:val="right" w:leader="dot" w:pos="9016"/>
            </w:tabs>
            <w:rPr>
              <w:rFonts w:eastAsiaTheme="minorEastAsia" w:cstheme="minorBidi"/>
              <w:noProof/>
              <w:sz w:val="22"/>
            </w:rPr>
          </w:pPr>
          <w:r w:rsidRPr="005C09E7">
            <w:rPr>
              <w:noProof/>
            </w:rPr>
            <w:t>2.3</w:t>
          </w:r>
          <w:r>
            <w:rPr>
              <w:rFonts w:eastAsiaTheme="minorEastAsia" w:cstheme="minorBidi"/>
              <w:noProof/>
              <w:sz w:val="22"/>
            </w:rPr>
            <w:t xml:space="preserve"> </w:t>
          </w:r>
          <w:r w:rsidRPr="005C09E7">
            <w:rPr>
              <w:noProof/>
            </w:rPr>
            <w:t>Provide the most recent statistics on the prevalence of smoking in Australia</w:t>
          </w:r>
          <w:r>
            <w:rPr>
              <w:noProof/>
              <w:webHidden/>
            </w:rPr>
            <w:tab/>
            <w:t>13</w:t>
          </w:r>
        </w:p>
        <w:p w:rsidR="00DE31A5" w:rsidRDefault="00DE31A5">
          <w:pPr>
            <w:pStyle w:val="TOC3"/>
            <w:tabs>
              <w:tab w:val="right" w:leader="dot" w:pos="9016"/>
            </w:tabs>
            <w:rPr>
              <w:rFonts w:eastAsiaTheme="minorEastAsia" w:cstheme="minorBidi"/>
              <w:noProof/>
              <w:sz w:val="22"/>
            </w:rPr>
          </w:pPr>
          <w:r w:rsidRPr="005C09E7">
            <w:rPr>
              <w:noProof/>
            </w:rPr>
            <w:t>2.4 Prevalence of smoking cessation therapies under the PBS in specific populations</w:t>
          </w:r>
          <w:r>
            <w:rPr>
              <w:noProof/>
              <w:webHidden/>
            </w:rPr>
            <w:tab/>
            <w:t>14</w:t>
          </w:r>
        </w:p>
        <w:p w:rsidR="00DE31A5" w:rsidRDefault="00DE31A5">
          <w:pPr>
            <w:pStyle w:val="TOC3"/>
            <w:tabs>
              <w:tab w:val="left" w:pos="1100"/>
              <w:tab w:val="right" w:leader="dot" w:pos="9016"/>
            </w:tabs>
            <w:rPr>
              <w:rFonts w:eastAsiaTheme="minorEastAsia" w:cstheme="minorBidi"/>
              <w:noProof/>
              <w:sz w:val="22"/>
            </w:rPr>
          </w:pPr>
          <w:r w:rsidRPr="005C09E7">
            <w:rPr>
              <w:noProof/>
            </w:rPr>
            <w:t>2.5</w:t>
          </w:r>
          <w:r>
            <w:rPr>
              <w:rFonts w:eastAsiaTheme="minorEastAsia" w:cstheme="minorBidi"/>
              <w:noProof/>
              <w:sz w:val="22"/>
            </w:rPr>
            <w:t xml:space="preserve"> </w:t>
          </w:r>
          <w:r w:rsidRPr="005C09E7">
            <w:rPr>
              <w:noProof/>
            </w:rPr>
            <w:t>Estimates of specific populations of interest with access to smoking cessation therapies under the PBS</w:t>
          </w:r>
          <w:r>
            <w:rPr>
              <w:noProof/>
              <w:webHidden/>
            </w:rPr>
            <w:tab/>
            <w:t>14</w:t>
          </w:r>
        </w:p>
        <w:p w:rsidR="00DE31A5" w:rsidRDefault="00DE31A5">
          <w:pPr>
            <w:pStyle w:val="TOC3"/>
            <w:tabs>
              <w:tab w:val="left" w:pos="1100"/>
              <w:tab w:val="right" w:leader="dot" w:pos="9016"/>
            </w:tabs>
            <w:rPr>
              <w:rFonts w:eastAsiaTheme="minorEastAsia" w:cstheme="minorBidi"/>
              <w:noProof/>
              <w:sz w:val="22"/>
            </w:rPr>
          </w:pPr>
          <w:r w:rsidRPr="005C09E7">
            <w:rPr>
              <w:noProof/>
            </w:rPr>
            <w:t>2.6</w:t>
          </w:r>
          <w:r>
            <w:rPr>
              <w:rFonts w:eastAsiaTheme="minorEastAsia" w:cstheme="minorBidi"/>
              <w:noProof/>
              <w:sz w:val="22"/>
            </w:rPr>
            <w:t xml:space="preserve"> </w:t>
          </w:r>
          <w:r w:rsidRPr="005C09E7">
            <w:rPr>
              <w:noProof/>
            </w:rPr>
            <w:t>Number of therapies and length of treatment with smoking cessation medicines</w:t>
          </w:r>
          <w:r>
            <w:rPr>
              <w:noProof/>
              <w:webHidden/>
            </w:rPr>
            <w:tab/>
            <w:t>14</w:t>
          </w:r>
        </w:p>
        <w:p w:rsidR="00DE31A5" w:rsidRDefault="00DE31A5">
          <w:pPr>
            <w:pStyle w:val="TOC3"/>
            <w:tabs>
              <w:tab w:val="left" w:pos="1100"/>
              <w:tab w:val="right" w:leader="dot" w:pos="9016"/>
            </w:tabs>
            <w:rPr>
              <w:rFonts w:eastAsiaTheme="minorEastAsia" w:cstheme="minorBidi"/>
              <w:noProof/>
              <w:sz w:val="22"/>
            </w:rPr>
          </w:pPr>
          <w:r w:rsidRPr="005C09E7">
            <w:rPr>
              <w:noProof/>
            </w:rPr>
            <w:t>2.7</w:t>
          </w:r>
          <w:r>
            <w:rPr>
              <w:rFonts w:eastAsiaTheme="minorEastAsia" w:cstheme="minorBidi"/>
              <w:noProof/>
              <w:sz w:val="22"/>
            </w:rPr>
            <w:t xml:space="preserve"> </w:t>
          </w:r>
          <w:r w:rsidRPr="005C09E7">
            <w:rPr>
              <w:noProof/>
            </w:rPr>
            <w:t>Use of counselling services</w:t>
          </w:r>
          <w:r>
            <w:rPr>
              <w:noProof/>
              <w:webHidden/>
            </w:rPr>
            <w:tab/>
            <w:t>14</w:t>
          </w:r>
        </w:p>
        <w:p w:rsidR="00DE31A5" w:rsidRDefault="00DE31A5">
          <w:pPr>
            <w:pStyle w:val="TOC3"/>
            <w:tabs>
              <w:tab w:val="left" w:pos="1100"/>
              <w:tab w:val="right" w:leader="dot" w:pos="9016"/>
            </w:tabs>
            <w:rPr>
              <w:rFonts w:eastAsiaTheme="minorEastAsia" w:cstheme="minorBidi"/>
              <w:noProof/>
              <w:sz w:val="22"/>
            </w:rPr>
          </w:pPr>
          <w:r w:rsidRPr="005C09E7">
            <w:rPr>
              <w:noProof/>
            </w:rPr>
            <w:t>2.8</w:t>
          </w:r>
          <w:r>
            <w:rPr>
              <w:rFonts w:eastAsiaTheme="minorEastAsia" w:cstheme="minorBidi"/>
              <w:noProof/>
              <w:sz w:val="22"/>
            </w:rPr>
            <w:t xml:space="preserve"> </w:t>
          </w:r>
          <w:r w:rsidRPr="005C09E7">
            <w:rPr>
              <w:noProof/>
            </w:rPr>
            <w:t>Consistency with PBS restrictions</w:t>
          </w:r>
          <w:r>
            <w:rPr>
              <w:noProof/>
              <w:webHidden/>
            </w:rPr>
            <w:tab/>
            <w:t>15</w:t>
          </w:r>
        </w:p>
        <w:p w:rsidR="00DE31A5" w:rsidRDefault="00DE31A5">
          <w:pPr>
            <w:pStyle w:val="TOC3"/>
            <w:tabs>
              <w:tab w:val="right" w:leader="dot" w:pos="9016"/>
            </w:tabs>
            <w:rPr>
              <w:rFonts w:eastAsiaTheme="minorEastAsia" w:cstheme="minorBidi"/>
              <w:noProof/>
              <w:sz w:val="22"/>
            </w:rPr>
          </w:pPr>
          <w:r w:rsidRPr="005C09E7">
            <w:rPr>
              <w:noProof/>
            </w:rPr>
            <w:t>2.9 Stakeholder views (Forum and public consultations)</w:t>
          </w:r>
          <w:r>
            <w:rPr>
              <w:noProof/>
              <w:webHidden/>
            </w:rPr>
            <w:tab/>
            <w:t>15</w:t>
          </w:r>
        </w:p>
        <w:p w:rsidR="00DE31A5" w:rsidRDefault="00DE31A5">
          <w:pPr>
            <w:pStyle w:val="TOC2"/>
            <w:tabs>
              <w:tab w:val="right" w:leader="dot" w:pos="9016"/>
            </w:tabs>
            <w:rPr>
              <w:rFonts w:eastAsiaTheme="minorEastAsia" w:cstheme="minorBidi"/>
              <w:noProof/>
              <w:sz w:val="22"/>
            </w:rPr>
          </w:pPr>
          <w:r w:rsidRPr="005C09E7">
            <w:rPr>
              <w:noProof/>
            </w:rPr>
            <w:t>ToR 3: Efficacy and safety of nicotine replacement therapy, varenicline and bupropion for smoking cessation including combination therapies</w:t>
          </w:r>
          <w:r>
            <w:rPr>
              <w:noProof/>
              <w:webHidden/>
            </w:rPr>
            <w:tab/>
            <w:t>16</w:t>
          </w:r>
        </w:p>
        <w:p w:rsidR="00DE31A5" w:rsidRDefault="00DE31A5">
          <w:pPr>
            <w:pStyle w:val="TOC3"/>
            <w:tabs>
              <w:tab w:val="left" w:pos="1100"/>
              <w:tab w:val="right" w:leader="dot" w:pos="9016"/>
            </w:tabs>
            <w:rPr>
              <w:rFonts w:eastAsiaTheme="minorEastAsia" w:cstheme="minorBidi"/>
              <w:noProof/>
              <w:sz w:val="22"/>
            </w:rPr>
          </w:pPr>
          <w:r w:rsidRPr="005C09E7">
            <w:rPr>
              <w:noProof/>
            </w:rPr>
            <w:t>3.1</w:t>
          </w:r>
          <w:r>
            <w:rPr>
              <w:rFonts w:eastAsiaTheme="minorEastAsia" w:cstheme="minorBidi"/>
              <w:noProof/>
              <w:sz w:val="22"/>
            </w:rPr>
            <w:t xml:space="preserve"> </w:t>
          </w:r>
          <w:r w:rsidRPr="005C09E7">
            <w:rPr>
              <w:noProof/>
            </w:rPr>
            <w:t>Monotherapy in the general population</w:t>
          </w:r>
          <w:r>
            <w:rPr>
              <w:noProof/>
              <w:webHidden/>
            </w:rPr>
            <w:tab/>
            <w:t>16</w:t>
          </w:r>
        </w:p>
        <w:p w:rsidR="00DE31A5" w:rsidRDefault="00DE31A5">
          <w:pPr>
            <w:pStyle w:val="TOC3"/>
            <w:tabs>
              <w:tab w:val="right" w:leader="dot" w:pos="9016"/>
            </w:tabs>
            <w:rPr>
              <w:rFonts w:eastAsiaTheme="minorEastAsia" w:cstheme="minorBidi"/>
              <w:noProof/>
              <w:sz w:val="22"/>
            </w:rPr>
          </w:pPr>
          <w:r w:rsidRPr="005C09E7">
            <w:rPr>
              <w:noProof/>
            </w:rPr>
            <w:t>3.2 Combination therapy in the general population</w:t>
          </w:r>
          <w:r>
            <w:rPr>
              <w:noProof/>
              <w:webHidden/>
            </w:rPr>
            <w:tab/>
            <w:t>22</w:t>
          </w:r>
        </w:p>
        <w:p w:rsidR="00DE31A5" w:rsidRDefault="00DE31A5">
          <w:pPr>
            <w:pStyle w:val="TOC3"/>
            <w:tabs>
              <w:tab w:val="right" w:leader="dot" w:pos="9016"/>
            </w:tabs>
            <w:rPr>
              <w:rFonts w:eastAsiaTheme="minorEastAsia" w:cstheme="minorBidi"/>
              <w:noProof/>
              <w:sz w:val="22"/>
            </w:rPr>
          </w:pPr>
          <w:r w:rsidRPr="005C09E7">
            <w:rPr>
              <w:noProof/>
            </w:rPr>
            <w:t>3.3 NRT dose, dosage form and length of therapy</w:t>
          </w:r>
          <w:r>
            <w:rPr>
              <w:noProof/>
              <w:webHidden/>
            </w:rPr>
            <w:tab/>
            <w:t>26</w:t>
          </w:r>
        </w:p>
        <w:p w:rsidR="00DE31A5" w:rsidRDefault="00DE31A5">
          <w:pPr>
            <w:pStyle w:val="TOC3"/>
            <w:tabs>
              <w:tab w:val="right" w:leader="dot" w:pos="9016"/>
            </w:tabs>
            <w:rPr>
              <w:rFonts w:eastAsiaTheme="minorEastAsia" w:cstheme="minorBidi"/>
              <w:noProof/>
              <w:sz w:val="22"/>
            </w:rPr>
          </w:pPr>
          <w:r w:rsidRPr="005C09E7">
            <w:rPr>
              <w:noProof/>
            </w:rPr>
            <w:t>3.4 Behavioural interventions in combination with pharmacotherapies</w:t>
          </w:r>
          <w:r>
            <w:rPr>
              <w:noProof/>
              <w:webHidden/>
            </w:rPr>
            <w:tab/>
            <w:t>31</w:t>
          </w:r>
        </w:p>
        <w:p w:rsidR="00DE31A5" w:rsidRDefault="00DE31A5">
          <w:pPr>
            <w:pStyle w:val="TOC3"/>
            <w:tabs>
              <w:tab w:val="left" w:pos="1100"/>
              <w:tab w:val="right" w:leader="dot" w:pos="9016"/>
            </w:tabs>
            <w:rPr>
              <w:rFonts w:eastAsiaTheme="minorEastAsia" w:cstheme="minorBidi"/>
              <w:noProof/>
              <w:sz w:val="22"/>
            </w:rPr>
          </w:pPr>
          <w:r w:rsidRPr="005C09E7">
            <w:rPr>
              <w:noProof/>
            </w:rPr>
            <w:lastRenderedPageBreak/>
            <w:t>3.5</w:t>
          </w:r>
          <w:r>
            <w:rPr>
              <w:rFonts w:eastAsiaTheme="minorEastAsia" w:cstheme="minorBidi"/>
              <w:noProof/>
              <w:sz w:val="22"/>
            </w:rPr>
            <w:t xml:space="preserve"> </w:t>
          </w:r>
          <w:r w:rsidRPr="005C09E7">
            <w:rPr>
              <w:noProof/>
            </w:rPr>
            <w:t>Use in populations with specific needs</w:t>
          </w:r>
          <w:r>
            <w:rPr>
              <w:noProof/>
              <w:webHidden/>
            </w:rPr>
            <w:tab/>
            <w:t>32</w:t>
          </w:r>
        </w:p>
        <w:p w:rsidR="00DE31A5" w:rsidRDefault="00DE31A5">
          <w:pPr>
            <w:pStyle w:val="TOC3"/>
            <w:tabs>
              <w:tab w:val="left" w:pos="1100"/>
              <w:tab w:val="right" w:leader="dot" w:pos="9016"/>
            </w:tabs>
            <w:rPr>
              <w:rFonts w:eastAsiaTheme="minorEastAsia" w:cstheme="minorBidi"/>
              <w:noProof/>
              <w:sz w:val="22"/>
            </w:rPr>
          </w:pPr>
          <w:r w:rsidRPr="005C09E7">
            <w:rPr>
              <w:noProof/>
            </w:rPr>
            <w:t>3.6</w:t>
          </w:r>
          <w:r>
            <w:rPr>
              <w:rFonts w:eastAsiaTheme="minorEastAsia" w:cstheme="minorBidi"/>
              <w:noProof/>
              <w:sz w:val="22"/>
            </w:rPr>
            <w:t xml:space="preserve"> </w:t>
          </w:r>
          <w:r w:rsidRPr="005C09E7">
            <w:rPr>
              <w:noProof/>
            </w:rPr>
            <w:t>Stakeholder views (Forum and public consultations)</w:t>
          </w:r>
          <w:r>
            <w:rPr>
              <w:noProof/>
              <w:webHidden/>
            </w:rPr>
            <w:tab/>
            <w:t>34</w:t>
          </w:r>
        </w:p>
        <w:p w:rsidR="00DE31A5" w:rsidRDefault="00DE31A5">
          <w:pPr>
            <w:pStyle w:val="TOC2"/>
            <w:tabs>
              <w:tab w:val="right" w:leader="dot" w:pos="9016"/>
            </w:tabs>
            <w:rPr>
              <w:rFonts w:eastAsiaTheme="minorEastAsia" w:cstheme="minorBidi"/>
              <w:noProof/>
              <w:sz w:val="22"/>
            </w:rPr>
          </w:pPr>
          <w:r w:rsidRPr="005C09E7">
            <w:rPr>
              <w:noProof/>
            </w:rPr>
            <w:t>ToR 4: Subject to the findings of Terms of Reference 1, 2 and 3, review the cost-effectiveness of medicines for smoking cessation.</w:t>
          </w:r>
          <w:r>
            <w:rPr>
              <w:noProof/>
              <w:webHidden/>
            </w:rPr>
            <w:tab/>
            <w:t>35</w:t>
          </w:r>
        </w:p>
        <w:p w:rsidR="00DE31A5" w:rsidRDefault="00DE31A5">
          <w:pPr>
            <w:pStyle w:val="TOC3"/>
            <w:tabs>
              <w:tab w:val="left" w:pos="1100"/>
              <w:tab w:val="right" w:leader="dot" w:pos="9016"/>
            </w:tabs>
            <w:rPr>
              <w:rFonts w:eastAsiaTheme="minorEastAsia" w:cstheme="minorBidi"/>
              <w:noProof/>
              <w:sz w:val="22"/>
            </w:rPr>
          </w:pPr>
          <w:r w:rsidRPr="005C09E7">
            <w:rPr>
              <w:noProof/>
            </w:rPr>
            <w:t>4.1</w:t>
          </w:r>
          <w:r>
            <w:rPr>
              <w:rFonts w:eastAsiaTheme="minorEastAsia" w:cstheme="minorBidi"/>
              <w:noProof/>
              <w:sz w:val="22"/>
            </w:rPr>
            <w:t xml:space="preserve"> </w:t>
          </w:r>
          <w:r w:rsidRPr="005C09E7">
            <w:rPr>
              <w:noProof/>
            </w:rPr>
            <w:t>Stakeholder views (Public consultation and stakeholder forum)</w:t>
          </w:r>
          <w:r>
            <w:rPr>
              <w:noProof/>
              <w:webHidden/>
            </w:rPr>
            <w:tab/>
            <w:t>35</w:t>
          </w:r>
        </w:p>
        <w:p w:rsidR="00DE31A5" w:rsidRDefault="00DE31A5">
          <w:pPr>
            <w:pStyle w:val="TOC1"/>
            <w:tabs>
              <w:tab w:val="right" w:leader="dot" w:pos="9016"/>
            </w:tabs>
            <w:rPr>
              <w:rFonts w:eastAsiaTheme="minorEastAsia" w:cstheme="minorBidi"/>
              <w:noProof/>
              <w:sz w:val="22"/>
            </w:rPr>
          </w:pPr>
          <w:r w:rsidRPr="005C09E7">
            <w:rPr>
              <w:noProof/>
            </w:rPr>
            <w:t>Review Options</w:t>
          </w:r>
          <w:r>
            <w:rPr>
              <w:noProof/>
              <w:webHidden/>
            </w:rPr>
            <w:tab/>
            <w:t>35</w:t>
          </w:r>
        </w:p>
        <w:p w:rsidR="00DE31A5" w:rsidRDefault="00DE31A5">
          <w:pPr>
            <w:pStyle w:val="TOC3"/>
            <w:tabs>
              <w:tab w:val="right" w:leader="dot" w:pos="9016"/>
            </w:tabs>
            <w:rPr>
              <w:rFonts w:eastAsiaTheme="minorEastAsia" w:cstheme="minorBidi"/>
              <w:noProof/>
              <w:sz w:val="22"/>
            </w:rPr>
          </w:pPr>
          <w:r w:rsidRPr="005C09E7">
            <w:rPr>
              <w:noProof/>
            </w:rPr>
            <w:t>5.1 Option 1</w:t>
          </w:r>
          <w:r>
            <w:rPr>
              <w:noProof/>
              <w:webHidden/>
            </w:rPr>
            <w:tab/>
            <w:t>36</w:t>
          </w:r>
        </w:p>
        <w:p w:rsidR="00DE31A5" w:rsidRDefault="00DE31A5">
          <w:pPr>
            <w:pStyle w:val="TOC3"/>
            <w:tabs>
              <w:tab w:val="right" w:leader="dot" w:pos="9016"/>
            </w:tabs>
            <w:rPr>
              <w:rFonts w:eastAsiaTheme="minorEastAsia" w:cstheme="minorBidi"/>
              <w:noProof/>
              <w:sz w:val="22"/>
            </w:rPr>
          </w:pPr>
          <w:r w:rsidRPr="005C09E7">
            <w:rPr>
              <w:noProof/>
            </w:rPr>
            <w:t>5.2 Option 2</w:t>
          </w:r>
          <w:r>
            <w:rPr>
              <w:noProof/>
              <w:webHidden/>
            </w:rPr>
            <w:tab/>
            <w:t>37</w:t>
          </w:r>
        </w:p>
        <w:p w:rsidR="00DE31A5" w:rsidRDefault="00DE31A5">
          <w:pPr>
            <w:pStyle w:val="TOC3"/>
            <w:tabs>
              <w:tab w:val="right" w:leader="dot" w:pos="9016"/>
            </w:tabs>
            <w:rPr>
              <w:rFonts w:eastAsiaTheme="minorEastAsia" w:cstheme="minorBidi"/>
              <w:noProof/>
              <w:sz w:val="22"/>
            </w:rPr>
          </w:pPr>
          <w:r w:rsidRPr="005C09E7">
            <w:rPr>
              <w:noProof/>
            </w:rPr>
            <w:t>5.3 Option 3</w:t>
          </w:r>
          <w:r>
            <w:rPr>
              <w:noProof/>
              <w:webHidden/>
            </w:rPr>
            <w:tab/>
            <w:t>39</w:t>
          </w:r>
        </w:p>
        <w:p w:rsidR="00DE31A5" w:rsidRDefault="00DE31A5">
          <w:pPr>
            <w:pStyle w:val="TOC3"/>
            <w:tabs>
              <w:tab w:val="right" w:leader="dot" w:pos="9016"/>
            </w:tabs>
            <w:rPr>
              <w:rFonts w:eastAsiaTheme="minorEastAsia" w:cstheme="minorBidi"/>
              <w:noProof/>
              <w:sz w:val="22"/>
            </w:rPr>
          </w:pPr>
          <w:r w:rsidRPr="005C09E7">
            <w:rPr>
              <w:noProof/>
            </w:rPr>
            <w:t>5.4 Option 4</w:t>
          </w:r>
          <w:r>
            <w:rPr>
              <w:noProof/>
              <w:webHidden/>
            </w:rPr>
            <w:tab/>
            <w:t>40</w:t>
          </w:r>
        </w:p>
        <w:p w:rsidR="00DE31A5" w:rsidRDefault="00DE31A5">
          <w:pPr>
            <w:pStyle w:val="TOC3"/>
            <w:tabs>
              <w:tab w:val="right" w:leader="dot" w:pos="9016"/>
            </w:tabs>
            <w:rPr>
              <w:rFonts w:eastAsiaTheme="minorEastAsia" w:cstheme="minorBidi"/>
              <w:noProof/>
              <w:sz w:val="22"/>
            </w:rPr>
          </w:pPr>
          <w:r w:rsidRPr="005C09E7">
            <w:rPr>
              <w:noProof/>
            </w:rPr>
            <w:t>5.5 Option 5</w:t>
          </w:r>
          <w:r>
            <w:rPr>
              <w:noProof/>
              <w:webHidden/>
            </w:rPr>
            <w:tab/>
            <w:t>41</w:t>
          </w:r>
        </w:p>
        <w:p w:rsidR="00DE31A5" w:rsidRDefault="00DE31A5">
          <w:pPr>
            <w:pStyle w:val="TOC3"/>
            <w:tabs>
              <w:tab w:val="right" w:leader="dot" w:pos="9016"/>
            </w:tabs>
            <w:rPr>
              <w:rFonts w:eastAsiaTheme="minorEastAsia" w:cstheme="minorBidi"/>
              <w:noProof/>
              <w:sz w:val="22"/>
            </w:rPr>
          </w:pPr>
          <w:r w:rsidRPr="005C09E7">
            <w:rPr>
              <w:noProof/>
            </w:rPr>
            <w:t>5.6 Option 6</w:t>
          </w:r>
          <w:r>
            <w:rPr>
              <w:noProof/>
              <w:webHidden/>
            </w:rPr>
            <w:tab/>
            <w:t>41</w:t>
          </w:r>
        </w:p>
        <w:p w:rsidR="00DE31A5" w:rsidRDefault="00DE31A5">
          <w:pPr>
            <w:pStyle w:val="TOC1"/>
            <w:tabs>
              <w:tab w:val="right" w:leader="dot" w:pos="9016"/>
            </w:tabs>
            <w:rPr>
              <w:rFonts w:eastAsiaTheme="minorEastAsia" w:cstheme="minorBidi"/>
              <w:noProof/>
              <w:sz w:val="22"/>
            </w:rPr>
          </w:pPr>
          <w:r w:rsidRPr="005C09E7">
            <w:rPr>
              <w:noProof/>
            </w:rPr>
            <w:t>References</w:t>
          </w:r>
          <w:r>
            <w:rPr>
              <w:noProof/>
              <w:webHidden/>
            </w:rPr>
            <w:tab/>
            <w:t>43</w:t>
          </w:r>
        </w:p>
        <w:p w:rsidR="00DE31A5" w:rsidRDefault="00DE31A5">
          <w:pPr>
            <w:pStyle w:val="TOC1"/>
            <w:tabs>
              <w:tab w:val="right" w:leader="dot" w:pos="9016"/>
            </w:tabs>
            <w:rPr>
              <w:rFonts w:eastAsiaTheme="minorEastAsia" w:cstheme="minorBidi"/>
              <w:noProof/>
              <w:sz w:val="22"/>
            </w:rPr>
          </w:pPr>
          <w:r w:rsidRPr="005C09E7">
            <w:rPr>
              <w:noProof/>
            </w:rPr>
            <w:t>Appendix A – Reference Group Members</w:t>
          </w:r>
          <w:r>
            <w:rPr>
              <w:noProof/>
              <w:webHidden/>
            </w:rPr>
            <w:tab/>
            <w:t>44</w:t>
          </w:r>
        </w:p>
        <w:p w:rsidR="005F16EA" w:rsidRDefault="00414EF8"/>
      </w:sdtContent>
    </w:sdt>
    <w:p w:rsidR="00D73E11" w:rsidRPr="00E16345" w:rsidRDefault="00236763" w:rsidP="00E16345">
      <w:pPr>
        <w:pStyle w:val="Heading1"/>
        <w:rPr>
          <w:rFonts w:eastAsiaTheme="minorEastAsia" w:cs="Calibri"/>
          <w:b w:val="0"/>
          <w:szCs w:val="24"/>
          <w:lang w:val="en-US" w:eastAsia="en-US"/>
        </w:rPr>
      </w:pPr>
      <w:r w:rsidRPr="00FE1642">
        <w:br w:type="page"/>
      </w:r>
      <w:bookmarkStart w:id="0" w:name="_Toc481076737"/>
      <w:bookmarkStart w:id="1" w:name="_Toc72848435"/>
      <w:r w:rsidR="00D73E11" w:rsidRPr="00C06BDE">
        <w:lastRenderedPageBreak/>
        <w:t>Abbreviations</w:t>
      </w:r>
      <w:bookmarkEnd w:id="0"/>
      <w:bookmarkEnd w:id="1"/>
    </w:p>
    <w:tbl>
      <w:tblPr>
        <w:tblStyle w:val="TableGridLight1"/>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2143"/>
        <w:gridCol w:w="7207"/>
      </w:tblGrid>
      <w:tr w:rsidR="00D02315" w:rsidRPr="00C176F2" w:rsidTr="00637445">
        <w:trPr>
          <w:trHeight w:val="411"/>
          <w:tblHeader/>
        </w:trPr>
        <w:tc>
          <w:tcPr>
            <w:tcW w:w="1146" w:type="pct"/>
            <w:shd w:val="clear" w:color="auto" w:fill="A6A6A6" w:themeFill="background1" w:themeFillShade="A6"/>
            <w:hideMark/>
          </w:tcPr>
          <w:p w:rsidR="00D02315" w:rsidRPr="00780759" w:rsidRDefault="00D02315" w:rsidP="00637445">
            <w:pPr>
              <w:pStyle w:val="TableTextDusc"/>
              <w:rPr>
                <w:b/>
              </w:rPr>
            </w:pPr>
            <w:r w:rsidRPr="00780759">
              <w:rPr>
                <w:b/>
              </w:rPr>
              <w:t>Abbreviation</w:t>
            </w:r>
          </w:p>
        </w:tc>
        <w:tc>
          <w:tcPr>
            <w:tcW w:w="3854" w:type="pct"/>
            <w:shd w:val="clear" w:color="auto" w:fill="A6A6A6" w:themeFill="background1" w:themeFillShade="A6"/>
            <w:hideMark/>
          </w:tcPr>
          <w:p w:rsidR="00D02315" w:rsidRPr="00780759" w:rsidRDefault="00D02315" w:rsidP="00637445">
            <w:pPr>
              <w:pStyle w:val="TableTextDusc"/>
              <w:rPr>
                <w:b/>
              </w:rPr>
            </w:pPr>
            <w:r w:rsidRPr="00780759">
              <w:rPr>
                <w:b/>
              </w:rPr>
              <w:t xml:space="preserve">Full Name / Wording </w:t>
            </w:r>
          </w:p>
        </w:tc>
      </w:tr>
      <w:tr w:rsidR="00637445" w:rsidRPr="00C7096A"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411"/>
        </w:trPr>
        <w:tc>
          <w:tcPr>
            <w:tcW w:w="1146" w:type="pct"/>
          </w:tcPr>
          <w:p w:rsidR="00637445" w:rsidRPr="00C7096A" w:rsidRDefault="00637445" w:rsidP="00637445">
            <w:pPr>
              <w:spacing w:before="60" w:after="60"/>
              <w:rPr>
                <w:rFonts w:cs="Arial"/>
                <w:bCs/>
                <w:sz w:val="20"/>
                <w:szCs w:val="20"/>
              </w:rPr>
            </w:pPr>
            <w:r w:rsidRPr="00C7096A">
              <w:rPr>
                <w:rFonts w:cs="Arial"/>
                <w:bCs/>
                <w:sz w:val="20"/>
                <w:szCs w:val="20"/>
              </w:rPr>
              <w:t>ACT</w:t>
            </w:r>
          </w:p>
        </w:tc>
        <w:tc>
          <w:tcPr>
            <w:tcW w:w="3854" w:type="pct"/>
          </w:tcPr>
          <w:p w:rsidR="00637445" w:rsidRPr="00C7096A" w:rsidRDefault="00637445" w:rsidP="00637445">
            <w:pPr>
              <w:spacing w:before="60" w:after="60"/>
              <w:rPr>
                <w:rFonts w:cs="Arial"/>
                <w:bCs/>
                <w:sz w:val="20"/>
                <w:szCs w:val="20"/>
              </w:rPr>
            </w:pPr>
            <w:r>
              <w:rPr>
                <w:rFonts w:cs="Arial"/>
                <w:bCs/>
                <w:sz w:val="20"/>
                <w:szCs w:val="20"/>
              </w:rPr>
              <w:t>Australian Capital Territory</w:t>
            </w:r>
          </w:p>
        </w:tc>
      </w:tr>
      <w:tr w:rsidR="00637445" w:rsidRPr="00C7096A"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411"/>
        </w:trPr>
        <w:tc>
          <w:tcPr>
            <w:tcW w:w="1146" w:type="pct"/>
          </w:tcPr>
          <w:p w:rsidR="00637445" w:rsidRPr="00C7096A" w:rsidRDefault="00637445" w:rsidP="00637445">
            <w:pPr>
              <w:spacing w:before="60" w:after="60"/>
              <w:rPr>
                <w:rFonts w:cs="Arial"/>
                <w:bCs/>
                <w:sz w:val="20"/>
                <w:szCs w:val="20"/>
              </w:rPr>
            </w:pPr>
            <w:r>
              <w:rPr>
                <w:rFonts w:cs="Arial"/>
                <w:bCs/>
                <w:sz w:val="20"/>
                <w:szCs w:val="20"/>
              </w:rPr>
              <w:t>AGREE</w:t>
            </w:r>
          </w:p>
        </w:tc>
        <w:tc>
          <w:tcPr>
            <w:tcW w:w="3854" w:type="pct"/>
          </w:tcPr>
          <w:p w:rsidR="00637445" w:rsidRPr="00C7096A" w:rsidRDefault="00637445" w:rsidP="00637445">
            <w:pPr>
              <w:spacing w:before="60" w:after="60"/>
              <w:rPr>
                <w:rFonts w:cs="Arial"/>
                <w:bCs/>
                <w:sz w:val="20"/>
                <w:szCs w:val="20"/>
              </w:rPr>
            </w:pPr>
            <w:r>
              <w:rPr>
                <w:rFonts w:cs="Arial"/>
                <w:bCs/>
                <w:sz w:val="20"/>
                <w:szCs w:val="20"/>
              </w:rPr>
              <w:t>Appraisal of Guidelines for Research and Evaluation</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AIHW</w:t>
            </w:r>
          </w:p>
        </w:tc>
        <w:tc>
          <w:tcPr>
            <w:tcW w:w="3854" w:type="pct"/>
          </w:tcPr>
          <w:p w:rsidR="00637445" w:rsidRDefault="00637445" w:rsidP="00637445">
            <w:pPr>
              <w:spacing w:before="60" w:after="60"/>
              <w:rPr>
                <w:rFonts w:cs="Arial"/>
                <w:bCs/>
                <w:iCs/>
                <w:color w:val="000000"/>
                <w:sz w:val="20"/>
                <w:szCs w:val="20"/>
              </w:rPr>
            </w:pPr>
            <w:r w:rsidRPr="00637445">
              <w:rPr>
                <w:rFonts w:cs="Arial"/>
                <w:bCs/>
                <w:iCs/>
                <w:color w:val="000000"/>
                <w:sz w:val="20"/>
                <w:szCs w:val="20"/>
              </w:rPr>
              <w:t>Australian Institute of Health and Welfare</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CHERE</w:t>
            </w:r>
          </w:p>
        </w:tc>
        <w:tc>
          <w:tcPr>
            <w:tcW w:w="3854" w:type="pct"/>
          </w:tcPr>
          <w:p w:rsidR="00637445" w:rsidRDefault="00637445" w:rsidP="00637445">
            <w:pPr>
              <w:spacing w:before="60" w:after="60"/>
              <w:rPr>
                <w:rFonts w:cs="Arial"/>
                <w:bCs/>
                <w:iCs/>
                <w:color w:val="000000"/>
                <w:sz w:val="20"/>
                <w:szCs w:val="20"/>
              </w:rPr>
            </w:pPr>
            <w:r w:rsidRPr="00637445">
              <w:rPr>
                <w:rFonts w:cs="Arial"/>
                <w:bCs/>
                <w:iCs/>
                <w:color w:val="000000"/>
                <w:sz w:val="20"/>
                <w:szCs w:val="20"/>
              </w:rPr>
              <w:t>The Centre for Health Economics Research and Evaluation</w:t>
            </w:r>
          </w:p>
        </w:tc>
      </w:tr>
      <w:tr w:rsidR="00E053C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E053C4" w:rsidRDefault="00E053C4" w:rsidP="00637445">
            <w:pPr>
              <w:spacing w:before="60" w:after="60"/>
              <w:rPr>
                <w:rFonts w:cs="Arial"/>
                <w:bCs/>
                <w:iCs/>
                <w:color w:val="000000"/>
                <w:sz w:val="20"/>
                <w:szCs w:val="20"/>
              </w:rPr>
            </w:pPr>
            <w:r>
              <w:rPr>
                <w:rFonts w:cs="Arial"/>
                <w:bCs/>
                <w:iCs/>
                <w:color w:val="000000"/>
                <w:sz w:val="20"/>
                <w:szCs w:val="20"/>
              </w:rPr>
              <w:t>DUSC</w:t>
            </w:r>
          </w:p>
        </w:tc>
        <w:tc>
          <w:tcPr>
            <w:tcW w:w="3854" w:type="pct"/>
          </w:tcPr>
          <w:p w:rsidR="00E053C4" w:rsidRPr="00637445" w:rsidRDefault="00E053C4" w:rsidP="00637445">
            <w:pPr>
              <w:spacing w:before="60" w:after="60"/>
              <w:rPr>
                <w:rFonts w:cs="Arial"/>
                <w:bCs/>
                <w:iCs/>
                <w:color w:val="000000"/>
                <w:sz w:val="20"/>
                <w:szCs w:val="20"/>
              </w:rPr>
            </w:pPr>
            <w:r w:rsidRPr="00E053C4">
              <w:rPr>
                <w:rFonts w:cs="Arial"/>
                <w:bCs/>
                <w:iCs/>
                <w:color w:val="000000"/>
                <w:sz w:val="20"/>
                <w:szCs w:val="20"/>
              </w:rPr>
              <w:t>Drug Utilisation Sub Committee</w:t>
            </w:r>
          </w:p>
        </w:tc>
      </w:tr>
      <w:tr w:rsidR="00E053C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E053C4" w:rsidRDefault="00E053C4" w:rsidP="00637445">
            <w:pPr>
              <w:spacing w:before="60" w:after="60"/>
              <w:rPr>
                <w:rFonts w:cs="Arial"/>
                <w:bCs/>
                <w:iCs/>
                <w:color w:val="000000"/>
                <w:sz w:val="20"/>
                <w:szCs w:val="20"/>
              </w:rPr>
            </w:pPr>
            <w:r>
              <w:rPr>
                <w:rFonts w:cs="Arial"/>
                <w:bCs/>
                <w:iCs/>
                <w:color w:val="000000"/>
                <w:sz w:val="20"/>
                <w:szCs w:val="20"/>
              </w:rPr>
              <w:t>ESC</w:t>
            </w:r>
          </w:p>
        </w:tc>
        <w:tc>
          <w:tcPr>
            <w:tcW w:w="3854" w:type="pct"/>
          </w:tcPr>
          <w:p w:rsidR="00E053C4" w:rsidRDefault="00E053C4" w:rsidP="00637445">
            <w:pPr>
              <w:spacing w:before="60" w:after="60"/>
              <w:rPr>
                <w:rFonts w:cs="Arial"/>
                <w:bCs/>
                <w:iCs/>
                <w:color w:val="000000"/>
                <w:sz w:val="20"/>
                <w:szCs w:val="20"/>
              </w:rPr>
            </w:pPr>
            <w:r w:rsidRPr="00E053C4">
              <w:rPr>
                <w:rFonts w:cs="Arial"/>
                <w:bCs/>
                <w:iCs/>
                <w:color w:val="000000"/>
                <w:sz w:val="20"/>
                <w:szCs w:val="20"/>
              </w:rPr>
              <w:t>Economics Sub Committee</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proofErr w:type="spellStart"/>
            <w:r>
              <w:rPr>
                <w:rFonts w:cs="Arial"/>
                <w:bCs/>
                <w:iCs/>
                <w:color w:val="000000"/>
                <w:sz w:val="20"/>
                <w:szCs w:val="20"/>
              </w:rPr>
              <w:t>eTG</w:t>
            </w:r>
            <w:proofErr w:type="spellEnd"/>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Electronic Therapeutic Guidelines</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NDSHS</w:t>
            </w:r>
          </w:p>
        </w:tc>
        <w:tc>
          <w:tcPr>
            <w:tcW w:w="3854" w:type="pct"/>
          </w:tcPr>
          <w:p w:rsidR="00637445" w:rsidRDefault="00637445" w:rsidP="00637445">
            <w:pPr>
              <w:spacing w:before="60" w:after="60"/>
              <w:rPr>
                <w:rFonts w:cs="Arial"/>
                <w:bCs/>
                <w:iCs/>
                <w:color w:val="000000"/>
                <w:sz w:val="20"/>
                <w:szCs w:val="20"/>
              </w:rPr>
            </w:pPr>
            <w:r w:rsidRPr="00637445">
              <w:rPr>
                <w:rFonts w:cs="Arial"/>
                <w:bCs/>
                <w:iCs/>
                <w:color w:val="000000"/>
                <w:sz w:val="20"/>
                <w:szCs w:val="20"/>
              </w:rPr>
              <w:t>National Drug Strategy Household Survey</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NRT</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Nicotine Replacement Therapy</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NSW</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New South Wales</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NZ</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New Zealand</w:t>
            </w:r>
          </w:p>
        </w:tc>
      </w:tr>
      <w:tr w:rsidR="00BB6723"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BB6723" w:rsidRDefault="00BB6723" w:rsidP="00637445">
            <w:pPr>
              <w:spacing w:before="60" w:after="60"/>
              <w:rPr>
                <w:rFonts w:cs="Arial"/>
                <w:bCs/>
                <w:iCs/>
                <w:color w:val="000000"/>
                <w:sz w:val="20"/>
                <w:szCs w:val="20"/>
              </w:rPr>
            </w:pPr>
            <w:r>
              <w:rPr>
                <w:rFonts w:cs="Arial"/>
                <w:bCs/>
                <w:iCs/>
                <w:color w:val="000000"/>
                <w:sz w:val="20"/>
                <w:szCs w:val="20"/>
              </w:rPr>
              <w:t>OTC</w:t>
            </w:r>
          </w:p>
        </w:tc>
        <w:tc>
          <w:tcPr>
            <w:tcW w:w="3854" w:type="pct"/>
          </w:tcPr>
          <w:p w:rsidR="00BB6723" w:rsidRDefault="00BB6723" w:rsidP="00637445">
            <w:pPr>
              <w:spacing w:before="60" w:after="60"/>
              <w:rPr>
                <w:rFonts w:cs="Arial"/>
                <w:bCs/>
                <w:iCs/>
                <w:color w:val="000000"/>
                <w:sz w:val="20"/>
                <w:szCs w:val="20"/>
              </w:rPr>
            </w:pPr>
            <w:r>
              <w:rPr>
                <w:rFonts w:cs="Arial"/>
                <w:bCs/>
                <w:iCs/>
                <w:color w:val="000000"/>
                <w:sz w:val="20"/>
                <w:szCs w:val="20"/>
              </w:rPr>
              <w:t>over-the-counter</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PBAC</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Pharmaceutical Benefits Advisory Committee</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PBS</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Pharmaceutical Benefits Scheme</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sidRPr="00637445">
              <w:rPr>
                <w:rFonts w:cs="Arial"/>
                <w:bCs/>
                <w:iCs/>
                <w:color w:val="000000"/>
                <w:sz w:val="20"/>
                <w:szCs w:val="20"/>
              </w:rPr>
              <w:t>PMR</w:t>
            </w:r>
          </w:p>
        </w:tc>
        <w:tc>
          <w:tcPr>
            <w:tcW w:w="3854" w:type="pct"/>
          </w:tcPr>
          <w:p w:rsidR="00637445" w:rsidRDefault="00637445" w:rsidP="00637445">
            <w:pPr>
              <w:spacing w:before="60" w:after="60"/>
              <w:rPr>
                <w:rFonts w:cs="Arial"/>
                <w:bCs/>
                <w:iCs/>
                <w:color w:val="000000"/>
                <w:sz w:val="20"/>
                <w:szCs w:val="20"/>
              </w:rPr>
            </w:pPr>
            <w:r w:rsidRPr="00637445">
              <w:rPr>
                <w:rFonts w:cs="Arial"/>
                <w:bCs/>
                <w:iCs/>
                <w:color w:val="000000"/>
                <w:sz w:val="20"/>
                <w:szCs w:val="20"/>
              </w:rPr>
              <w:t>Post-Market Review</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RACGP</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Royal Australian College of General Practitioners</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RCT</w:t>
            </w:r>
          </w:p>
        </w:tc>
        <w:tc>
          <w:tcPr>
            <w:tcW w:w="3854" w:type="pct"/>
          </w:tcPr>
          <w:p w:rsidR="00637445" w:rsidRDefault="00637445" w:rsidP="00F77C2B">
            <w:pPr>
              <w:spacing w:before="60" w:after="60"/>
              <w:rPr>
                <w:rFonts w:cs="Arial"/>
                <w:bCs/>
                <w:iCs/>
                <w:color w:val="000000"/>
                <w:sz w:val="20"/>
                <w:szCs w:val="20"/>
              </w:rPr>
            </w:pPr>
            <w:r>
              <w:rPr>
                <w:rFonts w:cs="Arial"/>
                <w:bCs/>
                <w:iCs/>
                <w:color w:val="000000"/>
                <w:sz w:val="20"/>
                <w:szCs w:val="20"/>
              </w:rPr>
              <w:t>R</w:t>
            </w:r>
            <w:r w:rsidRPr="00637445">
              <w:rPr>
                <w:rFonts w:cs="Arial"/>
                <w:bCs/>
                <w:iCs/>
                <w:color w:val="000000"/>
                <w:sz w:val="20"/>
                <w:szCs w:val="20"/>
              </w:rPr>
              <w:t xml:space="preserve">andomised </w:t>
            </w:r>
            <w:r w:rsidR="00F77C2B">
              <w:rPr>
                <w:rFonts w:cs="Arial"/>
                <w:bCs/>
                <w:iCs/>
                <w:color w:val="000000"/>
                <w:sz w:val="20"/>
                <w:szCs w:val="20"/>
              </w:rPr>
              <w:t>C</w:t>
            </w:r>
            <w:r w:rsidRPr="00637445">
              <w:rPr>
                <w:rFonts w:cs="Arial"/>
                <w:bCs/>
                <w:iCs/>
                <w:color w:val="000000"/>
                <w:sz w:val="20"/>
                <w:szCs w:val="20"/>
              </w:rPr>
              <w:t xml:space="preserve">ontrolled </w:t>
            </w:r>
            <w:r w:rsidR="00F77C2B">
              <w:rPr>
                <w:rFonts w:cs="Arial"/>
                <w:bCs/>
                <w:iCs/>
                <w:color w:val="000000"/>
                <w:sz w:val="20"/>
                <w:szCs w:val="20"/>
              </w:rPr>
              <w:t>T</w:t>
            </w:r>
            <w:r w:rsidRPr="00637445">
              <w:rPr>
                <w:rFonts w:cs="Arial"/>
                <w:bCs/>
                <w:iCs/>
                <w:color w:val="000000"/>
                <w:sz w:val="20"/>
                <w:szCs w:val="20"/>
              </w:rPr>
              <w:t>rial</w:t>
            </w:r>
          </w:p>
        </w:tc>
      </w:tr>
      <w:tr w:rsidR="00637445"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Default="00637445" w:rsidP="00637445">
            <w:pPr>
              <w:spacing w:before="60" w:after="60"/>
              <w:rPr>
                <w:rFonts w:cs="Arial"/>
                <w:bCs/>
                <w:iCs/>
                <w:color w:val="000000"/>
                <w:sz w:val="20"/>
                <w:szCs w:val="20"/>
              </w:rPr>
            </w:pPr>
            <w:r>
              <w:rPr>
                <w:rFonts w:cs="Arial"/>
                <w:bCs/>
                <w:iCs/>
                <w:color w:val="000000"/>
                <w:sz w:val="20"/>
                <w:szCs w:val="20"/>
              </w:rPr>
              <w:t>RQ</w:t>
            </w:r>
          </w:p>
        </w:tc>
        <w:tc>
          <w:tcPr>
            <w:tcW w:w="3854" w:type="pct"/>
          </w:tcPr>
          <w:p w:rsidR="00637445" w:rsidRDefault="00637445" w:rsidP="00637445">
            <w:pPr>
              <w:spacing w:before="60" w:after="60"/>
              <w:rPr>
                <w:rFonts w:cs="Arial"/>
                <w:bCs/>
                <w:iCs/>
                <w:color w:val="000000"/>
                <w:sz w:val="20"/>
                <w:szCs w:val="20"/>
              </w:rPr>
            </w:pPr>
            <w:r>
              <w:rPr>
                <w:rFonts w:cs="Arial"/>
                <w:bCs/>
                <w:iCs/>
                <w:color w:val="000000"/>
                <w:sz w:val="20"/>
                <w:szCs w:val="20"/>
              </w:rPr>
              <w:t>Research Question</w:t>
            </w:r>
          </w:p>
        </w:tc>
      </w:tr>
      <w:tr w:rsidR="00637445" w:rsidRPr="004A45ED"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3717F1" w:rsidRDefault="00637445" w:rsidP="00637445">
            <w:pPr>
              <w:spacing w:before="60" w:after="60"/>
              <w:rPr>
                <w:rFonts w:cs="Arial"/>
                <w:bCs/>
                <w:iCs/>
                <w:color w:val="000000"/>
                <w:sz w:val="20"/>
                <w:szCs w:val="20"/>
              </w:rPr>
            </w:pPr>
            <w:r>
              <w:rPr>
                <w:rFonts w:cs="Arial"/>
                <w:bCs/>
                <w:iCs/>
                <w:color w:val="000000"/>
                <w:sz w:val="20"/>
                <w:szCs w:val="20"/>
              </w:rPr>
              <w:t>TGA</w:t>
            </w:r>
          </w:p>
        </w:tc>
        <w:tc>
          <w:tcPr>
            <w:tcW w:w="3854" w:type="pct"/>
          </w:tcPr>
          <w:p w:rsidR="00637445" w:rsidRPr="004A45ED" w:rsidRDefault="00637445" w:rsidP="00637445">
            <w:pPr>
              <w:spacing w:before="60" w:after="60"/>
              <w:rPr>
                <w:rFonts w:cs="Arial"/>
                <w:bCs/>
                <w:iCs/>
                <w:color w:val="000000"/>
                <w:sz w:val="20"/>
                <w:szCs w:val="20"/>
              </w:rPr>
            </w:pPr>
            <w:r w:rsidRPr="004A45ED">
              <w:rPr>
                <w:rFonts w:cs="Arial"/>
                <w:bCs/>
                <w:iCs/>
                <w:color w:val="000000"/>
                <w:sz w:val="20"/>
                <w:szCs w:val="20"/>
              </w:rPr>
              <w:t>Therapeutic Goods Administration</w:t>
            </w:r>
          </w:p>
        </w:tc>
      </w:tr>
      <w:tr w:rsidR="00637445" w:rsidRPr="009566E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9566E4" w:rsidRDefault="00637445" w:rsidP="00637445">
            <w:pPr>
              <w:spacing w:before="60" w:after="60"/>
              <w:rPr>
                <w:rFonts w:cs="Arial"/>
                <w:bCs/>
                <w:iCs/>
                <w:color w:val="000000"/>
                <w:sz w:val="20"/>
                <w:szCs w:val="20"/>
              </w:rPr>
            </w:pPr>
            <w:proofErr w:type="spellStart"/>
            <w:r w:rsidRPr="009566E4">
              <w:rPr>
                <w:rFonts w:cs="Arial"/>
                <w:bCs/>
                <w:iCs/>
                <w:color w:val="000000"/>
                <w:sz w:val="20"/>
                <w:szCs w:val="20"/>
              </w:rPr>
              <w:t>ToR</w:t>
            </w:r>
            <w:proofErr w:type="spellEnd"/>
          </w:p>
        </w:tc>
        <w:tc>
          <w:tcPr>
            <w:tcW w:w="3854" w:type="pct"/>
          </w:tcPr>
          <w:p w:rsidR="00637445" w:rsidRPr="009566E4" w:rsidRDefault="00CC2D13" w:rsidP="00637445">
            <w:pPr>
              <w:spacing w:before="60" w:after="60"/>
              <w:rPr>
                <w:rFonts w:cs="Arial"/>
                <w:bCs/>
                <w:iCs/>
                <w:color w:val="000000"/>
                <w:sz w:val="20"/>
                <w:szCs w:val="20"/>
              </w:rPr>
            </w:pPr>
            <w:r>
              <w:rPr>
                <w:rFonts w:cs="Arial"/>
                <w:bCs/>
                <w:iCs/>
                <w:color w:val="000000"/>
                <w:sz w:val="20"/>
                <w:szCs w:val="20"/>
              </w:rPr>
              <w:t>T</w:t>
            </w:r>
            <w:r w:rsidR="00637445" w:rsidRPr="009566E4">
              <w:rPr>
                <w:rFonts w:cs="Arial"/>
                <w:bCs/>
                <w:iCs/>
                <w:color w:val="000000"/>
                <w:sz w:val="20"/>
                <w:szCs w:val="20"/>
              </w:rPr>
              <w:t xml:space="preserve">erm of </w:t>
            </w:r>
            <w:r>
              <w:rPr>
                <w:rFonts w:cs="Arial"/>
                <w:bCs/>
                <w:iCs/>
                <w:color w:val="000000"/>
                <w:sz w:val="20"/>
                <w:szCs w:val="20"/>
              </w:rPr>
              <w:t>R</w:t>
            </w:r>
            <w:r w:rsidR="00637445" w:rsidRPr="009566E4">
              <w:rPr>
                <w:rFonts w:cs="Arial"/>
                <w:bCs/>
                <w:iCs/>
                <w:color w:val="000000"/>
                <w:sz w:val="20"/>
                <w:szCs w:val="20"/>
              </w:rPr>
              <w:t>eference</w:t>
            </w:r>
          </w:p>
        </w:tc>
      </w:tr>
      <w:tr w:rsidR="00637445" w:rsidRPr="009566E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UK</w:t>
            </w:r>
          </w:p>
        </w:tc>
        <w:tc>
          <w:tcPr>
            <w:tcW w:w="3854"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United Kingdom</w:t>
            </w:r>
          </w:p>
        </w:tc>
      </w:tr>
      <w:tr w:rsidR="00637445" w:rsidRPr="009566E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9566E4" w:rsidRDefault="00637445" w:rsidP="00637445">
            <w:pPr>
              <w:spacing w:before="60" w:after="60"/>
              <w:rPr>
                <w:rFonts w:cs="Arial"/>
                <w:bCs/>
                <w:iCs/>
                <w:color w:val="000000"/>
                <w:sz w:val="20"/>
                <w:szCs w:val="20"/>
              </w:rPr>
            </w:pPr>
            <w:proofErr w:type="spellStart"/>
            <w:r>
              <w:rPr>
                <w:rFonts w:cs="Arial"/>
                <w:bCs/>
                <w:iCs/>
                <w:color w:val="000000"/>
                <w:sz w:val="20"/>
                <w:szCs w:val="20"/>
              </w:rPr>
              <w:t>UniSA</w:t>
            </w:r>
            <w:proofErr w:type="spellEnd"/>
          </w:p>
        </w:tc>
        <w:tc>
          <w:tcPr>
            <w:tcW w:w="3854" w:type="pct"/>
          </w:tcPr>
          <w:p w:rsidR="00637445" w:rsidRPr="009566E4" w:rsidRDefault="00637445" w:rsidP="00637445">
            <w:pPr>
              <w:spacing w:before="60" w:after="60"/>
              <w:rPr>
                <w:rFonts w:cs="Arial"/>
                <w:bCs/>
                <w:iCs/>
                <w:color w:val="000000"/>
                <w:sz w:val="20"/>
                <w:szCs w:val="20"/>
              </w:rPr>
            </w:pPr>
            <w:r w:rsidRPr="00637445">
              <w:rPr>
                <w:rFonts w:cs="Arial"/>
                <w:bCs/>
                <w:iCs/>
                <w:color w:val="000000"/>
                <w:sz w:val="20"/>
                <w:szCs w:val="20"/>
              </w:rPr>
              <w:t>The University of South Australia</w:t>
            </w:r>
          </w:p>
        </w:tc>
      </w:tr>
      <w:tr w:rsidR="00637445" w:rsidRPr="009566E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US</w:t>
            </w:r>
          </w:p>
        </w:tc>
        <w:tc>
          <w:tcPr>
            <w:tcW w:w="3854"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United States</w:t>
            </w:r>
          </w:p>
        </w:tc>
      </w:tr>
      <w:tr w:rsidR="00637445" w:rsidRPr="009566E4" w:rsidTr="006374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WA</w:t>
            </w:r>
          </w:p>
        </w:tc>
        <w:tc>
          <w:tcPr>
            <w:tcW w:w="3854" w:type="pct"/>
          </w:tcPr>
          <w:p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Western Australia</w:t>
            </w:r>
          </w:p>
        </w:tc>
      </w:tr>
    </w:tbl>
    <w:p w:rsidR="00AE6136" w:rsidRPr="00780759" w:rsidRDefault="00565915" w:rsidP="00AE6136">
      <w:pPr>
        <w:pStyle w:val="Heading1"/>
      </w:pPr>
      <w:r>
        <w:br w:type="page"/>
      </w:r>
      <w:bookmarkStart w:id="2" w:name="_Toc503771649"/>
      <w:bookmarkStart w:id="3" w:name="_Toc64374374"/>
      <w:bookmarkStart w:id="4" w:name="_Toc72848436"/>
      <w:r w:rsidR="00AE6136" w:rsidRPr="00780759">
        <w:lastRenderedPageBreak/>
        <w:t>Acknowledgements</w:t>
      </w:r>
      <w:bookmarkEnd w:id="2"/>
      <w:bookmarkEnd w:id="3"/>
      <w:bookmarkEnd w:id="4"/>
    </w:p>
    <w:p w:rsidR="00AE6136" w:rsidRPr="006F6D83" w:rsidRDefault="00AE6136" w:rsidP="00AE6136">
      <w:pPr>
        <w:pStyle w:val="BodyText"/>
      </w:pPr>
      <w:r w:rsidRPr="00780759">
        <w:t xml:space="preserve">The following organisations and staff have been involved in </w:t>
      </w:r>
      <w:r>
        <w:t>the preparation of this report:</w:t>
      </w:r>
    </w:p>
    <w:p w:rsidR="00AE6136" w:rsidRPr="005C09E7" w:rsidRDefault="005C09E7" w:rsidP="00E16345">
      <w:pPr>
        <w:rPr>
          <w:b/>
          <w:highlight w:val="black"/>
        </w:rPr>
      </w:pPr>
      <w:r>
        <w:rPr>
          <w:b/>
          <w:noProof/>
          <w:color w:val="000000"/>
          <w:highlight w:val="black"/>
        </w:rPr>
        <w:t>'''''' ''''''''''''' '''''' '''''''''''' ''''''''''''''''' ''''''''''''''' '''''''' ''''''''''''''''''' '''''''''''''''</w:t>
      </w:r>
    </w:p>
    <w:p w:rsidR="00AE6136" w:rsidRPr="005C09E7" w:rsidRDefault="005C09E7" w:rsidP="00E16345">
      <w:pPr>
        <w:rPr>
          <w:highlight w:val="black"/>
        </w:rPr>
      </w:pPr>
      <w:r>
        <w:rPr>
          <w:noProof/>
          <w:color w:val="000000"/>
          <w:highlight w:val="black"/>
        </w:rPr>
        <w:t>''''''''''''' ''''''''''''' ''''''''''</w:t>
      </w:r>
    </w:p>
    <w:p w:rsidR="00AE6136" w:rsidRPr="005C09E7" w:rsidRDefault="005C09E7" w:rsidP="00E16345">
      <w:pPr>
        <w:rPr>
          <w:highlight w:val="black"/>
        </w:rPr>
      </w:pPr>
      <w:r>
        <w:rPr>
          <w:noProof/>
          <w:color w:val="000000"/>
          <w:highlight w:val="black"/>
        </w:rPr>
        <w:t>'''''''''''''' '''''''''' '''''''''''''''</w:t>
      </w:r>
    </w:p>
    <w:p w:rsidR="00AE6136" w:rsidRPr="005C09E7" w:rsidRDefault="005C09E7" w:rsidP="00E16345">
      <w:pPr>
        <w:rPr>
          <w:highlight w:val="black"/>
        </w:rPr>
      </w:pPr>
      <w:r>
        <w:rPr>
          <w:noProof/>
          <w:color w:val="000000"/>
          <w:highlight w:val="black"/>
        </w:rPr>
        <w:t>'''''''''''''''' '''''''''''''</w:t>
      </w:r>
    </w:p>
    <w:p w:rsidR="00AE6136" w:rsidRPr="005C09E7" w:rsidRDefault="005C09E7" w:rsidP="00E16345">
      <w:pPr>
        <w:rPr>
          <w:highlight w:val="black"/>
        </w:rPr>
      </w:pPr>
      <w:r>
        <w:rPr>
          <w:noProof/>
          <w:color w:val="000000"/>
          <w:highlight w:val="black"/>
        </w:rPr>
        <w:t>''''''''''''''' '''''''''''</w:t>
      </w:r>
    </w:p>
    <w:p w:rsidR="00AE6136" w:rsidRPr="005C09E7" w:rsidRDefault="005C09E7" w:rsidP="00E16345">
      <w:pPr>
        <w:rPr>
          <w:b/>
          <w:highlight w:val="black"/>
        </w:rPr>
      </w:pPr>
      <w:r>
        <w:rPr>
          <w:b/>
          <w:noProof/>
          <w:color w:val="000000"/>
          <w:highlight w:val="black"/>
        </w:rPr>
        <w:t>'''''''' ''''''''''''''''''' '''' ''''''''''' '''''''''''''''' ''''''''''''''' '''''''''''''' ''''''' '''''''''''''' ''''''''''''''''</w:t>
      </w:r>
    </w:p>
    <w:p w:rsidR="00AE6136" w:rsidRPr="005C09E7" w:rsidRDefault="005C09E7" w:rsidP="00E16345">
      <w:pPr>
        <w:rPr>
          <w:highlight w:val="black"/>
        </w:rPr>
      </w:pPr>
      <w:r>
        <w:rPr>
          <w:noProof/>
          <w:color w:val="000000"/>
          <w:highlight w:val="black"/>
        </w:rPr>
        <w:t>''''''''''''''''''' ''''''''''' '''''''''''''''''''''</w:t>
      </w:r>
    </w:p>
    <w:p w:rsidR="00AE6136" w:rsidRPr="005C09E7" w:rsidRDefault="005C09E7" w:rsidP="00E16345">
      <w:pPr>
        <w:rPr>
          <w:highlight w:val="black"/>
        </w:rPr>
      </w:pPr>
      <w:r>
        <w:rPr>
          <w:noProof/>
          <w:color w:val="000000"/>
          <w:highlight w:val="black"/>
        </w:rPr>
        <w:t>''''' ''''''''''''' ''''''''''''''''''''''''</w:t>
      </w:r>
    </w:p>
    <w:p w:rsidR="00AE6136" w:rsidRPr="00780759" w:rsidRDefault="00AE6136" w:rsidP="00AE6136">
      <w:pPr>
        <w:pStyle w:val="BodyText"/>
        <w:rPr>
          <w:b/>
        </w:rPr>
      </w:pPr>
      <w:r w:rsidRPr="00780759">
        <w:rPr>
          <w:b/>
        </w:rPr>
        <w:t>Expert Reference Group:</w:t>
      </w:r>
    </w:p>
    <w:p w:rsidR="00AE6136" w:rsidRPr="00780759" w:rsidRDefault="00AE6136" w:rsidP="00AE6136">
      <w:pPr>
        <w:pStyle w:val="BodyText"/>
        <w:spacing w:before="120"/>
      </w:pPr>
      <w:r w:rsidRPr="00780759">
        <w:t xml:space="preserve">Membership listed in Appendix </w:t>
      </w:r>
      <w:proofErr w:type="gramStart"/>
      <w:r w:rsidRPr="00780759">
        <w:t>A</w:t>
      </w:r>
      <w:proofErr w:type="gramEnd"/>
      <w:r w:rsidRPr="00780759">
        <w:t xml:space="preserve"> – Reference Group Members</w:t>
      </w:r>
    </w:p>
    <w:p w:rsidR="00AE6136" w:rsidRDefault="00AE6136">
      <w:pPr>
        <w:spacing w:line="276" w:lineRule="auto"/>
      </w:pPr>
      <w:r>
        <w:br w:type="page"/>
      </w:r>
    </w:p>
    <w:p w:rsidR="00263780" w:rsidRPr="00263780" w:rsidRDefault="000F482F" w:rsidP="00263780">
      <w:pPr>
        <w:pStyle w:val="Heading1"/>
        <w:rPr>
          <w:sz w:val="24"/>
          <w:szCs w:val="24"/>
        </w:rPr>
      </w:pPr>
      <w:bookmarkStart w:id="5" w:name="_Toc72848437"/>
      <w:r>
        <w:lastRenderedPageBreak/>
        <w:t>Report</w:t>
      </w:r>
      <w:r w:rsidR="00B14CBF" w:rsidRPr="00FE1642">
        <w:t xml:space="preserve"> Summary</w:t>
      </w:r>
      <w:bookmarkEnd w:id="5"/>
    </w:p>
    <w:p w:rsidR="00263780" w:rsidRPr="00E16345" w:rsidRDefault="00C1451B" w:rsidP="00E16345">
      <w:pPr>
        <w:pStyle w:val="Heading2"/>
        <w:spacing w:after="240"/>
        <w:rPr>
          <w:rFonts w:asciiTheme="minorHAnsi" w:hAnsiTheme="minorHAnsi" w:cstheme="minorHAnsi"/>
          <w:szCs w:val="24"/>
        </w:rPr>
      </w:pPr>
      <w:bookmarkStart w:id="6" w:name="_Toc72848438"/>
      <w:r w:rsidRPr="00C06BDE">
        <w:rPr>
          <w:rFonts w:asciiTheme="minorHAnsi" w:hAnsiTheme="minorHAnsi" w:cstheme="minorHAnsi"/>
          <w:sz w:val="32"/>
          <w:szCs w:val="32"/>
        </w:rPr>
        <w:t>Background and context</w:t>
      </w:r>
      <w:bookmarkEnd w:id="6"/>
      <w:r w:rsidRPr="00C06BDE">
        <w:rPr>
          <w:rFonts w:asciiTheme="minorHAnsi" w:hAnsiTheme="minorHAnsi" w:cstheme="minorHAnsi"/>
          <w:sz w:val="32"/>
          <w:szCs w:val="32"/>
        </w:rPr>
        <w:t xml:space="preserve"> </w:t>
      </w:r>
    </w:p>
    <w:p w:rsidR="00C56D46" w:rsidRDefault="00C56D46" w:rsidP="00FC7DC2">
      <w:pPr>
        <w:jc w:val="both"/>
      </w:pPr>
      <w:r w:rsidRPr="00C97F34">
        <w:t>Most tobacco smokers are addicted to nicotine. This addiction is a chronic disease state that is p</w:t>
      </w:r>
      <w:r w:rsidR="00317129">
        <w:t>rone to relapses and remissions</w:t>
      </w:r>
      <w:r>
        <w:t xml:space="preserve"> (1)</w:t>
      </w:r>
      <w:r w:rsidR="00317129">
        <w:t>.</w:t>
      </w:r>
      <w:r w:rsidR="004A0A14">
        <w:t xml:space="preserve"> The m</w:t>
      </w:r>
      <w:r w:rsidR="004A0A14" w:rsidRPr="004A0A14">
        <w:t>ajority of people who smoke begin smoking in their youth, and initiation during this period can be particularly detrimental as children and young people who are exposed to nicotine can become addicted at lower and more intermittent levels of tobacco consumption in comparison to adults</w:t>
      </w:r>
      <w:r w:rsidR="004A0A14">
        <w:t xml:space="preserve"> (2)</w:t>
      </w:r>
      <w:r w:rsidR="004A0A14" w:rsidRPr="004A0A14">
        <w:t>.  Nicotine exposure during adolescence may also have damaging and long-term impacts on brain development, and can lead to addiction that causes young people to continue smoking for longer and at higher intensities. These factors are strongly associated with tobacco-related disease and premature death</w:t>
      </w:r>
      <w:r w:rsidR="00974807">
        <w:t xml:space="preserve"> (3)</w:t>
      </w:r>
      <w:r w:rsidR="004A0A14" w:rsidRPr="004A0A14">
        <w:t xml:space="preserve">.   </w:t>
      </w:r>
    </w:p>
    <w:p w:rsidR="00201C11" w:rsidRDefault="0059710C" w:rsidP="00201C11">
      <w:r w:rsidRPr="009D5D82">
        <w:t xml:space="preserve">According to the 2019 National Drug Strategy Household Survey (NDSHS) conducted by the Australian Institute of Health and Welfare (AIHW), </w:t>
      </w:r>
      <w:r w:rsidR="009A3116" w:rsidRPr="009A3116">
        <w:t>11.0% of Australians aged 14 years and over smoked daily, a significant decrease from 24.3% in 1991.</w:t>
      </w:r>
      <w:r w:rsidR="00201C11">
        <w:t xml:space="preserve"> </w:t>
      </w:r>
      <w:r w:rsidR="00201C11" w:rsidRPr="009D5D82">
        <w:t xml:space="preserve">Despite </w:t>
      </w:r>
      <w:r w:rsidR="00201C11">
        <w:t>the long-term progress Australia has made in reducing smoking prevalence</w:t>
      </w:r>
      <w:r w:rsidR="00201C11" w:rsidRPr="009D5D82">
        <w:t xml:space="preserve">, tobacco remains </w:t>
      </w:r>
      <w:r w:rsidR="00201C11">
        <w:t>the leading</w:t>
      </w:r>
      <w:r w:rsidR="00201C11" w:rsidRPr="009D5D82">
        <w:t xml:space="preserve"> cause of death </w:t>
      </w:r>
      <w:r w:rsidR="00201C11">
        <w:t xml:space="preserve">and disability in Australia. </w:t>
      </w:r>
      <w:r w:rsidR="00201C11" w:rsidRPr="009D5D82">
        <w:t>In 2015, cigarette smoking was responsible for 9.3% of the total burden of disease and injury, and more than 1 in every 10 (21,000) deaths</w:t>
      </w:r>
      <w:r w:rsidR="00201C11">
        <w:t xml:space="preserve"> (4)</w:t>
      </w:r>
      <w:r w:rsidR="00201C11" w:rsidRPr="009D5D82">
        <w:t>.</w:t>
      </w:r>
    </w:p>
    <w:p w:rsidR="00201C11" w:rsidRDefault="00201C11" w:rsidP="00201C11">
      <w:r w:rsidRPr="00201C11">
        <w:t>Tobacco use compounds health and social inequalities and is a major contributor to poorer health status in socioeconomically disadvantaged populations. The most recent available estimates of the overall social (including health) costs of tobacco use in Australia were $137 billion in 2015-16, including $19.2</w:t>
      </w:r>
      <w:r>
        <w:t xml:space="preserve"> billion in tangible costs and $</w:t>
      </w:r>
      <w:r w:rsidRPr="00201C11">
        <w:t>117.7 billion in intangible costs</w:t>
      </w:r>
      <w:r>
        <w:t xml:space="preserve"> (5)</w:t>
      </w:r>
      <w:r w:rsidRPr="00201C11">
        <w:t>.</w:t>
      </w:r>
    </w:p>
    <w:p w:rsidR="00C56D46" w:rsidRPr="009D5D82" w:rsidRDefault="00C56D46" w:rsidP="00FC7DC2">
      <w:pPr>
        <w:jc w:val="both"/>
      </w:pPr>
      <w:r w:rsidRPr="009D5D82">
        <w:t>There are currently three pharmacological interventions for smoking cessation available on the Pharmaceutical Benefits Scheme (PBS): nicotine replacement therapy (NRT)</w:t>
      </w:r>
      <w:r w:rsidR="00201C11">
        <w:t xml:space="preserve"> (in patch, gum and lozenge form)</w:t>
      </w:r>
      <w:r w:rsidRPr="009D5D82">
        <w:t xml:space="preserve">, </w:t>
      </w:r>
      <w:proofErr w:type="spellStart"/>
      <w:r w:rsidRPr="009D5D82">
        <w:t>varenicline</w:t>
      </w:r>
      <w:proofErr w:type="spellEnd"/>
      <w:r w:rsidRPr="009D5D82">
        <w:t xml:space="preserve"> and bupropion. </w:t>
      </w:r>
    </w:p>
    <w:p w:rsidR="00C56D46" w:rsidRDefault="00C56D46" w:rsidP="00FC7DC2">
      <w:pPr>
        <w:jc w:val="both"/>
        <w:rPr>
          <w:rFonts w:eastAsia="MS Mincho" w:cs="Arial"/>
        </w:rPr>
      </w:pPr>
      <w:r>
        <w:rPr>
          <w:rFonts w:eastAsia="MS Mincho" w:cs="Arial"/>
        </w:rPr>
        <w:t>In the financial year for 2019/2020;</w:t>
      </w:r>
    </w:p>
    <w:p w:rsidR="00C56D46" w:rsidRPr="006B4D98" w:rsidRDefault="00C56D46" w:rsidP="00FC7DC2">
      <w:pPr>
        <w:pStyle w:val="ListParagraph"/>
        <w:numPr>
          <w:ilvl w:val="0"/>
          <w:numId w:val="10"/>
        </w:numPr>
        <w:jc w:val="both"/>
        <w:rPr>
          <w:rFonts w:eastAsia="MS Mincho" w:cs="Arial"/>
        </w:rPr>
      </w:pPr>
      <w:r w:rsidRPr="006B4D98">
        <w:rPr>
          <w:rFonts w:eastAsia="MS Mincho" w:cs="Arial"/>
        </w:rPr>
        <w:t>1.2% of the Australian population (265,544</w:t>
      </w:r>
      <w:r>
        <w:rPr>
          <w:rFonts w:eastAsia="MS Mincho" w:cs="Arial"/>
        </w:rPr>
        <w:t xml:space="preserve"> people</w:t>
      </w:r>
      <w:r w:rsidRPr="006B4D98">
        <w:rPr>
          <w:rFonts w:eastAsia="MS Mincho" w:cs="Arial"/>
        </w:rPr>
        <w:t>) were supplied 542,492 prescriptions for PBS subsidised smoking cessation therapies.</w:t>
      </w:r>
    </w:p>
    <w:p w:rsidR="00C56D46" w:rsidRPr="006B4D98" w:rsidRDefault="00C56D46" w:rsidP="00FC7DC2">
      <w:pPr>
        <w:pStyle w:val="ListParagraph"/>
        <w:numPr>
          <w:ilvl w:val="0"/>
          <w:numId w:val="10"/>
        </w:numPr>
        <w:jc w:val="both"/>
        <w:rPr>
          <w:rFonts w:eastAsia="MS Mincho" w:cs="Arial"/>
        </w:rPr>
      </w:pPr>
      <w:r w:rsidRPr="006B4D98">
        <w:rPr>
          <w:rFonts w:eastAsia="MS Mincho" w:cs="Arial"/>
        </w:rPr>
        <w:t>Three people per 1,000 in the Australian population (65,543</w:t>
      </w:r>
      <w:r>
        <w:rPr>
          <w:rFonts w:eastAsia="MS Mincho" w:cs="Arial"/>
        </w:rPr>
        <w:t xml:space="preserve"> people</w:t>
      </w:r>
      <w:r w:rsidRPr="006B4D98">
        <w:rPr>
          <w:rFonts w:eastAsia="MS Mincho" w:cs="Arial"/>
        </w:rPr>
        <w:t>) made their first ever attempt at quitting with PBS subsidised smoking cessation therapy.</w:t>
      </w:r>
    </w:p>
    <w:p w:rsidR="00C56D46" w:rsidRPr="006B4D98" w:rsidRDefault="00C56D46" w:rsidP="00FC7DC2">
      <w:pPr>
        <w:pStyle w:val="ListParagraph"/>
        <w:numPr>
          <w:ilvl w:val="0"/>
          <w:numId w:val="10"/>
        </w:numPr>
        <w:jc w:val="both"/>
        <w:rPr>
          <w:rFonts w:eastAsia="MS Mincho" w:cs="Arial"/>
        </w:rPr>
      </w:pPr>
      <w:r w:rsidRPr="006B4D98">
        <w:rPr>
          <w:rFonts w:eastAsia="MS Mincho" w:cs="Arial"/>
        </w:rPr>
        <w:t>$36 million in R/PBS benefits was paid for smoking cessation therapy.</w:t>
      </w:r>
    </w:p>
    <w:p w:rsidR="00C56D46" w:rsidRPr="008B222D" w:rsidRDefault="00C56D46" w:rsidP="00FC7DC2">
      <w:pPr>
        <w:jc w:val="both"/>
      </w:pPr>
      <w:r w:rsidRPr="008B222D">
        <w:t xml:space="preserve">In July 2017, the Pharmaceutical Benefits Advisory Committee (PBAC) deferred a major submission for the listing of NRT in the form of gum and lozenges (2mg and 4mg strengths) on the PBS. The PBAC noted that the efficacy of nicotine lozenges and gum significantly improved when used in combination with nicotine patches, but that no evidence was provided in the submission about the cost-effectiveness of combination NRT. </w:t>
      </w:r>
    </w:p>
    <w:p w:rsidR="00C56D46" w:rsidRDefault="00C56D46" w:rsidP="00FC7DC2">
      <w:pPr>
        <w:jc w:val="both"/>
        <w:rPr>
          <w:rFonts w:eastAsia="MS Mincho" w:cs="Arial"/>
        </w:rPr>
      </w:pPr>
      <w:r w:rsidRPr="00233179">
        <w:rPr>
          <w:rFonts w:eastAsia="MS Mincho" w:cs="Arial"/>
        </w:rPr>
        <w:t xml:space="preserve">In March 2018, </w:t>
      </w:r>
      <w:r>
        <w:rPr>
          <w:rFonts w:eastAsia="MS Mincho" w:cs="Arial"/>
        </w:rPr>
        <w:t xml:space="preserve">the </w:t>
      </w:r>
      <w:r w:rsidRPr="00233179">
        <w:rPr>
          <w:rFonts w:eastAsia="MS Mincho" w:cs="Arial"/>
        </w:rPr>
        <w:t>PBAC recommended the listing of nicotine gum and lozenges as monotherapies</w:t>
      </w:r>
      <w:r>
        <w:rPr>
          <w:rFonts w:eastAsia="MS Mincho" w:cs="Arial"/>
        </w:rPr>
        <w:t xml:space="preserve"> </w:t>
      </w:r>
      <w:r w:rsidRPr="00233179">
        <w:rPr>
          <w:rFonts w:eastAsia="MS Mincho" w:cs="Arial"/>
        </w:rPr>
        <w:t>on the PBS for treating nicotine dependence. The PBAC considered that a broader review</w:t>
      </w:r>
      <w:r>
        <w:rPr>
          <w:rFonts w:eastAsia="MS Mincho" w:cs="Arial"/>
        </w:rPr>
        <w:t xml:space="preserve"> </w:t>
      </w:r>
      <w:r w:rsidRPr="00233179">
        <w:rPr>
          <w:rFonts w:eastAsia="MS Mincho" w:cs="Arial"/>
        </w:rPr>
        <w:t xml:space="preserve">of PBS-listed nicotine dependence treatments, in the context of the current </w:t>
      </w:r>
      <w:r w:rsidRPr="00233179">
        <w:rPr>
          <w:rFonts w:eastAsia="MS Mincho" w:cs="Arial"/>
        </w:rPr>
        <w:lastRenderedPageBreak/>
        <w:t>clinical</w:t>
      </w:r>
      <w:r>
        <w:rPr>
          <w:rFonts w:eastAsia="MS Mincho" w:cs="Arial"/>
        </w:rPr>
        <w:t xml:space="preserve"> </w:t>
      </w:r>
      <w:r w:rsidRPr="00233179">
        <w:rPr>
          <w:rFonts w:eastAsia="MS Mincho" w:cs="Arial"/>
        </w:rPr>
        <w:t>guidelines, would help inform whether the current subsidy arrangements should be altered</w:t>
      </w:r>
      <w:r>
        <w:rPr>
          <w:rFonts w:eastAsia="MS Mincho" w:cs="Arial"/>
        </w:rPr>
        <w:t xml:space="preserve"> </w:t>
      </w:r>
      <w:r w:rsidRPr="00233179">
        <w:rPr>
          <w:rFonts w:eastAsia="MS Mincho" w:cs="Arial"/>
        </w:rPr>
        <w:t xml:space="preserve">to better support smoking cessation. </w:t>
      </w:r>
    </w:p>
    <w:p w:rsidR="00C56D46" w:rsidRDefault="00C56D46" w:rsidP="00FC7DC2">
      <w:pPr>
        <w:jc w:val="both"/>
        <w:rPr>
          <w:rFonts w:eastAsia="MS Mincho" w:cs="Arial"/>
        </w:rPr>
      </w:pPr>
      <w:r>
        <w:rPr>
          <w:rFonts w:eastAsia="MS Mincho" w:cs="Arial"/>
        </w:rPr>
        <w:t>The post-market review</w:t>
      </w:r>
      <w:r w:rsidR="00301063">
        <w:rPr>
          <w:rFonts w:eastAsia="MS Mincho" w:cs="Arial"/>
        </w:rPr>
        <w:t xml:space="preserve"> (PMR)</w:t>
      </w:r>
      <w:r w:rsidRPr="006B4D98">
        <w:rPr>
          <w:rFonts w:eastAsia="MS Mincho" w:cs="Arial"/>
        </w:rPr>
        <w:t xml:space="preserve"> of medicines for smoking cessation was approved by the Minister for Health on 18 September 2019. </w:t>
      </w:r>
    </w:p>
    <w:p w:rsidR="00044561" w:rsidRDefault="00044561" w:rsidP="00A77877">
      <w:pPr>
        <w:sectPr w:rsidR="00044561" w:rsidSect="00433E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862248" w:rsidRPr="00C06BDE" w:rsidRDefault="00862248" w:rsidP="00E16345">
      <w:pPr>
        <w:pStyle w:val="Heading2"/>
        <w:spacing w:after="240"/>
        <w:rPr>
          <w:rFonts w:asciiTheme="minorHAnsi" w:hAnsiTheme="minorHAnsi" w:cstheme="minorHAnsi"/>
          <w:sz w:val="32"/>
          <w:szCs w:val="32"/>
        </w:rPr>
      </w:pPr>
      <w:bookmarkStart w:id="7" w:name="_Toc72848439"/>
      <w:bookmarkStart w:id="8" w:name="_Toc486853471"/>
      <w:r w:rsidRPr="00C06BDE">
        <w:rPr>
          <w:rFonts w:asciiTheme="minorHAnsi" w:hAnsiTheme="minorHAnsi" w:cstheme="minorHAnsi"/>
          <w:sz w:val="32"/>
          <w:szCs w:val="32"/>
        </w:rPr>
        <w:lastRenderedPageBreak/>
        <w:t>Review Terms of Reference</w:t>
      </w:r>
      <w:bookmarkEnd w:id="7"/>
      <w:r w:rsidRPr="00C06BDE">
        <w:rPr>
          <w:rFonts w:asciiTheme="minorHAnsi" w:hAnsiTheme="minorHAnsi" w:cstheme="minorHAnsi"/>
          <w:sz w:val="32"/>
          <w:szCs w:val="32"/>
        </w:rPr>
        <w:t xml:space="preserve"> </w:t>
      </w:r>
      <w:bookmarkEnd w:id="8"/>
    </w:p>
    <w:p w:rsidR="00862248" w:rsidRPr="00FE1642" w:rsidRDefault="00D72F71" w:rsidP="00FC7DC2">
      <w:pPr>
        <w:jc w:val="both"/>
      </w:pPr>
      <w:r w:rsidRPr="00FE1642">
        <w:t xml:space="preserve">The </w:t>
      </w:r>
      <w:r w:rsidR="005E26CE">
        <w:t>PMR</w:t>
      </w:r>
      <w:r w:rsidRPr="00FE1642">
        <w:t xml:space="preserve"> of </w:t>
      </w:r>
      <w:r w:rsidR="00163BDB">
        <w:t xml:space="preserve">medicines for smoking cessation </w:t>
      </w:r>
      <w:r w:rsidRPr="00FE1642">
        <w:t xml:space="preserve">consists of four </w:t>
      </w:r>
      <w:r w:rsidR="00301063">
        <w:t>Terms of Reference (</w:t>
      </w:r>
      <w:r w:rsidRPr="00FE1642">
        <w:t>ToR</w:t>
      </w:r>
      <w:r w:rsidR="00BD46CE">
        <w:t>s</w:t>
      </w:r>
      <w:r w:rsidR="00301063">
        <w:t>)</w:t>
      </w:r>
      <w:r w:rsidRPr="00FE1642">
        <w:t>. This report addresses the first three</w:t>
      </w:r>
      <w:r w:rsidR="00C625C0">
        <w:t xml:space="preserve"> and introduces </w:t>
      </w:r>
      <w:r w:rsidR="00163BDB">
        <w:t xml:space="preserve">the potential future </w:t>
      </w:r>
      <w:proofErr w:type="spellStart"/>
      <w:r w:rsidR="00C625C0">
        <w:t>ToR</w:t>
      </w:r>
      <w:proofErr w:type="spellEnd"/>
      <w:r w:rsidR="00C625C0">
        <w:t xml:space="preserve"> 4</w:t>
      </w:r>
      <w:r w:rsidRPr="00FE1642">
        <w:t>.</w:t>
      </w:r>
    </w:p>
    <w:p w:rsidR="00163BDB" w:rsidRPr="00797212" w:rsidRDefault="00163BDB" w:rsidP="00FC7DC2">
      <w:pPr>
        <w:numPr>
          <w:ilvl w:val="0"/>
          <w:numId w:val="11"/>
        </w:numPr>
        <w:shd w:val="clear" w:color="auto" w:fill="FFFFFF"/>
        <w:spacing w:after="90" w:line="300" w:lineRule="atLeast"/>
        <w:ind w:left="0"/>
        <w:jc w:val="both"/>
      </w:pPr>
      <w:r w:rsidRPr="00797212">
        <w:t>Collate the current clinical guidelines for medicines for smoking cessation and compare these to the Therapeutic Goods Administration (TGA) and PBS restrictions for these medicines.</w:t>
      </w:r>
    </w:p>
    <w:p w:rsidR="00163BDB" w:rsidRPr="00797212" w:rsidRDefault="00163BDB" w:rsidP="00FC7DC2">
      <w:pPr>
        <w:numPr>
          <w:ilvl w:val="0"/>
          <w:numId w:val="11"/>
        </w:numPr>
        <w:shd w:val="clear" w:color="auto" w:fill="FFFFFF"/>
        <w:spacing w:after="90" w:line="300" w:lineRule="atLeast"/>
        <w:ind w:left="0"/>
        <w:jc w:val="both"/>
      </w:pPr>
      <w:r w:rsidRPr="00797212">
        <w:t>Review the utilisation of PBS-listed medicines for smoking cessation including but not limited to patient demographics, time on treatment, and the proportion using PBS subsidised combination treatment.</w:t>
      </w:r>
    </w:p>
    <w:p w:rsidR="00163BDB" w:rsidRPr="00797212" w:rsidRDefault="00163BDB" w:rsidP="00FC7DC2">
      <w:pPr>
        <w:numPr>
          <w:ilvl w:val="0"/>
          <w:numId w:val="11"/>
        </w:numPr>
        <w:shd w:val="clear" w:color="auto" w:fill="FFFFFF"/>
        <w:spacing w:after="90" w:line="300" w:lineRule="atLeast"/>
        <w:ind w:left="0"/>
        <w:jc w:val="both"/>
      </w:pPr>
      <w:r w:rsidRPr="00797212">
        <w:t xml:space="preserve">Review the efficacy and safety of nicotine replacement therapy, </w:t>
      </w:r>
      <w:proofErr w:type="spellStart"/>
      <w:r w:rsidRPr="00797212">
        <w:t>varenicline</w:t>
      </w:r>
      <w:proofErr w:type="spellEnd"/>
      <w:r w:rsidRPr="00797212">
        <w:t xml:space="preserve"> and bupropion for smoking cessation including combination therapies not currently PBS subsidised.</w:t>
      </w:r>
    </w:p>
    <w:p w:rsidR="00163BDB" w:rsidRPr="00797212" w:rsidRDefault="00163BDB" w:rsidP="00FC7DC2">
      <w:pPr>
        <w:numPr>
          <w:ilvl w:val="0"/>
          <w:numId w:val="11"/>
        </w:numPr>
        <w:shd w:val="clear" w:color="auto" w:fill="FFFFFF"/>
        <w:spacing w:after="90" w:line="300" w:lineRule="atLeast"/>
        <w:ind w:left="0"/>
        <w:jc w:val="both"/>
      </w:pPr>
      <w:r w:rsidRPr="00797212">
        <w:t>Subject to the findings of Terms of Reference 1, 2 and 3, review the cost-effectiveness of medicines for smoking cessation</w:t>
      </w:r>
    </w:p>
    <w:p w:rsidR="00D72F71" w:rsidRPr="00C06BDE" w:rsidRDefault="003E3132" w:rsidP="00FC7DC2">
      <w:pPr>
        <w:pStyle w:val="Heading2"/>
        <w:spacing w:after="240"/>
        <w:jc w:val="both"/>
        <w:rPr>
          <w:rFonts w:asciiTheme="minorHAnsi" w:hAnsiTheme="minorHAnsi" w:cstheme="minorHAnsi"/>
          <w:sz w:val="32"/>
          <w:szCs w:val="32"/>
        </w:rPr>
      </w:pPr>
      <w:bookmarkStart w:id="9" w:name="_Toc486853472"/>
      <w:bookmarkStart w:id="10" w:name="_Toc72848440"/>
      <w:r w:rsidRPr="00C06BDE">
        <w:rPr>
          <w:rFonts w:asciiTheme="minorHAnsi" w:hAnsiTheme="minorHAnsi" w:cstheme="minorHAnsi"/>
          <w:sz w:val="32"/>
          <w:szCs w:val="32"/>
        </w:rPr>
        <w:t>Structure and approach to</w:t>
      </w:r>
      <w:r w:rsidR="00D72F71" w:rsidRPr="00C06BDE">
        <w:rPr>
          <w:rFonts w:asciiTheme="minorHAnsi" w:hAnsiTheme="minorHAnsi" w:cstheme="minorHAnsi"/>
          <w:sz w:val="32"/>
          <w:szCs w:val="32"/>
        </w:rPr>
        <w:t xml:space="preserve"> the report</w:t>
      </w:r>
      <w:bookmarkEnd w:id="9"/>
      <w:bookmarkEnd w:id="10"/>
    </w:p>
    <w:p w:rsidR="003E3132" w:rsidRPr="00780759" w:rsidRDefault="003E3132" w:rsidP="00FC7DC2">
      <w:pPr>
        <w:jc w:val="both"/>
      </w:pPr>
      <w:r w:rsidRPr="00780759">
        <w:t>This Report is presented in several parts, as briefly outlined below. The Report has been structured in this way to address the ToRs of the Review.</w:t>
      </w:r>
    </w:p>
    <w:p w:rsidR="003E3132" w:rsidRDefault="003E3132" w:rsidP="00FC7DC2">
      <w:pPr>
        <w:jc w:val="both"/>
      </w:pPr>
      <w:r>
        <w:rPr>
          <w:b/>
        </w:rPr>
        <w:t xml:space="preserve">Background: </w:t>
      </w:r>
      <w:r w:rsidRPr="00780759">
        <w:t xml:space="preserve">Provides the context for the Review, a </w:t>
      </w:r>
      <w:r>
        <w:t xml:space="preserve">brief description of nicotine </w:t>
      </w:r>
      <w:r w:rsidR="00BD46CE">
        <w:t>dependence,</w:t>
      </w:r>
      <w:r w:rsidRPr="00780759">
        <w:t xml:space="preserve"> the listing history for PBS</w:t>
      </w:r>
      <w:r w:rsidR="00B32132">
        <w:t>-</w:t>
      </w:r>
      <w:r>
        <w:t>listed medicines for smoking cessation</w:t>
      </w:r>
      <w:r w:rsidRPr="00780759">
        <w:t xml:space="preserve"> and the research questions supporting the Review’s ToRs.  </w:t>
      </w:r>
    </w:p>
    <w:p w:rsidR="00531122" w:rsidRPr="003C7BF6" w:rsidRDefault="007D1349" w:rsidP="00FC7DC2">
      <w:pPr>
        <w:jc w:val="both"/>
        <w:rPr>
          <w:b/>
        </w:rPr>
      </w:pPr>
      <w:r>
        <w:rPr>
          <w:b/>
        </w:rPr>
        <w:t>Report</w:t>
      </w:r>
      <w:r w:rsidR="00531122" w:rsidRPr="002A3447">
        <w:rPr>
          <w:b/>
        </w:rPr>
        <w:t xml:space="preserve"> Summary:  </w:t>
      </w:r>
      <w:r w:rsidR="00531122" w:rsidRPr="000821B8">
        <w:t>Provides</w:t>
      </w:r>
      <w:r w:rsidR="00531122">
        <w:t xml:space="preserve"> a summary of the key findings from the Review.</w:t>
      </w:r>
    </w:p>
    <w:p w:rsidR="003E3132" w:rsidRPr="00780759" w:rsidRDefault="003E3132" w:rsidP="00FC7DC2">
      <w:pPr>
        <w:jc w:val="both"/>
      </w:pPr>
      <w:r w:rsidRPr="00780759">
        <w:rPr>
          <w:b/>
        </w:rPr>
        <w:t xml:space="preserve">Section 1 – </w:t>
      </w:r>
      <w:proofErr w:type="spellStart"/>
      <w:r w:rsidRPr="00780759">
        <w:rPr>
          <w:b/>
        </w:rPr>
        <w:t>ToR</w:t>
      </w:r>
      <w:proofErr w:type="spellEnd"/>
      <w:r w:rsidRPr="00780759">
        <w:rPr>
          <w:b/>
        </w:rPr>
        <w:t xml:space="preserve"> 1:</w:t>
      </w:r>
      <w:r w:rsidRPr="00780759">
        <w:t xml:space="preserve"> </w:t>
      </w:r>
      <w:r w:rsidRPr="00225BD8">
        <w:t>Collate</w:t>
      </w:r>
      <w:r>
        <w:t>s</w:t>
      </w:r>
      <w:r w:rsidRPr="00225BD8">
        <w:t xml:space="preserve"> the current clinical guidelines for medicines for smoking cessation and compare</w:t>
      </w:r>
      <w:r>
        <w:t xml:space="preserve">s </w:t>
      </w:r>
      <w:r w:rsidRPr="00225BD8">
        <w:t>these to the T</w:t>
      </w:r>
      <w:r w:rsidR="001E70B0">
        <w:t>GA</w:t>
      </w:r>
      <w:r w:rsidRPr="00225BD8">
        <w:t xml:space="preserve"> and PBS restrictions for these</w:t>
      </w:r>
      <w:r>
        <w:t xml:space="preserve"> </w:t>
      </w:r>
      <w:r w:rsidRPr="00225BD8">
        <w:t>medicines.</w:t>
      </w:r>
    </w:p>
    <w:p w:rsidR="003E3132" w:rsidRPr="00780759" w:rsidRDefault="003E3132" w:rsidP="00FC7DC2">
      <w:pPr>
        <w:jc w:val="both"/>
      </w:pPr>
      <w:r w:rsidRPr="00780759">
        <w:rPr>
          <w:b/>
        </w:rPr>
        <w:t>Section 2 –</w:t>
      </w:r>
      <w:r w:rsidRPr="00780759">
        <w:t xml:space="preserve"> </w:t>
      </w:r>
      <w:proofErr w:type="spellStart"/>
      <w:r w:rsidRPr="00780759">
        <w:rPr>
          <w:b/>
        </w:rPr>
        <w:t>ToR</w:t>
      </w:r>
      <w:proofErr w:type="spellEnd"/>
      <w:r w:rsidRPr="00780759">
        <w:t xml:space="preserve"> </w:t>
      </w:r>
      <w:r w:rsidRPr="00780759">
        <w:rPr>
          <w:b/>
        </w:rPr>
        <w:t>2</w:t>
      </w:r>
      <w:r w:rsidRPr="00780759">
        <w:t xml:space="preserve">: </w:t>
      </w:r>
      <w:r w:rsidRPr="00225BD8">
        <w:t>Review</w:t>
      </w:r>
      <w:r>
        <w:t>s</w:t>
      </w:r>
      <w:r w:rsidRPr="00225BD8">
        <w:t xml:space="preserve"> the utilisation of PBS-listed medicines for smoking cessation including but</w:t>
      </w:r>
      <w:r>
        <w:t xml:space="preserve"> </w:t>
      </w:r>
      <w:r w:rsidRPr="00225BD8">
        <w:t>not limited to patient demographics, time on treatment, and the proportion using PBS</w:t>
      </w:r>
      <w:r w:rsidR="00B32132">
        <w:t>-</w:t>
      </w:r>
      <w:r w:rsidRPr="00225BD8">
        <w:t>subsidised combination treatment.</w:t>
      </w:r>
    </w:p>
    <w:p w:rsidR="003E3132" w:rsidRDefault="003E3132" w:rsidP="00FC7DC2">
      <w:pPr>
        <w:jc w:val="both"/>
      </w:pPr>
      <w:r w:rsidRPr="00780759">
        <w:rPr>
          <w:b/>
        </w:rPr>
        <w:t xml:space="preserve">Section 3 – </w:t>
      </w:r>
      <w:proofErr w:type="spellStart"/>
      <w:r w:rsidRPr="00780759">
        <w:rPr>
          <w:b/>
        </w:rPr>
        <w:t>ToR</w:t>
      </w:r>
      <w:proofErr w:type="spellEnd"/>
      <w:r w:rsidRPr="00780759">
        <w:rPr>
          <w:b/>
        </w:rPr>
        <w:t xml:space="preserve"> 3:</w:t>
      </w:r>
      <w:r w:rsidRPr="00780759">
        <w:t xml:space="preserve"> </w:t>
      </w:r>
      <w:r w:rsidRPr="00ED3CCD">
        <w:t>Review</w:t>
      </w:r>
      <w:r>
        <w:t>s</w:t>
      </w:r>
      <w:r w:rsidRPr="00ED3CCD">
        <w:t xml:space="preserve"> the efficacy and safety of nicotine replacement therapy, </w:t>
      </w:r>
      <w:proofErr w:type="spellStart"/>
      <w:r w:rsidRPr="00ED3CCD">
        <w:t>varenicline</w:t>
      </w:r>
      <w:proofErr w:type="spellEnd"/>
      <w:r w:rsidRPr="00ED3CCD">
        <w:t xml:space="preserve"> and bupropion</w:t>
      </w:r>
      <w:r>
        <w:t xml:space="preserve"> </w:t>
      </w:r>
      <w:r w:rsidRPr="00ED3CCD">
        <w:t>for smoking cessation including combination therapies not currently PBS</w:t>
      </w:r>
      <w:r w:rsidR="00B32132">
        <w:t>-</w:t>
      </w:r>
      <w:r w:rsidRPr="00ED3CCD">
        <w:t>subsidised.</w:t>
      </w:r>
    </w:p>
    <w:p w:rsidR="003E3132" w:rsidRDefault="003E3132" w:rsidP="00FC7DC2">
      <w:pPr>
        <w:jc w:val="both"/>
      </w:pPr>
      <w:r w:rsidRPr="006B4D98">
        <w:rPr>
          <w:b/>
        </w:rPr>
        <w:t xml:space="preserve">Section 4 – </w:t>
      </w:r>
      <w:proofErr w:type="spellStart"/>
      <w:r w:rsidRPr="006B4D98">
        <w:rPr>
          <w:b/>
        </w:rPr>
        <w:t>ToR</w:t>
      </w:r>
      <w:proofErr w:type="spellEnd"/>
      <w:r w:rsidRPr="006B4D98">
        <w:rPr>
          <w:b/>
        </w:rPr>
        <w:t xml:space="preserve"> 4 (possible future report):</w:t>
      </w:r>
      <w:r>
        <w:t xml:space="preserve"> </w:t>
      </w:r>
      <w:r w:rsidRPr="006B4D98">
        <w:t>Subject to the findings of Terms of Reference 1, 2 and 3, review the cost-effectiveness of medicines for smoking cessation.</w:t>
      </w:r>
    </w:p>
    <w:p w:rsidR="001A5416" w:rsidRDefault="001A5416" w:rsidP="00FC7DC2">
      <w:pPr>
        <w:jc w:val="both"/>
      </w:pPr>
      <w:r>
        <w:t xml:space="preserve">Research questions were developed for each </w:t>
      </w:r>
      <w:proofErr w:type="spellStart"/>
      <w:r w:rsidR="003E3132">
        <w:t>ToR</w:t>
      </w:r>
      <w:proofErr w:type="spellEnd"/>
      <w:r w:rsidR="00B32132">
        <w:t xml:space="preserve"> </w:t>
      </w:r>
      <w:r>
        <w:t>under the guidance of the review reference group. The research question</w:t>
      </w:r>
      <w:r w:rsidR="00BD46CE">
        <w:t>s</w:t>
      </w:r>
      <w:r>
        <w:t xml:space="preserve"> </w:t>
      </w:r>
      <w:r w:rsidR="00B32132">
        <w:t>examined</w:t>
      </w:r>
      <w:r>
        <w:t xml:space="preserve"> for each </w:t>
      </w:r>
      <w:proofErr w:type="spellStart"/>
      <w:r>
        <w:t>ToR</w:t>
      </w:r>
      <w:proofErr w:type="spellEnd"/>
      <w:r>
        <w:t xml:space="preserve"> are presented</w:t>
      </w:r>
      <w:r w:rsidR="00D1397F">
        <w:t xml:space="preserve"> under each </w:t>
      </w:r>
      <w:proofErr w:type="spellStart"/>
      <w:r w:rsidR="00D1397F">
        <w:t>ToR</w:t>
      </w:r>
      <w:proofErr w:type="spellEnd"/>
      <w:r w:rsidR="00D1397F">
        <w:t xml:space="preserve"> addressing the key findings below</w:t>
      </w:r>
      <w:r>
        <w:t>.</w:t>
      </w:r>
      <w:r w:rsidR="003E3132">
        <w:t xml:space="preserve"> The</w:t>
      </w:r>
      <w:r w:rsidR="004F24D3">
        <w:t xml:space="preserve"> </w:t>
      </w:r>
      <w:r w:rsidR="003E3132">
        <w:t xml:space="preserve">methodology for each </w:t>
      </w:r>
      <w:proofErr w:type="spellStart"/>
      <w:r w:rsidR="003E3132">
        <w:t>ToR</w:t>
      </w:r>
      <w:proofErr w:type="spellEnd"/>
      <w:r w:rsidR="003E3132">
        <w:t xml:space="preserve"> is presented in the relevant section of the report.</w:t>
      </w:r>
    </w:p>
    <w:p w:rsidR="00D72F71" w:rsidRPr="00C06BDE" w:rsidRDefault="00D72F71" w:rsidP="00E16345">
      <w:pPr>
        <w:pStyle w:val="Heading2"/>
        <w:spacing w:after="240"/>
        <w:rPr>
          <w:rFonts w:asciiTheme="minorHAnsi" w:hAnsiTheme="minorHAnsi" w:cstheme="minorHAnsi"/>
          <w:sz w:val="32"/>
          <w:szCs w:val="32"/>
        </w:rPr>
      </w:pPr>
      <w:bookmarkStart w:id="11" w:name="_Toc72848441"/>
      <w:r w:rsidRPr="00C06BDE">
        <w:rPr>
          <w:rFonts w:asciiTheme="minorHAnsi" w:hAnsiTheme="minorHAnsi" w:cstheme="minorHAnsi"/>
          <w:sz w:val="32"/>
          <w:szCs w:val="32"/>
        </w:rPr>
        <w:t>Stakeholder consultation</w:t>
      </w:r>
      <w:bookmarkEnd w:id="11"/>
    </w:p>
    <w:p w:rsidR="00D72F71" w:rsidRPr="00FE1642" w:rsidRDefault="00D72F71" w:rsidP="00FC7DC2">
      <w:pPr>
        <w:jc w:val="both"/>
      </w:pPr>
      <w:r w:rsidRPr="00FE1642">
        <w:t xml:space="preserve">Opportunities for stakeholder consultation throughout the </w:t>
      </w:r>
      <w:r w:rsidR="00E80BD5">
        <w:t>Smoking Cessation</w:t>
      </w:r>
      <w:r w:rsidR="00E80BD5" w:rsidRPr="00FE1642">
        <w:t xml:space="preserve"> </w:t>
      </w:r>
      <w:r w:rsidRPr="00FE1642">
        <w:t xml:space="preserve">Review included: </w:t>
      </w:r>
    </w:p>
    <w:p w:rsidR="00D72F71" w:rsidRPr="00FE1642" w:rsidRDefault="00B32132" w:rsidP="00FC7DC2">
      <w:pPr>
        <w:pStyle w:val="ListParagraph"/>
        <w:numPr>
          <w:ilvl w:val="0"/>
          <w:numId w:val="9"/>
        </w:numPr>
        <w:jc w:val="both"/>
      </w:pPr>
      <w:r>
        <w:lastRenderedPageBreak/>
        <w:t>Public</w:t>
      </w:r>
      <w:r w:rsidR="00152390">
        <w:t xml:space="preserve"> consultation on the draft ToR</w:t>
      </w:r>
      <w:r>
        <w:t>s</w:t>
      </w:r>
      <w:r w:rsidR="00E80BD5">
        <w:t xml:space="preserve">: </w:t>
      </w:r>
      <w:r w:rsidR="00797212" w:rsidRPr="00E80BD5">
        <w:t xml:space="preserve">closed on 25 November 2019. </w:t>
      </w:r>
    </w:p>
    <w:p w:rsidR="00D72F71" w:rsidRPr="00FE1642" w:rsidRDefault="0064001D" w:rsidP="00FC7DC2">
      <w:pPr>
        <w:pStyle w:val="ListParagraph"/>
        <w:numPr>
          <w:ilvl w:val="0"/>
          <w:numId w:val="9"/>
        </w:numPr>
        <w:jc w:val="both"/>
      </w:pPr>
      <w:r>
        <w:t>Public</w:t>
      </w:r>
      <w:r w:rsidR="00D72F71" w:rsidRPr="00FE1642">
        <w:t xml:space="preserve"> submissions to the Review</w:t>
      </w:r>
      <w:r w:rsidR="00E80BD5">
        <w:t xml:space="preserve">: </w:t>
      </w:r>
      <w:r w:rsidR="00E80BD5" w:rsidRPr="00E80BD5">
        <w:t xml:space="preserve">closed on 1 May 2020. </w:t>
      </w:r>
      <w:r w:rsidR="00D72F71" w:rsidRPr="00FE1642">
        <w:t xml:space="preserve">Except where requested otherwise, submissions are published on the </w:t>
      </w:r>
      <w:r w:rsidR="003E3132" w:rsidRPr="005C09E7">
        <w:t>Review’s website</w:t>
      </w:r>
      <w:r w:rsidR="003E3132">
        <w:rPr>
          <w:rStyle w:val="Hyperlink"/>
        </w:rPr>
        <w:t>.</w:t>
      </w:r>
    </w:p>
    <w:p w:rsidR="000C2E58" w:rsidRDefault="0064001D" w:rsidP="00FC7DC2">
      <w:pPr>
        <w:pStyle w:val="ListParagraph"/>
        <w:numPr>
          <w:ilvl w:val="0"/>
          <w:numId w:val="9"/>
        </w:numPr>
        <w:jc w:val="both"/>
      </w:pPr>
      <w:r>
        <w:t>A</w:t>
      </w:r>
      <w:r w:rsidR="00D72F71" w:rsidRPr="00FE1642">
        <w:t xml:space="preserve"> Stakeholder Forum</w:t>
      </w:r>
      <w:r w:rsidR="00D07C7C">
        <w:t>,</w:t>
      </w:r>
      <w:r w:rsidR="00D72F71" w:rsidRPr="00FE1642">
        <w:t xml:space="preserve"> held </w:t>
      </w:r>
      <w:r w:rsidR="003E3132">
        <w:t xml:space="preserve">via webinar </w:t>
      </w:r>
      <w:r w:rsidR="00D72F71" w:rsidRPr="00FE1642">
        <w:t>on</w:t>
      </w:r>
      <w:r w:rsidR="003E3132">
        <w:t xml:space="preserve"> 3 December 2020</w:t>
      </w:r>
      <w:r w:rsidR="00D72F71" w:rsidRPr="00FE1642">
        <w:t xml:space="preserve">. </w:t>
      </w:r>
      <w:r w:rsidR="000C2E58">
        <w:t xml:space="preserve">A full version of the </w:t>
      </w:r>
      <w:r w:rsidR="000C2E58" w:rsidRPr="00D26B78">
        <w:t xml:space="preserve">Stakeholder Forum Summary is </w:t>
      </w:r>
      <w:r w:rsidR="000C2E58">
        <w:t xml:space="preserve">available on the </w:t>
      </w:r>
      <w:r w:rsidR="000C2E58" w:rsidRPr="005C09E7">
        <w:t>Review’s website</w:t>
      </w:r>
      <w:r w:rsidR="003E3132">
        <w:rPr>
          <w:rStyle w:val="Hyperlink"/>
        </w:rPr>
        <w:t>.</w:t>
      </w:r>
    </w:p>
    <w:p w:rsidR="00AE6136" w:rsidRDefault="0064001D" w:rsidP="00FC7DC2">
      <w:pPr>
        <w:pStyle w:val="ListParagraph"/>
        <w:numPr>
          <w:ilvl w:val="0"/>
          <w:numId w:val="9"/>
        </w:numPr>
        <w:jc w:val="both"/>
      </w:pPr>
      <w:r>
        <w:t>Public</w:t>
      </w:r>
      <w:r w:rsidR="00EE053C">
        <w:t xml:space="preserve"> consultation on the draft report</w:t>
      </w:r>
      <w:r w:rsidR="00E80BD5">
        <w:t xml:space="preserve">: </w:t>
      </w:r>
      <w:r w:rsidR="001043D7">
        <w:t>7 June 2021 to 2 July 2021</w:t>
      </w:r>
      <w:bookmarkStart w:id="12" w:name="_GoBack"/>
      <w:bookmarkEnd w:id="12"/>
      <w:r w:rsidR="003E3132">
        <w:t>.</w:t>
      </w:r>
    </w:p>
    <w:p w:rsidR="00EE053C" w:rsidRDefault="00AE6136" w:rsidP="00797212">
      <w:pPr>
        <w:spacing w:line="276" w:lineRule="auto"/>
      </w:pPr>
      <w:r>
        <w:br w:type="page"/>
      </w:r>
    </w:p>
    <w:p w:rsidR="009124A3" w:rsidRPr="0009206C" w:rsidRDefault="009124A3" w:rsidP="00394F56">
      <w:pPr>
        <w:pStyle w:val="Heading1"/>
      </w:pPr>
      <w:bookmarkStart w:id="13" w:name="_Toc486853473"/>
      <w:bookmarkStart w:id="14" w:name="_Toc72848442"/>
      <w:r w:rsidRPr="0009206C">
        <w:lastRenderedPageBreak/>
        <w:t>Key Review findings</w:t>
      </w:r>
      <w:bookmarkEnd w:id="13"/>
      <w:bookmarkEnd w:id="14"/>
    </w:p>
    <w:p w:rsidR="00EE7D92" w:rsidRPr="002F3376" w:rsidRDefault="009124A3" w:rsidP="002F3376">
      <w:pPr>
        <w:pStyle w:val="Heading2"/>
        <w:spacing w:after="240"/>
        <w:jc w:val="both"/>
        <w:rPr>
          <w:rFonts w:asciiTheme="minorHAnsi" w:hAnsiTheme="minorHAnsi" w:cstheme="minorHAnsi"/>
          <w:sz w:val="32"/>
          <w:szCs w:val="32"/>
        </w:rPr>
      </w:pPr>
      <w:bookmarkStart w:id="15" w:name="_Toc486853474"/>
      <w:bookmarkStart w:id="16" w:name="_Toc72848443"/>
      <w:proofErr w:type="spellStart"/>
      <w:r w:rsidRPr="00394F56">
        <w:rPr>
          <w:rFonts w:asciiTheme="minorHAnsi" w:hAnsiTheme="minorHAnsi" w:cstheme="minorHAnsi"/>
          <w:sz w:val="32"/>
          <w:szCs w:val="32"/>
        </w:rPr>
        <w:t>ToR</w:t>
      </w:r>
      <w:proofErr w:type="spellEnd"/>
      <w:r w:rsidRPr="00394F56">
        <w:rPr>
          <w:rFonts w:asciiTheme="minorHAnsi" w:hAnsiTheme="minorHAnsi" w:cstheme="minorHAnsi"/>
          <w:sz w:val="32"/>
          <w:szCs w:val="32"/>
        </w:rPr>
        <w:t xml:space="preserve"> 1: Comparison of prescribing restrictions and clinical guidelines</w:t>
      </w:r>
      <w:bookmarkEnd w:id="15"/>
      <w:bookmarkEnd w:id="16"/>
    </w:p>
    <w:p w:rsidR="00EE7D92" w:rsidRPr="002F3376" w:rsidRDefault="003E3132" w:rsidP="002F3376">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rPr>
          <w:color w:val="365F91" w:themeColor="accent1" w:themeShade="BF"/>
        </w:rPr>
      </w:pPr>
      <w:r>
        <w:rPr>
          <w:i/>
          <w:iCs/>
          <w:color w:val="365F91" w:themeColor="accent1" w:themeShade="BF"/>
        </w:rPr>
        <w:t>Collate the</w:t>
      </w:r>
      <w:r w:rsidRPr="00021ACB">
        <w:t xml:space="preserve"> </w:t>
      </w:r>
      <w:r w:rsidRPr="00021ACB">
        <w:rPr>
          <w:i/>
          <w:iCs/>
          <w:color w:val="365F91" w:themeColor="accent1" w:themeShade="BF"/>
        </w:rPr>
        <w:t>current clinical guidelines for medicines for smoking cessation and compare these to the TGA and PBS restrictions for these medicines</w:t>
      </w:r>
    </w:p>
    <w:p w:rsidR="00646FA5" w:rsidRPr="00394F56" w:rsidRDefault="0009206C" w:rsidP="002F3376">
      <w:pPr>
        <w:pStyle w:val="Heading3"/>
      </w:pPr>
      <w:bookmarkStart w:id="17" w:name="_Toc72848444"/>
      <w:r w:rsidRPr="00394F56">
        <w:t xml:space="preserve">1.1 </w:t>
      </w:r>
      <w:r w:rsidR="00EE7D92" w:rsidRPr="00394F56">
        <w:t>I</w:t>
      </w:r>
      <w:r w:rsidR="00646FA5" w:rsidRPr="00394F56">
        <w:t>dentify and compare relevant clinical guidelines inclu</w:t>
      </w:r>
      <w:r w:rsidR="00394F56" w:rsidRPr="00394F56">
        <w:t xml:space="preserve">ding Australian, Health service </w:t>
      </w:r>
      <w:r w:rsidR="00646FA5" w:rsidRPr="00394F56">
        <w:t>and international guidelines</w:t>
      </w:r>
      <w:bookmarkEnd w:id="17"/>
      <w:r w:rsidR="00646FA5" w:rsidRPr="00394F56">
        <w:t xml:space="preserve"> </w:t>
      </w:r>
    </w:p>
    <w:p w:rsidR="00646FA5" w:rsidRPr="005E3296" w:rsidRDefault="00646FA5" w:rsidP="00FC7DC2">
      <w:pPr>
        <w:pStyle w:val="ListParagraph"/>
        <w:numPr>
          <w:ilvl w:val="0"/>
          <w:numId w:val="13"/>
        </w:numPr>
        <w:spacing w:before="200" w:after="20"/>
        <w:jc w:val="both"/>
      </w:pPr>
      <w:r>
        <w:t>Twelve</w:t>
      </w:r>
      <w:r w:rsidRPr="00E25851">
        <w:t xml:space="preserve"> </w:t>
      </w:r>
      <w:r w:rsidRPr="00206D6B">
        <w:t xml:space="preserve">national (Australian) and four international </w:t>
      </w:r>
      <w:r>
        <w:t>guidelines</w:t>
      </w:r>
      <w:r w:rsidRPr="00206D6B">
        <w:t xml:space="preserve"> were identified. </w:t>
      </w:r>
    </w:p>
    <w:p w:rsidR="00646FA5" w:rsidRPr="005E3296" w:rsidRDefault="00646FA5" w:rsidP="00FC7DC2">
      <w:pPr>
        <w:pStyle w:val="ListParagraph"/>
        <w:numPr>
          <w:ilvl w:val="0"/>
          <w:numId w:val="13"/>
        </w:numPr>
        <w:spacing w:before="200" w:after="20"/>
        <w:jc w:val="both"/>
      </w:pPr>
      <w:r w:rsidRPr="00206D6B">
        <w:t xml:space="preserve">National guidelines included </w:t>
      </w:r>
      <w:r>
        <w:t>three</w:t>
      </w:r>
      <w:r w:rsidRPr="00206D6B">
        <w:t xml:space="preserve"> country-level guidelines from the Royal Australian College of General Practitioners (RACGP)</w:t>
      </w:r>
      <w:r>
        <w:t xml:space="preserve">, </w:t>
      </w:r>
      <w:r w:rsidRPr="00206D6B">
        <w:t>the electronic Therapeutic Guidelines (</w:t>
      </w:r>
      <w:proofErr w:type="spellStart"/>
      <w:r w:rsidRPr="00206D6B">
        <w:t>eTG</w:t>
      </w:r>
      <w:proofErr w:type="spellEnd"/>
      <w:r w:rsidRPr="00206D6B">
        <w:t>)</w:t>
      </w:r>
      <w:r>
        <w:t xml:space="preserve"> and Department of Health and Ageing</w:t>
      </w:r>
      <w:r w:rsidRPr="00206D6B">
        <w:t xml:space="preserve">, </w:t>
      </w:r>
      <w:r>
        <w:t>four</w:t>
      </w:r>
      <w:r w:rsidRPr="00206D6B">
        <w:t xml:space="preserve"> state</w:t>
      </w:r>
      <w:r>
        <w:t>-</w:t>
      </w:r>
      <w:r w:rsidRPr="00206D6B">
        <w:t>level Department of Health guidelines (</w:t>
      </w:r>
      <w:r>
        <w:t xml:space="preserve">Quit for New Life, </w:t>
      </w:r>
      <w:r w:rsidRPr="00206D6B">
        <w:t>N</w:t>
      </w:r>
      <w:r>
        <w:t>SW Health</w:t>
      </w:r>
      <w:r w:rsidRPr="00206D6B">
        <w:t xml:space="preserve">, Queensland </w:t>
      </w:r>
      <w:r>
        <w:t xml:space="preserve">Health </w:t>
      </w:r>
      <w:r w:rsidRPr="00206D6B">
        <w:t>and Western Australia</w:t>
      </w:r>
      <w:r>
        <w:t xml:space="preserve"> Department of Health</w:t>
      </w:r>
      <w:r w:rsidRPr="00206D6B">
        <w:t xml:space="preserve">), </w:t>
      </w:r>
      <w:r>
        <w:t>three</w:t>
      </w:r>
      <w:r w:rsidRPr="00206D6B">
        <w:t xml:space="preserve"> additional guidelines by Alfred Health</w:t>
      </w:r>
      <w:r>
        <w:t xml:space="preserve"> (June, 2017 and Aug 2017 updated) and the Royal Women’s Hospital, Victoria (referred herein as the Women’s). T</w:t>
      </w:r>
      <w:r w:rsidRPr="00206D6B">
        <w:t>he Cancer Council</w:t>
      </w:r>
      <w:r>
        <w:t xml:space="preserve"> Victoria published a comprehensive review of smoking cessation, and whilst not a clinical guideline per se, has been included as a key document. </w:t>
      </w:r>
    </w:p>
    <w:p w:rsidR="00646FA5" w:rsidRPr="00C77BD4" w:rsidRDefault="00646FA5" w:rsidP="00FC7DC2">
      <w:pPr>
        <w:pStyle w:val="ListParagraph"/>
        <w:numPr>
          <w:ilvl w:val="0"/>
          <w:numId w:val="13"/>
        </w:numPr>
        <w:spacing w:before="200" w:after="20"/>
        <w:jc w:val="both"/>
      </w:pPr>
      <w:r w:rsidRPr="00206D6B">
        <w:t xml:space="preserve">The international guidance documents included guidelines from New Zealand, UK, Canada and </w:t>
      </w:r>
      <w:r>
        <w:t xml:space="preserve">the </w:t>
      </w:r>
      <w:r w:rsidRPr="00206D6B">
        <w:t>US.</w:t>
      </w:r>
    </w:p>
    <w:p w:rsidR="00646FA5" w:rsidRDefault="00646FA5" w:rsidP="00FC7DC2">
      <w:pPr>
        <w:pStyle w:val="ListParagraph"/>
        <w:numPr>
          <w:ilvl w:val="0"/>
          <w:numId w:val="13"/>
        </w:numPr>
        <w:spacing w:before="200" w:after="20"/>
        <w:jc w:val="both"/>
      </w:pPr>
      <w:r w:rsidRPr="00D4527A">
        <w:t xml:space="preserve">The quality grading of evidence and strength of the </w:t>
      </w:r>
      <w:r>
        <w:t>guidelines</w:t>
      </w:r>
      <w:r w:rsidRPr="00D4527A">
        <w:t xml:space="preserve"> were assessed using the Appraisal of Guidelines for Research and Evaluation (AGREE) II instrument</w:t>
      </w:r>
      <w:r>
        <w:t xml:space="preserve"> (Table </w:t>
      </w:r>
      <w:r>
        <w:rPr>
          <w:noProof/>
        </w:rPr>
        <w:t>1</w:t>
      </w:r>
      <w:r>
        <w:t>)</w:t>
      </w:r>
      <w:r w:rsidRPr="00D4527A">
        <w:t xml:space="preserve">. </w:t>
      </w:r>
      <w:r>
        <w:t xml:space="preserve">Two national (RACGP and Cancer Council Victoria) and two international guidelines (NZ and UK) were assessed as higher quality. </w:t>
      </w:r>
      <w:r w:rsidRPr="00A96C26">
        <w:t xml:space="preserve">Several other national guidelines were also considered very good quality including </w:t>
      </w:r>
      <w:r>
        <w:t xml:space="preserve">ACT Health, </w:t>
      </w:r>
      <w:r w:rsidRPr="00A96C26">
        <w:t>WA Health, NSW Health, Alfred Health (updated guidelines – 2020)</w:t>
      </w:r>
      <w:r>
        <w:t xml:space="preserve">, </w:t>
      </w:r>
      <w:proofErr w:type="spellStart"/>
      <w:r>
        <w:t>eTG</w:t>
      </w:r>
      <w:proofErr w:type="spellEnd"/>
      <w:r>
        <w:t>, Department of Health and Ageing, and the Women’s</w:t>
      </w:r>
      <w:r w:rsidRPr="00A96C26">
        <w:t>, along with the remaining two international guidelines (Canada and US).</w:t>
      </w:r>
    </w:p>
    <w:p w:rsidR="00646FA5" w:rsidRPr="00401294" w:rsidRDefault="00646FA5" w:rsidP="00FC7DC2">
      <w:pPr>
        <w:pStyle w:val="ListParagraph"/>
        <w:numPr>
          <w:ilvl w:val="0"/>
          <w:numId w:val="13"/>
        </w:numPr>
        <w:spacing w:before="200" w:after="20"/>
        <w:jc w:val="both"/>
      </w:pPr>
      <w:r w:rsidRPr="00401294">
        <w:t>Several similarities were apparent between the national and international guidelines</w:t>
      </w:r>
      <w:r>
        <w:t xml:space="preserve"> as follows</w:t>
      </w:r>
      <w:r w:rsidRPr="00401294">
        <w:t xml:space="preserve">. </w:t>
      </w:r>
    </w:p>
    <w:p w:rsidR="00646FA5" w:rsidRPr="00401294" w:rsidRDefault="00646FA5" w:rsidP="00FC7DC2">
      <w:pPr>
        <w:pStyle w:val="ListParagraph"/>
        <w:numPr>
          <w:ilvl w:val="1"/>
          <w:numId w:val="13"/>
        </w:numPr>
        <w:spacing w:before="200" w:after="20"/>
        <w:jc w:val="both"/>
      </w:pPr>
      <w:r w:rsidRPr="00401294">
        <w:t>Approach to smoking cessation, including choice of pharmacotherapy, should be tailored to the patient</w:t>
      </w:r>
      <w:r>
        <w:t xml:space="preserve"> including consideration of nicotine dependence, clinical suitability, and patient preference</w:t>
      </w:r>
      <w:r w:rsidRPr="00401294">
        <w:t>.</w:t>
      </w:r>
    </w:p>
    <w:p w:rsidR="00646FA5" w:rsidRPr="00401294" w:rsidRDefault="00646FA5" w:rsidP="00FC7DC2">
      <w:pPr>
        <w:pStyle w:val="ListParagraph"/>
        <w:numPr>
          <w:ilvl w:val="1"/>
          <w:numId w:val="13"/>
        </w:numPr>
        <w:spacing w:before="200" w:after="20"/>
        <w:jc w:val="both"/>
      </w:pPr>
      <w:r w:rsidRPr="00401294">
        <w:t xml:space="preserve">Varenicline was considered </w:t>
      </w:r>
      <w:r>
        <w:t>more</w:t>
      </w:r>
      <w:r w:rsidRPr="00401294">
        <w:t xml:space="preserve"> effective</w:t>
      </w:r>
      <w:r>
        <w:t xml:space="preserve"> than NRT</w:t>
      </w:r>
      <w:r w:rsidRPr="00401294">
        <w:t xml:space="preserve"> monotherapy</w:t>
      </w:r>
      <w:r>
        <w:t xml:space="preserve"> and bupropion</w:t>
      </w:r>
      <w:r w:rsidRPr="00401294">
        <w:t>, and at least equivalent to combination NRT.</w:t>
      </w:r>
    </w:p>
    <w:p w:rsidR="00646FA5" w:rsidRPr="00401294" w:rsidRDefault="00646FA5" w:rsidP="00FC7DC2">
      <w:pPr>
        <w:pStyle w:val="ListParagraph"/>
        <w:numPr>
          <w:ilvl w:val="1"/>
          <w:numId w:val="13"/>
        </w:numPr>
        <w:spacing w:before="200" w:after="20"/>
        <w:jc w:val="both"/>
      </w:pPr>
      <w:r w:rsidRPr="00401294">
        <w:t xml:space="preserve">Combination NRT was </w:t>
      </w:r>
      <w:r>
        <w:t xml:space="preserve">considered </w:t>
      </w:r>
      <w:r w:rsidRPr="00401294">
        <w:t>more effective than monotherapy NRT or bupropion.</w:t>
      </w:r>
    </w:p>
    <w:p w:rsidR="00646FA5" w:rsidRPr="00401294" w:rsidRDefault="00CC2D13" w:rsidP="00FC7DC2">
      <w:pPr>
        <w:pStyle w:val="ListParagraph"/>
        <w:numPr>
          <w:ilvl w:val="1"/>
          <w:numId w:val="13"/>
        </w:numPr>
        <w:spacing w:before="200" w:after="20"/>
        <w:jc w:val="both"/>
      </w:pPr>
      <w:r>
        <w:t xml:space="preserve">Any </w:t>
      </w:r>
      <w:r w:rsidRPr="00401294">
        <w:t>pharmacotherapy</w:t>
      </w:r>
      <w:r w:rsidR="00646FA5" w:rsidRPr="00401294">
        <w:t xml:space="preserve"> combined with behavioural support </w:t>
      </w:r>
      <w:r w:rsidR="00646FA5">
        <w:t>was considered</w:t>
      </w:r>
      <w:r w:rsidR="00646FA5" w:rsidRPr="00401294">
        <w:t xml:space="preserve"> more effective than pharmacotherapy alone.</w:t>
      </w:r>
    </w:p>
    <w:p w:rsidR="00646FA5" w:rsidRPr="00401294" w:rsidRDefault="00646FA5" w:rsidP="00FC7DC2">
      <w:pPr>
        <w:pStyle w:val="ListParagraph"/>
        <w:numPr>
          <w:ilvl w:val="1"/>
          <w:numId w:val="13"/>
        </w:numPr>
        <w:spacing w:before="200" w:after="20"/>
        <w:jc w:val="both"/>
      </w:pPr>
      <w:r w:rsidRPr="00401294">
        <w:t xml:space="preserve">Referral to a specialised counselling service (e.g. </w:t>
      </w:r>
      <w:proofErr w:type="spellStart"/>
      <w:r w:rsidRPr="00401294">
        <w:t>Quitline</w:t>
      </w:r>
      <w:proofErr w:type="spellEnd"/>
      <w:r w:rsidRPr="00401294">
        <w:t xml:space="preserve"> or similar trained smoking cessation counsellors) was recommended.</w:t>
      </w:r>
    </w:p>
    <w:p w:rsidR="00646FA5" w:rsidRPr="00401294" w:rsidRDefault="00646FA5" w:rsidP="00FC7DC2">
      <w:pPr>
        <w:pStyle w:val="ListParagraph"/>
        <w:numPr>
          <w:ilvl w:val="1"/>
          <w:numId w:val="13"/>
        </w:numPr>
        <w:spacing w:before="200" w:after="20"/>
        <w:jc w:val="both"/>
      </w:pPr>
      <w:r w:rsidRPr="00401294">
        <w:t xml:space="preserve">Using appropriate dosing for NRT, proportional to the level of nicotine dependence, </w:t>
      </w:r>
      <w:r>
        <w:t>was</w:t>
      </w:r>
      <w:r w:rsidRPr="00401294">
        <w:t xml:space="preserve"> important, as </w:t>
      </w:r>
      <w:r>
        <w:t>wa</w:t>
      </w:r>
      <w:r w:rsidRPr="00401294">
        <w:t>s up</w:t>
      </w:r>
      <w:r>
        <w:t>-</w:t>
      </w:r>
      <w:r w:rsidRPr="00401294">
        <w:t xml:space="preserve">titrating the dose </w:t>
      </w:r>
      <w:r>
        <w:t xml:space="preserve">(including the option of double patching i.e. adding an extra patch) </w:t>
      </w:r>
      <w:r w:rsidRPr="00401294">
        <w:t xml:space="preserve">if there </w:t>
      </w:r>
      <w:r>
        <w:t>wa</w:t>
      </w:r>
      <w:r w:rsidRPr="00401294">
        <w:t xml:space="preserve">s limited response. </w:t>
      </w:r>
      <w:r w:rsidRPr="00401294">
        <w:lastRenderedPageBreak/>
        <w:t xml:space="preserve">Under-dosing </w:t>
      </w:r>
      <w:r>
        <w:t>wa</w:t>
      </w:r>
      <w:r w:rsidRPr="00401294">
        <w:t xml:space="preserve">s </w:t>
      </w:r>
      <w:r>
        <w:t>considered</w:t>
      </w:r>
      <w:r w:rsidRPr="00401294">
        <w:t xml:space="preserve"> common and associated with risk of not achieving cessation.</w:t>
      </w:r>
    </w:p>
    <w:p w:rsidR="00646FA5" w:rsidRPr="00401294" w:rsidRDefault="00646FA5" w:rsidP="00FC7DC2">
      <w:pPr>
        <w:pStyle w:val="ListParagraph"/>
        <w:numPr>
          <w:ilvl w:val="1"/>
          <w:numId w:val="13"/>
        </w:numPr>
        <w:spacing w:before="200" w:after="20"/>
        <w:jc w:val="both"/>
      </w:pPr>
      <w:r w:rsidRPr="00401294">
        <w:t xml:space="preserve">NRT should be used for </w:t>
      </w:r>
      <w:r>
        <w:t xml:space="preserve">8 - </w:t>
      </w:r>
      <w:r w:rsidRPr="00401294">
        <w:t xml:space="preserve">12 weeks, </w:t>
      </w:r>
      <w:proofErr w:type="spellStart"/>
      <w:r w:rsidRPr="00401294">
        <w:t>varenicline</w:t>
      </w:r>
      <w:proofErr w:type="spellEnd"/>
      <w:r w:rsidRPr="00401294">
        <w:t xml:space="preserve"> for 12 weeks and bupropion for at least 7 weeks. Some </w:t>
      </w:r>
      <w:r>
        <w:t xml:space="preserve">national and international </w:t>
      </w:r>
      <w:r w:rsidRPr="00401294">
        <w:t xml:space="preserve">guidelines allowed for a second course of NRT or </w:t>
      </w:r>
      <w:proofErr w:type="spellStart"/>
      <w:r w:rsidRPr="00401294">
        <w:t>varenicline</w:t>
      </w:r>
      <w:proofErr w:type="spellEnd"/>
      <w:r w:rsidRPr="00401294">
        <w:t>, but not bupropion, to prevent relapse, or if complete abstinence was not achieved.</w:t>
      </w:r>
    </w:p>
    <w:p w:rsidR="00646FA5" w:rsidRPr="00401294" w:rsidRDefault="00646FA5" w:rsidP="00FC7DC2">
      <w:pPr>
        <w:pStyle w:val="ListParagraph"/>
        <w:numPr>
          <w:ilvl w:val="1"/>
          <w:numId w:val="13"/>
        </w:numPr>
        <w:spacing w:before="200" w:after="20"/>
        <w:jc w:val="both"/>
      </w:pPr>
      <w:r w:rsidRPr="00401294">
        <w:t>NRT was considered appropriate for use in adolescents &gt; 12 years, patients with stable CVD and pregnant women (although preference was to achieve smoking cessation without use of NRT in pregnant women).</w:t>
      </w:r>
    </w:p>
    <w:p w:rsidR="00646FA5" w:rsidRPr="00401294" w:rsidRDefault="00646FA5" w:rsidP="00FC7DC2">
      <w:pPr>
        <w:pStyle w:val="ListParagraph"/>
        <w:numPr>
          <w:ilvl w:val="0"/>
          <w:numId w:val="13"/>
        </w:numPr>
        <w:spacing w:before="200" w:after="20"/>
        <w:jc w:val="both"/>
      </w:pPr>
      <w:r w:rsidRPr="00401294">
        <w:t xml:space="preserve">There were some discrepancies between various guidelines, particularly around the use of combinations of NRT, </w:t>
      </w:r>
      <w:proofErr w:type="spellStart"/>
      <w:r w:rsidRPr="00401294">
        <w:t>varenicline</w:t>
      </w:r>
      <w:proofErr w:type="spellEnd"/>
      <w:r w:rsidRPr="00401294">
        <w:t xml:space="preserve"> and bupropion</w:t>
      </w:r>
      <w:r>
        <w:t xml:space="preserve">. </w:t>
      </w:r>
      <w:r w:rsidRPr="00401294">
        <w:t xml:space="preserve"> </w:t>
      </w:r>
      <w:r>
        <w:t>S</w:t>
      </w:r>
      <w:r w:rsidRPr="00401294">
        <w:t xml:space="preserve">ome guidelines </w:t>
      </w:r>
      <w:r>
        <w:t xml:space="preserve">recommended </w:t>
      </w:r>
      <w:r w:rsidRPr="00401294">
        <w:t>some or all combinations</w:t>
      </w:r>
      <w:r>
        <w:t>,</w:t>
      </w:r>
      <w:r w:rsidRPr="00401294">
        <w:t xml:space="preserve"> but </w:t>
      </w:r>
      <w:r>
        <w:t>the UK</w:t>
      </w:r>
      <w:r w:rsidRPr="00401294">
        <w:t xml:space="preserve"> specifically recommend</w:t>
      </w:r>
      <w:r>
        <w:t>ed</w:t>
      </w:r>
      <w:r w:rsidRPr="00401294">
        <w:t xml:space="preserve"> against </w:t>
      </w:r>
      <w:r>
        <w:t xml:space="preserve">the combination of </w:t>
      </w:r>
      <w:proofErr w:type="spellStart"/>
      <w:r>
        <w:t>varenicline</w:t>
      </w:r>
      <w:proofErr w:type="spellEnd"/>
      <w:r>
        <w:t xml:space="preserve"> and bupropion</w:t>
      </w:r>
      <w:r w:rsidRPr="00401294">
        <w:t xml:space="preserve">. </w:t>
      </w:r>
    </w:p>
    <w:p w:rsidR="00EE7D92" w:rsidRPr="002F3376" w:rsidRDefault="00646FA5" w:rsidP="00FC7DC2">
      <w:pPr>
        <w:pStyle w:val="ListParagraph"/>
        <w:numPr>
          <w:ilvl w:val="0"/>
          <w:numId w:val="13"/>
        </w:numPr>
        <w:spacing w:before="200" w:after="20"/>
        <w:jc w:val="both"/>
      </w:pPr>
      <w:r w:rsidRPr="00401294">
        <w:t>Differences were also seen in how nicotine dependence was assessed, particularly in relation to dosing of NRT. However, there was agreement on the overall principle that increased reliance on nicotine (whether measured by time to first cigarette, or number of cigarettes per day, or a combination of these) should trigger use of higher doses of NRT at the time of quitting.</w:t>
      </w:r>
    </w:p>
    <w:p w:rsidR="00646FA5" w:rsidRPr="00394F56" w:rsidRDefault="0009206C" w:rsidP="00394F56">
      <w:pPr>
        <w:pStyle w:val="Heading3"/>
        <w:rPr>
          <w:rFonts w:eastAsiaTheme="minorEastAsia"/>
        </w:rPr>
      </w:pPr>
      <w:bookmarkStart w:id="18" w:name="_Toc72848445"/>
      <w:r w:rsidRPr="00394F56">
        <w:rPr>
          <w:rFonts w:eastAsiaTheme="minorEastAsia"/>
        </w:rPr>
        <w:t xml:space="preserve">1.2 </w:t>
      </w:r>
      <w:r w:rsidR="00646FA5" w:rsidRPr="00394F56">
        <w:rPr>
          <w:rFonts w:eastAsiaTheme="minorEastAsia"/>
        </w:rPr>
        <w:t xml:space="preserve">Compare TGA indications and PBS restrictions to the most clinically relevant clinical guidelines identified in </w:t>
      </w:r>
      <w:r w:rsidRPr="00394F56">
        <w:rPr>
          <w:rFonts w:eastAsiaTheme="minorEastAsia"/>
        </w:rPr>
        <w:t>1.1</w:t>
      </w:r>
      <w:bookmarkEnd w:id="18"/>
    </w:p>
    <w:p w:rsidR="00646FA5" w:rsidRDefault="00646FA5" w:rsidP="00FC7DC2">
      <w:pPr>
        <w:pStyle w:val="ListParagraph"/>
        <w:numPr>
          <w:ilvl w:val="0"/>
          <w:numId w:val="14"/>
        </w:numPr>
        <w:spacing w:before="200" w:after="20"/>
        <w:jc w:val="both"/>
      </w:pPr>
      <w:r>
        <w:t xml:space="preserve">All guidelines recommendations were within TGA indications for all therapies under consideration (NRT, bupropion and </w:t>
      </w:r>
      <w:proofErr w:type="spellStart"/>
      <w:r>
        <w:t>varenicline</w:t>
      </w:r>
      <w:proofErr w:type="spellEnd"/>
      <w:r>
        <w:t>).</w:t>
      </w:r>
    </w:p>
    <w:p w:rsidR="00646FA5" w:rsidRDefault="00646FA5" w:rsidP="00FC7DC2">
      <w:pPr>
        <w:pStyle w:val="ListParagraph"/>
        <w:numPr>
          <w:ilvl w:val="0"/>
          <w:numId w:val="14"/>
        </w:numPr>
        <w:spacing w:before="200" w:after="20"/>
        <w:jc w:val="both"/>
      </w:pPr>
      <w:r w:rsidRPr="00814853">
        <w:t xml:space="preserve">The PBS listing </w:t>
      </w:r>
      <w:r>
        <w:t xml:space="preserve">for NRT does </w:t>
      </w:r>
      <w:r w:rsidRPr="00814853">
        <w:t xml:space="preserve">not </w:t>
      </w:r>
      <w:r>
        <w:t xml:space="preserve">provide for the use of </w:t>
      </w:r>
      <w:r w:rsidRPr="00814853">
        <w:t>two forms of NRT at once (i.e. no combination therapy)</w:t>
      </w:r>
      <w:r>
        <w:t xml:space="preserve"> which is inconsistent with all guidelines reviewed and TGA-approved dosing of NRT.</w:t>
      </w:r>
    </w:p>
    <w:p w:rsidR="00646FA5" w:rsidRDefault="00646FA5" w:rsidP="00FC7DC2">
      <w:pPr>
        <w:pStyle w:val="ListParagraph"/>
        <w:numPr>
          <w:ilvl w:val="0"/>
          <w:numId w:val="14"/>
        </w:numPr>
        <w:spacing w:before="200" w:after="20"/>
        <w:jc w:val="both"/>
      </w:pPr>
      <w:r>
        <w:t xml:space="preserve">The PBS listings for </w:t>
      </w:r>
      <w:proofErr w:type="spellStart"/>
      <w:r>
        <w:t>varenicline</w:t>
      </w:r>
      <w:proofErr w:type="spellEnd"/>
      <w:r>
        <w:t xml:space="preserve"> and bupropion were consistent with guideline recommendations for use of these drugs as monotherapy. However, the PBS restriction of requiring a six-month gap between initiating sequential quit attempts was not reflected in the guidelines.</w:t>
      </w:r>
    </w:p>
    <w:p w:rsidR="00646FA5" w:rsidRDefault="00646FA5" w:rsidP="00FC7DC2">
      <w:pPr>
        <w:pStyle w:val="ListParagraph"/>
        <w:numPr>
          <w:ilvl w:val="0"/>
          <w:numId w:val="14"/>
        </w:numPr>
        <w:spacing w:before="200" w:after="20"/>
        <w:jc w:val="both"/>
      </w:pPr>
      <w:r>
        <w:t xml:space="preserve">The PBS listings for </w:t>
      </w:r>
      <w:proofErr w:type="spellStart"/>
      <w:r>
        <w:t>varenicline</w:t>
      </w:r>
      <w:proofErr w:type="spellEnd"/>
      <w:r>
        <w:t xml:space="preserve"> and bupropion are inconsistent with the guidelines that support the use of these therapies in combination with another smoking cessation therapy. However, there was also discrepancy between guidelines as to whether these medications should be used in combination. The TGA indications do not preclude combination therapy.</w:t>
      </w:r>
    </w:p>
    <w:p w:rsidR="00646FA5" w:rsidRPr="004E1EE3" w:rsidRDefault="00646FA5" w:rsidP="00FC7DC2">
      <w:pPr>
        <w:pStyle w:val="ListParagraph"/>
        <w:numPr>
          <w:ilvl w:val="0"/>
          <w:numId w:val="14"/>
        </w:numPr>
        <w:spacing w:before="200" w:after="20"/>
        <w:jc w:val="both"/>
      </w:pPr>
      <w:r>
        <w:t>Cut-down to quit and pre-quit use of NRT were TGA-approved and recommended strategies in most guidelines. This approach was not explicitly considered in the PBS restrictions, and may not be adequately accounted for within the allowable quantities and repeats.</w:t>
      </w:r>
    </w:p>
    <w:p w:rsidR="00646FA5" w:rsidRPr="00604C6A" w:rsidRDefault="00646FA5" w:rsidP="00FC7DC2">
      <w:pPr>
        <w:pStyle w:val="ListParagraph"/>
        <w:numPr>
          <w:ilvl w:val="0"/>
          <w:numId w:val="14"/>
        </w:numPr>
        <w:spacing w:before="200" w:after="20"/>
        <w:jc w:val="both"/>
      </w:pPr>
      <w:r>
        <w:t xml:space="preserve">Current PBS prescriptions for NRT do not allow for extension of a course of therapy beyond 12 weeks although several guidelines recommended extension of therapy if needed. The exception to this was for Aboriginal and Torres Strait Islander populations where up to 24 weeks of </w:t>
      </w:r>
      <w:r w:rsidR="0081058F">
        <w:t xml:space="preserve">PBS subsidised </w:t>
      </w:r>
      <w:r>
        <w:t>NRT were allowed. No guideline distinguished between Aboriginal and Torres Strait Islander populations and general populations regarding extension of therapy.</w:t>
      </w:r>
    </w:p>
    <w:p w:rsidR="00646FA5" w:rsidRPr="008E791E" w:rsidRDefault="00646FA5" w:rsidP="00FC7DC2">
      <w:pPr>
        <w:pStyle w:val="ListParagraph"/>
        <w:numPr>
          <w:ilvl w:val="0"/>
          <w:numId w:val="14"/>
        </w:numPr>
        <w:spacing w:before="200" w:after="20"/>
        <w:jc w:val="both"/>
      </w:pPr>
      <w:r>
        <w:lastRenderedPageBreak/>
        <w:t>The allowable quantities for NRT patches in the current PBS restrictions do not account for ‘double-patching’ although several guidelines suggested that this may be useful for heavily dependent smokers.</w:t>
      </w:r>
    </w:p>
    <w:p w:rsidR="00EE7D92" w:rsidRPr="002F3376" w:rsidRDefault="00646FA5" w:rsidP="00FC7DC2">
      <w:pPr>
        <w:pStyle w:val="ListParagraph"/>
        <w:numPr>
          <w:ilvl w:val="0"/>
          <w:numId w:val="14"/>
        </w:numPr>
        <w:spacing w:before="200" w:after="20"/>
        <w:jc w:val="both"/>
      </w:pPr>
      <w:r>
        <w:t>Higher strength NRT patches were listed for Aboriginal and Torres Strait Islander populations but lower strength patches were not. This was inconsistent with the guidelines which do not indicate any evidence-based requirement for only higher strengths for Aboriginal and Torres Strait Islander populations.</w:t>
      </w:r>
    </w:p>
    <w:p w:rsidR="00646FA5" w:rsidRPr="00394F56" w:rsidRDefault="0009206C" w:rsidP="00394F56">
      <w:pPr>
        <w:pStyle w:val="Heading3"/>
        <w:rPr>
          <w:rFonts w:eastAsiaTheme="minorEastAsia"/>
        </w:rPr>
      </w:pPr>
      <w:bookmarkStart w:id="19" w:name="_Toc72848446"/>
      <w:r w:rsidRPr="00394F56">
        <w:rPr>
          <w:rFonts w:eastAsiaTheme="minorEastAsia"/>
        </w:rPr>
        <w:t xml:space="preserve">1.3 </w:t>
      </w:r>
      <w:r w:rsidR="00646FA5" w:rsidRPr="00394F56">
        <w:rPr>
          <w:rFonts w:eastAsiaTheme="minorEastAsia"/>
        </w:rPr>
        <w:t>Review the most commonly recommended clinical assessment measure used to evaluate the severity of nicotine dependence</w:t>
      </w:r>
      <w:bookmarkEnd w:id="19"/>
    </w:p>
    <w:p w:rsidR="00646FA5" w:rsidRDefault="00646FA5" w:rsidP="00FC7DC2">
      <w:pPr>
        <w:pStyle w:val="ListParagraph"/>
        <w:numPr>
          <w:ilvl w:val="0"/>
          <w:numId w:val="12"/>
        </w:numPr>
        <w:spacing w:before="200" w:after="20"/>
        <w:jc w:val="both"/>
      </w:pPr>
      <w:r>
        <w:t>Under-dosing of NRT was considered common and assessment of nicotine dependence was recommended prior to prescribing of pharmacotherapy.</w:t>
      </w:r>
    </w:p>
    <w:p w:rsidR="00646FA5" w:rsidRDefault="00646FA5" w:rsidP="00FC7DC2">
      <w:pPr>
        <w:pStyle w:val="ListParagraph"/>
        <w:numPr>
          <w:ilvl w:val="0"/>
          <w:numId w:val="12"/>
        </w:numPr>
        <w:spacing w:before="200" w:after="20"/>
        <w:jc w:val="both"/>
      </w:pPr>
      <w:r>
        <w:t>Clinical guidelines used a range of instruments to assess nicotine dependence including:</w:t>
      </w:r>
    </w:p>
    <w:p w:rsidR="00646FA5" w:rsidRDefault="00646FA5" w:rsidP="00FC7DC2">
      <w:pPr>
        <w:pStyle w:val="ListParagraph"/>
        <w:numPr>
          <w:ilvl w:val="1"/>
          <w:numId w:val="12"/>
        </w:numPr>
        <w:spacing w:before="200" w:after="20"/>
        <w:jc w:val="both"/>
      </w:pPr>
      <w:r>
        <w:t xml:space="preserve">The </w:t>
      </w:r>
      <w:proofErr w:type="spellStart"/>
      <w:r>
        <w:t>Fagerstrӧm</w:t>
      </w:r>
      <w:proofErr w:type="spellEnd"/>
      <w:r>
        <w:t xml:space="preserve"> test which </w:t>
      </w:r>
      <w:r w:rsidRPr="00EE61D3">
        <w:t>tests psychological and physiological dependence</w:t>
      </w:r>
    </w:p>
    <w:p w:rsidR="00646FA5" w:rsidRDefault="00646FA5" w:rsidP="00FC7DC2">
      <w:pPr>
        <w:pStyle w:val="ListParagraph"/>
        <w:numPr>
          <w:ilvl w:val="1"/>
          <w:numId w:val="12"/>
        </w:numPr>
        <w:spacing w:before="200" w:after="20"/>
        <w:jc w:val="both"/>
      </w:pPr>
      <w:r>
        <w:t xml:space="preserve">A subset of two of the </w:t>
      </w:r>
      <w:proofErr w:type="spellStart"/>
      <w:r>
        <w:t>Fagerstrӧm</w:t>
      </w:r>
      <w:proofErr w:type="spellEnd"/>
      <w:r>
        <w:t xml:space="preserve"> questions – ‘how long until you have your first cigarette after waking?’, and ‘how many cigarettes a day do you smoke?</w:t>
      </w:r>
      <w:proofErr w:type="gramStart"/>
      <w:r>
        <w:t>’.</w:t>
      </w:r>
      <w:proofErr w:type="gramEnd"/>
    </w:p>
    <w:p w:rsidR="00646FA5" w:rsidRPr="001E1B31" w:rsidRDefault="00646FA5" w:rsidP="00FC7DC2">
      <w:pPr>
        <w:pStyle w:val="ListParagraph"/>
        <w:numPr>
          <w:ilvl w:val="1"/>
          <w:numId w:val="12"/>
        </w:numPr>
        <w:spacing w:before="200" w:after="20"/>
        <w:jc w:val="both"/>
      </w:pPr>
      <w:r>
        <w:t>Simply asking ‘how many cigarettes a day do you smoke?’</w:t>
      </w:r>
    </w:p>
    <w:p w:rsidR="00394F56" w:rsidRPr="00394F56" w:rsidRDefault="0009206C" w:rsidP="002F3376">
      <w:pPr>
        <w:pStyle w:val="Heading3"/>
        <w:spacing w:after="240"/>
      </w:pPr>
      <w:bookmarkStart w:id="20" w:name="_Toc66695666"/>
      <w:bookmarkStart w:id="21" w:name="_Toc72848447"/>
      <w:r w:rsidRPr="00394F56">
        <w:t xml:space="preserve">1.4 </w:t>
      </w:r>
      <w:r w:rsidR="00646FA5" w:rsidRPr="00394F56">
        <w:t>Stakeholder views (Forum and public consultations)</w:t>
      </w:r>
      <w:bookmarkEnd w:id="20"/>
      <w:bookmarkEnd w:id="21"/>
    </w:p>
    <w:p w:rsidR="00646FA5" w:rsidRDefault="00646FA5" w:rsidP="00FC7DC2">
      <w:pPr>
        <w:jc w:val="both"/>
      </w:pPr>
      <w:r>
        <w:t xml:space="preserve">Initial consultation feedback recommended that health service guidelines be included in the evaluation of </w:t>
      </w:r>
      <w:proofErr w:type="spellStart"/>
      <w:r>
        <w:t>ToR</w:t>
      </w:r>
      <w:proofErr w:type="spellEnd"/>
      <w:r>
        <w:t xml:space="preserve"> 1, in addition to national and international guidelines. Based on this feedback several health service guidelines, including those published by Alfred Health and the Royal Women’s Hospital (Victoria), have been included in the evaluation of </w:t>
      </w:r>
      <w:proofErr w:type="spellStart"/>
      <w:r>
        <w:t>ToR</w:t>
      </w:r>
      <w:proofErr w:type="spellEnd"/>
      <w:r>
        <w:t xml:space="preserve"> 1. A review published by the Cancer Council Victoria was included as a ‘key document.’</w:t>
      </w:r>
    </w:p>
    <w:p w:rsidR="00646FA5" w:rsidRDefault="00646FA5" w:rsidP="00FC7DC2">
      <w:pPr>
        <w:jc w:val="both"/>
      </w:pPr>
      <w:r>
        <w:t>Stakeholders generally considered that the PBS restrictions should align with current clinical guidelines (such as the RACGP’s ‘</w:t>
      </w:r>
      <w:proofErr w:type="gramStart"/>
      <w:r w:rsidRPr="005B7BDC">
        <w:rPr>
          <w:bCs/>
          <w:kern w:val="36"/>
          <w:szCs w:val="24"/>
          <w:lang w:val="en"/>
        </w:rPr>
        <w:t>Supporting</w:t>
      </w:r>
      <w:proofErr w:type="gramEnd"/>
      <w:r w:rsidRPr="005B7BDC">
        <w:rPr>
          <w:bCs/>
          <w:kern w:val="36"/>
          <w:szCs w:val="24"/>
          <w:lang w:val="en"/>
        </w:rPr>
        <w:t xml:space="preserve"> smoking cessation: A guide for health professionals</w:t>
      </w:r>
      <w:r>
        <w:rPr>
          <w:bCs/>
          <w:kern w:val="36"/>
          <w:szCs w:val="24"/>
          <w:lang w:val="en"/>
        </w:rPr>
        <w:t>’</w:t>
      </w:r>
      <w:r>
        <w:t xml:space="preserve">). </w:t>
      </w:r>
    </w:p>
    <w:p w:rsidR="00646FA5" w:rsidRDefault="00646FA5" w:rsidP="00FC7DC2">
      <w:pPr>
        <w:pStyle w:val="Bullet"/>
        <w:spacing w:before="240"/>
        <w:jc w:val="both"/>
        <w:rPr>
          <w:rFonts w:asciiTheme="minorHAnsi" w:eastAsiaTheme="minorHAnsi" w:hAnsiTheme="minorHAnsi" w:cstheme="minorHAnsi"/>
          <w:color w:val="auto"/>
          <w:sz w:val="24"/>
          <w:szCs w:val="22"/>
        </w:rPr>
      </w:pPr>
      <w:r w:rsidRPr="00F875E9">
        <w:rPr>
          <w:rFonts w:asciiTheme="minorHAnsi" w:eastAsiaTheme="minorHAnsi" w:hAnsiTheme="minorHAnsi" w:cstheme="minorHAnsi"/>
          <w:color w:val="auto"/>
          <w:sz w:val="24"/>
          <w:szCs w:val="22"/>
        </w:rPr>
        <w:t xml:space="preserve">Stakeholders considered </w:t>
      </w:r>
      <w:r>
        <w:rPr>
          <w:rFonts w:asciiTheme="minorHAnsi" w:eastAsiaTheme="minorHAnsi" w:hAnsiTheme="minorHAnsi" w:cstheme="minorHAnsi"/>
          <w:color w:val="auto"/>
          <w:sz w:val="24"/>
          <w:szCs w:val="22"/>
        </w:rPr>
        <w:t xml:space="preserve">it important to </w:t>
      </w:r>
      <w:r w:rsidRPr="00F875E9">
        <w:rPr>
          <w:rFonts w:asciiTheme="minorHAnsi" w:eastAsiaTheme="minorHAnsi" w:hAnsiTheme="minorHAnsi" w:cstheme="minorHAnsi"/>
          <w:color w:val="auto"/>
          <w:sz w:val="24"/>
          <w:szCs w:val="22"/>
        </w:rPr>
        <w:t>ensur</w:t>
      </w:r>
      <w:r>
        <w:rPr>
          <w:rFonts w:asciiTheme="minorHAnsi" w:eastAsiaTheme="minorHAnsi" w:hAnsiTheme="minorHAnsi" w:cstheme="minorHAnsi"/>
          <w:color w:val="auto"/>
          <w:sz w:val="24"/>
          <w:szCs w:val="22"/>
        </w:rPr>
        <w:t>e that</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 xml:space="preserve">the </w:t>
      </w:r>
      <w:r w:rsidRPr="00F875E9">
        <w:rPr>
          <w:rFonts w:asciiTheme="minorHAnsi" w:eastAsiaTheme="minorHAnsi" w:hAnsiTheme="minorHAnsi" w:cstheme="minorHAnsi"/>
          <w:color w:val="auto"/>
          <w:sz w:val="24"/>
          <w:szCs w:val="22"/>
        </w:rPr>
        <w:t>availability of medic</w:t>
      </w:r>
      <w:r>
        <w:rPr>
          <w:rFonts w:asciiTheme="minorHAnsi" w:eastAsiaTheme="minorHAnsi" w:hAnsiTheme="minorHAnsi" w:cstheme="minorHAnsi"/>
          <w:color w:val="auto"/>
          <w:sz w:val="24"/>
          <w:szCs w:val="22"/>
        </w:rPr>
        <w:t>ines for smoking cessation</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are subsidised</w:t>
      </w:r>
      <w:r w:rsidRPr="00F875E9">
        <w:rPr>
          <w:rFonts w:asciiTheme="minorHAnsi" w:eastAsiaTheme="minorHAnsi" w:hAnsiTheme="minorHAnsi" w:cstheme="minorHAnsi"/>
          <w:color w:val="auto"/>
          <w:sz w:val="24"/>
          <w:szCs w:val="22"/>
        </w:rPr>
        <w:t xml:space="preserve"> consistent with clinical guidelines to support people</w:t>
      </w:r>
      <w:r>
        <w:rPr>
          <w:rFonts w:asciiTheme="minorHAnsi" w:eastAsiaTheme="minorHAnsi" w:hAnsiTheme="minorHAnsi" w:cstheme="minorHAnsi"/>
          <w:color w:val="auto"/>
          <w:sz w:val="24"/>
          <w:szCs w:val="22"/>
        </w:rPr>
        <w:t xml:space="preserve"> </w:t>
      </w:r>
      <w:r w:rsidRPr="00F875E9">
        <w:rPr>
          <w:rFonts w:asciiTheme="minorHAnsi" w:eastAsiaTheme="minorHAnsi" w:hAnsiTheme="minorHAnsi" w:cstheme="minorHAnsi"/>
          <w:color w:val="auto"/>
          <w:sz w:val="24"/>
          <w:szCs w:val="22"/>
        </w:rPr>
        <w:t>to quit smoking.</w:t>
      </w:r>
    </w:p>
    <w:p w:rsidR="009D5D82" w:rsidRDefault="009D5D82" w:rsidP="00815A6D">
      <w:pPr>
        <w:pStyle w:val="Heading3"/>
        <w:numPr>
          <w:ilvl w:val="2"/>
          <w:numId w:val="50"/>
        </w:numPr>
        <w:spacing w:before="240" w:after="20"/>
      </w:pPr>
      <w:r>
        <w:br w:type="page"/>
      </w:r>
    </w:p>
    <w:p w:rsidR="00EE7D92" w:rsidRPr="002F3376" w:rsidRDefault="00446E80" w:rsidP="002F3376">
      <w:pPr>
        <w:pStyle w:val="Heading2"/>
        <w:spacing w:after="240"/>
        <w:rPr>
          <w:rFonts w:asciiTheme="minorHAnsi" w:hAnsiTheme="minorHAnsi" w:cstheme="minorHAnsi"/>
          <w:sz w:val="32"/>
          <w:szCs w:val="32"/>
        </w:rPr>
      </w:pPr>
      <w:bookmarkStart w:id="22" w:name="_Toc72848448"/>
      <w:proofErr w:type="spellStart"/>
      <w:r w:rsidRPr="00394F56">
        <w:rPr>
          <w:rFonts w:asciiTheme="minorHAnsi" w:hAnsiTheme="minorHAnsi" w:cstheme="minorHAnsi"/>
          <w:sz w:val="32"/>
          <w:szCs w:val="32"/>
        </w:rPr>
        <w:lastRenderedPageBreak/>
        <w:t>ToR</w:t>
      </w:r>
      <w:proofErr w:type="spellEnd"/>
      <w:r w:rsidRPr="00394F56">
        <w:rPr>
          <w:rFonts w:asciiTheme="minorHAnsi" w:hAnsiTheme="minorHAnsi" w:cstheme="minorHAnsi"/>
          <w:sz w:val="32"/>
          <w:szCs w:val="32"/>
        </w:rPr>
        <w:t xml:space="preserve"> 2: </w:t>
      </w:r>
      <w:r w:rsidR="0022146D" w:rsidRPr="00394F56">
        <w:rPr>
          <w:rFonts w:asciiTheme="minorHAnsi" w:hAnsiTheme="minorHAnsi" w:cstheme="minorHAnsi"/>
          <w:sz w:val="32"/>
          <w:szCs w:val="32"/>
        </w:rPr>
        <w:t>Analysis of utilisation of PBS-listed medicines for smoking cessation</w:t>
      </w:r>
      <w:bookmarkEnd w:id="22"/>
      <w:r w:rsidR="0022146D" w:rsidRPr="00394F56" w:rsidDel="0022146D">
        <w:rPr>
          <w:rFonts w:asciiTheme="minorHAnsi" w:hAnsiTheme="minorHAnsi" w:cstheme="minorHAnsi"/>
          <w:sz w:val="32"/>
          <w:szCs w:val="32"/>
        </w:rPr>
        <w:t xml:space="preserve"> </w:t>
      </w:r>
    </w:p>
    <w:p w:rsidR="00646FA5" w:rsidRPr="002F3376" w:rsidRDefault="0022146D" w:rsidP="002F3376">
      <w:pPr>
        <w:pBdr>
          <w:top w:val="single" w:sz="4" w:space="1" w:color="auto"/>
          <w:left w:val="single" w:sz="4" w:space="4" w:color="auto"/>
          <w:bottom w:val="single" w:sz="4" w:space="1" w:color="auto"/>
          <w:right w:val="single" w:sz="4" w:space="4" w:color="auto"/>
        </w:pBdr>
        <w:shd w:val="clear" w:color="auto" w:fill="F2F2F2" w:themeFill="background1" w:themeFillShade="F2"/>
        <w:rPr>
          <w:i/>
          <w:iCs/>
          <w:color w:val="365F91" w:themeColor="accent1" w:themeShade="BF"/>
        </w:rPr>
      </w:pPr>
      <w:r w:rsidRPr="0022146D">
        <w:rPr>
          <w:i/>
          <w:iCs/>
          <w:color w:val="365F91" w:themeColor="accent1" w:themeShade="BF"/>
        </w:rPr>
        <w:t>Review the utilisation of PBS-listed medicines for smoking cessation including but not limited to patient demographics, time on treatment, and the proportion using PBS subsidised combination treatment.</w:t>
      </w:r>
    </w:p>
    <w:p w:rsidR="00646FA5" w:rsidRPr="0009206C" w:rsidRDefault="0009206C" w:rsidP="0009206C">
      <w:pPr>
        <w:pStyle w:val="Heading3"/>
      </w:pPr>
      <w:bookmarkStart w:id="23" w:name="_Toc70404694"/>
      <w:bookmarkStart w:id="24" w:name="_Toc72848449"/>
      <w:r>
        <w:t xml:space="preserve">2.1 </w:t>
      </w:r>
      <w:r w:rsidR="00646FA5" w:rsidRPr="0009206C">
        <w:t>Describe the overall trends in the utilisation and cost of smoking cessation medicines in Australia</w:t>
      </w:r>
      <w:bookmarkEnd w:id="23"/>
      <w:bookmarkEnd w:id="24"/>
    </w:p>
    <w:p w:rsidR="00646FA5" w:rsidRPr="00B56576" w:rsidRDefault="00646FA5" w:rsidP="00646FA5">
      <w:pPr>
        <w:spacing w:before="240" w:after="0"/>
      </w:pPr>
      <w:r w:rsidRPr="00B56576">
        <w:t>In the financial year 2019/2020:</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There were 542,492 prescriptions dispensed for PBS subsidised smoking cessation therapies at a cost to the government of AUD 36 million (PBS benefits paid).</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Varenicline was the most utilised smoking cessation therapy with 303,681 PBS prescriptions dispensed (56% of total market) followed by Nicotine Replacement Therapy (NRT) with 233,544 PBS prescriptions (43% of total market) and bupropion with 5,267 PBS prescriptions</w:t>
      </w:r>
      <w:r w:rsidR="003C0114">
        <w:rPr>
          <w:rFonts w:asciiTheme="minorHAnsi" w:hAnsiTheme="minorHAnsi" w:cstheme="minorHAnsi"/>
        </w:rPr>
        <w:t xml:space="preserve"> (&lt;1% of total market)</w:t>
      </w:r>
      <w:r w:rsidRPr="00B56576">
        <w:rPr>
          <w:rFonts w:asciiTheme="minorHAnsi" w:hAnsiTheme="minorHAnsi" w:cstheme="minorHAnsi"/>
        </w:rPr>
        <w:t xml:space="preserve">. </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 xml:space="preserve">PBS use of NRT represented 7% of all NRT use in Australia during 2019, suggesting that the majority of NRT products are obtained over-the counter. </w:t>
      </w:r>
      <w:r w:rsidRPr="00B56576">
        <w:rPr>
          <w:rFonts w:asciiTheme="minorHAnsi" w:hAnsiTheme="minorHAnsi" w:cstheme="minorHAnsi"/>
          <w:color w:val="000000"/>
        </w:rPr>
        <w:t xml:space="preserve">NRT patches accounted for 94% of all NRT products subsidised under the PBS, </w:t>
      </w:r>
      <w:r w:rsidRPr="00B56576">
        <w:rPr>
          <w:rFonts w:asciiTheme="minorHAnsi" w:hAnsiTheme="minorHAnsi" w:cstheme="minorHAnsi"/>
        </w:rPr>
        <w:t xml:space="preserve">while the majority of NRT products sold over the counter were nicotine gums.  </w:t>
      </w:r>
    </w:p>
    <w:p w:rsidR="00646FA5" w:rsidRPr="00B56576" w:rsidRDefault="00DE31A5" w:rsidP="00815A6D">
      <w:pPr>
        <w:pStyle w:val="Heading3"/>
        <w:numPr>
          <w:ilvl w:val="1"/>
          <w:numId w:val="66"/>
        </w:numPr>
        <w:spacing w:before="240" w:after="20"/>
        <w:rPr>
          <w:rFonts w:cstheme="minorHAnsi"/>
          <w:b w:val="0"/>
          <w:i w:val="0"/>
          <w:szCs w:val="24"/>
        </w:rPr>
      </w:pPr>
      <w:bookmarkStart w:id="25" w:name="_Toc70404695"/>
      <w:r>
        <w:rPr>
          <w:rFonts w:cstheme="minorHAnsi"/>
          <w:szCs w:val="24"/>
        </w:rPr>
        <w:t xml:space="preserve"> </w:t>
      </w:r>
      <w:bookmarkStart w:id="26" w:name="_Toc72848450"/>
      <w:r w:rsidR="00646FA5" w:rsidRPr="00B56576">
        <w:rPr>
          <w:rFonts w:cstheme="minorHAnsi"/>
          <w:szCs w:val="24"/>
        </w:rPr>
        <w:t>Determine the prevalent and incident population treated with PBS listed medicines for smoking cessation.</w:t>
      </w:r>
      <w:bookmarkEnd w:id="25"/>
      <w:bookmarkEnd w:id="26"/>
    </w:p>
    <w:p w:rsidR="00646FA5" w:rsidRPr="00B56576" w:rsidRDefault="00646FA5" w:rsidP="00FC7DC2">
      <w:pPr>
        <w:pStyle w:val="NoSpacing"/>
        <w:numPr>
          <w:ilvl w:val="0"/>
          <w:numId w:val="15"/>
        </w:numPr>
        <w:spacing w:before="240"/>
        <w:jc w:val="both"/>
        <w:rPr>
          <w:rFonts w:asciiTheme="minorHAnsi" w:hAnsiTheme="minorHAnsi" w:cstheme="minorHAnsi"/>
        </w:rPr>
      </w:pPr>
      <w:r w:rsidRPr="00B56576">
        <w:rPr>
          <w:rFonts w:asciiTheme="minorHAnsi" w:hAnsiTheme="minorHAnsi" w:cstheme="minorHAnsi"/>
        </w:rPr>
        <w:t>1.2% of the Australian population (N=265,544) were supplied PBS smoking cessation therapy in 2019/2020.</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0.3% of the Australian population (N=65,543) made their first ever attempt at quitting with PBS subsidised smoking cessation therapy in 2019/2020.</w:t>
      </w:r>
    </w:p>
    <w:p w:rsidR="00646FA5" w:rsidRPr="00B56576" w:rsidRDefault="00DE31A5" w:rsidP="00815A6D">
      <w:pPr>
        <w:pStyle w:val="Heading3"/>
        <w:numPr>
          <w:ilvl w:val="1"/>
          <w:numId w:val="66"/>
        </w:numPr>
        <w:spacing w:before="240" w:after="20"/>
        <w:rPr>
          <w:rFonts w:cstheme="minorHAnsi"/>
          <w:b w:val="0"/>
          <w:i w:val="0"/>
          <w:szCs w:val="24"/>
        </w:rPr>
      </w:pPr>
      <w:bookmarkStart w:id="27" w:name="_Toc70404696"/>
      <w:r>
        <w:rPr>
          <w:rFonts w:cstheme="minorHAnsi"/>
          <w:szCs w:val="24"/>
        </w:rPr>
        <w:t xml:space="preserve"> </w:t>
      </w:r>
      <w:bookmarkStart w:id="28" w:name="_Toc72848451"/>
      <w:r w:rsidR="00646FA5" w:rsidRPr="00B56576">
        <w:rPr>
          <w:rFonts w:cstheme="minorHAnsi"/>
          <w:szCs w:val="24"/>
        </w:rPr>
        <w:t>Provide the most recent statistics on the prevalence of smoking in Australia</w:t>
      </w:r>
      <w:bookmarkEnd w:id="27"/>
      <w:bookmarkEnd w:id="28"/>
    </w:p>
    <w:p w:rsidR="00646FA5" w:rsidRPr="00B56576" w:rsidRDefault="00646FA5" w:rsidP="00FC7DC2">
      <w:pPr>
        <w:pStyle w:val="CommentText"/>
        <w:spacing w:before="240" w:after="0"/>
        <w:jc w:val="both"/>
        <w:rPr>
          <w:sz w:val="24"/>
          <w:szCs w:val="24"/>
        </w:rPr>
      </w:pPr>
      <w:r w:rsidRPr="00B56576">
        <w:rPr>
          <w:sz w:val="24"/>
          <w:szCs w:val="24"/>
        </w:rPr>
        <w:t xml:space="preserve">The smoking rates differed widely between different sub-populations: </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In 2019, there were an estimated 2.9 million current smokers aged 18+ in Australia representing 14.7% from the overall population aged 18+ in Australia;</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In 2019, the rate of Aboriginal and Torres Strait Islander people aged 15+ who are current smokers was 41.4%, which was 2.8 times higher in comparison to the overall population aged 18+ in Australia;</w:t>
      </w:r>
    </w:p>
    <w:p w:rsidR="00646FA5" w:rsidRPr="00B56576" w:rsidRDefault="002A4642" w:rsidP="00FC7DC2">
      <w:pPr>
        <w:pStyle w:val="NoSpacing"/>
        <w:numPr>
          <w:ilvl w:val="0"/>
          <w:numId w:val="15"/>
        </w:numPr>
        <w:jc w:val="both"/>
        <w:rPr>
          <w:rFonts w:asciiTheme="minorHAnsi" w:hAnsiTheme="minorHAnsi" w:cstheme="minorHAnsi"/>
        </w:rPr>
      </w:pPr>
      <w:r>
        <w:rPr>
          <w:rFonts w:asciiTheme="minorHAnsi" w:hAnsiTheme="minorHAnsi" w:cstheme="minorHAnsi"/>
          <w:color w:val="000000"/>
        </w:rPr>
        <w:t>In 2018, at least 75% of non-I</w:t>
      </w:r>
      <w:r w:rsidR="00646FA5" w:rsidRPr="00B56576">
        <w:rPr>
          <w:rFonts w:asciiTheme="minorHAnsi" w:hAnsiTheme="minorHAnsi" w:cstheme="minorHAnsi"/>
          <w:color w:val="000000"/>
        </w:rPr>
        <w:t xml:space="preserve">ndigenous prison entrants aged 18-44 years were current smokers, and at least 79% of </w:t>
      </w:r>
      <w:r w:rsidR="00646FA5" w:rsidRPr="00B56576">
        <w:rPr>
          <w:rFonts w:asciiTheme="minorHAnsi" w:hAnsiTheme="minorHAnsi" w:cstheme="minorHAnsi"/>
        </w:rPr>
        <w:t>Aboriginal and Torres Strait Islander</w:t>
      </w:r>
      <w:r w:rsidR="00646FA5" w:rsidRPr="00B56576">
        <w:rPr>
          <w:rFonts w:asciiTheme="minorHAnsi" w:hAnsiTheme="minorHAnsi" w:cstheme="minorHAnsi"/>
          <w:color w:val="000000"/>
        </w:rPr>
        <w:t xml:space="preserve"> prison entrants aged 18-44 were current smokers;</w:t>
      </w:r>
    </w:p>
    <w:p w:rsidR="00646FA5" w:rsidRPr="00B565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rPr>
        <w:t>In 2018, 9% of women smoked in the first 20 weeks of pregnancy;</w:t>
      </w:r>
    </w:p>
    <w:p w:rsidR="00646FA5" w:rsidRPr="002F3376" w:rsidRDefault="00646FA5" w:rsidP="00FC7DC2">
      <w:pPr>
        <w:pStyle w:val="NoSpacing"/>
        <w:numPr>
          <w:ilvl w:val="0"/>
          <w:numId w:val="15"/>
        </w:numPr>
        <w:jc w:val="both"/>
        <w:rPr>
          <w:rFonts w:asciiTheme="minorHAnsi" w:hAnsiTheme="minorHAnsi" w:cstheme="minorHAnsi"/>
        </w:rPr>
      </w:pPr>
      <w:r w:rsidRPr="00B56576">
        <w:rPr>
          <w:rFonts w:asciiTheme="minorHAnsi" w:hAnsiTheme="minorHAnsi" w:cstheme="minorHAnsi"/>
          <w:color w:val="000000"/>
        </w:rPr>
        <w:t>People with self-reported mental illness (depression, anxiety disorder, schizophrenia, bipolar disorder, an eating disorder or other mental illness) were almost twice as likely to be current smokers compared to people without mental illness (24% vs 13% in 2019)</w:t>
      </w:r>
    </w:p>
    <w:p w:rsidR="00646FA5" w:rsidRPr="00B56576" w:rsidRDefault="0009206C" w:rsidP="0009206C">
      <w:pPr>
        <w:pStyle w:val="Heading3"/>
        <w:rPr>
          <w:b w:val="0"/>
          <w:i w:val="0"/>
        </w:rPr>
      </w:pPr>
      <w:bookmarkStart w:id="29" w:name="_Toc70404697"/>
      <w:bookmarkStart w:id="30" w:name="_Toc72848452"/>
      <w:r>
        <w:t xml:space="preserve">2.4 </w:t>
      </w:r>
      <w:r w:rsidR="00646FA5" w:rsidRPr="00B56576">
        <w:t>Prevalence of smoking cessation therapies under the PBS in specific populations</w:t>
      </w:r>
      <w:bookmarkEnd w:id="29"/>
      <w:bookmarkEnd w:id="30"/>
    </w:p>
    <w:p w:rsidR="00646FA5" w:rsidRPr="00B56576" w:rsidRDefault="00646FA5" w:rsidP="00D25738">
      <w:pPr>
        <w:pStyle w:val="NoSpacing"/>
        <w:spacing w:before="240"/>
        <w:jc w:val="both"/>
        <w:rPr>
          <w:rFonts w:asciiTheme="minorHAnsi" w:hAnsiTheme="minorHAnsi" w:cstheme="minorHAnsi"/>
        </w:rPr>
      </w:pPr>
      <w:r w:rsidRPr="00B56576">
        <w:rPr>
          <w:rFonts w:asciiTheme="minorHAnsi" w:hAnsiTheme="minorHAnsi" w:cstheme="minorHAnsi"/>
        </w:rPr>
        <w:t>Of the 265,544 people who received PBS subsidised smoking cessation therapy in 2019:</w:t>
      </w:r>
    </w:p>
    <w:p w:rsidR="00646FA5" w:rsidRPr="00B56576" w:rsidRDefault="00646FA5" w:rsidP="00D25738">
      <w:pPr>
        <w:pStyle w:val="ListParagraph"/>
        <w:numPr>
          <w:ilvl w:val="0"/>
          <w:numId w:val="52"/>
        </w:numPr>
        <w:spacing w:after="0"/>
        <w:jc w:val="both"/>
      </w:pPr>
      <w:r w:rsidRPr="00B56576">
        <w:t xml:space="preserve">40% also had mental illness, as measured by antipsychotic and antidepressant use </w:t>
      </w:r>
    </w:p>
    <w:p w:rsidR="00646FA5" w:rsidRPr="00B56576" w:rsidRDefault="00646FA5" w:rsidP="00D25738">
      <w:pPr>
        <w:pStyle w:val="ListParagraph"/>
        <w:numPr>
          <w:ilvl w:val="0"/>
          <w:numId w:val="52"/>
        </w:numPr>
        <w:spacing w:after="0"/>
        <w:jc w:val="both"/>
      </w:pPr>
      <w:r w:rsidRPr="00B56576">
        <w:t xml:space="preserve">18% were women of child-bearing age (aged 15 to 44 years) </w:t>
      </w:r>
    </w:p>
    <w:p w:rsidR="00646FA5" w:rsidRPr="00B56576" w:rsidRDefault="00646FA5" w:rsidP="00D25738">
      <w:pPr>
        <w:pStyle w:val="ListParagraph"/>
        <w:numPr>
          <w:ilvl w:val="0"/>
          <w:numId w:val="52"/>
        </w:numPr>
        <w:spacing w:after="0"/>
        <w:jc w:val="both"/>
      </w:pPr>
      <w:r w:rsidRPr="00B56576">
        <w:t>16% also had a smoking related illness, as measured by use of medicines for airways disease</w:t>
      </w:r>
    </w:p>
    <w:p w:rsidR="00646FA5" w:rsidRPr="00B56576" w:rsidRDefault="00646FA5" w:rsidP="00D25738">
      <w:pPr>
        <w:pStyle w:val="ListParagraph"/>
        <w:numPr>
          <w:ilvl w:val="0"/>
          <w:numId w:val="52"/>
        </w:numPr>
        <w:spacing w:after="0"/>
        <w:jc w:val="both"/>
      </w:pPr>
      <w:r w:rsidRPr="00B56576">
        <w:t>10% were Aboriginal and Torres Strait Islander population, identified by the following criteria – a supply</w:t>
      </w:r>
      <w:r w:rsidR="002A4642">
        <w:t xml:space="preserve"> of prescriptions under the C</w:t>
      </w:r>
      <w:r w:rsidRPr="00B56576">
        <w:t>losing the Gap</w:t>
      </w:r>
      <w:r w:rsidR="002A4642">
        <w:t xml:space="preserve"> Co-Payment Measure</w:t>
      </w:r>
      <w:r w:rsidRPr="00B56576">
        <w:t xml:space="preserve"> program, or utilisation of Indigenous-specific MBS items, or Voluntary Indigenous Identifier</w:t>
      </w:r>
    </w:p>
    <w:p w:rsidR="00646FA5" w:rsidRPr="00B56576" w:rsidRDefault="00646FA5" w:rsidP="00D25738">
      <w:pPr>
        <w:pStyle w:val="ListParagraph"/>
        <w:numPr>
          <w:ilvl w:val="0"/>
          <w:numId w:val="52"/>
        </w:numPr>
        <w:spacing w:after="0"/>
        <w:jc w:val="both"/>
      </w:pPr>
      <w:r w:rsidRPr="00B56576">
        <w:t>1% were at risk of alcohol abuse, as measured by use of medicines for alcohol dependence.</w:t>
      </w:r>
    </w:p>
    <w:p w:rsidR="00646FA5" w:rsidRPr="00B56576" w:rsidRDefault="00DE31A5" w:rsidP="00815A6D">
      <w:pPr>
        <w:pStyle w:val="Heading3"/>
        <w:numPr>
          <w:ilvl w:val="1"/>
          <w:numId w:val="67"/>
        </w:numPr>
        <w:spacing w:before="240" w:after="20"/>
        <w:rPr>
          <w:rFonts w:cstheme="minorHAnsi"/>
          <w:b w:val="0"/>
          <w:i w:val="0"/>
          <w:szCs w:val="24"/>
        </w:rPr>
      </w:pPr>
      <w:bookmarkStart w:id="31" w:name="_Toc70404698"/>
      <w:r>
        <w:rPr>
          <w:rFonts w:cstheme="minorHAnsi"/>
          <w:szCs w:val="24"/>
        </w:rPr>
        <w:t xml:space="preserve"> </w:t>
      </w:r>
      <w:bookmarkStart w:id="32" w:name="_Toc72848453"/>
      <w:r w:rsidR="00646FA5" w:rsidRPr="00B56576">
        <w:rPr>
          <w:rFonts w:cstheme="minorHAnsi"/>
          <w:szCs w:val="24"/>
        </w:rPr>
        <w:t>Estimates of specific populations of interest with access to smoking cessation therapies under the PBS</w:t>
      </w:r>
      <w:bookmarkEnd w:id="31"/>
      <w:bookmarkEnd w:id="32"/>
      <w:r w:rsidR="00646FA5" w:rsidRPr="00B56576">
        <w:rPr>
          <w:rFonts w:cstheme="minorHAnsi"/>
          <w:szCs w:val="24"/>
        </w:rPr>
        <w:t xml:space="preserve"> </w:t>
      </w:r>
    </w:p>
    <w:p w:rsidR="00646FA5" w:rsidRPr="00B56576" w:rsidRDefault="00646FA5" w:rsidP="00646FA5">
      <w:pPr>
        <w:pStyle w:val="NoSpacing"/>
        <w:spacing w:before="240"/>
        <w:rPr>
          <w:rFonts w:asciiTheme="minorHAnsi" w:hAnsiTheme="minorHAnsi" w:cstheme="minorHAnsi"/>
        </w:rPr>
      </w:pPr>
      <w:r w:rsidRPr="00B56576">
        <w:rPr>
          <w:rFonts w:asciiTheme="minorHAnsi" w:hAnsiTheme="minorHAnsi" w:cstheme="minorHAnsi"/>
        </w:rPr>
        <w:t>In calendar year 2019, based on PBS utilisation and published literature, it is estimated that:</w:t>
      </w:r>
    </w:p>
    <w:p w:rsidR="00646FA5" w:rsidRPr="00B56576" w:rsidRDefault="00646FA5" w:rsidP="00646FA5">
      <w:pPr>
        <w:pStyle w:val="ListParagraph"/>
        <w:numPr>
          <w:ilvl w:val="0"/>
          <w:numId w:val="15"/>
        </w:numPr>
        <w:spacing w:after="0"/>
      </w:pPr>
      <w:r w:rsidRPr="00B56576">
        <w:t>10% of all current smokers aged 18 years and over in Australia received smoking cessation therapies under the PBS;</w:t>
      </w:r>
    </w:p>
    <w:p w:rsidR="00646FA5" w:rsidRPr="00B56576" w:rsidRDefault="00646FA5" w:rsidP="00646FA5">
      <w:pPr>
        <w:pStyle w:val="ListParagraph"/>
        <w:numPr>
          <w:ilvl w:val="0"/>
          <w:numId w:val="15"/>
        </w:numPr>
        <w:spacing w:after="0"/>
      </w:pPr>
      <w:r w:rsidRPr="00B56576">
        <w:t>1% of all Australian women of child-bearing age (aged 15 to 44 year) received smoking cessation therapies under the PBS;</w:t>
      </w:r>
    </w:p>
    <w:p w:rsidR="00646FA5" w:rsidRPr="00B56576" w:rsidRDefault="00646FA5" w:rsidP="00646FA5">
      <w:pPr>
        <w:pStyle w:val="ListParagraph"/>
        <w:numPr>
          <w:ilvl w:val="0"/>
          <w:numId w:val="15"/>
        </w:numPr>
        <w:spacing w:after="0"/>
      </w:pPr>
      <w:r w:rsidRPr="00B56576">
        <w:t>6% of the Aboriginal and Torres Strait Islander population aged 18+ in Australia received smoking cessation therapies under the PBS.</w:t>
      </w:r>
    </w:p>
    <w:p w:rsidR="00646FA5" w:rsidRPr="00B56576" w:rsidRDefault="00DE31A5" w:rsidP="00815A6D">
      <w:pPr>
        <w:pStyle w:val="Heading3"/>
        <w:numPr>
          <w:ilvl w:val="1"/>
          <w:numId w:val="67"/>
        </w:numPr>
        <w:spacing w:before="240" w:after="20"/>
        <w:rPr>
          <w:rFonts w:cstheme="minorHAnsi"/>
          <w:b w:val="0"/>
          <w:i w:val="0"/>
          <w:szCs w:val="24"/>
        </w:rPr>
      </w:pPr>
      <w:bookmarkStart w:id="33" w:name="_Toc70404699"/>
      <w:r>
        <w:rPr>
          <w:rFonts w:cstheme="minorHAnsi"/>
          <w:szCs w:val="24"/>
        </w:rPr>
        <w:t xml:space="preserve"> </w:t>
      </w:r>
      <w:bookmarkStart w:id="34" w:name="_Toc72848454"/>
      <w:r w:rsidR="00646FA5" w:rsidRPr="00B56576">
        <w:rPr>
          <w:rFonts w:cstheme="minorHAnsi"/>
          <w:szCs w:val="24"/>
        </w:rPr>
        <w:t>Number of therapies and length of treatment with smoking cessation medicines</w:t>
      </w:r>
      <w:bookmarkEnd w:id="33"/>
      <w:bookmarkEnd w:id="34"/>
    </w:p>
    <w:p w:rsidR="00646FA5" w:rsidRPr="00B56576" w:rsidRDefault="00646FA5" w:rsidP="00D25738">
      <w:pPr>
        <w:spacing w:before="240" w:after="0"/>
        <w:jc w:val="both"/>
      </w:pPr>
      <w:r w:rsidRPr="00B56576">
        <w:t xml:space="preserve">Based on an analysis of PBS data, there were 740,082 people who initiated a PBS subsidised smoking cessation therapy for the first time between 1/07/2010 and 30/06/2015. The following results are based on this initiating cohort who were followed for 5 years:  </w:t>
      </w:r>
    </w:p>
    <w:p w:rsidR="00646FA5" w:rsidRPr="00B56576" w:rsidRDefault="00646FA5" w:rsidP="00D25738">
      <w:pPr>
        <w:pStyle w:val="ListParagraph"/>
        <w:numPr>
          <w:ilvl w:val="0"/>
          <w:numId w:val="15"/>
        </w:numPr>
        <w:spacing w:after="0"/>
        <w:jc w:val="both"/>
      </w:pPr>
      <w:r w:rsidRPr="00B56576">
        <w:t xml:space="preserve">The median duration of the first treatment episode  was 28 days for bupropion and 42 days for NRT and </w:t>
      </w:r>
      <w:proofErr w:type="spellStart"/>
      <w:r w:rsidRPr="00B56576">
        <w:t>varenicline</w:t>
      </w:r>
      <w:proofErr w:type="spellEnd"/>
      <w:r w:rsidRPr="00B56576">
        <w:t xml:space="preserve">; </w:t>
      </w:r>
    </w:p>
    <w:p w:rsidR="00646FA5" w:rsidRPr="00B56576" w:rsidRDefault="00646FA5" w:rsidP="00D25738">
      <w:pPr>
        <w:pStyle w:val="ListParagraph"/>
        <w:numPr>
          <w:ilvl w:val="0"/>
          <w:numId w:val="15"/>
        </w:numPr>
        <w:spacing w:before="240" w:after="0"/>
        <w:jc w:val="both"/>
      </w:pPr>
      <w:r w:rsidRPr="00B56576">
        <w:t>60% of people in this cohort made only one attempt to quit smoking;</w:t>
      </w:r>
    </w:p>
    <w:p w:rsidR="00646FA5" w:rsidRPr="00B56576" w:rsidRDefault="00646FA5" w:rsidP="00D25738">
      <w:pPr>
        <w:pStyle w:val="ListParagraph"/>
        <w:numPr>
          <w:ilvl w:val="0"/>
          <w:numId w:val="15"/>
        </w:numPr>
        <w:spacing w:before="240" w:after="0"/>
        <w:jc w:val="both"/>
      </w:pPr>
      <w:r w:rsidRPr="00B56576">
        <w:t>Overall, people had on average 1.7 separate treatment episodes with smoking cessation therapies with an average break of 15 months between attempts.</w:t>
      </w:r>
    </w:p>
    <w:p w:rsidR="00646FA5" w:rsidRPr="00B56576" w:rsidRDefault="00DE31A5" w:rsidP="00815A6D">
      <w:pPr>
        <w:pStyle w:val="Heading3"/>
        <w:numPr>
          <w:ilvl w:val="1"/>
          <w:numId w:val="67"/>
        </w:numPr>
        <w:spacing w:before="240" w:after="20"/>
        <w:rPr>
          <w:rFonts w:cstheme="minorHAnsi"/>
          <w:b w:val="0"/>
          <w:i w:val="0"/>
          <w:szCs w:val="24"/>
        </w:rPr>
      </w:pPr>
      <w:bookmarkStart w:id="35" w:name="_Toc70404700"/>
      <w:r>
        <w:rPr>
          <w:rFonts w:cstheme="minorHAnsi"/>
          <w:szCs w:val="24"/>
        </w:rPr>
        <w:t xml:space="preserve"> </w:t>
      </w:r>
      <w:bookmarkStart w:id="36" w:name="_Toc72848455"/>
      <w:r w:rsidR="00646FA5" w:rsidRPr="00B56576">
        <w:rPr>
          <w:rFonts w:cstheme="minorHAnsi"/>
          <w:szCs w:val="24"/>
        </w:rPr>
        <w:t>Use of counselling services</w:t>
      </w:r>
      <w:bookmarkEnd w:id="35"/>
      <w:bookmarkEnd w:id="36"/>
    </w:p>
    <w:p w:rsidR="009B66F1" w:rsidRPr="009B66F1" w:rsidRDefault="009B66F1" w:rsidP="009B66F1">
      <w:pPr>
        <w:spacing w:before="240"/>
        <w:jc w:val="both"/>
      </w:pPr>
      <w:r w:rsidRPr="009B66F1">
        <w:t xml:space="preserve">According to the Australian Institute of Health and Welfare, National Drug Strategy Household Survey (2019), 1.8% of current smokers aged 14 years and over (i.e.  </w:t>
      </w:r>
      <w:proofErr w:type="gramStart"/>
      <w:r w:rsidRPr="009B66F1">
        <w:t>approximately</w:t>
      </w:r>
      <w:proofErr w:type="gramEnd"/>
      <w:r w:rsidRPr="009B66F1">
        <w:t xml:space="preserve"> 52,000 people) contacted </w:t>
      </w:r>
      <w:proofErr w:type="spellStart"/>
      <w:r w:rsidRPr="009B66F1">
        <w:t>Quitline</w:t>
      </w:r>
      <w:proofErr w:type="spellEnd"/>
      <w:r w:rsidRPr="009B66F1">
        <w:t xml:space="preserve"> in 2019. </w:t>
      </w:r>
    </w:p>
    <w:p w:rsidR="00646FA5" w:rsidRPr="00B56576" w:rsidRDefault="009B66F1" w:rsidP="00D25738">
      <w:pPr>
        <w:spacing w:before="240"/>
        <w:jc w:val="both"/>
      </w:pPr>
      <w:r w:rsidRPr="009B66F1">
        <w:t>The survey suggests low uptake of counselling services compared to the population accessing PBS medicines for smoking cessation (265,544 people in 2019/2020).</w:t>
      </w:r>
    </w:p>
    <w:p w:rsidR="00646FA5" w:rsidRPr="00B56576" w:rsidRDefault="009B66F1" w:rsidP="00815A6D">
      <w:pPr>
        <w:pStyle w:val="Heading3"/>
        <w:numPr>
          <w:ilvl w:val="1"/>
          <w:numId w:val="67"/>
        </w:numPr>
        <w:spacing w:before="240" w:after="20"/>
        <w:rPr>
          <w:rFonts w:cstheme="minorHAnsi"/>
          <w:szCs w:val="24"/>
        </w:rPr>
      </w:pPr>
      <w:bookmarkStart w:id="37" w:name="_Toc70404701"/>
      <w:r>
        <w:rPr>
          <w:rFonts w:cstheme="minorHAnsi"/>
          <w:szCs w:val="24"/>
        </w:rPr>
        <w:t xml:space="preserve"> </w:t>
      </w:r>
      <w:bookmarkStart w:id="38" w:name="_Toc72848456"/>
      <w:r w:rsidR="00646FA5" w:rsidRPr="00B56576">
        <w:rPr>
          <w:rFonts w:cstheme="minorHAnsi"/>
          <w:szCs w:val="24"/>
        </w:rPr>
        <w:t>Consistency with PBS restrictions</w:t>
      </w:r>
      <w:bookmarkEnd w:id="37"/>
      <w:bookmarkEnd w:id="38"/>
    </w:p>
    <w:p w:rsidR="00646FA5" w:rsidRPr="00B56576" w:rsidRDefault="00646FA5" w:rsidP="00D25738">
      <w:pPr>
        <w:spacing w:before="240" w:after="0"/>
        <w:jc w:val="both"/>
      </w:pPr>
      <w:r w:rsidRPr="00B56576">
        <w:t>Among people supplied their first ever PBS subsidised smoking cessation therapy in financial year 2018/2019,</w:t>
      </w:r>
    </w:p>
    <w:p w:rsidR="00646FA5" w:rsidRPr="00B56576" w:rsidRDefault="00646FA5" w:rsidP="00D25738">
      <w:pPr>
        <w:pStyle w:val="ListParagraph"/>
        <w:numPr>
          <w:ilvl w:val="0"/>
          <w:numId w:val="65"/>
        </w:numPr>
        <w:spacing w:after="0"/>
        <w:jc w:val="both"/>
      </w:pPr>
      <w:r w:rsidRPr="00B56576">
        <w:t>88% of NRT users complied with the PBS restriction in that they received a maximum of 12 weeks of PBS subsidised NRT per year. Analysis of all first ever NRT initiators in 2018/2019 showed that:</w:t>
      </w:r>
    </w:p>
    <w:p w:rsidR="00646FA5" w:rsidRPr="00B56576" w:rsidRDefault="00646FA5" w:rsidP="00D25738">
      <w:pPr>
        <w:pStyle w:val="ListParagraph"/>
        <w:numPr>
          <w:ilvl w:val="0"/>
          <w:numId w:val="16"/>
        </w:numPr>
        <w:spacing w:after="0"/>
        <w:jc w:val="both"/>
      </w:pPr>
      <w:r w:rsidRPr="00B56576">
        <w:t>60 % received only one prescription for NRT which covers 4 weeks of therapy,</w:t>
      </w:r>
    </w:p>
    <w:p w:rsidR="00646FA5" w:rsidRPr="00B56576" w:rsidRDefault="00646FA5" w:rsidP="00D25738">
      <w:pPr>
        <w:pStyle w:val="ListParagraph"/>
        <w:numPr>
          <w:ilvl w:val="0"/>
          <w:numId w:val="16"/>
        </w:numPr>
        <w:spacing w:after="0"/>
        <w:jc w:val="both"/>
      </w:pPr>
      <w:r w:rsidRPr="00B56576">
        <w:t>17% received 2 prescriptions for NRT which covers 8 weeks of therapy,</w:t>
      </w:r>
    </w:p>
    <w:p w:rsidR="00646FA5" w:rsidRPr="00B56576" w:rsidRDefault="00646FA5" w:rsidP="00D25738">
      <w:pPr>
        <w:pStyle w:val="ListParagraph"/>
        <w:numPr>
          <w:ilvl w:val="0"/>
          <w:numId w:val="16"/>
        </w:numPr>
        <w:spacing w:after="0"/>
        <w:jc w:val="both"/>
      </w:pPr>
      <w:r w:rsidRPr="00B56576">
        <w:t>12% received 3 prescriptions for NRT which covers 12 weeks of therapy.</w:t>
      </w:r>
    </w:p>
    <w:p w:rsidR="00646FA5" w:rsidRPr="00B56576" w:rsidRDefault="00646FA5" w:rsidP="00D25738">
      <w:pPr>
        <w:pStyle w:val="ListParagraph"/>
        <w:numPr>
          <w:ilvl w:val="0"/>
          <w:numId w:val="15"/>
        </w:numPr>
        <w:spacing w:after="0"/>
        <w:jc w:val="both"/>
      </w:pPr>
      <w:r w:rsidRPr="00B56576">
        <w:t xml:space="preserve">98% of </w:t>
      </w:r>
      <w:proofErr w:type="spellStart"/>
      <w:r w:rsidRPr="00B56576">
        <w:t>varenicline</w:t>
      </w:r>
      <w:proofErr w:type="spellEnd"/>
      <w:r w:rsidRPr="00B56576">
        <w:t xml:space="preserve"> users complied with the PBS restriction requirement in that they received a maximum of 24 weeks supply of PBS subsidised </w:t>
      </w:r>
      <w:proofErr w:type="spellStart"/>
      <w:r w:rsidRPr="00B56576">
        <w:t>varenicline</w:t>
      </w:r>
      <w:proofErr w:type="spellEnd"/>
      <w:r w:rsidRPr="00B56576">
        <w:t xml:space="preserve"> per 12-month period. Analysis of the type of packs dispensed to first ever initiators to </w:t>
      </w:r>
      <w:proofErr w:type="spellStart"/>
      <w:r w:rsidRPr="00B56576">
        <w:t>varenicline</w:t>
      </w:r>
      <w:proofErr w:type="spellEnd"/>
      <w:r w:rsidRPr="00B56576">
        <w:t xml:space="preserve"> in 2018/2019 showed that:</w:t>
      </w:r>
    </w:p>
    <w:p w:rsidR="00646FA5" w:rsidRPr="00B56576" w:rsidRDefault="00646FA5" w:rsidP="00D25738">
      <w:pPr>
        <w:pStyle w:val="ListParagraph"/>
        <w:numPr>
          <w:ilvl w:val="0"/>
          <w:numId w:val="51"/>
        </w:numPr>
        <w:spacing w:line="276" w:lineRule="auto"/>
        <w:jc w:val="both"/>
      </w:pPr>
      <w:r w:rsidRPr="00B56576">
        <w:t xml:space="preserve">56% of initiators had only a starter pack (duration of 4 weeks), </w:t>
      </w:r>
    </w:p>
    <w:p w:rsidR="00646FA5" w:rsidRPr="00B56576" w:rsidRDefault="00646FA5" w:rsidP="00D25738">
      <w:pPr>
        <w:pStyle w:val="ListParagraph"/>
        <w:numPr>
          <w:ilvl w:val="0"/>
          <w:numId w:val="51"/>
        </w:numPr>
        <w:spacing w:line="276" w:lineRule="auto"/>
        <w:jc w:val="both"/>
      </w:pPr>
      <w:r w:rsidRPr="00B56576">
        <w:t xml:space="preserve">24% had a starter pack plus a continuation pack or a starter pack plus two completion packs (duration of 12 weeks) </w:t>
      </w:r>
    </w:p>
    <w:p w:rsidR="00646FA5" w:rsidRPr="00B56576" w:rsidRDefault="00646FA5" w:rsidP="00D25738">
      <w:pPr>
        <w:pStyle w:val="ListParagraph"/>
        <w:numPr>
          <w:ilvl w:val="0"/>
          <w:numId w:val="51"/>
        </w:numPr>
        <w:spacing w:line="276" w:lineRule="auto"/>
        <w:jc w:val="both"/>
      </w:pPr>
      <w:r w:rsidRPr="00B56576">
        <w:t>1% had a starter pack plus a continuation pack and three completion packs (duration of 24 weeks).</w:t>
      </w:r>
    </w:p>
    <w:p w:rsidR="00646FA5" w:rsidRPr="00B56576" w:rsidRDefault="00646FA5" w:rsidP="00D25738">
      <w:pPr>
        <w:pStyle w:val="ListParagraph"/>
        <w:numPr>
          <w:ilvl w:val="0"/>
          <w:numId w:val="15"/>
        </w:numPr>
        <w:spacing w:after="0"/>
        <w:jc w:val="both"/>
      </w:pPr>
      <w:r w:rsidRPr="00B56576">
        <w:t>91% of bupropion users complied with the PBS restriction requirement in that they received a maximum of 9 weeks supply of PBS subsidised bupropion per year. Analysis of all first ever bupropion initiators in 2018/2019 showed that:</w:t>
      </w:r>
    </w:p>
    <w:p w:rsidR="00646FA5" w:rsidRPr="00B56576" w:rsidRDefault="00646FA5" w:rsidP="00D25738">
      <w:pPr>
        <w:pStyle w:val="ListParagraph"/>
        <w:numPr>
          <w:ilvl w:val="0"/>
          <w:numId w:val="51"/>
        </w:numPr>
        <w:spacing w:line="276" w:lineRule="auto"/>
        <w:jc w:val="both"/>
      </w:pPr>
      <w:r w:rsidRPr="00B56576">
        <w:t xml:space="preserve">45% of initiators had only a starter pack (duration of 2 weeks), </w:t>
      </w:r>
    </w:p>
    <w:p w:rsidR="00646FA5" w:rsidRPr="00B56576" w:rsidRDefault="00646FA5" w:rsidP="00D25738">
      <w:pPr>
        <w:pStyle w:val="ListParagraph"/>
        <w:numPr>
          <w:ilvl w:val="0"/>
          <w:numId w:val="51"/>
        </w:numPr>
        <w:spacing w:line="276" w:lineRule="auto"/>
        <w:jc w:val="both"/>
      </w:pPr>
      <w:r w:rsidRPr="00B56576">
        <w:t>20% of initiators completed up to 8 weeks of therapy.</w:t>
      </w:r>
    </w:p>
    <w:p w:rsidR="00646FA5" w:rsidRPr="00642212" w:rsidRDefault="00646FA5" w:rsidP="00D25738">
      <w:pPr>
        <w:spacing w:before="240"/>
        <w:jc w:val="both"/>
      </w:pPr>
      <w:r w:rsidRPr="00B56576">
        <w:t xml:space="preserve">There was no significant difference in duration of NRT therapy between Aboriginal and Torres </w:t>
      </w:r>
      <w:r w:rsidR="002A4642">
        <w:t>Strait Islander people and non-I</w:t>
      </w:r>
      <w:r w:rsidRPr="00B56576">
        <w:t>ndigenous people who initiated NRT for the first time in 2018/2019. This is despite Aboriginal and Torres Strait Islander people</w:t>
      </w:r>
      <w:r>
        <w:t xml:space="preserve"> being allowed </w:t>
      </w:r>
      <w:r w:rsidRPr="003175AC">
        <w:t>a</w:t>
      </w:r>
      <w:r>
        <w:t xml:space="preserve">n additional </w:t>
      </w:r>
      <w:r w:rsidRPr="003175AC">
        <w:t xml:space="preserve">12-week course per 12-month period </w:t>
      </w:r>
      <w:r>
        <w:t xml:space="preserve">(up to 24 weeks) </w:t>
      </w:r>
      <w:r w:rsidRPr="005A39EC">
        <w:t>of PBS subsidised NRT</w:t>
      </w:r>
      <w:r>
        <w:t xml:space="preserve"> in the form of 25 mg/16 hour</w:t>
      </w:r>
      <w:r w:rsidRPr="005A39EC">
        <w:t xml:space="preserve"> patch</w:t>
      </w:r>
      <w:r>
        <w:t>, 21 mg/24 hour</w:t>
      </w:r>
      <w:r w:rsidRPr="005A39EC">
        <w:t xml:space="preserve"> patch</w:t>
      </w:r>
      <w:r>
        <w:t xml:space="preserve">, </w:t>
      </w:r>
      <w:r w:rsidRPr="005A39EC">
        <w:t>lozenge</w:t>
      </w:r>
      <w:r>
        <w:t xml:space="preserve">s and gum. However, this does not include </w:t>
      </w:r>
      <w:r w:rsidR="00A4322A">
        <w:t>data on NRT therapies</w:t>
      </w:r>
      <w:r>
        <w:t xml:space="preserve"> provided by Aboriginal Health Services that are participating in the Remote Area Aboriginal Health Services (RAAHS) program.</w:t>
      </w:r>
    </w:p>
    <w:p w:rsidR="00646FA5" w:rsidRPr="00B56576" w:rsidRDefault="00280A7C" w:rsidP="00646FA5">
      <w:pPr>
        <w:pStyle w:val="Heading3"/>
        <w:spacing w:after="20"/>
        <w:rPr>
          <w:b w:val="0"/>
          <w:i w:val="0"/>
        </w:rPr>
      </w:pPr>
      <w:bookmarkStart w:id="39" w:name="_Toc68177859"/>
      <w:bookmarkStart w:id="40" w:name="_Toc70404702"/>
      <w:bookmarkStart w:id="41" w:name="_Toc72848457"/>
      <w:r>
        <w:t xml:space="preserve">2.9 </w:t>
      </w:r>
      <w:r w:rsidR="00646FA5" w:rsidRPr="00B56576">
        <w:t>Stakeholder views (Forum and public consultations)</w:t>
      </w:r>
      <w:bookmarkEnd w:id="39"/>
      <w:bookmarkEnd w:id="40"/>
      <w:bookmarkEnd w:id="41"/>
    </w:p>
    <w:p w:rsidR="00646FA5" w:rsidRPr="00A47F3D" w:rsidRDefault="00646FA5" w:rsidP="00D25738">
      <w:pPr>
        <w:spacing w:before="240"/>
        <w:jc w:val="both"/>
      </w:pPr>
      <w:r w:rsidRPr="00A47F3D">
        <w:t xml:space="preserve">Stakeholders considered the cost of over-the-counter NRT can be a significant barrier for many people, particularly those from populations with higher rates of smoking such as lower socioeconomic groups, Aboriginal and Torres Strait Islander people, and people with a mental illness. Stakeholders considered that financial cost was an important factor in treatment failures, particularly for non-PBS subsidised NRT therapies and when therapy </w:t>
      </w:r>
      <w:r>
        <w:t>was</w:t>
      </w:r>
      <w:r w:rsidRPr="00A47F3D">
        <w:t xml:space="preserve"> required for longer than is available on the PBS.</w:t>
      </w:r>
      <w:r>
        <w:t xml:space="preserve"> Table B.2 provides indicative costs for OTC and PBS smoking cessation therapies (Background p. 12)</w:t>
      </w:r>
    </w:p>
    <w:p w:rsidR="00B3406A" w:rsidRDefault="000920C9" w:rsidP="00D25738">
      <w:pPr>
        <w:jc w:val="both"/>
      </w:pPr>
      <w:r>
        <w:t>One stakeholder noted the 2018 evaluation of the Tackling Indigenous Smoking (TIS</w:t>
      </w:r>
      <w:proofErr w:type="gramStart"/>
      <w:r>
        <w:t>)</w:t>
      </w:r>
      <w:r>
        <w:rPr>
          <w:vertAlign w:val="superscript"/>
        </w:rPr>
        <w:t>1</w:t>
      </w:r>
      <w:proofErr w:type="gramEnd"/>
      <w:r>
        <w:t xml:space="preserve"> program found that the high cost of NRTs that are not ava</w:t>
      </w:r>
      <w:r w:rsidR="000D5744">
        <w:t>ilable on the PBS</w:t>
      </w:r>
      <w:r>
        <w:t xml:space="preserve"> was a significant barrier to NRT access for Aboriginal and Torres Strait Islander people.</w:t>
      </w:r>
    </w:p>
    <w:p w:rsidR="000920C9" w:rsidRDefault="000920C9" w:rsidP="00D25738">
      <w:pPr>
        <w:jc w:val="both"/>
      </w:pPr>
      <w:r>
        <w:t>Stakeholders also noted that lack of access to smoking cessation medicines is particularly important for people in regional and remote</w:t>
      </w:r>
      <w:r w:rsidR="000D5744">
        <w:t xml:space="preserve"> areas, </w:t>
      </w:r>
      <w:r w:rsidR="000D5744" w:rsidRPr="000D5744">
        <w:t>including Aboriginal and Torres Strait Islander people.</w:t>
      </w:r>
    </w:p>
    <w:p w:rsidR="000920C9" w:rsidRDefault="000920C9" w:rsidP="00D25738">
      <w:pPr>
        <w:jc w:val="both"/>
      </w:pPr>
      <w:r>
        <w:t xml:space="preserve">Some clinicians noted that in their experience therapies are being used for longer than indicated to allow people additional time to abstain, and often in combination (short + long acting NRT combination, </w:t>
      </w:r>
      <w:proofErr w:type="spellStart"/>
      <w:r>
        <w:t>varenicline</w:t>
      </w:r>
      <w:proofErr w:type="spellEnd"/>
      <w:r>
        <w:t xml:space="preserve"> +NRT) to manage withdrawal and cravings.</w:t>
      </w:r>
    </w:p>
    <w:p w:rsidR="000920C9" w:rsidRPr="002F3376" w:rsidRDefault="000920C9" w:rsidP="000920C9">
      <w:pPr>
        <w:pStyle w:val="Heading2"/>
        <w:spacing w:after="240"/>
        <w:rPr>
          <w:rFonts w:asciiTheme="minorHAnsi" w:hAnsiTheme="minorHAnsi" w:cstheme="minorHAnsi"/>
          <w:sz w:val="32"/>
          <w:szCs w:val="32"/>
        </w:rPr>
      </w:pPr>
      <w:bookmarkStart w:id="42" w:name="_Toc72848458"/>
      <w:proofErr w:type="spellStart"/>
      <w:r w:rsidRPr="00280A7C">
        <w:rPr>
          <w:rFonts w:asciiTheme="minorHAnsi" w:hAnsiTheme="minorHAnsi" w:cstheme="minorHAnsi"/>
          <w:sz w:val="32"/>
          <w:szCs w:val="32"/>
        </w:rPr>
        <w:t>ToR</w:t>
      </w:r>
      <w:proofErr w:type="spellEnd"/>
      <w:r w:rsidRPr="00280A7C">
        <w:rPr>
          <w:rFonts w:asciiTheme="minorHAnsi" w:hAnsiTheme="minorHAnsi" w:cstheme="minorHAnsi"/>
          <w:sz w:val="32"/>
          <w:szCs w:val="32"/>
        </w:rPr>
        <w:t xml:space="preserve"> 3: Efficacy and safety of nicotine replacement therapy, </w:t>
      </w:r>
      <w:proofErr w:type="spellStart"/>
      <w:r w:rsidRPr="00280A7C">
        <w:rPr>
          <w:rFonts w:asciiTheme="minorHAnsi" w:hAnsiTheme="minorHAnsi" w:cstheme="minorHAnsi"/>
          <w:sz w:val="32"/>
          <w:szCs w:val="32"/>
        </w:rPr>
        <w:t>varenicline</w:t>
      </w:r>
      <w:proofErr w:type="spellEnd"/>
      <w:r w:rsidRPr="00280A7C">
        <w:rPr>
          <w:rFonts w:asciiTheme="minorHAnsi" w:hAnsiTheme="minorHAnsi" w:cstheme="minorHAnsi"/>
          <w:sz w:val="32"/>
          <w:szCs w:val="32"/>
        </w:rPr>
        <w:t xml:space="preserve"> and bupropion for smoking cessation including combination therapies</w:t>
      </w:r>
      <w:bookmarkEnd w:id="42"/>
    </w:p>
    <w:p w:rsidR="000920C9" w:rsidRPr="00317D31" w:rsidRDefault="000920C9" w:rsidP="000920C9">
      <w:pPr>
        <w:pBdr>
          <w:top w:val="single" w:sz="4" w:space="1" w:color="auto"/>
          <w:left w:val="single" w:sz="4" w:space="4" w:color="auto"/>
          <w:bottom w:val="single" w:sz="4" w:space="1" w:color="auto"/>
          <w:right w:val="single" w:sz="4" w:space="4" w:color="auto"/>
        </w:pBdr>
        <w:shd w:val="clear" w:color="auto" w:fill="F2F2F2" w:themeFill="background1" w:themeFillShade="F2"/>
        <w:rPr>
          <w:color w:val="365F91" w:themeColor="accent1" w:themeShade="BF"/>
        </w:rPr>
      </w:pPr>
      <w:bookmarkStart w:id="43" w:name="_Toc63082729"/>
      <w:r w:rsidRPr="00650127">
        <w:rPr>
          <w:i/>
          <w:iCs/>
          <w:color w:val="365F91" w:themeColor="accent1" w:themeShade="BF"/>
        </w:rPr>
        <w:t xml:space="preserve">Review the efficacy and safety of nicotine replacement therapy, </w:t>
      </w:r>
      <w:proofErr w:type="spellStart"/>
      <w:r w:rsidRPr="00650127">
        <w:rPr>
          <w:i/>
          <w:iCs/>
          <w:color w:val="365F91" w:themeColor="accent1" w:themeShade="BF"/>
        </w:rPr>
        <w:t>varenicline</w:t>
      </w:r>
      <w:proofErr w:type="spellEnd"/>
      <w:r w:rsidRPr="00650127">
        <w:rPr>
          <w:i/>
          <w:iCs/>
          <w:color w:val="365F91" w:themeColor="accent1" w:themeShade="BF"/>
        </w:rPr>
        <w:t xml:space="preserve"> and bupropion for smoking cessation including combination therapies not currently PBS subsidised.</w:t>
      </w:r>
    </w:p>
    <w:bookmarkEnd w:id="43"/>
    <w:p w:rsidR="000920C9" w:rsidRDefault="000920C9" w:rsidP="00D25738">
      <w:pPr>
        <w:jc w:val="both"/>
      </w:pPr>
      <w:r>
        <w:t xml:space="preserve">In the evidence reviewed, the efficacy of smoking cessation therapies was based on long-term (i.e. 6 months or more) smoking cessation rates unless otherwise indicated. Biochemically validated and continuous abstinence rates were prioritised over other measures. For safety and tolerability outcomes, key adverse events from studies with follow-up of any length are presented, where reported. A qualitative or narrative synthesis of the data from the literature review was conducted along with quantitative analysis if possible. Where supplemental evidence was found, the meta-analysis reported in the Cochran Reviews (relative risk using fixed-effect models) was re-analysed where possible using Review Manager 5.4 software and updated using random-effect models, with outcomes reported as both absolute and relative effects. </w:t>
      </w:r>
    </w:p>
    <w:p w:rsidR="00684849" w:rsidRDefault="00684849" w:rsidP="00684849">
      <w:pPr>
        <w:pStyle w:val="Heading3"/>
        <w:numPr>
          <w:ilvl w:val="1"/>
          <w:numId w:val="68"/>
        </w:numPr>
        <w:spacing w:before="240" w:after="200"/>
      </w:pPr>
      <w:r>
        <w:t xml:space="preserve"> </w:t>
      </w:r>
      <w:bookmarkStart w:id="44" w:name="_Toc72848459"/>
      <w:r>
        <w:t>Monotherapy in the general population</w:t>
      </w:r>
      <w:bookmarkEnd w:id="44"/>
    </w:p>
    <w:p w:rsidR="00684849" w:rsidRPr="00317D31" w:rsidRDefault="00684849" w:rsidP="00684849">
      <w:pPr>
        <w:rPr>
          <w:rFonts w:eastAsiaTheme="minorEastAsia"/>
          <w:b/>
          <w:i/>
          <w:sz w:val="28"/>
          <w:szCs w:val="28"/>
        </w:rPr>
      </w:pPr>
      <w:r w:rsidRPr="007456C3">
        <w:rPr>
          <w:rFonts w:eastAsiaTheme="minorEastAsia"/>
          <w:b/>
          <w:i/>
          <w:sz w:val="28"/>
          <w:szCs w:val="28"/>
        </w:rPr>
        <w:t>Summarise the comparative efficacy and safety of all PBS-listed smoking cessation therapies as monotherapy and compare this to evidence already considered by PBAC for each smoking cessation therapy</w:t>
      </w:r>
    </w:p>
    <w:p w:rsidR="00684849" w:rsidRPr="00280A7C" w:rsidRDefault="00684849" w:rsidP="00684849">
      <w:pPr>
        <w:pStyle w:val="Heading6"/>
        <w:numPr>
          <w:ilvl w:val="2"/>
          <w:numId w:val="68"/>
        </w:numPr>
        <w:spacing w:after="240"/>
        <w:rPr>
          <w:rFonts w:asciiTheme="minorHAnsi" w:hAnsiTheme="minorHAnsi" w:cstheme="minorHAnsi"/>
          <w:b/>
          <w:i w:val="0"/>
          <w:color w:val="auto"/>
        </w:rPr>
      </w:pPr>
      <w:r w:rsidRPr="00280A7C">
        <w:rPr>
          <w:rFonts w:asciiTheme="minorHAnsi" w:hAnsiTheme="minorHAnsi" w:cstheme="minorHAnsi"/>
          <w:b/>
          <w:i w:val="0"/>
          <w:color w:val="auto"/>
        </w:rPr>
        <w:t>Bupropion</w:t>
      </w:r>
    </w:p>
    <w:p w:rsidR="00684849" w:rsidRPr="002F3376" w:rsidRDefault="00684849" w:rsidP="00D25738">
      <w:r w:rsidRPr="00941DA2">
        <w:t xml:space="preserve">Treatment-naïve population </w:t>
      </w:r>
    </w:p>
    <w:p w:rsidR="00684849" w:rsidRDefault="00684849" w:rsidP="00D25738">
      <w:pPr>
        <w:pStyle w:val="ListParagraph"/>
        <w:numPr>
          <w:ilvl w:val="0"/>
          <w:numId w:val="15"/>
        </w:numPr>
        <w:jc w:val="both"/>
      </w:pPr>
      <w:r w:rsidRPr="00941DA2">
        <w:t>Bupropion was</w:t>
      </w:r>
      <w:r>
        <w:t xml:space="preserve"> superior to placebo in terms of efficacy</w:t>
      </w:r>
      <w:r w:rsidRPr="00941DA2">
        <w:t xml:space="preserve">, </w:t>
      </w:r>
      <w:r>
        <w:t>with a</w:t>
      </w:r>
      <w:r w:rsidRPr="00941DA2">
        <w:t xml:space="preserve"> significantly higher incidence of adverse events, psychiatric adverse events and discontinuation due to adverse events in the bupropion arm. This </w:t>
      </w:r>
      <w:r>
        <w:t>i</w:t>
      </w:r>
      <w:r w:rsidRPr="00941DA2">
        <w:t xml:space="preserve">s consistent with the evidence previously considered by the PBAC. </w:t>
      </w:r>
    </w:p>
    <w:p w:rsidR="00684849" w:rsidRDefault="00684849" w:rsidP="00D25738">
      <w:pPr>
        <w:pStyle w:val="ListParagraph"/>
        <w:numPr>
          <w:ilvl w:val="0"/>
          <w:numId w:val="15"/>
        </w:numPr>
        <w:jc w:val="both"/>
      </w:pPr>
      <w:r>
        <w:t>N</w:t>
      </w:r>
      <w:r w:rsidRPr="002E6C2F">
        <w:t xml:space="preserve">o statistically significant differences in smoking cessation rates, adverse events, serious adverse events and discontinuation due to adverse events </w:t>
      </w:r>
      <w:r>
        <w:t xml:space="preserve">were shown </w:t>
      </w:r>
      <w:r w:rsidRPr="002E6C2F">
        <w:t xml:space="preserve">between </w:t>
      </w:r>
      <w:r>
        <w:t>bupropion and</w:t>
      </w:r>
      <w:r w:rsidRPr="002E6C2F">
        <w:t xml:space="preserve"> </w:t>
      </w:r>
      <w:r>
        <w:t>nicotine replacement therapy (</w:t>
      </w:r>
      <w:r w:rsidRPr="002E6C2F">
        <w:t>NRT</w:t>
      </w:r>
      <w:r>
        <w:t>; either as patch, lozenge or choice of NRT).</w:t>
      </w:r>
      <w:r w:rsidRPr="002E6C2F">
        <w:t xml:space="preserve"> This is consistent with the evidence previously considered by the PBAC</w:t>
      </w:r>
      <w:r>
        <w:t xml:space="preserve"> to support non-inferiority</w:t>
      </w:r>
      <w:r w:rsidRPr="002E6C2F">
        <w:t>.</w:t>
      </w:r>
    </w:p>
    <w:p w:rsidR="00684849" w:rsidRPr="000920C9" w:rsidRDefault="00684849" w:rsidP="000920C9">
      <w:r w:rsidRPr="00EA42D5">
        <w:rPr>
          <w:rStyle w:val="FootnoteReference"/>
          <w:sz w:val="20"/>
          <w:szCs w:val="20"/>
        </w:rPr>
        <w:footnoteRef/>
      </w:r>
      <w:r w:rsidRPr="00EA42D5">
        <w:rPr>
          <w:sz w:val="20"/>
          <w:szCs w:val="20"/>
        </w:rPr>
        <w:t xml:space="preserve"> Tackling Indigenous Smoking Program Final Evaluation Report Prepared for the Australian Government Department of Health July 2018 https://www.health.gov.au/sites/default/files/tackling-indigenous-smoking-progr</w:t>
      </w:r>
      <w:r>
        <w:rPr>
          <w:sz w:val="20"/>
          <w:szCs w:val="20"/>
        </w:rPr>
        <w:t>am-final-evaluation-report.pdf</w:t>
      </w:r>
    </w:p>
    <w:tbl>
      <w:tblPr>
        <w:tblStyle w:val="TableGrid6"/>
        <w:tblW w:w="5000" w:type="pct"/>
        <w:shd w:val="clear" w:color="auto" w:fill="F2F2F2" w:themeFill="background1" w:themeFillShade="F2"/>
        <w:tblLook w:val="04A0" w:firstRow="1" w:lastRow="0" w:firstColumn="1" w:lastColumn="0" w:noHBand="0" w:noVBand="1"/>
      </w:tblPr>
      <w:tblGrid>
        <w:gridCol w:w="1832"/>
        <w:gridCol w:w="2216"/>
        <w:gridCol w:w="4968"/>
      </w:tblGrid>
      <w:tr w:rsidR="00B3406A" w:rsidRPr="00D37D1E" w:rsidTr="00A82090">
        <w:trPr>
          <w:trHeight w:val="311"/>
        </w:trPr>
        <w:tc>
          <w:tcPr>
            <w:tcW w:w="1016" w:type="pct"/>
            <w:shd w:val="clear" w:color="auto" w:fill="F2F2F2" w:themeFill="background1" w:themeFillShade="F2"/>
            <w:vAlign w:val="center"/>
            <w:hideMark/>
          </w:tcPr>
          <w:p w:rsidR="00B3406A" w:rsidRPr="00D37D1E" w:rsidRDefault="00B3406A" w:rsidP="001E7257">
            <w:pPr>
              <w:spacing w:after="200"/>
              <w:rPr>
                <w:szCs w:val="18"/>
              </w:rPr>
            </w:pPr>
            <w:r>
              <w:rPr>
                <w:b/>
                <w:bCs/>
                <w:szCs w:val="18"/>
              </w:rPr>
              <w:t>Comparison</w:t>
            </w:r>
          </w:p>
        </w:tc>
        <w:tc>
          <w:tcPr>
            <w:tcW w:w="1229" w:type="pct"/>
            <w:shd w:val="clear" w:color="auto" w:fill="F2F2F2" w:themeFill="background1" w:themeFillShade="F2"/>
            <w:vAlign w:val="center"/>
            <w:hideMark/>
          </w:tcPr>
          <w:p w:rsidR="00B3406A" w:rsidRPr="00D37D1E" w:rsidRDefault="00B3406A" w:rsidP="001E7257">
            <w:pPr>
              <w:spacing w:after="200"/>
              <w:jc w:val="center"/>
              <w:rPr>
                <w:szCs w:val="18"/>
              </w:rPr>
            </w:pPr>
            <w:r>
              <w:rPr>
                <w:b/>
                <w:bCs/>
                <w:szCs w:val="18"/>
              </w:rPr>
              <w:t>Included studies</w:t>
            </w:r>
          </w:p>
        </w:tc>
        <w:tc>
          <w:tcPr>
            <w:tcW w:w="2755" w:type="pct"/>
            <w:shd w:val="clear" w:color="auto" w:fill="F2F2F2" w:themeFill="background1" w:themeFillShade="F2"/>
            <w:vAlign w:val="center"/>
            <w:hideMark/>
          </w:tcPr>
          <w:p w:rsidR="00B3406A" w:rsidRPr="00D37D1E" w:rsidRDefault="00B3406A" w:rsidP="001E7257">
            <w:pPr>
              <w:spacing w:after="200"/>
              <w:jc w:val="center"/>
              <w:rPr>
                <w:b/>
                <w:bCs/>
                <w:szCs w:val="18"/>
              </w:rPr>
            </w:pPr>
            <w:r>
              <w:rPr>
                <w:b/>
                <w:bCs/>
                <w:szCs w:val="18"/>
              </w:rPr>
              <w:t>Summary of evidence</w:t>
            </w:r>
          </w:p>
        </w:tc>
      </w:tr>
      <w:tr w:rsidR="00B3406A" w:rsidRPr="00D37D1E" w:rsidTr="00A82090">
        <w:trPr>
          <w:trHeight w:val="275"/>
        </w:trPr>
        <w:tc>
          <w:tcPr>
            <w:tcW w:w="5000" w:type="pct"/>
            <w:gridSpan w:val="3"/>
            <w:shd w:val="clear" w:color="auto" w:fill="F2F2F2" w:themeFill="background1" w:themeFillShade="F2"/>
            <w:vAlign w:val="center"/>
            <w:hideMark/>
          </w:tcPr>
          <w:p w:rsidR="00B3406A" w:rsidRPr="00D37D1E" w:rsidRDefault="00B3406A" w:rsidP="001E7257">
            <w:pPr>
              <w:rPr>
                <w:b/>
                <w:bCs/>
                <w:szCs w:val="18"/>
              </w:rPr>
            </w:pPr>
            <w:r w:rsidRPr="00D37D1E">
              <w:rPr>
                <w:b/>
                <w:bCs/>
                <w:szCs w:val="18"/>
              </w:rPr>
              <w:t>Treatment-naïve population</w:t>
            </w:r>
          </w:p>
        </w:tc>
      </w:tr>
      <w:tr w:rsidR="00B3406A" w:rsidRPr="00C30A65" w:rsidTr="00A82090">
        <w:trPr>
          <w:trHeight w:val="1340"/>
        </w:trPr>
        <w:tc>
          <w:tcPr>
            <w:tcW w:w="1016" w:type="pct"/>
            <w:shd w:val="clear" w:color="auto" w:fill="F2F2F2" w:themeFill="background1" w:themeFillShade="F2"/>
            <w:hideMark/>
          </w:tcPr>
          <w:p w:rsidR="00B3406A" w:rsidRPr="00D37D1E" w:rsidRDefault="00B3406A" w:rsidP="001E7257">
            <w:pPr>
              <w:spacing w:after="200"/>
              <w:rPr>
                <w:szCs w:val="18"/>
              </w:rPr>
            </w:pPr>
            <w:r>
              <w:rPr>
                <w:szCs w:val="18"/>
              </w:rPr>
              <w:t>Bupropion vs p</w:t>
            </w:r>
            <w:r w:rsidRPr="00D37D1E">
              <w:rPr>
                <w:szCs w:val="18"/>
              </w:rPr>
              <w:t>lacebo</w:t>
            </w:r>
          </w:p>
        </w:tc>
        <w:tc>
          <w:tcPr>
            <w:tcW w:w="1229" w:type="pct"/>
            <w:shd w:val="clear" w:color="auto" w:fill="F2F2F2" w:themeFill="background1" w:themeFillShade="F2"/>
            <w:hideMark/>
          </w:tcPr>
          <w:p w:rsidR="00B3406A" w:rsidRPr="00C30A65" w:rsidRDefault="00B3406A" w:rsidP="00815A6D">
            <w:pPr>
              <w:pStyle w:val="ListParagraph"/>
              <w:numPr>
                <w:ilvl w:val="0"/>
                <w:numId w:val="35"/>
              </w:numPr>
              <w:rPr>
                <w:szCs w:val="18"/>
              </w:rPr>
            </w:pPr>
            <w:proofErr w:type="spellStart"/>
            <w:r w:rsidRPr="003F5807">
              <w:rPr>
                <w:szCs w:val="18"/>
              </w:rPr>
              <w:t>Howes</w:t>
            </w:r>
            <w:proofErr w:type="spellEnd"/>
            <w:r w:rsidRPr="003F5807">
              <w:rPr>
                <w:szCs w:val="18"/>
              </w:rPr>
              <w:t xml:space="preserve"> (2020)</w:t>
            </w:r>
            <w:r w:rsidRPr="00C30A65">
              <w:rPr>
                <w:szCs w:val="18"/>
                <w:vertAlign w:val="superscript"/>
              </w:rPr>
              <w:t>1</w:t>
            </w:r>
          </w:p>
          <w:p w:rsidR="00B3406A" w:rsidRPr="00A17F4F" w:rsidRDefault="00B3406A" w:rsidP="00815A6D">
            <w:pPr>
              <w:pStyle w:val="ListParagraph"/>
              <w:numPr>
                <w:ilvl w:val="0"/>
                <w:numId w:val="35"/>
              </w:numPr>
              <w:rPr>
                <w:szCs w:val="18"/>
              </w:rPr>
            </w:pPr>
            <w:proofErr w:type="spellStart"/>
            <w:r w:rsidRPr="00A17F4F">
              <w:rPr>
                <w:rFonts w:eastAsia="MS Mincho"/>
              </w:rPr>
              <w:t>Benowitz</w:t>
            </w:r>
            <w:proofErr w:type="spellEnd"/>
            <w:r w:rsidRPr="00A17F4F">
              <w:rPr>
                <w:rFonts w:eastAsia="MS Mincho"/>
              </w:rPr>
              <w:t xml:space="preserve"> (2018)</w:t>
            </w:r>
            <w:r w:rsidRPr="00A17F4F">
              <w:rPr>
                <w:rFonts w:eastAsia="MS Mincho"/>
                <w:vertAlign w:val="superscript"/>
              </w:rPr>
              <w:t>2</w:t>
            </w:r>
          </w:p>
        </w:tc>
        <w:tc>
          <w:tcPr>
            <w:tcW w:w="2755" w:type="pct"/>
            <w:shd w:val="clear" w:color="auto" w:fill="F2F2F2" w:themeFill="background1" w:themeFillShade="F2"/>
            <w:hideMark/>
          </w:tcPr>
          <w:p w:rsidR="00B3406A" w:rsidRPr="00397B2B" w:rsidRDefault="00B3406A" w:rsidP="00815A6D">
            <w:pPr>
              <w:pStyle w:val="ListParagraph"/>
              <w:numPr>
                <w:ilvl w:val="0"/>
                <w:numId w:val="35"/>
              </w:numPr>
              <w:rPr>
                <w:szCs w:val="18"/>
              </w:rPr>
            </w:pPr>
            <w:r w:rsidRPr="00A84141">
              <w:rPr>
                <w:szCs w:val="18"/>
                <w:u w:val="single"/>
              </w:rPr>
              <w:t>Efficacy:</w:t>
            </w:r>
            <w:r w:rsidRPr="00A84141">
              <w:rPr>
                <w:szCs w:val="18"/>
              </w:rPr>
              <w:t xml:space="preserve"> Statistically significant based on RR</w:t>
            </w:r>
            <w:r>
              <w:rPr>
                <w:szCs w:val="18"/>
              </w:rPr>
              <w:t xml:space="preserve"> </w:t>
            </w:r>
            <w:r w:rsidRPr="00397B2B">
              <w:rPr>
                <w:szCs w:val="18"/>
              </w:rPr>
              <w:t>(in favour of bupropion)</w:t>
            </w:r>
            <w:r>
              <w:rPr>
                <w:szCs w:val="18"/>
              </w:rPr>
              <w:t>.</w:t>
            </w:r>
          </w:p>
          <w:p w:rsidR="00B3406A" w:rsidRPr="00C30A65" w:rsidRDefault="00B3406A" w:rsidP="00815A6D">
            <w:pPr>
              <w:pStyle w:val="ListParagraph"/>
              <w:numPr>
                <w:ilvl w:val="0"/>
                <w:numId w:val="35"/>
              </w:numPr>
            </w:pPr>
            <w:r w:rsidRPr="00A84141">
              <w:rPr>
                <w:szCs w:val="18"/>
                <w:u w:val="single"/>
              </w:rPr>
              <w:t>Safety:</w:t>
            </w:r>
            <w:r w:rsidRPr="00A84141">
              <w:rPr>
                <w:szCs w:val="18"/>
              </w:rPr>
              <w:t xml:space="preserve"> Statistically significant based on RR</w:t>
            </w:r>
            <w:r>
              <w:rPr>
                <w:szCs w:val="18"/>
              </w:rPr>
              <w:t xml:space="preserve"> </w:t>
            </w:r>
            <w:r w:rsidRPr="00397B2B">
              <w:rPr>
                <w:szCs w:val="18"/>
              </w:rPr>
              <w:t>(any AEs, psychiatric AEs, discontinuation due to AEs; higher in bupropion)</w:t>
            </w:r>
            <w:r>
              <w:rPr>
                <w:szCs w:val="18"/>
              </w:rPr>
              <w:t xml:space="preserve">; </w:t>
            </w:r>
            <w:r w:rsidR="0002056E" w:rsidRPr="00D37D1E">
              <w:rPr>
                <w:szCs w:val="18"/>
              </w:rPr>
              <w:t>not</w:t>
            </w:r>
            <w:r w:rsidRPr="00D37D1E">
              <w:rPr>
                <w:szCs w:val="18"/>
              </w:rPr>
              <w:t xml:space="preserve"> statistically significant</w:t>
            </w:r>
            <w:r>
              <w:rPr>
                <w:szCs w:val="18"/>
              </w:rPr>
              <w:t xml:space="preserve"> based on RR </w:t>
            </w:r>
            <w:r w:rsidRPr="00D37D1E">
              <w:rPr>
                <w:szCs w:val="18"/>
              </w:rPr>
              <w:t>(</w:t>
            </w:r>
            <w:r>
              <w:rPr>
                <w:szCs w:val="18"/>
              </w:rPr>
              <w:t>S</w:t>
            </w:r>
            <w:r w:rsidRPr="00D37D1E">
              <w:rPr>
                <w:szCs w:val="18"/>
              </w:rPr>
              <w:t>AEs)</w:t>
            </w:r>
            <w:r>
              <w:rPr>
                <w:szCs w:val="18"/>
              </w:rPr>
              <w:t>.</w:t>
            </w:r>
          </w:p>
        </w:tc>
      </w:tr>
      <w:tr w:rsidR="00B3406A" w:rsidRPr="00DF3495" w:rsidTr="00A82090">
        <w:trPr>
          <w:trHeight w:val="669"/>
        </w:trPr>
        <w:tc>
          <w:tcPr>
            <w:tcW w:w="1016" w:type="pct"/>
            <w:shd w:val="clear" w:color="auto" w:fill="F2F2F2" w:themeFill="background1" w:themeFillShade="F2"/>
            <w:hideMark/>
          </w:tcPr>
          <w:p w:rsidR="00B3406A" w:rsidRPr="00D37D1E" w:rsidRDefault="00B3406A" w:rsidP="001E7257">
            <w:pPr>
              <w:spacing w:after="200"/>
              <w:rPr>
                <w:szCs w:val="18"/>
              </w:rPr>
            </w:pPr>
            <w:r>
              <w:rPr>
                <w:szCs w:val="18"/>
              </w:rPr>
              <w:t xml:space="preserve">Bupropion vs </w:t>
            </w:r>
            <w:r w:rsidRPr="00D37D1E">
              <w:rPr>
                <w:szCs w:val="18"/>
              </w:rPr>
              <w:t>NRT (either as patch, lozenge or choice of NRT)</w:t>
            </w:r>
          </w:p>
        </w:tc>
        <w:tc>
          <w:tcPr>
            <w:tcW w:w="1229" w:type="pct"/>
            <w:shd w:val="clear" w:color="auto" w:fill="F2F2F2" w:themeFill="background1" w:themeFillShade="F2"/>
            <w:hideMark/>
          </w:tcPr>
          <w:p w:rsidR="00B3406A" w:rsidRDefault="00B3406A" w:rsidP="00815A6D">
            <w:pPr>
              <w:pStyle w:val="ListParagraph"/>
              <w:numPr>
                <w:ilvl w:val="0"/>
                <w:numId w:val="35"/>
              </w:numPr>
              <w:rPr>
                <w:szCs w:val="18"/>
              </w:rPr>
            </w:pPr>
            <w:proofErr w:type="spellStart"/>
            <w:r w:rsidRPr="003F5807">
              <w:rPr>
                <w:szCs w:val="18"/>
              </w:rPr>
              <w:t>Howes</w:t>
            </w:r>
            <w:proofErr w:type="spellEnd"/>
            <w:r w:rsidRPr="003F5807">
              <w:rPr>
                <w:szCs w:val="18"/>
              </w:rPr>
              <w:t xml:space="preserve"> (2020)</w:t>
            </w:r>
            <w:r w:rsidRPr="00C30A65">
              <w:rPr>
                <w:szCs w:val="18"/>
                <w:vertAlign w:val="superscript"/>
              </w:rPr>
              <w:t>1</w:t>
            </w:r>
          </w:p>
          <w:p w:rsidR="00B3406A" w:rsidRPr="00A17F4F" w:rsidRDefault="00B3406A" w:rsidP="00815A6D">
            <w:pPr>
              <w:pStyle w:val="ListParagraph"/>
              <w:numPr>
                <w:ilvl w:val="0"/>
                <w:numId w:val="35"/>
              </w:numPr>
              <w:rPr>
                <w:szCs w:val="18"/>
              </w:rPr>
            </w:pPr>
            <w:proofErr w:type="spellStart"/>
            <w:r w:rsidRPr="00A17F4F">
              <w:rPr>
                <w:rFonts w:eastAsia="MS Mincho"/>
              </w:rPr>
              <w:t>Benowitz</w:t>
            </w:r>
            <w:proofErr w:type="spellEnd"/>
            <w:r w:rsidRPr="00A17F4F">
              <w:rPr>
                <w:rFonts w:eastAsia="MS Mincho"/>
              </w:rPr>
              <w:t xml:space="preserve"> (2018)</w:t>
            </w:r>
            <w:r w:rsidRPr="00A17F4F">
              <w:rPr>
                <w:rFonts w:eastAsia="MS Mincho"/>
                <w:vertAlign w:val="superscript"/>
              </w:rPr>
              <w:t>2</w:t>
            </w:r>
          </w:p>
        </w:tc>
        <w:tc>
          <w:tcPr>
            <w:tcW w:w="2755" w:type="pct"/>
            <w:shd w:val="clear" w:color="auto" w:fill="F2F2F2" w:themeFill="background1" w:themeFillShade="F2"/>
            <w:hideMark/>
          </w:tcPr>
          <w:p w:rsidR="00B3406A" w:rsidRPr="00A84141" w:rsidRDefault="00B3406A" w:rsidP="00815A6D">
            <w:pPr>
              <w:pStyle w:val="ListParagraph"/>
              <w:numPr>
                <w:ilvl w:val="0"/>
                <w:numId w:val="35"/>
              </w:numPr>
              <w:rPr>
                <w:szCs w:val="18"/>
              </w:rPr>
            </w:pPr>
            <w:r w:rsidRPr="00E320E0">
              <w:rPr>
                <w:szCs w:val="18"/>
                <w:u w:val="single"/>
              </w:rPr>
              <w:t>Efficacy:</w:t>
            </w:r>
            <w:r w:rsidRPr="00A84141">
              <w:rPr>
                <w:szCs w:val="18"/>
              </w:rPr>
              <w:t xml:space="preserve"> Not statistically significant </w:t>
            </w:r>
            <w:r>
              <w:rPr>
                <w:szCs w:val="18"/>
              </w:rPr>
              <w:t>based on</w:t>
            </w:r>
            <w:r w:rsidRPr="00A84141">
              <w:rPr>
                <w:szCs w:val="18"/>
              </w:rPr>
              <w:t xml:space="preserve"> RR</w:t>
            </w:r>
            <w:r>
              <w:rPr>
                <w:szCs w:val="18"/>
              </w:rPr>
              <w:t>.</w:t>
            </w:r>
          </w:p>
          <w:p w:rsidR="00B3406A" w:rsidRPr="00DF3495" w:rsidRDefault="00B3406A" w:rsidP="00815A6D">
            <w:pPr>
              <w:pStyle w:val="ListParagraph"/>
              <w:numPr>
                <w:ilvl w:val="0"/>
                <w:numId w:val="35"/>
              </w:numPr>
            </w:pPr>
            <w:r w:rsidRPr="00E320E0">
              <w:rPr>
                <w:szCs w:val="18"/>
                <w:u w:val="single"/>
              </w:rPr>
              <w:t>Safety:</w:t>
            </w:r>
            <w:r>
              <w:rPr>
                <w:szCs w:val="18"/>
              </w:rPr>
              <w:t xml:space="preserve"> </w:t>
            </w:r>
            <w:r w:rsidRPr="00A84141">
              <w:rPr>
                <w:szCs w:val="18"/>
              </w:rPr>
              <w:t xml:space="preserve">Not statistically significant </w:t>
            </w:r>
            <w:r>
              <w:rPr>
                <w:szCs w:val="18"/>
              </w:rPr>
              <w:t>based on</w:t>
            </w:r>
            <w:r w:rsidRPr="00A84141">
              <w:rPr>
                <w:szCs w:val="18"/>
              </w:rPr>
              <w:t xml:space="preserve"> RR</w:t>
            </w:r>
            <w:r>
              <w:rPr>
                <w:szCs w:val="18"/>
              </w:rPr>
              <w:t xml:space="preserve"> </w:t>
            </w:r>
            <w:r w:rsidRPr="00A84141">
              <w:rPr>
                <w:szCs w:val="18"/>
              </w:rPr>
              <w:t>(any AEs, SAEs, discontinuation due to AEs)</w:t>
            </w:r>
            <w:r>
              <w:rPr>
                <w:szCs w:val="18"/>
              </w:rPr>
              <w:t>.</w:t>
            </w:r>
            <w:r w:rsidRPr="00A84141">
              <w:rPr>
                <w:szCs w:val="18"/>
              </w:rPr>
              <w:t> </w:t>
            </w:r>
          </w:p>
        </w:tc>
      </w:tr>
    </w:tbl>
    <w:p w:rsidR="00B3406A" w:rsidRDefault="00B3406A" w:rsidP="001E7257">
      <w:pPr>
        <w:pStyle w:val="TableFooter"/>
        <w:keepNext/>
      </w:pPr>
      <w:r>
        <w:t>Abbreviations: AEs = adverse events; NRT = nicotine replacement therapy;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1 Cochrane Review</w:t>
      </w:r>
      <w:r>
        <w:t>.</w:t>
      </w:r>
    </w:p>
    <w:p w:rsidR="00B3406A" w:rsidRPr="00374C80" w:rsidRDefault="00B3406A" w:rsidP="001E7257">
      <w:pPr>
        <w:pStyle w:val="TableFooter"/>
        <w:keepNext/>
      </w:pPr>
      <w:r>
        <w:t>2 Supplemental evidence (RCT).</w:t>
      </w:r>
    </w:p>
    <w:p w:rsidR="00B3406A" w:rsidRPr="002E6C2F" w:rsidRDefault="00B3406A" w:rsidP="001E7257">
      <w:r w:rsidRPr="002E6C2F">
        <w:t xml:space="preserve">Treatment-experienced population </w:t>
      </w:r>
    </w:p>
    <w:p w:rsidR="00B3406A" w:rsidRDefault="00B3406A" w:rsidP="00D25738">
      <w:pPr>
        <w:pStyle w:val="ListParagraph"/>
        <w:numPr>
          <w:ilvl w:val="0"/>
          <w:numId w:val="18"/>
        </w:numPr>
        <w:ind w:left="360"/>
        <w:jc w:val="both"/>
      </w:pPr>
      <w:r w:rsidRPr="002E6C2F">
        <w:t xml:space="preserve">Bupropion </w:t>
      </w:r>
      <w:r>
        <w:t>has not previous</w:t>
      </w:r>
      <w:r w:rsidR="00D46574">
        <w:t>l</w:t>
      </w:r>
      <w:r>
        <w:t>y been considered by the PBAC for treatment-experienced patients.</w:t>
      </w:r>
    </w:p>
    <w:p w:rsidR="00B3406A" w:rsidRDefault="00B3406A" w:rsidP="00D25738">
      <w:pPr>
        <w:pStyle w:val="ListParagraph"/>
        <w:numPr>
          <w:ilvl w:val="0"/>
          <w:numId w:val="18"/>
        </w:numPr>
        <w:ind w:left="360"/>
        <w:jc w:val="both"/>
      </w:pPr>
      <w:r w:rsidRPr="00851965">
        <w:t>No evidence was identified comparing bupropion with placebo as relapse prevention in abstainers who completed a 9-week course of initial bupropion monotherapy treatment</w:t>
      </w:r>
      <w:r>
        <w:t xml:space="preserve"> (PBS-listed treatment duration).</w:t>
      </w:r>
      <w:r w:rsidRPr="002E6C2F">
        <w:t xml:space="preserve"> </w:t>
      </w:r>
      <w:r>
        <w:t>In other studies, irrespective of treatment duration, there were no statistically significant differences between b</w:t>
      </w:r>
      <w:r w:rsidRPr="002E6C2F">
        <w:t xml:space="preserve">upropion </w:t>
      </w:r>
      <w:r>
        <w:t>and</w:t>
      </w:r>
      <w:r w:rsidRPr="002E6C2F">
        <w:t xml:space="preserve"> placebo in terms of efficacy as a relapse prevention treatment in abstainers.</w:t>
      </w:r>
      <w:r w:rsidRPr="00A31766">
        <w:t xml:space="preserve"> The adverse events reported were consistent with those expected of </w:t>
      </w:r>
      <w:r>
        <w:t>bupropion</w:t>
      </w:r>
      <w:r w:rsidRPr="004D1CE1">
        <w:t>.</w:t>
      </w:r>
      <w:r w:rsidRPr="00851965">
        <w:t xml:space="preserve"> </w:t>
      </w:r>
    </w:p>
    <w:p w:rsidR="00280A7C" w:rsidRDefault="00B3406A" w:rsidP="00D25738">
      <w:pPr>
        <w:pStyle w:val="ListParagraph"/>
        <w:numPr>
          <w:ilvl w:val="0"/>
          <w:numId w:val="18"/>
        </w:numPr>
        <w:ind w:left="360"/>
        <w:jc w:val="both"/>
      </w:pPr>
      <w:r>
        <w:t>There were no statistically significant differences between b</w:t>
      </w:r>
      <w:r w:rsidRPr="002E6C2F">
        <w:t xml:space="preserve">upropion </w:t>
      </w:r>
      <w:r>
        <w:t>and</w:t>
      </w:r>
      <w:r w:rsidRPr="002E6C2F">
        <w:t xml:space="preserve"> placebo in terms of efficacy for use as retreatment in non-abstainers</w:t>
      </w:r>
      <w:r>
        <w:t xml:space="preserve"> when based on risk ratio, </w:t>
      </w:r>
      <w:r w:rsidRPr="002E6C2F">
        <w:t xml:space="preserve">noting that the results were significant </w:t>
      </w:r>
      <w:r>
        <w:t xml:space="preserve">when </w:t>
      </w:r>
      <w:r w:rsidRPr="002E6C2F">
        <w:t xml:space="preserve">based on risk difference. </w:t>
      </w:r>
      <w:r>
        <w:t>While</w:t>
      </w:r>
      <w:r w:rsidRPr="002E6C2F">
        <w:t xml:space="preserve"> a significantly higher proportion of patients in the bupropion arm experienced adverse events compared to patients in the placebo arm</w:t>
      </w:r>
      <w:r>
        <w:t>,</w:t>
      </w:r>
      <w:r w:rsidRPr="002E6C2F">
        <w:t xml:space="preserve"> there were no statistically significant differences in serious adverse events </w:t>
      </w:r>
      <w:r>
        <w:t>or</w:t>
      </w:r>
      <w:r w:rsidRPr="002E6C2F">
        <w:t xml:space="preserve"> discontinuation due to adverse events.</w:t>
      </w:r>
    </w:p>
    <w:p w:rsidR="00280A7C" w:rsidRDefault="002F3376" w:rsidP="002F3376">
      <w:pPr>
        <w:spacing w:line="276" w:lineRule="auto"/>
      </w:pPr>
      <w:r>
        <w:br w:type="page"/>
      </w:r>
    </w:p>
    <w:tbl>
      <w:tblPr>
        <w:tblStyle w:val="TableGrid6"/>
        <w:tblW w:w="5000" w:type="pct"/>
        <w:shd w:val="clear" w:color="auto" w:fill="F2F2F2" w:themeFill="background1" w:themeFillShade="F2"/>
        <w:tblLook w:val="04A0" w:firstRow="1" w:lastRow="0" w:firstColumn="1" w:lastColumn="0" w:noHBand="0" w:noVBand="1"/>
      </w:tblPr>
      <w:tblGrid>
        <w:gridCol w:w="1599"/>
        <w:gridCol w:w="2806"/>
        <w:gridCol w:w="4611"/>
      </w:tblGrid>
      <w:tr w:rsidR="00B3406A" w:rsidRPr="00956775" w:rsidTr="00A82090">
        <w:trPr>
          <w:trHeight w:val="311"/>
        </w:trPr>
        <w:tc>
          <w:tcPr>
            <w:tcW w:w="887" w:type="pct"/>
            <w:shd w:val="clear" w:color="auto" w:fill="F2F2F2" w:themeFill="background1" w:themeFillShade="F2"/>
            <w:vAlign w:val="center"/>
            <w:hideMark/>
          </w:tcPr>
          <w:p w:rsidR="00B3406A" w:rsidRPr="00D37D1E" w:rsidRDefault="00B3406A" w:rsidP="001E7257">
            <w:pPr>
              <w:spacing w:after="200"/>
              <w:rPr>
                <w:szCs w:val="18"/>
              </w:rPr>
            </w:pPr>
            <w:r>
              <w:rPr>
                <w:b/>
                <w:bCs/>
                <w:szCs w:val="18"/>
              </w:rPr>
              <w:t>Comparison</w:t>
            </w:r>
          </w:p>
        </w:tc>
        <w:tc>
          <w:tcPr>
            <w:tcW w:w="1556" w:type="pct"/>
            <w:shd w:val="clear" w:color="auto" w:fill="F2F2F2" w:themeFill="background1" w:themeFillShade="F2"/>
            <w:vAlign w:val="center"/>
            <w:hideMark/>
          </w:tcPr>
          <w:p w:rsidR="00B3406A" w:rsidRPr="00D37D1E" w:rsidRDefault="00B3406A" w:rsidP="001E7257">
            <w:pPr>
              <w:spacing w:after="200"/>
              <w:jc w:val="center"/>
              <w:rPr>
                <w:szCs w:val="18"/>
              </w:rPr>
            </w:pPr>
            <w:r>
              <w:rPr>
                <w:b/>
                <w:bCs/>
                <w:szCs w:val="18"/>
              </w:rPr>
              <w:t>Included studies</w:t>
            </w:r>
          </w:p>
        </w:tc>
        <w:tc>
          <w:tcPr>
            <w:tcW w:w="2557" w:type="pct"/>
            <w:shd w:val="clear" w:color="auto" w:fill="F2F2F2" w:themeFill="background1" w:themeFillShade="F2"/>
            <w:vAlign w:val="center"/>
            <w:hideMark/>
          </w:tcPr>
          <w:p w:rsidR="00B3406A" w:rsidRPr="00D37D1E" w:rsidRDefault="00B3406A" w:rsidP="001E7257">
            <w:pPr>
              <w:spacing w:after="200"/>
              <w:jc w:val="center"/>
              <w:rPr>
                <w:b/>
                <w:bCs/>
                <w:szCs w:val="18"/>
              </w:rPr>
            </w:pPr>
            <w:r>
              <w:rPr>
                <w:b/>
                <w:bCs/>
                <w:szCs w:val="18"/>
              </w:rPr>
              <w:t>Summary of evidence</w:t>
            </w:r>
          </w:p>
        </w:tc>
      </w:tr>
      <w:tr w:rsidR="00B3406A" w:rsidRPr="00956775" w:rsidTr="00A82090">
        <w:trPr>
          <w:trHeight w:val="67"/>
        </w:trPr>
        <w:tc>
          <w:tcPr>
            <w:tcW w:w="5000" w:type="pct"/>
            <w:gridSpan w:val="3"/>
            <w:shd w:val="clear" w:color="auto" w:fill="F2F2F2" w:themeFill="background1" w:themeFillShade="F2"/>
            <w:hideMark/>
          </w:tcPr>
          <w:p w:rsidR="00B3406A" w:rsidRPr="00D37D1E" w:rsidRDefault="00B3406A" w:rsidP="001E7257">
            <w:pPr>
              <w:rPr>
                <w:b/>
                <w:bCs/>
                <w:szCs w:val="18"/>
              </w:rPr>
            </w:pPr>
            <w:r w:rsidRPr="00D37D1E">
              <w:rPr>
                <w:b/>
                <w:bCs/>
                <w:szCs w:val="18"/>
              </w:rPr>
              <w:t>Treatment-experienced population (relapse prevention treatment in abstainers)</w:t>
            </w:r>
          </w:p>
        </w:tc>
      </w:tr>
      <w:tr w:rsidR="00B3406A" w:rsidRPr="00956775" w:rsidTr="00A82090">
        <w:trPr>
          <w:trHeight w:val="851"/>
        </w:trPr>
        <w:tc>
          <w:tcPr>
            <w:tcW w:w="887" w:type="pct"/>
            <w:shd w:val="clear" w:color="auto" w:fill="F2F2F2" w:themeFill="background1" w:themeFillShade="F2"/>
            <w:hideMark/>
          </w:tcPr>
          <w:p w:rsidR="00B3406A" w:rsidRPr="00D37D1E" w:rsidRDefault="00B3406A" w:rsidP="001E7257">
            <w:pPr>
              <w:spacing w:after="200"/>
              <w:rPr>
                <w:szCs w:val="18"/>
              </w:rPr>
            </w:pPr>
            <w:r w:rsidRPr="00A84141">
              <w:rPr>
                <w:szCs w:val="18"/>
              </w:rPr>
              <w:t>Bupropion</w:t>
            </w:r>
            <w:r w:rsidRPr="00534027">
              <w:rPr>
                <w:rFonts w:eastAsia="Calibri"/>
                <w:szCs w:val="18"/>
              </w:rPr>
              <w:t xml:space="preserve"> vs </w:t>
            </w:r>
            <w:r>
              <w:rPr>
                <w:rFonts w:eastAsia="Calibri"/>
                <w:szCs w:val="18"/>
              </w:rPr>
              <w:t>p</w:t>
            </w:r>
            <w:r w:rsidRPr="00695872">
              <w:rPr>
                <w:rFonts w:eastAsia="Calibri"/>
                <w:szCs w:val="18"/>
              </w:rPr>
              <w:t>lacebo</w:t>
            </w:r>
          </w:p>
        </w:tc>
        <w:tc>
          <w:tcPr>
            <w:tcW w:w="1556" w:type="pct"/>
            <w:shd w:val="clear" w:color="auto" w:fill="F2F2F2" w:themeFill="background1" w:themeFillShade="F2"/>
            <w:hideMark/>
          </w:tcPr>
          <w:p w:rsidR="00B3406A" w:rsidRPr="00A84141" w:rsidRDefault="00B3406A" w:rsidP="00815A6D">
            <w:pPr>
              <w:pStyle w:val="ListParagraph"/>
              <w:numPr>
                <w:ilvl w:val="0"/>
                <w:numId w:val="35"/>
              </w:numPr>
              <w:rPr>
                <w:szCs w:val="18"/>
              </w:rPr>
            </w:pPr>
            <w:r w:rsidRPr="00A84141">
              <w:rPr>
                <w:szCs w:val="18"/>
              </w:rPr>
              <w:t>Livingstone-Banks (2019)</w:t>
            </w:r>
            <w:r w:rsidRPr="00A84141">
              <w:rPr>
                <w:szCs w:val="18"/>
                <w:vertAlign w:val="superscript"/>
              </w:rPr>
              <w:t>1</w:t>
            </w:r>
          </w:p>
        </w:tc>
        <w:tc>
          <w:tcPr>
            <w:tcW w:w="2557" w:type="pct"/>
            <w:shd w:val="clear" w:color="auto" w:fill="F2F2F2" w:themeFill="background1" w:themeFillShade="F2"/>
            <w:hideMark/>
          </w:tcPr>
          <w:p w:rsidR="00B3406A" w:rsidRPr="00A84141" w:rsidRDefault="00B3406A" w:rsidP="00815A6D">
            <w:pPr>
              <w:pStyle w:val="ListParagraph"/>
              <w:numPr>
                <w:ilvl w:val="0"/>
                <w:numId w:val="35"/>
              </w:numPr>
              <w:rPr>
                <w:rFonts w:eastAsia="Calibri"/>
                <w:szCs w:val="18"/>
              </w:rPr>
            </w:pPr>
            <w:r w:rsidRPr="00A84141">
              <w:rPr>
                <w:rFonts w:eastAsia="Calibri"/>
                <w:szCs w:val="18"/>
                <w:u w:val="single"/>
              </w:rPr>
              <w:t>Effica</w:t>
            </w:r>
            <w:r>
              <w:rPr>
                <w:rFonts w:eastAsia="Calibri"/>
                <w:szCs w:val="18"/>
                <w:u w:val="single"/>
              </w:rPr>
              <w:t>c</w:t>
            </w:r>
            <w:r w:rsidRPr="00A84141">
              <w:rPr>
                <w:rFonts w:eastAsia="Calibri"/>
                <w:szCs w:val="18"/>
                <w:u w:val="single"/>
              </w:rPr>
              <w:t>y</w:t>
            </w:r>
            <w:r w:rsidRPr="00A84141">
              <w:rPr>
                <w:rFonts w:eastAsia="Calibri"/>
                <w:szCs w:val="18"/>
              </w:rPr>
              <w:t xml:space="preserve">: </w:t>
            </w:r>
            <w:r w:rsidRPr="00A84141">
              <w:rPr>
                <w:szCs w:val="18"/>
              </w:rPr>
              <w:t>Not statistically significant based on RR</w:t>
            </w:r>
            <w:r>
              <w:rPr>
                <w:szCs w:val="18"/>
              </w:rPr>
              <w:t>.</w:t>
            </w:r>
          </w:p>
          <w:p w:rsidR="00B3406A" w:rsidRPr="00A84141" w:rsidRDefault="00B3406A" w:rsidP="00815A6D">
            <w:pPr>
              <w:pStyle w:val="ListParagraph"/>
              <w:numPr>
                <w:ilvl w:val="0"/>
                <w:numId w:val="35"/>
              </w:numPr>
              <w:rPr>
                <w:szCs w:val="18"/>
              </w:rPr>
            </w:pPr>
            <w:r w:rsidRPr="00A84141">
              <w:rPr>
                <w:rFonts w:eastAsia="Calibri"/>
                <w:szCs w:val="18"/>
                <w:u w:val="single"/>
              </w:rPr>
              <w:t>Safety:</w:t>
            </w:r>
            <w:r w:rsidRPr="00A84141">
              <w:rPr>
                <w:rFonts w:eastAsia="Calibri"/>
                <w:szCs w:val="18"/>
              </w:rPr>
              <w:t xml:space="preserve"> AEs reported were consistent with those expected of bupropion</w:t>
            </w:r>
            <w:r>
              <w:rPr>
                <w:rFonts w:eastAsia="Calibri"/>
                <w:szCs w:val="18"/>
              </w:rPr>
              <w:t>.</w:t>
            </w:r>
          </w:p>
          <w:p w:rsidR="00B3406A" w:rsidRPr="00A84141" w:rsidRDefault="00B3406A" w:rsidP="001E7257">
            <w:pPr>
              <w:rPr>
                <w:szCs w:val="18"/>
              </w:rPr>
            </w:pPr>
          </w:p>
        </w:tc>
      </w:tr>
      <w:tr w:rsidR="00B3406A" w:rsidRPr="00956775" w:rsidTr="00A82090">
        <w:trPr>
          <w:trHeight w:val="67"/>
        </w:trPr>
        <w:tc>
          <w:tcPr>
            <w:tcW w:w="5000" w:type="pct"/>
            <w:gridSpan w:val="3"/>
            <w:shd w:val="clear" w:color="auto" w:fill="F2F2F2" w:themeFill="background1" w:themeFillShade="F2"/>
            <w:hideMark/>
          </w:tcPr>
          <w:p w:rsidR="00B3406A" w:rsidRPr="00D37D1E" w:rsidRDefault="00B3406A" w:rsidP="001E7257">
            <w:pPr>
              <w:rPr>
                <w:b/>
                <w:bCs/>
                <w:szCs w:val="18"/>
              </w:rPr>
            </w:pPr>
            <w:r w:rsidRPr="00D37D1E">
              <w:rPr>
                <w:b/>
                <w:bCs/>
                <w:szCs w:val="18"/>
              </w:rPr>
              <w:t>Treatment-experienced population (retreatment in non-abstainers)</w:t>
            </w:r>
          </w:p>
        </w:tc>
      </w:tr>
      <w:tr w:rsidR="00B3406A" w:rsidRPr="00956775" w:rsidTr="00A82090">
        <w:trPr>
          <w:trHeight w:val="851"/>
        </w:trPr>
        <w:tc>
          <w:tcPr>
            <w:tcW w:w="887" w:type="pct"/>
            <w:shd w:val="clear" w:color="auto" w:fill="F2F2F2" w:themeFill="background1" w:themeFillShade="F2"/>
            <w:hideMark/>
          </w:tcPr>
          <w:p w:rsidR="00B3406A" w:rsidRPr="00D37D1E" w:rsidRDefault="00B3406A" w:rsidP="001E7257">
            <w:pPr>
              <w:spacing w:after="200"/>
              <w:rPr>
                <w:szCs w:val="18"/>
              </w:rPr>
            </w:pPr>
            <w:r w:rsidRPr="00A84141">
              <w:rPr>
                <w:szCs w:val="18"/>
              </w:rPr>
              <w:t>Bupropion</w:t>
            </w:r>
            <w:r w:rsidRPr="00534027">
              <w:rPr>
                <w:rFonts w:eastAsia="Calibri"/>
                <w:szCs w:val="18"/>
              </w:rPr>
              <w:t xml:space="preserve"> vs </w:t>
            </w:r>
            <w:r>
              <w:rPr>
                <w:rFonts w:eastAsia="Calibri"/>
                <w:szCs w:val="18"/>
              </w:rPr>
              <w:t>p</w:t>
            </w:r>
            <w:r w:rsidRPr="00534027">
              <w:rPr>
                <w:rFonts w:eastAsia="Calibri"/>
                <w:szCs w:val="18"/>
              </w:rPr>
              <w:t>lacebo</w:t>
            </w:r>
          </w:p>
        </w:tc>
        <w:tc>
          <w:tcPr>
            <w:tcW w:w="1556" w:type="pct"/>
            <w:shd w:val="clear" w:color="auto" w:fill="F2F2F2" w:themeFill="background1" w:themeFillShade="F2"/>
            <w:hideMark/>
          </w:tcPr>
          <w:p w:rsidR="00B3406A" w:rsidRPr="00A84141" w:rsidRDefault="00B3406A" w:rsidP="00815A6D">
            <w:pPr>
              <w:pStyle w:val="ListParagraph"/>
              <w:numPr>
                <w:ilvl w:val="0"/>
                <w:numId w:val="37"/>
              </w:numPr>
              <w:rPr>
                <w:szCs w:val="18"/>
              </w:rPr>
            </w:pPr>
            <w:r w:rsidRPr="00713CB0">
              <w:rPr>
                <w:szCs w:val="18"/>
              </w:rPr>
              <w:t>Gonzales</w:t>
            </w:r>
            <w:r>
              <w:rPr>
                <w:szCs w:val="18"/>
              </w:rPr>
              <w:t xml:space="preserve"> </w:t>
            </w:r>
            <w:r w:rsidRPr="00BE2D5A">
              <w:rPr>
                <w:szCs w:val="18"/>
              </w:rPr>
              <w:t>(2001)</w:t>
            </w:r>
            <w:r>
              <w:rPr>
                <w:szCs w:val="18"/>
                <w:vertAlign w:val="superscript"/>
              </w:rPr>
              <w:t>2</w:t>
            </w:r>
          </w:p>
          <w:p w:rsidR="00B3406A" w:rsidRPr="00A84141" w:rsidRDefault="00B3406A" w:rsidP="00815A6D">
            <w:pPr>
              <w:pStyle w:val="ListParagraph"/>
              <w:numPr>
                <w:ilvl w:val="0"/>
                <w:numId w:val="37"/>
              </w:numPr>
              <w:rPr>
                <w:szCs w:val="18"/>
              </w:rPr>
            </w:pPr>
            <w:r w:rsidRPr="00695872">
              <w:rPr>
                <w:rFonts w:eastAsia="MS Mincho"/>
              </w:rPr>
              <w:t>Selby (2003)</w:t>
            </w:r>
            <w:r>
              <w:rPr>
                <w:rFonts w:eastAsia="MS Mincho"/>
                <w:vertAlign w:val="superscript"/>
              </w:rPr>
              <w:t>2</w:t>
            </w:r>
          </w:p>
        </w:tc>
        <w:tc>
          <w:tcPr>
            <w:tcW w:w="2557" w:type="pct"/>
            <w:shd w:val="clear" w:color="auto" w:fill="F2F2F2" w:themeFill="background1" w:themeFillShade="F2"/>
            <w:hideMark/>
          </w:tcPr>
          <w:p w:rsidR="00B3406A" w:rsidRPr="00A84141" w:rsidRDefault="00B3406A" w:rsidP="00815A6D">
            <w:pPr>
              <w:pStyle w:val="ListParagraph"/>
              <w:numPr>
                <w:ilvl w:val="0"/>
                <w:numId w:val="37"/>
              </w:numPr>
              <w:rPr>
                <w:szCs w:val="18"/>
              </w:rPr>
            </w:pPr>
            <w:r w:rsidRPr="00A84141">
              <w:rPr>
                <w:szCs w:val="18"/>
                <w:u w:val="single"/>
              </w:rPr>
              <w:t>Efficacy:</w:t>
            </w:r>
            <w:r w:rsidRPr="00A84141">
              <w:rPr>
                <w:szCs w:val="18"/>
              </w:rPr>
              <w:t xml:space="preserve"> Not statistically significant </w:t>
            </w:r>
            <w:r w:rsidRPr="00746010">
              <w:rPr>
                <w:szCs w:val="18"/>
              </w:rPr>
              <w:t>based on</w:t>
            </w:r>
            <w:r w:rsidRPr="00A84141">
              <w:rPr>
                <w:szCs w:val="18"/>
              </w:rPr>
              <w:t xml:space="preserve"> RR </w:t>
            </w:r>
            <w:r>
              <w:rPr>
                <w:szCs w:val="18"/>
              </w:rPr>
              <w:t>but</w:t>
            </w:r>
            <w:r w:rsidRPr="00A84141">
              <w:rPr>
                <w:szCs w:val="18"/>
              </w:rPr>
              <w:t xml:space="preserve"> significant </w:t>
            </w:r>
            <w:r w:rsidRPr="00746010">
              <w:rPr>
                <w:szCs w:val="18"/>
              </w:rPr>
              <w:t>based on</w:t>
            </w:r>
            <w:r w:rsidRPr="00A84141">
              <w:rPr>
                <w:szCs w:val="18"/>
              </w:rPr>
              <w:t xml:space="preserve"> RD</w:t>
            </w:r>
            <w:r>
              <w:rPr>
                <w:szCs w:val="18"/>
                <w:vertAlign w:val="superscript"/>
              </w:rPr>
              <w:t>3</w:t>
            </w:r>
            <w:r>
              <w:rPr>
                <w:szCs w:val="18"/>
              </w:rPr>
              <w:t>.</w:t>
            </w:r>
          </w:p>
          <w:p w:rsidR="00B3406A" w:rsidRPr="00713CB0" w:rsidRDefault="00B3406A" w:rsidP="00815A6D">
            <w:pPr>
              <w:pStyle w:val="ListParagraph"/>
              <w:numPr>
                <w:ilvl w:val="0"/>
                <w:numId w:val="37"/>
              </w:numPr>
              <w:rPr>
                <w:rFonts w:eastAsia="MS Mincho"/>
              </w:rPr>
            </w:pPr>
            <w:r w:rsidRPr="00A84141">
              <w:rPr>
                <w:szCs w:val="18"/>
                <w:u w:val="single"/>
              </w:rPr>
              <w:t xml:space="preserve">Safety: </w:t>
            </w:r>
            <w:r w:rsidRPr="00A84141">
              <w:rPr>
                <w:szCs w:val="18"/>
              </w:rPr>
              <w:t xml:space="preserve">Statistically significant </w:t>
            </w:r>
            <w:r w:rsidRPr="00746010">
              <w:rPr>
                <w:szCs w:val="18"/>
              </w:rPr>
              <w:t>based on</w:t>
            </w:r>
            <w:r w:rsidRPr="00A84141">
              <w:rPr>
                <w:szCs w:val="18"/>
              </w:rPr>
              <w:t xml:space="preserve"> RR and RD</w:t>
            </w:r>
            <w:r>
              <w:rPr>
                <w:szCs w:val="18"/>
              </w:rPr>
              <w:t xml:space="preserve"> </w:t>
            </w:r>
            <w:r w:rsidRPr="00A84141">
              <w:rPr>
                <w:szCs w:val="18"/>
              </w:rPr>
              <w:t>(any AEs; higher in bupropion)</w:t>
            </w:r>
            <w:r>
              <w:rPr>
                <w:szCs w:val="18"/>
              </w:rPr>
              <w:t xml:space="preserve">; </w:t>
            </w:r>
            <w:r w:rsidRPr="00D37D1E">
              <w:rPr>
                <w:szCs w:val="18"/>
              </w:rPr>
              <w:t xml:space="preserve">Not statistically significant </w:t>
            </w:r>
            <w:r w:rsidRPr="00746010">
              <w:rPr>
                <w:szCs w:val="18"/>
              </w:rPr>
              <w:t>based on</w:t>
            </w:r>
            <w:r>
              <w:rPr>
                <w:szCs w:val="18"/>
              </w:rPr>
              <w:t xml:space="preserve"> RR and RD </w:t>
            </w:r>
            <w:r w:rsidRPr="00D37D1E">
              <w:rPr>
                <w:szCs w:val="18"/>
              </w:rPr>
              <w:t>(</w:t>
            </w:r>
            <w:r>
              <w:rPr>
                <w:szCs w:val="18"/>
              </w:rPr>
              <w:t>S</w:t>
            </w:r>
            <w:r w:rsidRPr="00D37D1E">
              <w:rPr>
                <w:szCs w:val="18"/>
              </w:rPr>
              <w:t>AEs, discontinuation due to AEs</w:t>
            </w:r>
            <w:r>
              <w:rPr>
                <w:szCs w:val="18"/>
              </w:rPr>
              <w:t>).</w:t>
            </w:r>
          </w:p>
        </w:tc>
      </w:tr>
    </w:tbl>
    <w:p w:rsidR="00B3406A" w:rsidRDefault="00B3406A" w:rsidP="001E7257">
      <w:pPr>
        <w:pStyle w:val="TableFooter"/>
        <w:keepNext/>
      </w:pPr>
      <w:r>
        <w:t>Abbreviations: AEs = adverse events; RR = risk ratio, RD = risk difference; SAEs = serious adverse events.</w:t>
      </w:r>
    </w:p>
    <w:p w:rsidR="00B3406A" w:rsidRDefault="00B3406A" w:rsidP="001E7257">
      <w:pPr>
        <w:pStyle w:val="TableFooter"/>
        <w:keepNext/>
      </w:pPr>
      <w:r w:rsidRPr="00BE36E8">
        <w:t xml:space="preserve">Notes: </w:t>
      </w:r>
    </w:p>
    <w:p w:rsidR="00B3406A" w:rsidRPr="008557C2" w:rsidRDefault="00B3406A" w:rsidP="001E7257">
      <w:pPr>
        <w:pStyle w:val="TableFooter"/>
        <w:keepNext/>
      </w:pPr>
      <w:r w:rsidRPr="00BE36E8">
        <w:t>1 Cochrane Review</w:t>
      </w:r>
      <w:r>
        <w:t xml:space="preserve">. </w:t>
      </w:r>
      <w:r w:rsidRPr="005A47D9">
        <w:t xml:space="preserve">Of the studies identified by Livingstone-Banks et al. (2019), </w:t>
      </w:r>
      <w:proofErr w:type="spellStart"/>
      <w:r w:rsidRPr="005A47D9">
        <w:t>Croghan</w:t>
      </w:r>
      <w:proofErr w:type="spellEnd"/>
      <w:r w:rsidRPr="005A47D9">
        <w:t xml:space="preserve"> et al. (2007) was the only study that compared bupropion with placebo in patients who achieved abstinence after initial treatment with bupropion monotherapy; the other studies provided either NRT patches or bupropion plus NRT patches in the initial treatment phase. The key limitation of </w:t>
      </w:r>
      <w:proofErr w:type="spellStart"/>
      <w:r w:rsidRPr="005A47D9">
        <w:t>Croghan</w:t>
      </w:r>
      <w:proofErr w:type="spellEnd"/>
      <w:r w:rsidRPr="005A47D9">
        <w:t xml:space="preserve"> et al. (2007) was related to the duration of bupropion monotherapy administered in the initial treatment phase (3 months versus 9 weeks on the PBS) and the relapse prevention phase (9 months).</w:t>
      </w:r>
    </w:p>
    <w:p w:rsidR="00B3406A" w:rsidRDefault="00B3406A" w:rsidP="001E7257">
      <w:pPr>
        <w:pStyle w:val="TableFooter"/>
        <w:keepNext/>
      </w:pPr>
      <w:r>
        <w:t xml:space="preserve">2 Included in Cochrane Review by </w:t>
      </w:r>
      <w:proofErr w:type="spellStart"/>
      <w:r>
        <w:t>Howes</w:t>
      </w:r>
      <w:proofErr w:type="spellEnd"/>
      <w:r>
        <w:t xml:space="preserve"> et al. (2020).</w:t>
      </w:r>
    </w:p>
    <w:p w:rsidR="00B3406A" w:rsidRPr="008557C2" w:rsidRDefault="00B3406A" w:rsidP="001E7257">
      <w:pPr>
        <w:pStyle w:val="TableFooter"/>
        <w:keepNext/>
      </w:pPr>
      <w:r>
        <w:t>3 Not statistically significant based on risk ratio but significant based on risk difference (RR = 2.31, 95%CI: 0.90, 5.92; RD = 0.06, 95%CI: 0.02, 0.10).</w:t>
      </w:r>
    </w:p>
    <w:p w:rsidR="00B3406A" w:rsidRPr="00280A7C" w:rsidRDefault="00280A7C" w:rsidP="00684849">
      <w:pPr>
        <w:pStyle w:val="Heading6"/>
        <w:numPr>
          <w:ilvl w:val="0"/>
          <w:numId w:val="0"/>
        </w:numPr>
        <w:spacing w:after="240"/>
        <w:ind w:left="1152" w:hanging="1152"/>
        <w:rPr>
          <w:rFonts w:asciiTheme="minorHAnsi" w:hAnsiTheme="minorHAnsi" w:cstheme="minorHAnsi"/>
          <w:b/>
          <w:i w:val="0"/>
          <w:color w:val="auto"/>
        </w:rPr>
      </w:pPr>
      <w:r w:rsidRPr="00280A7C">
        <w:rPr>
          <w:rFonts w:asciiTheme="minorHAnsi" w:hAnsiTheme="minorHAnsi" w:cstheme="minorHAnsi"/>
          <w:b/>
          <w:i w:val="0"/>
          <w:color w:val="auto"/>
        </w:rPr>
        <w:t xml:space="preserve">3.1.2 </w:t>
      </w:r>
      <w:r w:rsidR="00B3406A" w:rsidRPr="00280A7C">
        <w:rPr>
          <w:rFonts w:asciiTheme="minorHAnsi" w:hAnsiTheme="minorHAnsi" w:cstheme="minorHAnsi"/>
          <w:b/>
          <w:i w:val="0"/>
          <w:color w:val="auto"/>
        </w:rPr>
        <w:t>Varenicline</w:t>
      </w:r>
    </w:p>
    <w:p w:rsidR="00B3406A" w:rsidRPr="00AD3824" w:rsidRDefault="00B3406A" w:rsidP="001E7257">
      <w:r w:rsidRPr="00AD3824">
        <w:t xml:space="preserve">Treatment-naïve population </w:t>
      </w:r>
    </w:p>
    <w:p w:rsidR="00B3406A" w:rsidRPr="00B32A72" w:rsidRDefault="00B3406A" w:rsidP="00D25738">
      <w:pPr>
        <w:pStyle w:val="ListParagraph"/>
        <w:numPr>
          <w:ilvl w:val="0"/>
          <w:numId w:val="19"/>
        </w:numPr>
        <w:ind w:left="360"/>
        <w:jc w:val="both"/>
      </w:pPr>
      <w:r>
        <w:t>V</w:t>
      </w:r>
      <w:r w:rsidRPr="00AD3824">
        <w:t xml:space="preserve">arenicline was shown to </w:t>
      </w:r>
      <w:r>
        <w:t>be superior to placebo in terms of efficacy based on</w:t>
      </w:r>
      <w:r w:rsidRPr="00AD3824">
        <w:t xml:space="preserve"> long-term smoking cessation rates. In terms of safety, a significantly higher incidence rate of adverse events (nausea, insomnia, abnormal dreams, headache) and serious adverse </w:t>
      </w:r>
      <w:r w:rsidRPr="00EE7128">
        <w:t xml:space="preserve">events was observed </w:t>
      </w:r>
      <w:r>
        <w:t>for</w:t>
      </w:r>
      <w:r w:rsidRPr="00EE7128">
        <w:t xml:space="preserve"> </w:t>
      </w:r>
      <w:proofErr w:type="spellStart"/>
      <w:r w:rsidRPr="00EE7128">
        <w:t>varenicline</w:t>
      </w:r>
      <w:proofErr w:type="spellEnd"/>
      <w:r w:rsidRPr="00EE7128">
        <w:t xml:space="preserve">, </w:t>
      </w:r>
      <w:r>
        <w:t>but</w:t>
      </w:r>
      <w:r w:rsidRPr="00EE7128">
        <w:t xml:space="preserve"> the results for headache and serious adverse events were no longer statistically significant in the updated re-analysis </w:t>
      </w:r>
      <w:r>
        <w:t>of</w:t>
      </w:r>
      <w:r w:rsidRPr="00EE7128">
        <w:t xml:space="preserve"> this review</w:t>
      </w:r>
      <w:r>
        <w:t xml:space="preserve"> (based on risk ratio)</w:t>
      </w:r>
      <w:r w:rsidRPr="00EE7128">
        <w:t xml:space="preserve">. There were no statistically significant differences between </w:t>
      </w:r>
      <w:proofErr w:type="spellStart"/>
      <w:r>
        <w:t>varenicline</w:t>
      </w:r>
      <w:proofErr w:type="spellEnd"/>
      <w:r>
        <w:t xml:space="preserve"> and placebo</w:t>
      </w:r>
      <w:r w:rsidRPr="00AD3824">
        <w:t xml:space="preserve"> </w:t>
      </w:r>
      <w:r w:rsidRPr="00B32A72">
        <w:t xml:space="preserve">for depression, suicidal ideation, neuropsychiatric serious adverse events and cardiac serious adverse events. This is consistent with the evidence previously considered by the PBAC, noting the updated safety data for headache and serious adverse events.  </w:t>
      </w:r>
    </w:p>
    <w:p w:rsidR="002F3376" w:rsidRDefault="00B3406A" w:rsidP="00D25738">
      <w:pPr>
        <w:pStyle w:val="ListParagraph"/>
        <w:numPr>
          <w:ilvl w:val="0"/>
          <w:numId w:val="19"/>
        </w:numPr>
        <w:ind w:left="360"/>
        <w:jc w:val="both"/>
      </w:pPr>
      <w:r w:rsidRPr="00AD3824">
        <w:t>Varenicline was shown to be superior to bupropion in terms of efficacy</w:t>
      </w:r>
      <w:r>
        <w:t xml:space="preserve">. </w:t>
      </w:r>
      <w:r w:rsidRPr="00AD3824">
        <w:t xml:space="preserve"> </w:t>
      </w:r>
      <w:r>
        <w:t>No</w:t>
      </w:r>
      <w:r w:rsidRPr="00AD3824">
        <w:t xml:space="preserve"> statistically significant differences </w:t>
      </w:r>
      <w:r>
        <w:t xml:space="preserve">were found </w:t>
      </w:r>
      <w:r w:rsidRPr="00AD3824">
        <w:t xml:space="preserve">in adverse events, psychiatric adverse events, serious adverse events and discontinuation due to adverse events between </w:t>
      </w:r>
      <w:proofErr w:type="spellStart"/>
      <w:r>
        <w:t>varenicline</w:t>
      </w:r>
      <w:proofErr w:type="spellEnd"/>
      <w:r>
        <w:t xml:space="preserve"> and bupropion</w:t>
      </w:r>
      <w:r w:rsidRPr="00AD3824">
        <w:t>. This is consistent with the evidence previously considered by the PBAC.</w:t>
      </w:r>
    </w:p>
    <w:p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615"/>
        <w:gridCol w:w="2339"/>
        <w:gridCol w:w="5062"/>
      </w:tblGrid>
      <w:tr w:rsidR="00B3406A" w:rsidRPr="00DA1A94" w:rsidTr="00A82090">
        <w:trPr>
          <w:trHeight w:val="112"/>
        </w:trPr>
        <w:tc>
          <w:tcPr>
            <w:tcW w:w="896" w:type="pct"/>
            <w:shd w:val="clear" w:color="auto" w:fill="F2F2F2" w:themeFill="background1" w:themeFillShade="F2"/>
            <w:hideMark/>
          </w:tcPr>
          <w:p w:rsidR="00B3406A" w:rsidRPr="00DA1A94" w:rsidRDefault="00B3406A" w:rsidP="001E7257">
            <w:pPr>
              <w:spacing w:after="200"/>
              <w:rPr>
                <w:szCs w:val="18"/>
              </w:rPr>
            </w:pPr>
            <w:r w:rsidRPr="00DA1A94">
              <w:rPr>
                <w:b/>
                <w:bCs/>
                <w:szCs w:val="18"/>
              </w:rPr>
              <w:t>Compar</w:t>
            </w:r>
            <w:r>
              <w:rPr>
                <w:b/>
                <w:bCs/>
                <w:szCs w:val="18"/>
              </w:rPr>
              <w:t>ison</w:t>
            </w:r>
          </w:p>
        </w:tc>
        <w:tc>
          <w:tcPr>
            <w:tcW w:w="1297" w:type="pct"/>
            <w:shd w:val="clear" w:color="auto" w:fill="F2F2F2" w:themeFill="background1" w:themeFillShade="F2"/>
            <w:hideMark/>
          </w:tcPr>
          <w:p w:rsidR="00B3406A" w:rsidRPr="0010753D" w:rsidRDefault="00B3406A" w:rsidP="001E7257">
            <w:pPr>
              <w:spacing w:after="200"/>
              <w:jc w:val="center"/>
              <w:rPr>
                <w:b/>
                <w:bCs/>
                <w:szCs w:val="18"/>
              </w:rPr>
            </w:pPr>
            <w:r w:rsidRPr="0010753D">
              <w:rPr>
                <w:b/>
                <w:bCs/>
                <w:szCs w:val="18"/>
              </w:rPr>
              <w:t>Included studies</w:t>
            </w:r>
          </w:p>
        </w:tc>
        <w:tc>
          <w:tcPr>
            <w:tcW w:w="2807" w:type="pct"/>
            <w:shd w:val="clear" w:color="auto" w:fill="F2F2F2" w:themeFill="background1" w:themeFillShade="F2"/>
            <w:hideMark/>
          </w:tcPr>
          <w:p w:rsidR="00B3406A" w:rsidRPr="00DA1A94" w:rsidRDefault="00B3406A" w:rsidP="001E7257">
            <w:pPr>
              <w:jc w:val="center"/>
              <w:rPr>
                <w:b/>
                <w:bCs/>
                <w:szCs w:val="18"/>
              </w:rPr>
            </w:pPr>
            <w:r w:rsidRPr="00DA1A94">
              <w:rPr>
                <w:b/>
                <w:bCs/>
                <w:szCs w:val="18"/>
              </w:rPr>
              <w:t>S</w:t>
            </w:r>
            <w:r>
              <w:rPr>
                <w:b/>
                <w:bCs/>
                <w:szCs w:val="18"/>
              </w:rPr>
              <w:t>ummary of evidence</w:t>
            </w:r>
          </w:p>
        </w:tc>
      </w:tr>
      <w:tr w:rsidR="00B3406A" w:rsidRPr="00DA1A94" w:rsidTr="00A82090">
        <w:trPr>
          <w:trHeight w:val="67"/>
        </w:trPr>
        <w:tc>
          <w:tcPr>
            <w:tcW w:w="5000" w:type="pct"/>
            <w:gridSpan w:val="3"/>
            <w:shd w:val="clear" w:color="auto" w:fill="F2F2F2" w:themeFill="background1" w:themeFillShade="F2"/>
            <w:hideMark/>
          </w:tcPr>
          <w:p w:rsidR="00B3406A" w:rsidRPr="00DA1A94" w:rsidRDefault="00B3406A" w:rsidP="001E7257">
            <w:pPr>
              <w:rPr>
                <w:b/>
                <w:bCs/>
                <w:szCs w:val="18"/>
              </w:rPr>
            </w:pPr>
            <w:r w:rsidRPr="00DA1A94">
              <w:rPr>
                <w:b/>
                <w:bCs/>
                <w:szCs w:val="18"/>
              </w:rPr>
              <w:t>Treatment-naïve population</w:t>
            </w:r>
          </w:p>
        </w:tc>
      </w:tr>
      <w:tr w:rsidR="00B3406A" w:rsidRPr="00DA1A94" w:rsidTr="00A82090">
        <w:trPr>
          <w:trHeight w:val="2267"/>
        </w:trPr>
        <w:tc>
          <w:tcPr>
            <w:tcW w:w="896" w:type="pct"/>
            <w:shd w:val="clear" w:color="auto" w:fill="F2F2F2" w:themeFill="background1" w:themeFillShade="F2"/>
            <w:hideMark/>
          </w:tcPr>
          <w:p w:rsidR="00B3406A" w:rsidRPr="0010753D" w:rsidRDefault="00B3406A" w:rsidP="001E7257">
            <w:pPr>
              <w:spacing w:after="200"/>
              <w:rPr>
                <w:szCs w:val="18"/>
              </w:rPr>
            </w:pPr>
            <w:r w:rsidRPr="0010753D">
              <w:rPr>
                <w:szCs w:val="18"/>
              </w:rPr>
              <w:t xml:space="preserve">Varenicline vs </w:t>
            </w:r>
            <w:r>
              <w:rPr>
                <w:szCs w:val="18"/>
              </w:rPr>
              <w:t>p</w:t>
            </w:r>
            <w:r w:rsidRPr="0010753D">
              <w:rPr>
                <w:szCs w:val="18"/>
              </w:rPr>
              <w:t>lacebo</w:t>
            </w:r>
          </w:p>
        </w:tc>
        <w:tc>
          <w:tcPr>
            <w:tcW w:w="1297" w:type="pct"/>
            <w:shd w:val="clear" w:color="auto" w:fill="F2F2F2" w:themeFill="background1" w:themeFillShade="F2"/>
            <w:hideMark/>
          </w:tcPr>
          <w:p w:rsidR="00B3406A" w:rsidRPr="00E320E0" w:rsidRDefault="00B3406A" w:rsidP="00815A6D">
            <w:pPr>
              <w:pStyle w:val="ListParagraph"/>
              <w:numPr>
                <w:ilvl w:val="0"/>
                <w:numId w:val="36"/>
              </w:numPr>
              <w:rPr>
                <w:szCs w:val="18"/>
              </w:rPr>
            </w:pPr>
            <w:r w:rsidRPr="00166FDD">
              <w:rPr>
                <w:szCs w:val="18"/>
              </w:rPr>
              <w:t>Cahill</w:t>
            </w:r>
            <w:r>
              <w:rPr>
                <w:szCs w:val="18"/>
              </w:rPr>
              <w:t xml:space="preserve"> </w:t>
            </w:r>
            <w:r w:rsidRPr="00846CB6">
              <w:rPr>
                <w:szCs w:val="18"/>
              </w:rPr>
              <w:t>(2016)</w:t>
            </w:r>
            <w:r w:rsidRPr="00E320E0">
              <w:rPr>
                <w:szCs w:val="18"/>
                <w:vertAlign w:val="superscript"/>
              </w:rPr>
              <w:t>1</w:t>
            </w:r>
          </w:p>
          <w:p w:rsidR="00B3406A" w:rsidRPr="00166FDD" w:rsidRDefault="00B3406A" w:rsidP="00815A6D">
            <w:pPr>
              <w:pStyle w:val="ListParagraph"/>
              <w:numPr>
                <w:ilvl w:val="0"/>
                <w:numId w:val="36"/>
              </w:numPr>
              <w:rPr>
                <w:szCs w:val="18"/>
              </w:rPr>
            </w:pPr>
            <w:proofErr w:type="spellStart"/>
            <w:r w:rsidRPr="00166FDD">
              <w:rPr>
                <w:rFonts w:eastAsia="MS Mincho"/>
              </w:rPr>
              <w:t>Lerman</w:t>
            </w:r>
            <w:proofErr w:type="spellEnd"/>
            <w:r w:rsidRPr="00166FDD">
              <w:rPr>
                <w:rFonts w:eastAsia="MS Mincho"/>
              </w:rPr>
              <w:t xml:space="preserve"> (2015)</w:t>
            </w:r>
            <w:r w:rsidRPr="00166FDD">
              <w:rPr>
                <w:rFonts w:eastAsia="MS Mincho"/>
                <w:vertAlign w:val="superscript"/>
              </w:rPr>
              <w:t>2</w:t>
            </w:r>
          </w:p>
          <w:p w:rsidR="00B3406A" w:rsidRPr="00166FDD" w:rsidRDefault="00B3406A" w:rsidP="00815A6D">
            <w:pPr>
              <w:pStyle w:val="ListParagraph"/>
              <w:numPr>
                <w:ilvl w:val="0"/>
                <w:numId w:val="36"/>
              </w:numPr>
              <w:rPr>
                <w:szCs w:val="18"/>
              </w:rPr>
            </w:pPr>
            <w:proofErr w:type="spellStart"/>
            <w:r w:rsidRPr="00166FDD">
              <w:rPr>
                <w:rFonts w:eastAsia="MS Mincho"/>
              </w:rPr>
              <w:t>Littlewood</w:t>
            </w:r>
            <w:proofErr w:type="spellEnd"/>
            <w:r w:rsidRPr="00166FDD">
              <w:rPr>
                <w:rFonts w:eastAsia="MS Mincho"/>
              </w:rPr>
              <w:t xml:space="preserve"> (2017)</w:t>
            </w:r>
            <w:r w:rsidRPr="00746010">
              <w:rPr>
                <w:rFonts w:eastAsia="MS Mincho"/>
                <w:vertAlign w:val="superscript"/>
              </w:rPr>
              <w:t>2</w:t>
            </w:r>
          </w:p>
          <w:p w:rsidR="00B3406A" w:rsidRPr="00166FDD" w:rsidRDefault="00B3406A" w:rsidP="00815A6D">
            <w:pPr>
              <w:pStyle w:val="ListParagraph"/>
              <w:numPr>
                <w:ilvl w:val="0"/>
                <w:numId w:val="36"/>
              </w:numPr>
              <w:rPr>
                <w:szCs w:val="18"/>
              </w:rPr>
            </w:pPr>
            <w:proofErr w:type="spellStart"/>
            <w:r w:rsidRPr="00166FDD">
              <w:rPr>
                <w:rFonts w:eastAsia="MS Mincho"/>
              </w:rPr>
              <w:t>Benowitz</w:t>
            </w:r>
            <w:proofErr w:type="spellEnd"/>
            <w:r w:rsidRPr="00166FDD">
              <w:rPr>
                <w:rFonts w:eastAsia="MS Mincho"/>
              </w:rPr>
              <w:t xml:space="preserve"> (2018)</w:t>
            </w:r>
            <w:r w:rsidRPr="00746010">
              <w:rPr>
                <w:rFonts w:eastAsia="MS Mincho"/>
                <w:vertAlign w:val="superscript"/>
              </w:rPr>
              <w:t>2</w:t>
            </w:r>
          </w:p>
          <w:p w:rsidR="00B3406A" w:rsidRPr="00166FDD" w:rsidRDefault="00B3406A" w:rsidP="00815A6D">
            <w:pPr>
              <w:pStyle w:val="ListParagraph"/>
              <w:numPr>
                <w:ilvl w:val="0"/>
                <w:numId w:val="36"/>
              </w:numPr>
              <w:rPr>
                <w:szCs w:val="18"/>
              </w:rPr>
            </w:pPr>
            <w:r w:rsidRPr="00166FDD">
              <w:rPr>
                <w:rFonts w:eastAsia="MS Mincho"/>
              </w:rPr>
              <w:t>Hurt (2018)</w:t>
            </w:r>
            <w:r w:rsidRPr="00746010">
              <w:rPr>
                <w:rFonts w:eastAsia="MS Mincho"/>
                <w:vertAlign w:val="superscript"/>
              </w:rPr>
              <w:t>2</w:t>
            </w:r>
          </w:p>
          <w:p w:rsidR="00B3406A" w:rsidRPr="00166FDD" w:rsidRDefault="00B3406A" w:rsidP="00815A6D">
            <w:pPr>
              <w:pStyle w:val="ListParagraph"/>
              <w:numPr>
                <w:ilvl w:val="0"/>
                <w:numId w:val="36"/>
              </w:numPr>
              <w:rPr>
                <w:szCs w:val="18"/>
              </w:rPr>
            </w:pPr>
            <w:proofErr w:type="spellStart"/>
            <w:r w:rsidRPr="00166FDD">
              <w:rPr>
                <w:rFonts w:eastAsia="MS Mincho"/>
              </w:rPr>
              <w:t>Mercie</w:t>
            </w:r>
            <w:proofErr w:type="spellEnd"/>
            <w:r w:rsidRPr="00166FDD">
              <w:rPr>
                <w:rFonts w:eastAsia="MS Mincho"/>
              </w:rPr>
              <w:t xml:space="preserve"> (2018)</w:t>
            </w:r>
            <w:r w:rsidRPr="00746010">
              <w:rPr>
                <w:rFonts w:eastAsia="MS Mincho"/>
                <w:vertAlign w:val="superscript"/>
              </w:rPr>
              <w:t>2</w:t>
            </w:r>
          </w:p>
          <w:p w:rsidR="00B3406A" w:rsidRPr="00166FDD" w:rsidRDefault="00B3406A" w:rsidP="00815A6D">
            <w:pPr>
              <w:pStyle w:val="ListParagraph"/>
              <w:numPr>
                <w:ilvl w:val="0"/>
                <w:numId w:val="36"/>
              </w:numPr>
              <w:rPr>
                <w:szCs w:val="18"/>
              </w:rPr>
            </w:pPr>
            <w:proofErr w:type="spellStart"/>
            <w:r w:rsidRPr="00166FDD">
              <w:rPr>
                <w:rFonts w:eastAsia="MS Mincho"/>
              </w:rPr>
              <w:t>Windle</w:t>
            </w:r>
            <w:proofErr w:type="spellEnd"/>
            <w:r w:rsidRPr="00166FDD">
              <w:rPr>
                <w:rFonts w:eastAsia="MS Mincho"/>
              </w:rPr>
              <w:t xml:space="preserve"> (2018)</w:t>
            </w:r>
            <w:r w:rsidRPr="00746010">
              <w:rPr>
                <w:rFonts w:eastAsia="MS Mincho"/>
                <w:vertAlign w:val="superscript"/>
              </w:rPr>
              <w:t>2</w:t>
            </w:r>
          </w:p>
          <w:p w:rsidR="00B3406A" w:rsidRPr="00166FDD" w:rsidRDefault="00B3406A" w:rsidP="00815A6D">
            <w:pPr>
              <w:pStyle w:val="ListParagraph"/>
              <w:numPr>
                <w:ilvl w:val="0"/>
                <w:numId w:val="36"/>
              </w:numPr>
              <w:rPr>
                <w:szCs w:val="18"/>
              </w:rPr>
            </w:pPr>
            <w:proofErr w:type="spellStart"/>
            <w:r w:rsidRPr="00166FDD">
              <w:rPr>
                <w:rFonts w:eastAsia="MS Mincho"/>
              </w:rPr>
              <w:t>Ashare</w:t>
            </w:r>
            <w:proofErr w:type="spellEnd"/>
            <w:r w:rsidRPr="00166FDD">
              <w:rPr>
                <w:rFonts w:eastAsia="MS Mincho"/>
              </w:rPr>
              <w:t xml:space="preserve"> (2019)</w:t>
            </w:r>
            <w:r w:rsidRPr="00746010">
              <w:rPr>
                <w:rFonts w:eastAsia="MS Mincho"/>
                <w:vertAlign w:val="superscript"/>
              </w:rPr>
              <w:t>2</w:t>
            </w:r>
          </w:p>
          <w:p w:rsidR="00B3406A" w:rsidRPr="00DA1A94" w:rsidRDefault="00B3406A" w:rsidP="00815A6D">
            <w:pPr>
              <w:pStyle w:val="ListParagraph"/>
              <w:numPr>
                <w:ilvl w:val="0"/>
                <w:numId w:val="36"/>
              </w:numPr>
              <w:rPr>
                <w:szCs w:val="18"/>
              </w:rPr>
            </w:pPr>
            <w:r w:rsidRPr="00166FDD">
              <w:rPr>
                <w:rFonts w:eastAsia="MS Mincho"/>
              </w:rPr>
              <w:t>Chen (2020)</w:t>
            </w:r>
            <w:r w:rsidRPr="00746010">
              <w:rPr>
                <w:rFonts w:eastAsia="MS Mincho"/>
                <w:vertAlign w:val="superscript"/>
              </w:rPr>
              <w:t>2</w:t>
            </w:r>
          </w:p>
        </w:tc>
        <w:tc>
          <w:tcPr>
            <w:tcW w:w="2807" w:type="pct"/>
            <w:shd w:val="clear" w:color="auto" w:fill="F2F2F2" w:themeFill="background1" w:themeFillShade="F2"/>
            <w:hideMark/>
          </w:tcPr>
          <w:p w:rsidR="00B3406A" w:rsidRPr="0010753D" w:rsidRDefault="00B3406A" w:rsidP="00815A6D">
            <w:pPr>
              <w:pStyle w:val="ListParagraph"/>
              <w:numPr>
                <w:ilvl w:val="0"/>
                <w:numId w:val="36"/>
              </w:numPr>
              <w:rPr>
                <w:szCs w:val="18"/>
              </w:rPr>
            </w:pPr>
            <w:r w:rsidRPr="0010753D">
              <w:rPr>
                <w:szCs w:val="18"/>
                <w:u w:val="single"/>
              </w:rPr>
              <w:t>Efficacy:</w:t>
            </w:r>
            <w:r w:rsidRPr="0010753D">
              <w:rPr>
                <w:szCs w:val="18"/>
              </w:rPr>
              <w:t xml:space="preserve"> Statistically significant </w:t>
            </w:r>
            <w:r>
              <w:rPr>
                <w:szCs w:val="18"/>
              </w:rPr>
              <w:t xml:space="preserve">based on RR and RD </w:t>
            </w:r>
            <w:r w:rsidRPr="0010753D">
              <w:rPr>
                <w:szCs w:val="18"/>
              </w:rPr>
              <w:t xml:space="preserve">(in favour of </w:t>
            </w:r>
            <w:proofErr w:type="spellStart"/>
            <w:r w:rsidRPr="0010753D">
              <w:rPr>
                <w:szCs w:val="18"/>
              </w:rPr>
              <w:t>varenicline</w:t>
            </w:r>
            <w:proofErr w:type="spellEnd"/>
            <w:r w:rsidRPr="0010753D">
              <w:rPr>
                <w:szCs w:val="18"/>
              </w:rPr>
              <w:t>)</w:t>
            </w:r>
            <w:r>
              <w:rPr>
                <w:szCs w:val="18"/>
              </w:rPr>
              <w:t>.</w:t>
            </w:r>
          </w:p>
          <w:p w:rsidR="00B3406A" w:rsidRPr="00846CB6" w:rsidRDefault="00B3406A" w:rsidP="001E7257">
            <w:pPr>
              <w:pStyle w:val="ListParagraph"/>
              <w:ind w:left="360"/>
              <w:rPr>
                <w:szCs w:val="18"/>
              </w:rPr>
            </w:pPr>
            <w:r w:rsidRPr="0010753D">
              <w:rPr>
                <w:szCs w:val="18"/>
                <w:u w:val="single"/>
              </w:rPr>
              <w:t>Safety:</w:t>
            </w:r>
            <w:r w:rsidRPr="0010753D">
              <w:rPr>
                <w:szCs w:val="18"/>
              </w:rPr>
              <w:t xml:space="preserve"> Statistically significant </w:t>
            </w:r>
            <w:r>
              <w:rPr>
                <w:szCs w:val="18"/>
              </w:rPr>
              <w:t>based on RR and RD</w:t>
            </w:r>
            <w:r w:rsidRPr="0010753D">
              <w:rPr>
                <w:szCs w:val="18"/>
              </w:rPr>
              <w:t xml:space="preserve"> (nausea, insomnia, abnormal dreams; higher in </w:t>
            </w:r>
            <w:proofErr w:type="spellStart"/>
            <w:r w:rsidRPr="0010753D">
              <w:rPr>
                <w:szCs w:val="18"/>
              </w:rPr>
              <w:t>varenicline</w:t>
            </w:r>
            <w:proofErr w:type="spellEnd"/>
            <w:r w:rsidRPr="0010753D">
              <w:rPr>
                <w:szCs w:val="18"/>
              </w:rPr>
              <w:t>)</w:t>
            </w:r>
            <w:r>
              <w:rPr>
                <w:szCs w:val="18"/>
              </w:rPr>
              <w:t xml:space="preserve">; </w:t>
            </w:r>
            <w:r w:rsidRPr="00846CB6">
              <w:rPr>
                <w:szCs w:val="18"/>
              </w:rPr>
              <w:t xml:space="preserve">Not statistically significant based on RR </w:t>
            </w:r>
            <w:r w:rsidRPr="00E320E0">
              <w:rPr>
                <w:szCs w:val="18"/>
              </w:rPr>
              <w:t>(</w:t>
            </w:r>
            <w:r>
              <w:rPr>
                <w:szCs w:val="18"/>
              </w:rPr>
              <w:t>d</w:t>
            </w:r>
            <w:r w:rsidRPr="00846CB6">
              <w:rPr>
                <w:szCs w:val="18"/>
              </w:rPr>
              <w:t>epression, suicidal ideation, serious AEs incl</w:t>
            </w:r>
            <w:r>
              <w:rPr>
                <w:szCs w:val="18"/>
              </w:rPr>
              <w:t xml:space="preserve">uding </w:t>
            </w:r>
            <w:r w:rsidRPr="00846CB6">
              <w:rPr>
                <w:szCs w:val="18"/>
              </w:rPr>
              <w:t>neuropsychiatric and cardiac)</w:t>
            </w:r>
            <w:r>
              <w:rPr>
                <w:szCs w:val="18"/>
              </w:rPr>
              <w:t xml:space="preserve">, </w:t>
            </w:r>
            <w:r>
              <w:t>but significant based on RD (headache).</w:t>
            </w:r>
            <w:r w:rsidRPr="00E320E0">
              <w:rPr>
                <w:szCs w:val="18"/>
              </w:rPr>
              <w:t xml:space="preserve"> </w:t>
            </w:r>
          </w:p>
        </w:tc>
      </w:tr>
      <w:tr w:rsidR="00B3406A" w:rsidRPr="0010753D" w:rsidTr="00A82090">
        <w:trPr>
          <w:trHeight w:val="851"/>
        </w:trPr>
        <w:tc>
          <w:tcPr>
            <w:tcW w:w="896" w:type="pct"/>
            <w:shd w:val="clear" w:color="auto" w:fill="F2F2F2" w:themeFill="background1" w:themeFillShade="F2"/>
            <w:hideMark/>
          </w:tcPr>
          <w:p w:rsidR="00B3406A" w:rsidRPr="0010753D" w:rsidRDefault="00B3406A" w:rsidP="001E7257">
            <w:pPr>
              <w:spacing w:after="200"/>
              <w:rPr>
                <w:szCs w:val="18"/>
              </w:rPr>
            </w:pPr>
            <w:r w:rsidRPr="0010753D">
              <w:rPr>
                <w:szCs w:val="18"/>
              </w:rPr>
              <w:t xml:space="preserve">Varenicline vs </w:t>
            </w:r>
            <w:r>
              <w:rPr>
                <w:szCs w:val="18"/>
              </w:rPr>
              <w:t>b</w:t>
            </w:r>
            <w:r w:rsidRPr="0010753D">
              <w:rPr>
                <w:szCs w:val="18"/>
              </w:rPr>
              <w:t>upropion</w:t>
            </w:r>
          </w:p>
        </w:tc>
        <w:tc>
          <w:tcPr>
            <w:tcW w:w="1297" w:type="pct"/>
            <w:shd w:val="clear" w:color="auto" w:fill="F2F2F2" w:themeFill="background1" w:themeFillShade="F2"/>
            <w:hideMark/>
          </w:tcPr>
          <w:p w:rsidR="00B3406A" w:rsidRPr="00C30A65" w:rsidRDefault="00B3406A" w:rsidP="00815A6D">
            <w:pPr>
              <w:pStyle w:val="ListParagraph"/>
              <w:numPr>
                <w:ilvl w:val="0"/>
                <w:numId w:val="35"/>
              </w:numPr>
              <w:rPr>
                <w:szCs w:val="18"/>
              </w:rPr>
            </w:pPr>
            <w:proofErr w:type="spellStart"/>
            <w:r w:rsidRPr="003F5807">
              <w:rPr>
                <w:szCs w:val="18"/>
              </w:rPr>
              <w:t>Howes</w:t>
            </w:r>
            <w:proofErr w:type="spellEnd"/>
            <w:r w:rsidRPr="003F5807">
              <w:rPr>
                <w:szCs w:val="18"/>
              </w:rPr>
              <w:t xml:space="preserve"> (2020)</w:t>
            </w:r>
            <w:r w:rsidRPr="00C30A65">
              <w:rPr>
                <w:szCs w:val="18"/>
                <w:vertAlign w:val="superscript"/>
              </w:rPr>
              <w:t>1</w:t>
            </w:r>
          </w:p>
          <w:p w:rsidR="00B3406A" w:rsidRPr="00DA1A94" w:rsidRDefault="00B3406A" w:rsidP="00815A6D">
            <w:pPr>
              <w:pStyle w:val="ListParagraph"/>
              <w:numPr>
                <w:ilvl w:val="0"/>
                <w:numId w:val="35"/>
              </w:numPr>
              <w:rPr>
                <w:szCs w:val="18"/>
              </w:rPr>
            </w:pPr>
            <w:proofErr w:type="spellStart"/>
            <w:r w:rsidRPr="00A17F4F">
              <w:rPr>
                <w:rFonts w:eastAsia="MS Mincho"/>
              </w:rPr>
              <w:t>Benowitz</w:t>
            </w:r>
            <w:proofErr w:type="spellEnd"/>
            <w:r w:rsidRPr="00A17F4F">
              <w:rPr>
                <w:rFonts w:eastAsia="MS Mincho"/>
              </w:rPr>
              <w:t xml:space="preserve"> (2018)</w:t>
            </w:r>
            <w:r w:rsidRPr="00A17F4F">
              <w:rPr>
                <w:rFonts w:eastAsia="MS Mincho"/>
                <w:vertAlign w:val="superscript"/>
              </w:rPr>
              <w:t>2</w:t>
            </w:r>
          </w:p>
        </w:tc>
        <w:tc>
          <w:tcPr>
            <w:tcW w:w="2807" w:type="pct"/>
            <w:shd w:val="clear" w:color="auto" w:fill="F2F2F2" w:themeFill="background1" w:themeFillShade="F2"/>
            <w:hideMark/>
          </w:tcPr>
          <w:p w:rsidR="00B3406A" w:rsidRPr="0010753D" w:rsidRDefault="00B3406A" w:rsidP="00815A6D">
            <w:pPr>
              <w:pStyle w:val="ListParagraph"/>
              <w:numPr>
                <w:ilvl w:val="0"/>
                <w:numId w:val="38"/>
              </w:numPr>
              <w:rPr>
                <w:szCs w:val="18"/>
              </w:rPr>
            </w:pPr>
            <w:r w:rsidRPr="0010753D">
              <w:rPr>
                <w:szCs w:val="18"/>
                <w:u w:val="single"/>
              </w:rPr>
              <w:t>Efficacy:</w:t>
            </w:r>
            <w:r w:rsidRPr="0010753D">
              <w:rPr>
                <w:szCs w:val="18"/>
              </w:rPr>
              <w:t xml:space="preserve"> Statistically significant </w:t>
            </w:r>
            <w:r>
              <w:rPr>
                <w:szCs w:val="18"/>
              </w:rPr>
              <w:t>based on RR and RD</w:t>
            </w:r>
            <w:r w:rsidRPr="00DA1A94">
              <w:rPr>
                <w:szCs w:val="18"/>
              </w:rPr>
              <w:t xml:space="preserve"> </w:t>
            </w:r>
            <w:r w:rsidRPr="0010753D">
              <w:rPr>
                <w:szCs w:val="18"/>
              </w:rPr>
              <w:t xml:space="preserve">(in favour of </w:t>
            </w:r>
            <w:proofErr w:type="spellStart"/>
            <w:r w:rsidRPr="0010753D">
              <w:rPr>
                <w:szCs w:val="18"/>
              </w:rPr>
              <w:t>varenicline</w:t>
            </w:r>
            <w:proofErr w:type="spellEnd"/>
            <w:r w:rsidRPr="0010753D">
              <w:rPr>
                <w:szCs w:val="18"/>
              </w:rPr>
              <w:t>)</w:t>
            </w:r>
            <w:r>
              <w:rPr>
                <w:szCs w:val="18"/>
              </w:rPr>
              <w:t>.</w:t>
            </w:r>
          </w:p>
          <w:p w:rsidR="00B3406A" w:rsidRPr="0010753D" w:rsidRDefault="00B3406A" w:rsidP="00815A6D">
            <w:pPr>
              <w:pStyle w:val="ListParagraph"/>
              <w:numPr>
                <w:ilvl w:val="0"/>
                <w:numId w:val="38"/>
              </w:numPr>
              <w:rPr>
                <w:szCs w:val="18"/>
              </w:rPr>
            </w:pPr>
            <w:r w:rsidRPr="0010753D">
              <w:rPr>
                <w:szCs w:val="18"/>
                <w:u w:val="single"/>
              </w:rPr>
              <w:t xml:space="preserve">Safety: </w:t>
            </w:r>
            <w:r w:rsidRPr="0010753D">
              <w:rPr>
                <w:szCs w:val="18"/>
              </w:rPr>
              <w:t xml:space="preserve">Not statistically significant </w:t>
            </w:r>
            <w:r>
              <w:rPr>
                <w:szCs w:val="18"/>
              </w:rPr>
              <w:t>based on RR and RD</w:t>
            </w:r>
            <w:r w:rsidRPr="00DA1A94">
              <w:rPr>
                <w:szCs w:val="18"/>
              </w:rPr>
              <w:t xml:space="preserve"> </w:t>
            </w:r>
            <w:r w:rsidRPr="0010753D">
              <w:rPr>
                <w:szCs w:val="18"/>
              </w:rPr>
              <w:t>(any AEs, psychiatric AEs, SAEs, discontinuation due to AEs)</w:t>
            </w:r>
            <w:r>
              <w:rPr>
                <w:szCs w:val="18"/>
              </w:rPr>
              <w:t>.</w:t>
            </w:r>
            <w:r w:rsidRPr="0010753D">
              <w:rPr>
                <w:szCs w:val="18"/>
              </w:rPr>
              <w:t> </w:t>
            </w:r>
          </w:p>
        </w:tc>
      </w:tr>
    </w:tbl>
    <w:p w:rsidR="00B3406A" w:rsidRDefault="00B3406A" w:rsidP="001E7257">
      <w:pPr>
        <w:pStyle w:val="TableFooter"/>
        <w:keepNext/>
      </w:pPr>
      <w:r>
        <w:t>Abbreviations: AEs = adverse events;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1 Cochrane Review</w:t>
      </w:r>
      <w:r>
        <w:t>.</w:t>
      </w:r>
    </w:p>
    <w:p w:rsidR="00B3406A" w:rsidRPr="005410D6" w:rsidRDefault="00B3406A" w:rsidP="001E7257">
      <w:pPr>
        <w:pStyle w:val="TableFooter"/>
        <w:keepNext/>
      </w:pPr>
      <w:r>
        <w:t>2 Supplemental evidence (RCT).</w:t>
      </w:r>
    </w:p>
    <w:p w:rsidR="00B3406A" w:rsidRPr="00356EA8" w:rsidRDefault="00B3406A" w:rsidP="001E7257">
      <w:r w:rsidRPr="00356EA8">
        <w:t xml:space="preserve">Treatment-experienced population </w:t>
      </w:r>
    </w:p>
    <w:p w:rsidR="00B3406A" w:rsidRDefault="00B3406A" w:rsidP="00D25738">
      <w:pPr>
        <w:pStyle w:val="ListParagraph"/>
        <w:numPr>
          <w:ilvl w:val="0"/>
          <w:numId w:val="20"/>
        </w:numPr>
        <w:ind w:left="360"/>
        <w:jc w:val="both"/>
      </w:pPr>
      <w:r>
        <w:t>V</w:t>
      </w:r>
      <w:r w:rsidRPr="00356EA8">
        <w:t xml:space="preserve">arenicline was shown to provide a statistically significant improvement in </w:t>
      </w:r>
      <w:r>
        <w:t>efficacy</w:t>
      </w:r>
      <w:r w:rsidRPr="00356EA8">
        <w:t xml:space="preserve"> compared with placebo as a relapse prevention treatment in abstainers. This is </w:t>
      </w:r>
      <w:r>
        <w:t xml:space="preserve">largely based on and thus is </w:t>
      </w:r>
      <w:r w:rsidRPr="00356EA8">
        <w:t>consistent with the evidence previously considered by the PBAC</w:t>
      </w:r>
      <w:r>
        <w:t xml:space="preserve">. </w:t>
      </w:r>
      <w:r w:rsidRPr="004D1CE1">
        <w:t xml:space="preserve">The </w:t>
      </w:r>
      <w:r>
        <w:t xml:space="preserve">adverse events reported were consistent with those expected of </w:t>
      </w:r>
      <w:proofErr w:type="spellStart"/>
      <w:r>
        <w:t>varenicline</w:t>
      </w:r>
      <w:proofErr w:type="spellEnd"/>
      <w:r>
        <w:t>.</w:t>
      </w:r>
    </w:p>
    <w:p w:rsidR="002F3376" w:rsidRDefault="00B3406A" w:rsidP="00D25738">
      <w:pPr>
        <w:pStyle w:val="ListParagraph"/>
        <w:numPr>
          <w:ilvl w:val="0"/>
          <w:numId w:val="20"/>
        </w:numPr>
        <w:ind w:left="360"/>
        <w:jc w:val="both"/>
      </w:pPr>
      <w:r w:rsidRPr="00356EA8">
        <w:t xml:space="preserve">Varenicline was shown </w:t>
      </w:r>
      <w:r>
        <w:t>to</w:t>
      </w:r>
      <w:r w:rsidRPr="00356EA8">
        <w:t xml:space="preserve"> be superior to placebo in terms of efficacy as retreatment in non-abstainers.</w:t>
      </w:r>
      <w:r>
        <w:t xml:space="preserve"> </w:t>
      </w:r>
      <w:r w:rsidRPr="00356EA8">
        <w:t xml:space="preserve">A significantly higher proportion of patients in the </w:t>
      </w:r>
      <w:proofErr w:type="spellStart"/>
      <w:r w:rsidRPr="00356EA8">
        <w:t>varenicline</w:t>
      </w:r>
      <w:proofErr w:type="spellEnd"/>
      <w:r w:rsidRPr="00356EA8">
        <w:t xml:space="preserve"> arm experienced nausea and abnormal dreams compared to patients in the placebo arm, while there were no statistically significant differences between the two treatment arms for insomnia, headache, depression, serious adverse events and cardiac serious adverse events</w:t>
      </w:r>
      <w:r>
        <w:t>.</w:t>
      </w:r>
      <w:r w:rsidRPr="00356EA8">
        <w:t xml:space="preserve"> This is consistent with the evidence previously considered by the PBAC. It was noted the one </w:t>
      </w:r>
      <w:r>
        <w:t>study</w:t>
      </w:r>
      <w:r w:rsidRPr="00356EA8">
        <w:t xml:space="preserve"> </w:t>
      </w:r>
      <w:r>
        <w:t>identified</w:t>
      </w:r>
      <w:r w:rsidRPr="00356EA8">
        <w:t xml:space="preserve"> required patients to have had previously taken </w:t>
      </w:r>
      <w:proofErr w:type="spellStart"/>
      <w:r w:rsidRPr="00356EA8">
        <w:t>varenicline</w:t>
      </w:r>
      <w:proofErr w:type="spellEnd"/>
      <w:r w:rsidRPr="00356EA8">
        <w:t xml:space="preserve"> for two or more weeks, with the last dose taken ≥3 months before screening.</w:t>
      </w:r>
    </w:p>
    <w:p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616"/>
        <w:gridCol w:w="2699"/>
        <w:gridCol w:w="4701"/>
      </w:tblGrid>
      <w:tr w:rsidR="00B3406A" w:rsidRPr="00DA1A94" w:rsidTr="00A82090">
        <w:trPr>
          <w:trHeight w:val="112"/>
        </w:trPr>
        <w:tc>
          <w:tcPr>
            <w:tcW w:w="896" w:type="pct"/>
            <w:shd w:val="clear" w:color="auto" w:fill="F2F2F2" w:themeFill="background1" w:themeFillShade="F2"/>
            <w:hideMark/>
          </w:tcPr>
          <w:p w:rsidR="00B3406A" w:rsidRPr="00DA1A94" w:rsidRDefault="00B3406A" w:rsidP="001E7257">
            <w:pPr>
              <w:spacing w:after="200"/>
              <w:rPr>
                <w:szCs w:val="18"/>
              </w:rPr>
            </w:pPr>
            <w:r w:rsidRPr="00DA1A94">
              <w:rPr>
                <w:b/>
                <w:bCs/>
                <w:szCs w:val="18"/>
              </w:rPr>
              <w:t>Compar</w:t>
            </w:r>
            <w:r>
              <w:rPr>
                <w:b/>
                <w:bCs/>
                <w:szCs w:val="18"/>
              </w:rPr>
              <w:t>ison</w:t>
            </w:r>
          </w:p>
        </w:tc>
        <w:tc>
          <w:tcPr>
            <w:tcW w:w="1497" w:type="pct"/>
            <w:shd w:val="clear" w:color="auto" w:fill="F2F2F2" w:themeFill="background1" w:themeFillShade="F2"/>
            <w:hideMark/>
          </w:tcPr>
          <w:p w:rsidR="00B3406A" w:rsidRPr="0010753D" w:rsidRDefault="00B3406A" w:rsidP="001E7257">
            <w:pPr>
              <w:spacing w:after="200"/>
              <w:jc w:val="center"/>
              <w:rPr>
                <w:b/>
                <w:bCs/>
                <w:szCs w:val="18"/>
              </w:rPr>
            </w:pPr>
            <w:r w:rsidRPr="0010753D">
              <w:rPr>
                <w:b/>
                <w:bCs/>
                <w:szCs w:val="18"/>
              </w:rPr>
              <w:t>Included studies</w:t>
            </w:r>
          </w:p>
        </w:tc>
        <w:tc>
          <w:tcPr>
            <w:tcW w:w="2607" w:type="pct"/>
            <w:shd w:val="clear" w:color="auto" w:fill="F2F2F2" w:themeFill="background1" w:themeFillShade="F2"/>
            <w:hideMark/>
          </w:tcPr>
          <w:p w:rsidR="00B3406A" w:rsidRPr="00DA1A94" w:rsidRDefault="00B3406A" w:rsidP="001E7257">
            <w:pPr>
              <w:jc w:val="center"/>
              <w:rPr>
                <w:b/>
                <w:bCs/>
                <w:szCs w:val="18"/>
              </w:rPr>
            </w:pPr>
            <w:r w:rsidRPr="00DA1A94">
              <w:rPr>
                <w:b/>
                <w:bCs/>
                <w:szCs w:val="18"/>
              </w:rPr>
              <w:t>S</w:t>
            </w:r>
            <w:r>
              <w:rPr>
                <w:b/>
                <w:bCs/>
                <w:szCs w:val="18"/>
              </w:rPr>
              <w:t>ummary of evidence</w:t>
            </w:r>
          </w:p>
        </w:tc>
      </w:tr>
      <w:tr w:rsidR="00B3406A" w:rsidRPr="00DA1A94" w:rsidTr="00A82090">
        <w:trPr>
          <w:trHeight w:val="67"/>
        </w:trPr>
        <w:tc>
          <w:tcPr>
            <w:tcW w:w="5000" w:type="pct"/>
            <w:gridSpan w:val="3"/>
            <w:shd w:val="clear" w:color="auto" w:fill="F2F2F2" w:themeFill="background1" w:themeFillShade="F2"/>
            <w:hideMark/>
          </w:tcPr>
          <w:p w:rsidR="00B3406A" w:rsidRPr="00DA1A94" w:rsidRDefault="00B3406A" w:rsidP="001E7257">
            <w:pPr>
              <w:rPr>
                <w:b/>
                <w:bCs/>
                <w:szCs w:val="18"/>
              </w:rPr>
            </w:pPr>
            <w:r w:rsidRPr="00DA1A94">
              <w:rPr>
                <w:b/>
                <w:bCs/>
                <w:szCs w:val="18"/>
              </w:rPr>
              <w:t>Treatment-experienced population (relapse prevention treatment in abstainers)</w:t>
            </w:r>
          </w:p>
        </w:tc>
      </w:tr>
      <w:tr w:rsidR="00B3406A" w:rsidRPr="00DA1A94" w:rsidTr="00A82090">
        <w:trPr>
          <w:trHeight w:val="1464"/>
        </w:trPr>
        <w:tc>
          <w:tcPr>
            <w:tcW w:w="896" w:type="pct"/>
            <w:shd w:val="clear" w:color="auto" w:fill="F2F2F2" w:themeFill="background1" w:themeFillShade="F2"/>
            <w:hideMark/>
          </w:tcPr>
          <w:p w:rsidR="00B3406A" w:rsidRPr="0010753D" w:rsidRDefault="00B3406A" w:rsidP="001E7257">
            <w:pPr>
              <w:spacing w:after="200"/>
              <w:rPr>
                <w:szCs w:val="18"/>
              </w:rPr>
            </w:pPr>
            <w:r w:rsidRPr="0010753D">
              <w:rPr>
                <w:szCs w:val="18"/>
              </w:rPr>
              <w:t xml:space="preserve">Varenicline vs </w:t>
            </w:r>
            <w:r>
              <w:rPr>
                <w:szCs w:val="18"/>
              </w:rPr>
              <w:t>p</w:t>
            </w:r>
            <w:r w:rsidRPr="0010753D">
              <w:rPr>
                <w:rFonts w:eastAsia="Calibri"/>
                <w:szCs w:val="18"/>
              </w:rPr>
              <w:t>lacebo</w:t>
            </w:r>
          </w:p>
        </w:tc>
        <w:tc>
          <w:tcPr>
            <w:tcW w:w="1497" w:type="pct"/>
            <w:shd w:val="clear" w:color="auto" w:fill="F2F2F2" w:themeFill="background1" w:themeFillShade="F2"/>
            <w:hideMark/>
          </w:tcPr>
          <w:p w:rsidR="00B3406A" w:rsidRPr="00B05D82" w:rsidRDefault="00B3406A" w:rsidP="00815A6D">
            <w:pPr>
              <w:pStyle w:val="ListParagraph"/>
              <w:numPr>
                <w:ilvl w:val="0"/>
                <w:numId w:val="41"/>
              </w:numPr>
              <w:rPr>
                <w:szCs w:val="18"/>
              </w:rPr>
            </w:pPr>
            <w:r w:rsidRPr="00B05D82">
              <w:rPr>
                <w:szCs w:val="18"/>
              </w:rPr>
              <w:t>Livingstone-Banks (2019)</w:t>
            </w:r>
            <w:r w:rsidRPr="00B05D82">
              <w:rPr>
                <w:szCs w:val="18"/>
                <w:vertAlign w:val="superscript"/>
              </w:rPr>
              <w:t>1</w:t>
            </w:r>
          </w:p>
          <w:p w:rsidR="00B3406A" w:rsidRPr="00B05D82" w:rsidRDefault="00B3406A" w:rsidP="00815A6D">
            <w:pPr>
              <w:pStyle w:val="ListParagraph"/>
              <w:numPr>
                <w:ilvl w:val="0"/>
                <w:numId w:val="41"/>
              </w:numPr>
              <w:rPr>
                <w:szCs w:val="18"/>
              </w:rPr>
            </w:pPr>
            <w:proofErr w:type="spellStart"/>
            <w:r w:rsidRPr="00B05D82">
              <w:rPr>
                <w:rFonts w:eastAsia="MS Mincho"/>
              </w:rPr>
              <w:t>Schnoll</w:t>
            </w:r>
            <w:proofErr w:type="spellEnd"/>
            <w:r w:rsidRPr="00B05D82">
              <w:rPr>
                <w:rFonts w:eastAsia="MS Mincho"/>
              </w:rPr>
              <w:t xml:space="preserve"> (2019)</w:t>
            </w:r>
            <w:r w:rsidRPr="00B05D82">
              <w:rPr>
                <w:rFonts w:eastAsia="MS Mincho"/>
                <w:vertAlign w:val="superscript"/>
              </w:rPr>
              <w:t>2</w:t>
            </w:r>
          </w:p>
        </w:tc>
        <w:tc>
          <w:tcPr>
            <w:tcW w:w="2607" w:type="pct"/>
            <w:shd w:val="clear" w:color="auto" w:fill="F2F2F2" w:themeFill="background1" w:themeFillShade="F2"/>
            <w:hideMark/>
          </w:tcPr>
          <w:p w:rsidR="00B3406A" w:rsidRPr="0010753D" w:rsidRDefault="00B3406A" w:rsidP="00815A6D">
            <w:pPr>
              <w:pStyle w:val="ListParagraph"/>
              <w:numPr>
                <w:ilvl w:val="0"/>
                <w:numId w:val="39"/>
              </w:numPr>
              <w:rPr>
                <w:szCs w:val="18"/>
              </w:rPr>
            </w:pPr>
            <w:r w:rsidRPr="0010753D">
              <w:rPr>
                <w:szCs w:val="18"/>
                <w:u w:val="single"/>
              </w:rPr>
              <w:t>Efficacy:</w:t>
            </w:r>
            <w:r w:rsidRPr="0010753D">
              <w:rPr>
                <w:szCs w:val="18"/>
              </w:rPr>
              <w:t xml:space="preserve"> Statistically significant</w:t>
            </w:r>
            <w:r>
              <w:rPr>
                <w:szCs w:val="18"/>
              </w:rPr>
              <w:t xml:space="preserve"> based on RR </w:t>
            </w:r>
            <w:r w:rsidRPr="0010753D">
              <w:rPr>
                <w:szCs w:val="18"/>
              </w:rPr>
              <w:t xml:space="preserve">(in favour of </w:t>
            </w:r>
            <w:proofErr w:type="spellStart"/>
            <w:r w:rsidRPr="0010753D">
              <w:rPr>
                <w:szCs w:val="18"/>
              </w:rPr>
              <w:t>varenicline</w:t>
            </w:r>
            <w:proofErr w:type="spellEnd"/>
            <w:r w:rsidRPr="0010753D">
              <w:rPr>
                <w:szCs w:val="18"/>
              </w:rPr>
              <w:t>)</w:t>
            </w:r>
            <w:r>
              <w:rPr>
                <w:szCs w:val="18"/>
              </w:rPr>
              <w:t>.</w:t>
            </w:r>
          </w:p>
          <w:p w:rsidR="00B3406A" w:rsidRPr="00DA1A94" w:rsidRDefault="00B3406A" w:rsidP="001E7257">
            <w:pPr>
              <w:ind w:left="360"/>
              <w:rPr>
                <w:rFonts w:eastAsia="Calibri"/>
                <w:szCs w:val="18"/>
              </w:rPr>
            </w:pPr>
            <w:r w:rsidRPr="0010753D">
              <w:rPr>
                <w:szCs w:val="18"/>
                <w:u w:val="single"/>
              </w:rPr>
              <w:t>Safety:</w:t>
            </w:r>
            <w:r w:rsidRPr="004D4E66">
              <w:rPr>
                <w:szCs w:val="18"/>
              </w:rPr>
              <w:t xml:space="preserve"> </w:t>
            </w:r>
            <w:r w:rsidRPr="0010753D">
              <w:rPr>
                <w:rFonts w:eastAsia="Calibri"/>
                <w:szCs w:val="18"/>
              </w:rPr>
              <w:t xml:space="preserve">AEs reported were consistent with those expected of </w:t>
            </w:r>
            <w:proofErr w:type="spellStart"/>
            <w:r w:rsidRPr="0010753D">
              <w:rPr>
                <w:rFonts w:eastAsia="Calibri"/>
                <w:szCs w:val="18"/>
              </w:rPr>
              <w:t>varenicline</w:t>
            </w:r>
            <w:proofErr w:type="spellEnd"/>
            <w:r>
              <w:rPr>
                <w:rFonts w:eastAsia="Calibri"/>
                <w:szCs w:val="18"/>
              </w:rPr>
              <w:t>.</w:t>
            </w:r>
          </w:p>
        </w:tc>
      </w:tr>
      <w:tr w:rsidR="00B3406A" w:rsidRPr="00DA1A94" w:rsidTr="00A82090">
        <w:trPr>
          <w:trHeight w:val="67"/>
        </w:trPr>
        <w:tc>
          <w:tcPr>
            <w:tcW w:w="5000" w:type="pct"/>
            <w:gridSpan w:val="3"/>
            <w:shd w:val="clear" w:color="auto" w:fill="F2F2F2" w:themeFill="background1" w:themeFillShade="F2"/>
            <w:hideMark/>
          </w:tcPr>
          <w:p w:rsidR="00B3406A" w:rsidRPr="00DA1A94" w:rsidRDefault="00B3406A" w:rsidP="001E7257">
            <w:pPr>
              <w:rPr>
                <w:b/>
                <w:bCs/>
                <w:szCs w:val="18"/>
              </w:rPr>
            </w:pPr>
            <w:r w:rsidRPr="00DA1A94">
              <w:rPr>
                <w:b/>
                <w:bCs/>
                <w:szCs w:val="18"/>
              </w:rPr>
              <w:t>Treatment-experienced population (retreatment in non-abstainers)</w:t>
            </w:r>
          </w:p>
        </w:tc>
      </w:tr>
      <w:tr w:rsidR="00B3406A" w:rsidRPr="00DA1A94" w:rsidTr="00A82090">
        <w:trPr>
          <w:trHeight w:val="851"/>
        </w:trPr>
        <w:tc>
          <w:tcPr>
            <w:tcW w:w="896" w:type="pct"/>
            <w:shd w:val="clear" w:color="auto" w:fill="F2F2F2" w:themeFill="background1" w:themeFillShade="F2"/>
            <w:hideMark/>
          </w:tcPr>
          <w:p w:rsidR="00B3406A" w:rsidRPr="0010753D" w:rsidRDefault="00B3406A" w:rsidP="001E7257">
            <w:pPr>
              <w:spacing w:after="200"/>
              <w:rPr>
                <w:szCs w:val="18"/>
              </w:rPr>
            </w:pPr>
            <w:r w:rsidRPr="0010753D">
              <w:rPr>
                <w:szCs w:val="18"/>
              </w:rPr>
              <w:t xml:space="preserve">Varenicline vs </w:t>
            </w:r>
            <w:r>
              <w:rPr>
                <w:szCs w:val="18"/>
              </w:rPr>
              <w:t>p</w:t>
            </w:r>
            <w:r w:rsidRPr="0010753D">
              <w:rPr>
                <w:rFonts w:eastAsia="Calibri"/>
                <w:szCs w:val="18"/>
              </w:rPr>
              <w:t>lacebo</w:t>
            </w:r>
          </w:p>
        </w:tc>
        <w:tc>
          <w:tcPr>
            <w:tcW w:w="1497" w:type="pct"/>
            <w:shd w:val="clear" w:color="auto" w:fill="F2F2F2" w:themeFill="background1" w:themeFillShade="F2"/>
            <w:hideMark/>
          </w:tcPr>
          <w:p w:rsidR="00B3406A" w:rsidRPr="00B05D82" w:rsidRDefault="00B3406A" w:rsidP="00815A6D">
            <w:pPr>
              <w:pStyle w:val="ListParagraph"/>
              <w:numPr>
                <w:ilvl w:val="0"/>
                <w:numId w:val="39"/>
              </w:numPr>
              <w:rPr>
                <w:szCs w:val="18"/>
              </w:rPr>
            </w:pPr>
            <w:r>
              <w:rPr>
                <w:rFonts w:eastAsia="MS Mincho"/>
              </w:rPr>
              <w:t>Cahill (2016)</w:t>
            </w:r>
            <w:r w:rsidRPr="00B05D82">
              <w:rPr>
                <w:rFonts w:eastAsia="MS Mincho"/>
                <w:vertAlign w:val="superscript"/>
              </w:rPr>
              <w:t>1</w:t>
            </w:r>
          </w:p>
        </w:tc>
        <w:tc>
          <w:tcPr>
            <w:tcW w:w="2607" w:type="pct"/>
            <w:shd w:val="clear" w:color="auto" w:fill="F2F2F2" w:themeFill="background1" w:themeFillShade="F2"/>
            <w:hideMark/>
          </w:tcPr>
          <w:p w:rsidR="00B3406A" w:rsidRPr="0010753D" w:rsidRDefault="00B3406A" w:rsidP="00815A6D">
            <w:pPr>
              <w:pStyle w:val="ListParagraph"/>
              <w:numPr>
                <w:ilvl w:val="0"/>
                <w:numId w:val="40"/>
              </w:numPr>
              <w:rPr>
                <w:szCs w:val="18"/>
              </w:rPr>
            </w:pPr>
            <w:r w:rsidRPr="0010753D">
              <w:rPr>
                <w:szCs w:val="18"/>
                <w:u w:val="single"/>
              </w:rPr>
              <w:t>Efficacy:</w:t>
            </w:r>
            <w:r w:rsidRPr="0010753D">
              <w:rPr>
                <w:szCs w:val="18"/>
              </w:rPr>
              <w:t xml:space="preserve"> Statistically significant</w:t>
            </w:r>
            <w:r>
              <w:rPr>
                <w:szCs w:val="18"/>
              </w:rPr>
              <w:t xml:space="preserve"> based on RR </w:t>
            </w:r>
            <w:r w:rsidRPr="0010753D">
              <w:rPr>
                <w:szCs w:val="18"/>
              </w:rPr>
              <w:t xml:space="preserve">(in favour of </w:t>
            </w:r>
            <w:proofErr w:type="spellStart"/>
            <w:r w:rsidRPr="0010753D">
              <w:rPr>
                <w:szCs w:val="18"/>
              </w:rPr>
              <w:t>varenicline</w:t>
            </w:r>
            <w:proofErr w:type="spellEnd"/>
            <w:r w:rsidRPr="0010753D">
              <w:rPr>
                <w:szCs w:val="18"/>
              </w:rPr>
              <w:t>)</w:t>
            </w:r>
            <w:r>
              <w:rPr>
                <w:szCs w:val="18"/>
              </w:rPr>
              <w:t>.</w:t>
            </w:r>
          </w:p>
          <w:p w:rsidR="00B3406A" w:rsidRPr="00642321" w:rsidRDefault="00B3406A" w:rsidP="00815A6D">
            <w:pPr>
              <w:pStyle w:val="ListParagraph"/>
              <w:numPr>
                <w:ilvl w:val="0"/>
                <w:numId w:val="40"/>
              </w:numPr>
              <w:rPr>
                <w:szCs w:val="18"/>
              </w:rPr>
            </w:pPr>
            <w:r w:rsidRPr="0010753D">
              <w:rPr>
                <w:szCs w:val="18"/>
                <w:u w:val="single"/>
              </w:rPr>
              <w:t>Safety:</w:t>
            </w:r>
            <w:r w:rsidRPr="004D4E66">
              <w:rPr>
                <w:szCs w:val="18"/>
              </w:rPr>
              <w:t xml:space="preserve"> </w:t>
            </w:r>
            <w:r w:rsidRPr="0010753D">
              <w:rPr>
                <w:szCs w:val="18"/>
              </w:rPr>
              <w:t>Statistically significant</w:t>
            </w:r>
            <w:r>
              <w:rPr>
                <w:szCs w:val="18"/>
              </w:rPr>
              <w:t xml:space="preserve"> based on RR</w:t>
            </w:r>
            <w:r w:rsidRPr="0010753D">
              <w:rPr>
                <w:szCs w:val="18"/>
              </w:rPr>
              <w:t xml:space="preserve"> (nausea, abnormal dreams; higher in </w:t>
            </w:r>
            <w:proofErr w:type="spellStart"/>
            <w:r w:rsidRPr="0010753D">
              <w:rPr>
                <w:szCs w:val="18"/>
              </w:rPr>
              <w:t>varenicline</w:t>
            </w:r>
            <w:proofErr w:type="spellEnd"/>
            <w:r w:rsidRPr="0010753D">
              <w:rPr>
                <w:szCs w:val="18"/>
              </w:rPr>
              <w:t>)</w:t>
            </w:r>
            <w:r>
              <w:rPr>
                <w:szCs w:val="18"/>
              </w:rPr>
              <w:t xml:space="preserve">; </w:t>
            </w:r>
            <w:r w:rsidRPr="00846CB6">
              <w:rPr>
                <w:szCs w:val="18"/>
              </w:rPr>
              <w:t>Not statistically significant based on RR</w:t>
            </w:r>
            <w:r w:rsidRPr="00E320E0">
              <w:rPr>
                <w:szCs w:val="18"/>
              </w:rPr>
              <w:t xml:space="preserve"> (insomnia, headache, depression, </w:t>
            </w:r>
            <w:r>
              <w:rPr>
                <w:szCs w:val="18"/>
              </w:rPr>
              <w:t>S</w:t>
            </w:r>
            <w:r w:rsidRPr="00E320E0">
              <w:rPr>
                <w:szCs w:val="18"/>
              </w:rPr>
              <w:t>AEs incl</w:t>
            </w:r>
            <w:r>
              <w:rPr>
                <w:szCs w:val="18"/>
              </w:rPr>
              <w:t>uding</w:t>
            </w:r>
            <w:r w:rsidRPr="00E320E0">
              <w:rPr>
                <w:szCs w:val="18"/>
              </w:rPr>
              <w:t xml:space="preserve"> cardiac)</w:t>
            </w:r>
            <w:r>
              <w:rPr>
                <w:szCs w:val="18"/>
              </w:rPr>
              <w:t>.</w:t>
            </w:r>
          </w:p>
        </w:tc>
      </w:tr>
    </w:tbl>
    <w:p w:rsidR="00B3406A" w:rsidRDefault="00B3406A" w:rsidP="001E7257">
      <w:pPr>
        <w:pStyle w:val="TableFooter"/>
        <w:keepNext/>
      </w:pPr>
      <w:r>
        <w:t>Abbreviations: AEs = adverse events;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1 Cochrane Review</w:t>
      </w:r>
      <w:r>
        <w:t>.</w:t>
      </w:r>
    </w:p>
    <w:p w:rsidR="00B3406A" w:rsidRPr="00FF3B9B" w:rsidRDefault="00B3406A" w:rsidP="001E7257">
      <w:pPr>
        <w:pStyle w:val="TableFooter"/>
        <w:keepNext/>
      </w:pPr>
      <w:r>
        <w:t>2 Supplemental evidence (RCT).</w:t>
      </w:r>
    </w:p>
    <w:p w:rsidR="00B3406A" w:rsidRPr="00280A7C" w:rsidRDefault="00B23D0F" w:rsidP="00684849">
      <w:pPr>
        <w:pStyle w:val="Heading6"/>
        <w:numPr>
          <w:ilvl w:val="0"/>
          <w:numId w:val="0"/>
        </w:numPr>
        <w:spacing w:after="240"/>
        <w:ind w:left="1152" w:hanging="1152"/>
        <w:rPr>
          <w:rFonts w:asciiTheme="minorHAnsi" w:hAnsiTheme="minorHAnsi" w:cstheme="minorHAnsi"/>
          <w:b/>
          <w:i w:val="0"/>
          <w:color w:val="auto"/>
          <w:szCs w:val="24"/>
        </w:rPr>
      </w:pPr>
      <w:r>
        <w:rPr>
          <w:rFonts w:asciiTheme="minorHAnsi" w:hAnsiTheme="minorHAnsi" w:cstheme="minorHAnsi"/>
          <w:b/>
          <w:i w:val="0"/>
          <w:color w:val="auto"/>
          <w:szCs w:val="24"/>
        </w:rPr>
        <w:t>3.1.3</w:t>
      </w:r>
      <w:r>
        <w:rPr>
          <w:rFonts w:asciiTheme="minorHAnsi" w:hAnsiTheme="minorHAnsi" w:cstheme="minorHAnsi"/>
          <w:b/>
          <w:i w:val="0"/>
          <w:color w:val="auto"/>
          <w:szCs w:val="24"/>
        </w:rPr>
        <w:tab/>
      </w:r>
      <w:r w:rsidR="00B3406A" w:rsidRPr="00280A7C">
        <w:rPr>
          <w:rFonts w:asciiTheme="minorHAnsi" w:hAnsiTheme="minorHAnsi" w:cstheme="minorHAnsi"/>
          <w:b/>
          <w:i w:val="0"/>
          <w:color w:val="auto"/>
          <w:szCs w:val="24"/>
        </w:rPr>
        <w:t>Nicotine Replacement Therapy</w:t>
      </w:r>
    </w:p>
    <w:p w:rsidR="00B3406A" w:rsidRPr="001B6663" w:rsidRDefault="00B3406A" w:rsidP="001E7257">
      <w:r w:rsidRPr="001B6663">
        <w:t>Treatment-naïve population</w:t>
      </w:r>
    </w:p>
    <w:p w:rsidR="00B3406A" w:rsidRPr="007D7171" w:rsidRDefault="00B3406A" w:rsidP="00D25738">
      <w:pPr>
        <w:pStyle w:val="ListParagraph"/>
        <w:numPr>
          <w:ilvl w:val="0"/>
          <w:numId w:val="21"/>
        </w:numPr>
        <w:ind w:left="360"/>
        <w:jc w:val="both"/>
      </w:pPr>
      <w:r w:rsidRPr="001B6663">
        <w:t>NRT patch</w:t>
      </w:r>
      <w:r>
        <w:t>es</w:t>
      </w:r>
      <w:r w:rsidRPr="001B6663">
        <w:t xml:space="preserve"> w</w:t>
      </w:r>
      <w:r>
        <w:t>ere</w:t>
      </w:r>
      <w:r w:rsidRPr="001B6663">
        <w:t xml:space="preserve"> shown </w:t>
      </w:r>
      <w:r w:rsidRPr="00AD3824">
        <w:t xml:space="preserve">to </w:t>
      </w:r>
      <w:r>
        <w:t>be superior to placebo in terms of efficacy</w:t>
      </w:r>
      <w:r w:rsidRPr="001B6663">
        <w:t xml:space="preserve">, noting that similar results were observed for </w:t>
      </w:r>
      <w:r w:rsidRPr="003B2E85">
        <w:t>NRT gum or lozenges</w:t>
      </w:r>
      <w:r>
        <w:t xml:space="preserve"> (as monotherapy)</w:t>
      </w:r>
      <w:r w:rsidRPr="003B2E85">
        <w:t xml:space="preserve"> versus placebo. </w:t>
      </w:r>
      <w:r w:rsidRPr="007D7171">
        <w:t xml:space="preserve">There </w:t>
      </w:r>
      <w:r w:rsidRPr="001B6663">
        <w:t>w</w:t>
      </w:r>
      <w:r>
        <w:t>as</w:t>
      </w:r>
      <w:r w:rsidRPr="007D7171">
        <w:t xml:space="preserve"> </w:t>
      </w:r>
      <w:r w:rsidR="00D46574">
        <w:t xml:space="preserve">a </w:t>
      </w:r>
      <w:r w:rsidRPr="007D7171">
        <w:t xml:space="preserve">significantly higher incidence of palpitations, </w:t>
      </w:r>
      <w:r>
        <w:t>t</w:t>
      </w:r>
      <w:r w:rsidRPr="007D7171">
        <w:t xml:space="preserve">achycardia or chest pains with NRT (various formulations) compared with placebo. This is consistent with the evidence previously considered by the PBAC. </w:t>
      </w:r>
    </w:p>
    <w:p w:rsidR="00B3406A" w:rsidRDefault="00B3406A" w:rsidP="00D25738">
      <w:pPr>
        <w:pStyle w:val="ListParagraph"/>
        <w:numPr>
          <w:ilvl w:val="0"/>
          <w:numId w:val="21"/>
        </w:numPr>
        <w:ind w:left="360"/>
        <w:jc w:val="both"/>
      </w:pPr>
      <w:r w:rsidRPr="00440406">
        <w:t>NRT patch</w:t>
      </w:r>
      <w:r>
        <w:t>es</w:t>
      </w:r>
      <w:r w:rsidRPr="00440406">
        <w:t xml:space="preserve"> w</w:t>
      </w:r>
      <w:r>
        <w:t>ere</w:t>
      </w:r>
      <w:r w:rsidRPr="00440406">
        <w:t xml:space="preserve"> shown to be inferior to </w:t>
      </w:r>
      <w:proofErr w:type="spellStart"/>
      <w:r w:rsidRPr="00440406">
        <w:t>varenicline</w:t>
      </w:r>
      <w:proofErr w:type="spellEnd"/>
      <w:r w:rsidRPr="00440406">
        <w:t xml:space="preserve"> in terms of efficacy </w:t>
      </w:r>
      <w:r>
        <w:t xml:space="preserve">based on </w:t>
      </w:r>
      <w:r w:rsidRPr="00440406">
        <w:t xml:space="preserve">a statistically significant difference in point prevalence abstinence at 24 weeks, in favour of </w:t>
      </w:r>
      <w:proofErr w:type="spellStart"/>
      <w:r w:rsidRPr="00440406">
        <w:t>varenicline</w:t>
      </w:r>
      <w:proofErr w:type="spellEnd"/>
      <w:r>
        <w:t>.</w:t>
      </w:r>
      <w:r w:rsidRPr="00440406">
        <w:t xml:space="preserve"> </w:t>
      </w:r>
      <w:r>
        <w:t xml:space="preserve">In terms of safety, </w:t>
      </w:r>
      <w:r w:rsidRPr="00440406">
        <w:t>there were no statistically significant differences in side effects (including neuropsychiatric and cardiovascular safety profile) between the two treatment arms. This is consistent with the evidence previously considered by the PBAC.</w:t>
      </w:r>
    </w:p>
    <w:p w:rsidR="002F3376" w:rsidRDefault="00B3406A" w:rsidP="00D25738">
      <w:pPr>
        <w:pStyle w:val="ListParagraph"/>
        <w:numPr>
          <w:ilvl w:val="0"/>
          <w:numId w:val="21"/>
        </w:numPr>
        <w:ind w:left="360"/>
        <w:jc w:val="both"/>
      </w:pPr>
      <w:r>
        <w:t>N</w:t>
      </w:r>
      <w:r w:rsidRPr="001268B2">
        <w:t xml:space="preserve">o statistically significant differences in smoking cessation rates, serious adverse events and withdrawals due to treatment </w:t>
      </w:r>
      <w:r>
        <w:t xml:space="preserve">were shown between </w:t>
      </w:r>
      <w:r w:rsidRPr="001268B2">
        <w:t>NRT lozenge</w:t>
      </w:r>
      <w:r>
        <w:t>s</w:t>
      </w:r>
      <w:r w:rsidRPr="001268B2">
        <w:t xml:space="preserve"> or </w:t>
      </w:r>
      <w:r>
        <w:t>gum and</w:t>
      </w:r>
      <w:r w:rsidRPr="001268B2">
        <w:t xml:space="preserve"> NRT </w:t>
      </w:r>
      <w:r>
        <w:t>patches</w:t>
      </w:r>
      <w:r w:rsidRPr="001268B2">
        <w:t xml:space="preserve">. This is </w:t>
      </w:r>
      <w:r>
        <w:t xml:space="preserve">largely based on, and thus is </w:t>
      </w:r>
      <w:r w:rsidRPr="001268B2">
        <w:t>consistent with the evidence previously considered by the PBAC</w:t>
      </w:r>
      <w:r>
        <w:t xml:space="preserve"> to support non-inferiority</w:t>
      </w:r>
      <w:r w:rsidRPr="001268B2">
        <w:t>.</w:t>
      </w:r>
    </w:p>
    <w:p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2784"/>
        <w:gridCol w:w="2341"/>
        <w:gridCol w:w="3891"/>
      </w:tblGrid>
      <w:tr w:rsidR="00B3406A" w:rsidRPr="00916516" w:rsidTr="00A82090">
        <w:trPr>
          <w:trHeight w:val="67"/>
        </w:trPr>
        <w:tc>
          <w:tcPr>
            <w:tcW w:w="1544" w:type="pct"/>
            <w:shd w:val="clear" w:color="auto" w:fill="F2F2F2" w:themeFill="background1" w:themeFillShade="F2"/>
            <w:hideMark/>
          </w:tcPr>
          <w:p w:rsidR="00B3406A" w:rsidRPr="00916516" w:rsidRDefault="00B3406A" w:rsidP="001E7257">
            <w:pPr>
              <w:spacing w:after="200"/>
              <w:rPr>
                <w:szCs w:val="18"/>
              </w:rPr>
            </w:pPr>
            <w:r w:rsidRPr="00916516">
              <w:rPr>
                <w:b/>
                <w:bCs/>
                <w:szCs w:val="18"/>
              </w:rPr>
              <w:t>Compar</w:t>
            </w:r>
            <w:r>
              <w:rPr>
                <w:b/>
                <w:bCs/>
                <w:szCs w:val="18"/>
              </w:rPr>
              <w:t>ison</w:t>
            </w:r>
          </w:p>
        </w:tc>
        <w:tc>
          <w:tcPr>
            <w:tcW w:w="1298" w:type="pct"/>
            <w:shd w:val="clear" w:color="auto" w:fill="F2F2F2" w:themeFill="background1" w:themeFillShade="F2"/>
            <w:hideMark/>
          </w:tcPr>
          <w:p w:rsidR="00B3406A" w:rsidRPr="00916516" w:rsidRDefault="00B3406A" w:rsidP="001E7257">
            <w:pPr>
              <w:spacing w:after="200"/>
              <w:jc w:val="center"/>
              <w:rPr>
                <w:szCs w:val="18"/>
              </w:rPr>
            </w:pPr>
            <w:r>
              <w:rPr>
                <w:b/>
                <w:bCs/>
                <w:szCs w:val="18"/>
              </w:rPr>
              <w:t>Included studies</w:t>
            </w:r>
          </w:p>
        </w:tc>
        <w:tc>
          <w:tcPr>
            <w:tcW w:w="2158" w:type="pct"/>
            <w:shd w:val="clear" w:color="auto" w:fill="F2F2F2" w:themeFill="background1" w:themeFillShade="F2"/>
            <w:hideMark/>
          </w:tcPr>
          <w:p w:rsidR="00B3406A" w:rsidRPr="00916516" w:rsidRDefault="00B3406A" w:rsidP="001E7257">
            <w:pPr>
              <w:spacing w:after="200"/>
              <w:jc w:val="center"/>
              <w:rPr>
                <w:szCs w:val="18"/>
              </w:rPr>
            </w:pPr>
            <w:r>
              <w:rPr>
                <w:b/>
                <w:bCs/>
                <w:szCs w:val="18"/>
              </w:rPr>
              <w:t>Summary of evidence</w:t>
            </w:r>
          </w:p>
        </w:tc>
      </w:tr>
      <w:tr w:rsidR="00B3406A" w:rsidRPr="00916516" w:rsidTr="00A82090">
        <w:trPr>
          <w:trHeight w:val="260"/>
        </w:trPr>
        <w:tc>
          <w:tcPr>
            <w:tcW w:w="5000" w:type="pct"/>
            <w:gridSpan w:val="3"/>
            <w:shd w:val="clear" w:color="auto" w:fill="F2F2F2" w:themeFill="background1" w:themeFillShade="F2"/>
            <w:hideMark/>
          </w:tcPr>
          <w:p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rsidTr="00A82090">
        <w:trPr>
          <w:trHeight w:val="345"/>
        </w:trPr>
        <w:tc>
          <w:tcPr>
            <w:tcW w:w="1544" w:type="pct"/>
            <w:shd w:val="clear" w:color="auto" w:fill="F2F2F2" w:themeFill="background1" w:themeFillShade="F2"/>
            <w:hideMark/>
          </w:tcPr>
          <w:p w:rsidR="00B3406A" w:rsidRPr="00360862" w:rsidRDefault="00B3406A" w:rsidP="001E7257">
            <w:pPr>
              <w:spacing w:after="200"/>
              <w:rPr>
                <w:szCs w:val="18"/>
              </w:rPr>
            </w:pPr>
            <w:r w:rsidRPr="00360862">
              <w:rPr>
                <w:szCs w:val="18"/>
              </w:rPr>
              <w:t>NRT (patch, gum or lozenge) vs placebo</w:t>
            </w:r>
          </w:p>
        </w:tc>
        <w:tc>
          <w:tcPr>
            <w:tcW w:w="1298" w:type="pct"/>
            <w:shd w:val="clear" w:color="auto" w:fill="F2F2F2" w:themeFill="background1" w:themeFillShade="F2"/>
            <w:hideMark/>
          </w:tcPr>
          <w:p w:rsidR="00B3406A" w:rsidRPr="0063070A" w:rsidRDefault="00B3406A" w:rsidP="00815A6D">
            <w:pPr>
              <w:pStyle w:val="ListParagraph"/>
              <w:numPr>
                <w:ilvl w:val="0"/>
                <w:numId w:val="43"/>
              </w:numPr>
              <w:rPr>
                <w:szCs w:val="18"/>
              </w:rPr>
            </w:pPr>
            <w:r w:rsidRPr="0063070A">
              <w:rPr>
                <w:szCs w:val="18"/>
              </w:rPr>
              <w:t xml:space="preserve">Hartmann-Boyce </w:t>
            </w:r>
          </w:p>
          <w:p w:rsidR="00B3406A" w:rsidRDefault="00B3406A" w:rsidP="001E7257">
            <w:pPr>
              <w:spacing w:after="200"/>
              <w:ind w:left="360"/>
              <w:rPr>
                <w:szCs w:val="18"/>
              </w:rPr>
            </w:pPr>
            <w:r w:rsidRPr="0063070A">
              <w:rPr>
                <w:szCs w:val="18"/>
              </w:rPr>
              <w:t>(2018)</w:t>
            </w:r>
            <w:r w:rsidRPr="0063070A">
              <w:rPr>
                <w:szCs w:val="18"/>
                <w:vertAlign w:val="superscript"/>
              </w:rPr>
              <w:t>1</w:t>
            </w:r>
          </w:p>
          <w:p w:rsidR="00B3406A" w:rsidRPr="0063070A" w:rsidRDefault="00B3406A" w:rsidP="00815A6D">
            <w:pPr>
              <w:pStyle w:val="ListParagraph"/>
              <w:numPr>
                <w:ilvl w:val="0"/>
                <w:numId w:val="43"/>
              </w:numPr>
              <w:rPr>
                <w:szCs w:val="18"/>
              </w:rPr>
            </w:pPr>
            <w:proofErr w:type="spellStart"/>
            <w:r w:rsidRPr="0063070A">
              <w:rPr>
                <w:szCs w:val="18"/>
              </w:rPr>
              <w:t>Benowitz</w:t>
            </w:r>
            <w:proofErr w:type="spellEnd"/>
            <w:r w:rsidRPr="0063070A">
              <w:rPr>
                <w:szCs w:val="18"/>
              </w:rPr>
              <w:t xml:space="preserve"> </w:t>
            </w:r>
          </w:p>
          <w:p w:rsidR="00B3406A" w:rsidRPr="00916516" w:rsidRDefault="00B3406A" w:rsidP="001E7257">
            <w:pPr>
              <w:spacing w:after="200"/>
              <w:ind w:left="360"/>
              <w:rPr>
                <w:szCs w:val="18"/>
              </w:rPr>
            </w:pPr>
            <w:r w:rsidRPr="0063070A">
              <w:rPr>
                <w:szCs w:val="18"/>
              </w:rPr>
              <w:t>(2018)</w:t>
            </w:r>
            <w:r w:rsidRPr="0063070A">
              <w:rPr>
                <w:szCs w:val="18"/>
                <w:vertAlign w:val="superscript"/>
              </w:rPr>
              <w:t>2</w:t>
            </w:r>
          </w:p>
        </w:tc>
        <w:tc>
          <w:tcPr>
            <w:tcW w:w="2158" w:type="pct"/>
            <w:shd w:val="clear" w:color="auto" w:fill="F2F2F2" w:themeFill="background1" w:themeFillShade="F2"/>
            <w:hideMark/>
          </w:tcPr>
          <w:p w:rsidR="00B3406A" w:rsidRPr="0063070A" w:rsidRDefault="00B3406A" w:rsidP="00815A6D">
            <w:pPr>
              <w:pStyle w:val="ListParagraph"/>
              <w:numPr>
                <w:ilvl w:val="0"/>
                <w:numId w:val="42"/>
              </w:numPr>
              <w:rPr>
                <w:szCs w:val="18"/>
              </w:rPr>
            </w:pPr>
            <w:r w:rsidRPr="00360862">
              <w:rPr>
                <w:szCs w:val="18"/>
                <w:u w:val="single"/>
              </w:rPr>
              <w:t>Efficacy</w:t>
            </w:r>
            <w:r w:rsidRPr="00360862">
              <w:rPr>
                <w:szCs w:val="18"/>
              </w:rPr>
              <w:t>: Statistically significant</w:t>
            </w:r>
            <w:r>
              <w:rPr>
                <w:szCs w:val="18"/>
              </w:rPr>
              <w:t xml:space="preserve"> based on RR and RD </w:t>
            </w:r>
            <w:r w:rsidRPr="0063070A">
              <w:rPr>
                <w:szCs w:val="18"/>
              </w:rPr>
              <w:t>(in favour of NRT)</w:t>
            </w:r>
            <w:r>
              <w:rPr>
                <w:szCs w:val="18"/>
              </w:rPr>
              <w:t>.</w:t>
            </w:r>
          </w:p>
          <w:p w:rsidR="00B3406A" w:rsidRPr="0063070A" w:rsidRDefault="00B3406A" w:rsidP="00815A6D">
            <w:pPr>
              <w:pStyle w:val="ListParagraph"/>
              <w:numPr>
                <w:ilvl w:val="0"/>
                <w:numId w:val="42"/>
              </w:numPr>
              <w:rPr>
                <w:szCs w:val="18"/>
              </w:rPr>
            </w:pPr>
            <w:r w:rsidRPr="00360862">
              <w:rPr>
                <w:szCs w:val="18"/>
                <w:u w:val="single"/>
              </w:rPr>
              <w:t>Safety:</w:t>
            </w:r>
            <w:r w:rsidRPr="00360862">
              <w:rPr>
                <w:szCs w:val="18"/>
              </w:rPr>
              <w:t xml:space="preserve"> Statistically significant</w:t>
            </w:r>
            <w:r>
              <w:rPr>
                <w:szCs w:val="18"/>
              </w:rPr>
              <w:t xml:space="preserve"> based on OR </w:t>
            </w:r>
            <w:r w:rsidRPr="0063070A">
              <w:rPr>
                <w:szCs w:val="18"/>
              </w:rPr>
              <w:t>(palpitations, tachycardia, chest pains; higher in NRT)</w:t>
            </w:r>
            <w:r>
              <w:rPr>
                <w:szCs w:val="18"/>
              </w:rPr>
              <w:t>.</w:t>
            </w:r>
          </w:p>
        </w:tc>
      </w:tr>
      <w:tr w:rsidR="00B3406A" w:rsidRPr="00360862" w:rsidTr="00A82090">
        <w:trPr>
          <w:trHeight w:val="617"/>
        </w:trPr>
        <w:tc>
          <w:tcPr>
            <w:tcW w:w="1544" w:type="pct"/>
            <w:shd w:val="clear" w:color="auto" w:fill="F2F2F2" w:themeFill="background1" w:themeFillShade="F2"/>
            <w:hideMark/>
          </w:tcPr>
          <w:p w:rsidR="00B3406A" w:rsidRPr="00360862" w:rsidRDefault="00B3406A" w:rsidP="001E7257">
            <w:pPr>
              <w:spacing w:after="200"/>
              <w:rPr>
                <w:szCs w:val="18"/>
              </w:rPr>
            </w:pPr>
            <w:r w:rsidRPr="00360862">
              <w:rPr>
                <w:rFonts w:eastAsia="Calibri"/>
                <w:szCs w:val="18"/>
              </w:rPr>
              <w:t xml:space="preserve">NRT patch vs </w:t>
            </w:r>
            <w:proofErr w:type="spellStart"/>
            <w:r w:rsidRPr="00360862">
              <w:rPr>
                <w:rFonts w:eastAsia="Calibri"/>
                <w:szCs w:val="18"/>
              </w:rPr>
              <w:t>v</w:t>
            </w:r>
            <w:r w:rsidRPr="00360862">
              <w:rPr>
                <w:szCs w:val="18"/>
              </w:rPr>
              <w:t>arenicline</w:t>
            </w:r>
            <w:proofErr w:type="spellEnd"/>
          </w:p>
        </w:tc>
        <w:tc>
          <w:tcPr>
            <w:tcW w:w="1298" w:type="pct"/>
            <w:shd w:val="clear" w:color="auto" w:fill="F2F2F2" w:themeFill="background1" w:themeFillShade="F2"/>
            <w:hideMark/>
          </w:tcPr>
          <w:p w:rsidR="00B3406A" w:rsidRDefault="00B3406A" w:rsidP="00815A6D">
            <w:pPr>
              <w:pStyle w:val="ListParagraph"/>
              <w:numPr>
                <w:ilvl w:val="0"/>
                <w:numId w:val="44"/>
              </w:numPr>
              <w:rPr>
                <w:szCs w:val="18"/>
              </w:rPr>
            </w:pPr>
            <w:r w:rsidRPr="006C1DAD">
              <w:rPr>
                <w:szCs w:val="18"/>
              </w:rPr>
              <w:t>Cahill (2016)</w:t>
            </w:r>
            <w:r w:rsidRPr="006C1DAD">
              <w:rPr>
                <w:szCs w:val="18"/>
                <w:vertAlign w:val="superscript"/>
              </w:rPr>
              <w:t>1</w:t>
            </w:r>
          </w:p>
          <w:p w:rsidR="00B3406A" w:rsidRDefault="00B3406A" w:rsidP="00815A6D">
            <w:pPr>
              <w:pStyle w:val="ListParagraph"/>
              <w:numPr>
                <w:ilvl w:val="0"/>
                <w:numId w:val="44"/>
              </w:numPr>
              <w:rPr>
                <w:szCs w:val="18"/>
              </w:rPr>
            </w:pPr>
            <w:proofErr w:type="spellStart"/>
            <w:r w:rsidRPr="006C1DAD">
              <w:rPr>
                <w:szCs w:val="18"/>
              </w:rPr>
              <w:t>Lerman</w:t>
            </w:r>
            <w:proofErr w:type="spellEnd"/>
            <w:r w:rsidRPr="006C1DAD">
              <w:rPr>
                <w:szCs w:val="18"/>
              </w:rPr>
              <w:t xml:space="preserve"> (2015)</w:t>
            </w:r>
            <w:r w:rsidRPr="006C1DAD">
              <w:rPr>
                <w:szCs w:val="18"/>
                <w:vertAlign w:val="superscript"/>
              </w:rPr>
              <w:t>2</w:t>
            </w:r>
          </w:p>
          <w:p w:rsidR="00B3406A" w:rsidRDefault="00B3406A" w:rsidP="00815A6D">
            <w:pPr>
              <w:pStyle w:val="ListParagraph"/>
              <w:numPr>
                <w:ilvl w:val="0"/>
                <w:numId w:val="44"/>
              </w:numPr>
              <w:rPr>
                <w:szCs w:val="18"/>
              </w:rPr>
            </w:pPr>
            <w:r w:rsidRPr="006C1DAD">
              <w:rPr>
                <w:szCs w:val="18"/>
              </w:rPr>
              <w:t>Tulloch (2016)</w:t>
            </w:r>
            <w:r w:rsidRPr="006C1DAD">
              <w:rPr>
                <w:szCs w:val="18"/>
                <w:vertAlign w:val="superscript"/>
              </w:rPr>
              <w:t>2</w:t>
            </w:r>
          </w:p>
          <w:p w:rsidR="00B3406A" w:rsidRPr="006C1DAD" w:rsidRDefault="00B3406A" w:rsidP="00815A6D">
            <w:pPr>
              <w:pStyle w:val="ListParagraph"/>
              <w:numPr>
                <w:ilvl w:val="0"/>
                <w:numId w:val="44"/>
              </w:numPr>
              <w:rPr>
                <w:szCs w:val="18"/>
              </w:rPr>
            </w:pPr>
            <w:proofErr w:type="spellStart"/>
            <w:r w:rsidRPr="006C1DAD">
              <w:rPr>
                <w:rFonts w:eastAsia="MS Mincho"/>
              </w:rPr>
              <w:t>Rohsenow</w:t>
            </w:r>
            <w:proofErr w:type="spellEnd"/>
            <w:r w:rsidRPr="006C1DAD">
              <w:rPr>
                <w:rFonts w:eastAsia="MS Mincho"/>
              </w:rPr>
              <w:t xml:space="preserve"> (2017)</w:t>
            </w:r>
            <w:r w:rsidRPr="006C1DAD">
              <w:rPr>
                <w:rFonts w:eastAsia="MS Mincho"/>
                <w:vertAlign w:val="superscript"/>
              </w:rPr>
              <w:t>2</w:t>
            </w:r>
          </w:p>
          <w:p w:rsidR="00B3406A" w:rsidRPr="006C1DAD" w:rsidRDefault="00B3406A" w:rsidP="00815A6D">
            <w:pPr>
              <w:pStyle w:val="ListParagraph"/>
              <w:numPr>
                <w:ilvl w:val="0"/>
                <w:numId w:val="44"/>
              </w:numPr>
              <w:rPr>
                <w:szCs w:val="18"/>
              </w:rPr>
            </w:pPr>
            <w:proofErr w:type="spellStart"/>
            <w:r w:rsidRPr="006C1DAD">
              <w:rPr>
                <w:rFonts w:eastAsia="MS Mincho"/>
              </w:rPr>
              <w:t>Benowitz</w:t>
            </w:r>
            <w:proofErr w:type="spellEnd"/>
            <w:r w:rsidRPr="006C1DAD">
              <w:rPr>
                <w:rFonts w:eastAsia="MS Mincho"/>
              </w:rPr>
              <w:t xml:space="preserve"> (2018)</w:t>
            </w:r>
            <w:r w:rsidRPr="006C1DAD">
              <w:rPr>
                <w:rFonts w:eastAsia="MS Mincho"/>
                <w:vertAlign w:val="superscript"/>
              </w:rPr>
              <w:t>2</w:t>
            </w:r>
          </w:p>
        </w:tc>
        <w:tc>
          <w:tcPr>
            <w:tcW w:w="2158" w:type="pct"/>
            <w:shd w:val="clear" w:color="auto" w:fill="F2F2F2" w:themeFill="background1" w:themeFillShade="F2"/>
            <w:hideMark/>
          </w:tcPr>
          <w:p w:rsidR="00B3406A" w:rsidRPr="006C1DAD" w:rsidRDefault="00B3406A" w:rsidP="00815A6D">
            <w:pPr>
              <w:pStyle w:val="ListParagraph"/>
              <w:numPr>
                <w:ilvl w:val="0"/>
                <w:numId w:val="42"/>
              </w:numPr>
              <w:rPr>
                <w:szCs w:val="18"/>
              </w:rPr>
            </w:pPr>
            <w:r w:rsidRPr="00360862">
              <w:rPr>
                <w:szCs w:val="18"/>
                <w:u w:val="single"/>
              </w:rPr>
              <w:t>Efficacy</w:t>
            </w:r>
            <w:r w:rsidRPr="00360862">
              <w:rPr>
                <w:szCs w:val="18"/>
              </w:rPr>
              <w:t>: Statistically significant</w:t>
            </w:r>
            <w:r>
              <w:rPr>
                <w:szCs w:val="18"/>
              </w:rPr>
              <w:t xml:space="preserve"> based on RR and RD </w:t>
            </w:r>
            <w:r w:rsidRPr="006C1DAD">
              <w:rPr>
                <w:szCs w:val="18"/>
              </w:rPr>
              <w:t xml:space="preserve">(in favour of </w:t>
            </w:r>
            <w:proofErr w:type="spellStart"/>
            <w:r w:rsidRPr="006C1DAD">
              <w:rPr>
                <w:szCs w:val="18"/>
              </w:rPr>
              <w:t>varenicline</w:t>
            </w:r>
            <w:proofErr w:type="spellEnd"/>
            <w:r w:rsidRPr="006C1DAD">
              <w:rPr>
                <w:szCs w:val="18"/>
              </w:rPr>
              <w:t>)</w:t>
            </w:r>
            <w:r>
              <w:rPr>
                <w:szCs w:val="18"/>
              </w:rPr>
              <w:t>.</w:t>
            </w:r>
          </w:p>
          <w:p w:rsidR="00B3406A" w:rsidRPr="00360862" w:rsidRDefault="00B3406A" w:rsidP="00815A6D">
            <w:pPr>
              <w:pStyle w:val="ListParagraph"/>
              <w:numPr>
                <w:ilvl w:val="0"/>
                <w:numId w:val="42"/>
              </w:numPr>
              <w:rPr>
                <w:szCs w:val="18"/>
              </w:rPr>
            </w:pPr>
            <w:r w:rsidRPr="00360862">
              <w:rPr>
                <w:szCs w:val="18"/>
                <w:u w:val="single"/>
              </w:rPr>
              <w:t>Safety:</w:t>
            </w:r>
            <w:r w:rsidRPr="00360862">
              <w:rPr>
                <w:szCs w:val="18"/>
              </w:rPr>
              <w:t xml:space="preserve"> Not statistically significant</w:t>
            </w:r>
            <w:r>
              <w:rPr>
                <w:szCs w:val="18"/>
              </w:rPr>
              <w:t xml:space="preserve"> </w:t>
            </w:r>
            <w:r w:rsidRPr="00360862">
              <w:rPr>
                <w:szCs w:val="18"/>
              </w:rPr>
              <w:t>(AEs incl. neuropsychiatric and cardiovascular safety</w:t>
            </w:r>
            <w:proofErr w:type="gramStart"/>
            <w:r w:rsidRPr="00360862">
              <w:rPr>
                <w:szCs w:val="18"/>
              </w:rPr>
              <w:t>)</w:t>
            </w:r>
            <w:r>
              <w:rPr>
                <w:szCs w:val="18"/>
                <w:vertAlign w:val="superscript"/>
              </w:rPr>
              <w:t>3</w:t>
            </w:r>
            <w:proofErr w:type="gramEnd"/>
            <w:r>
              <w:rPr>
                <w:szCs w:val="18"/>
              </w:rPr>
              <w:t>.</w:t>
            </w:r>
            <w:r w:rsidRPr="00360862">
              <w:rPr>
                <w:szCs w:val="18"/>
              </w:rPr>
              <w:t> </w:t>
            </w:r>
          </w:p>
        </w:tc>
      </w:tr>
      <w:tr w:rsidR="00B3406A" w:rsidRPr="00360862" w:rsidTr="00A82090">
        <w:trPr>
          <w:trHeight w:val="523"/>
        </w:trPr>
        <w:tc>
          <w:tcPr>
            <w:tcW w:w="1544" w:type="pct"/>
            <w:shd w:val="clear" w:color="auto" w:fill="F2F2F2" w:themeFill="background1" w:themeFillShade="F2"/>
            <w:hideMark/>
          </w:tcPr>
          <w:p w:rsidR="00B3406A" w:rsidRPr="00360862" w:rsidRDefault="00B3406A" w:rsidP="001E7257">
            <w:pPr>
              <w:spacing w:after="200"/>
              <w:rPr>
                <w:szCs w:val="18"/>
              </w:rPr>
            </w:pPr>
            <w:r w:rsidRPr="00360862">
              <w:rPr>
                <w:rFonts w:eastAsia="Calibri"/>
                <w:szCs w:val="18"/>
              </w:rPr>
              <w:t xml:space="preserve">NRT (gum or lozenge) vs </w:t>
            </w:r>
            <w:r w:rsidRPr="00360862">
              <w:rPr>
                <w:szCs w:val="18"/>
              </w:rPr>
              <w:t>NRT patch</w:t>
            </w:r>
          </w:p>
        </w:tc>
        <w:tc>
          <w:tcPr>
            <w:tcW w:w="1298" w:type="pct"/>
            <w:shd w:val="clear" w:color="auto" w:fill="F2F2F2" w:themeFill="background1" w:themeFillShade="F2"/>
            <w:hideMark/>
          </w:tcPr>
          <w:p w:rsidR="00B3406A" w:rsidRPr="006C1DAD" w:rsidRDefault="00B3406A" w:rsidP="00815A6D">
            <w:pPr>
              <w:pStyle w:val="ListParagraph"/>
              <w:numPr>
                <w:ilvl w:val="0"/>
                <w:numId w:val="45"/>
              </w:numPr>
              <w:rPr>
                <w:szCs w:val="18"/>
              </w:rPr>
            </w:pPr>
            <w:proofErr w:type="spellStart"/>
            <w:r w:rsidRPr="006C1DAD">
              <w:rPr>
                <w:szCs w:val="18"/>
              </w:rPr>
              <w:t>Lindson</w:t>
            </w:r>
            <w:proofErr w:type="spellEnd"/>
            <w:r w:rsidRPr="006C1DAD">
              <w:rPr>
                <w:szCs w:val="18"/>
              </w:rPr>
              <w:t xml:space="preserve"> (2019)</w:t>
            </w:r>
            <w:r w:rsidRPr="006C1DAD">
              <w:rPr>
                <w:szCs w:val="18"/>
                <w:vertAlign w:val="superscript"/>
              </w:rPr>
              <w:t>1</w:t>
            </w:r>
          </w:p>
        </w:tc>
        <w:tc>
          <w:tcPr>
            <w:tcW w:w="2158" w:type="pct"/>
            <w:shd w:val="clear" w:color="auto" w:fill="F2F2F2" w:themeFill="background1" w:themeFillShade="F2"/>
            <w:hideMark/>
          </w:tcPr>
          <w:p w:rsidR="00B3406A" w:rsidRPr="00360862" w:rsidRDefault="00B3406A" w:rsidP="00815A6D">
            <w:pPr>
              <w:pStyle w:val="ListParagraph"/>
              <w:numPr>
                <w:ilvl w:val="0"/>
                <w:numId w:val="42"/>
              </w:numPr>
              <w:rPr>
                <w:szCs w:val="18"/>
              </w:rPr>
            </w:pPr>
            <w:r w:rsidRPr="00360862">
              <w:rPr>
                <w:szCs w:val="18"/>
                <w:u w:val="single"/>
              </w:rPr>
              <w:t>Efficacy:</w:t>
            </w:r>
            <w:r w:rsidRPr="00360862">
              <w:rPr>
                <w:szCs w:val="18"/>
              </w:rPr>
              <w:t xml:space="preserve"> Not statistically significant</w:t>
            </w:r>
            <w:r>
              <w:rPr>
                <w:szCs w:val="18"/>
              </w:rPr>
              <w:t xml:space="preserve"> based on RR.</w:t>
            </w:r>
          </w:p>
          <w:p w:rsidR="00B3406A" w:rsidRPr="00360862" w:rsidRDefault="00B3406A" w:rsidP="00815A6D">
            <w:pPr>
              <w:pStyle w:val="ListParagraph"/>
              <w:numPr>
                <w:ilvl w:val="0"/>
                <w:numId w:val="42"/>
              </w:numPr>
              <w:rPr>
                <w:szCs w:val="18"/>
              </w:rPr>
            </w:pPr>
            <w:r w:rsidRPr="00360862">
              <w:rPr>
                <w:szCs w:val="18"/>
                <w:u w:val="single"/>
              </w:rPr>
              <w:t>Safety</w:t>
            </w:r>
            <w:r w:rsidRPr="00360862">
              <w:rPr>
                <w:szCs w:val="18"/>
              </w:rPr>
              <w:t>: Not statistically significant</w:t>
            </w:r>
            <w:r>
              <w:rPr>
                <w:szCs w:val="18"/>
              </w:rPr>
              <w:t xml:space="preserve"> based on RR</w:t>
            </w:r>
            <w:r w:rsidRPr="00360862">
              <w:rPr>
                <w:szCs w:val="18"/>
              </w:rPr>
              <w:t xml:space="preserve"> (</w:t>
            </w:r>
            <w:r>
              <w:rPr>
                <w:szCs w:val="18"/>
              </w:rPr>
              <w:t>S</w:t>
            </w:r>
            <w:r w:rsidRPr="00360862">
              <w:rPr>
                <w:szCs w:val="18"/>
              </w:rPr>
              <w:t>AEs, withdrawal due to treatment)</w:t>
            </w:r>
            <w:r>
              <w:rPr>
                <w:szCs w:val="18"/>
              </w:rPr>
              <w:t>.</w:t>
            </w:r>
          </w:p>
        </w:tc>
      </w:tr>
    </w:tbl>
    <w:p w:rsidR="00B3406A" w:rsidRDefault="00B3406A" w:rsidP="001E7257">
      <w:pPr>
        <w:pStyle w:val="TableFooter"/>
        <w:keepNext/>
      </w:pPr>
      <w:r>
        <w:t>Abbreviations: AEs = adverse events; NRT = nicotine replacement therapy; OR = odds ratio;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1 Cochrane Review</w:t>
      </w:r>
      <w:r>
        <w:t>.</w:t>
      </w:r>
    </w:p>
    <w:p w:rsidR="00B3406A" w:rsidRPr="00FD279D" w:rsidRDefault="00B3406A" w:rsidP="001E7257">
      <w:pPr>
        <w:pStyle w:val="TableFooter"/>
        <w:keepNext/>
      </w:pPr>
      <w:r>
        <w:t>2 Supplemental evidence (RCT).</w:t>
      </w:r>
    </w:p>
    <w:p w:rsidR="00B3406A" w:rsidRPr="00FD279D" w:rsidRDefault="00B3406A" w:rsidP="001E7257">
      <w:pPr>
        <w:pStyle w:val="TableFooter"/>
        <w:keepNext/>
      </w:pPr>
      <w:r>
        <w:t>3 Qualitative synthesis.</w:t>
      </w:r>
    </w:p>
    <w:p w:rsidR="00B3406A" w:rsidRPr="007F3B6D" w:rsidRDefault="00B3406A" w:rsidP="001E7257">
      <w:r w:rsidRPr="007F3B6D">
        <w:t>Treatment-experienced population</w:t>
      </w:r>
    </w:p>
    <w:p w:rsidR="00B3406A" w:rsidRDefault="00B3406A" w:rsidP="00D25738">
      <w:pPr>
        <w:pStyle w:val="ListParagraph"/>
        <w:numPr>
          <w:ilvl w:val="0"/>
          <w:numId w:val="22"/>
        </w:numPr>
        <w:ind w:left="360"/>
        <w:jc w:val="both"/>
      </w:pPr>
      <w:r w:rsidRPr="007F3B6D">
        <w:t xml:space="preserve">NRT </w:t>
      </w:r>
      <w:r>
        <w:t>has not previously been considered by the PBAC for treatment-experienced patients.</w:t>
      </w:r>
    </w:p>
    <w:p w:rsidR="00B3406A" w:rsidRDefault="00B3406A" w:rsidP="00D25738">
      <w:pPr>
        <w:pStyle w:val="ListParagraph"/>
        <w:numPr>
          <w:ilvl w:val="0"/>
          <w:numId w:val="22"/>
        </w:numPr>
        <w:ind w:left="360"/>
        <w:jc w:val="both"/>
      </w:pPr>
      <w:r>
        <w:t xml:space="preserve">There were no statistically significant differences between </w:t>
      </w:r>
      <w:r w:rsidRPr="007F3B6D">
        <w:t xml:space="preserve">NRT </w:t>
      </w:r>
      <w:r>
        <w:t>(either as gum or inhaler)</w:t>
      </w:r>
      <w:r w:rsidRPr="007F3B6D">
        <w:t xml:space="preserve"> </w:t>
      </w:r>
      <w:r>
        <w:t>and</w:t>
      </w:r>
      <w:r w:rsidRPr="007F3B6D">
        <w:t xml:space="preserve"> placebo in terms of efficacy as a relapse prevention treatment in abstainers.</w:t>
      </w:r>
      <w:r w:rsidRPr="001810E2">
        <w:t xml:space="preserve"> The adverse events reported were consistent with those expected of </w:t>
      </w:r>
      <w:r>
        <w:t>NRT</w:t>
      </w:r>
      <w:r w:rsidRPr="00663D67">
        <w:t>.</w:t>
      </w:r>
      <w:r w:rsidRPr="00280BDB">
        <w:t xml:space="preserve"> No evidence was identified comparing NRT monotherapy (either as patch, gum or lozenge) with placebo in patients who achieved abstinence after initial treatment with NRT monotherapy using the same formulation.</w:t>
      </w:r>
    </w:p>
    <w:p w:rsidR="002F3376" w:rsidRDefault="009B1ED8" w:rsidP="00D25738">
      <w:pPr>
        <w:pStyle w:val="ListParagraph"/>
        <w:numPr>
          <w:ilvl w:val="0"/>
          <w:numId w:val="22"/>
        </w:numPr>
        <w:ind w:left="360"/>
        <w:jc w:val="both"/>
      </w:pPr>
      <w:r w:rsidRPr="00455537">
        <w:t xml:space="preserve">The results of </w:t>
      </w:r>
      <w:proofErr w:type="spellStart"/>
      <w:r w:rsidRPr="00455537">
        <w:t>Gourlay</w:t>
      </w:r>
      <w:proofErr w:type="spellEnd"/>
      <w:r w:rsidRPr="00455537">
        <w:t xml:space="preserve"> et al. (1995), based on continuous abstinence rate, demonstrated no statistically significant difference between NRT patches and placebo in non-abstainers as retreatment at 6 months. However, there was a statistically significant improvement in smoking cessation rates using NRT patches based on 28-day point prevalence abstinence (RR: 2.49; 95% CI: 1.11, 5.57) at this point in the study by </w:t>
      </w:r>
      <w:proofErr w:type="spellStart"/>
      <w:r w:rsidRPr="00455537">
        <w:t>Gourlay</w:t>
      </w:r>
      <w:proofErr w:type="spellEnd"/>
      <w:r w:rsidRPr="00455537">
        <w:t xml:space="preserve"> et al. (1995) only. In terms of safety, there were no statistically significant differences between the two treatment arms for palpitations, tachycardia or chest pains. It was noted that the quit rates were low in both groups with either definition of abstinence. In terms of safety, there were no statistically significant differences between the two treatment arms for palpitations, tachycardia or chest pains.</w:t>
      </w:r>
    </w:p>
    <w:p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2336"/>
        <w:gridCol w:w="2699"/>
        <w:gridCol w:w="3981"/>
      </w:tblGrid>
      <w:tr w:rsidR="00B3406A" w:rsidRPr="00916516" w:rsidTr="00A82090">
        <w:trPr>
          <w:trHeight w:val="67"/>
        </w:trPr>
        <w:tc>
          <w:tcPr>
            <w:tcW w:w="1295" w:type="pct"/>
            <w:shd w:val="clear" w:color="auto" w:fill="F2F2F2" w:themeFill="background1" w:themeFillShade="F2"/>
            <w:hideMark/>
          </w:tcPr>
          <w:p w:rsidR="00B3406A" w:rsidRPr="00916516" w:rsidRDefault="00B3406A" w:rsidP="001E7257">
            <w:pPr>
              <w:spacing w:after="200"/>
              <w:rPr>
                <w:szCs w:val="18"/>
              </w:rPr>
            </w:pPr>
            <w:r w:rsidRPr="00916516">
              <w:rPr>
                <w:b/>
                <w:bCs/>
                <w:szCs w:val="18"/>
              </w:rPr>
              <w:t>Compar</w:t>
            </w:r>
            <w:r>
              <w:rPr>
                <w:b/>
                <w:bCs/>
                <w:szCs w:val="18"/>
              </w:rPr>
              <w:t>ison</w:t>
            </w:r>
          </w:p>
        </w:tc>
        <w:tc>
          <w:tcPr>
            <w:tcW w:w="1497" w:type="pct"/>
            <w:shd w:val="clear" w:color="auto" w:fill="F2F2F2" w:themeFill="background1" w:themeFillShade="F2"/>
            <w:hideMark/>
          </w:tcPr>
          <w:p w:rsidR="00B3406A" w:rsidRPr="00916516" w:rsidRDefault="00B3406A" w:rsidP="001E7257">
            <w:pPr>
              <w:spacing w:after="200"/>
              <w:jc w:val="center"/>
              <w:rPr>
                <w:szCs w:val="18"/>
              </w:rPr>
            </w:pPr>
            <w:r>
              <w:rPr>
                <w:b/>
                <w:bCs/>
                <w:szCs w:val="18"/>
              </w:rPr>
              <w:t>Included studies</w:t>
            </w:r>
          </w:p>
        </w:tc>
        <w:tc>
          <w:tcPr>
            <w:tcW w:w="2208" w:type="pct"/>
            <w:shd w:val="clear" w:color="auto" w:fill="F2F2F2" w:themeFill="background1" w:themeFillShade="F2"/>
            <w:hideMark/>
          </w:tcPr>
          <w:p w:rsidR="00B3406A" w:rsidRPr="00916516" w:rsidRDefault="00B3406A" w:rsidP="001E7257">
            <w:pPr>
              <w:spacing w:after="200"/>
              <w:jc w:val="center"/>
              <w:rPr>
                <w:szCs w:val="18"/>
              </w:rPr>
            </w:pPr>
            <w:r>
              <w:rPr>
                <w:b/>
                <w:bCs/>
                <w:szCs w:val="18"/>
              </w:rPr>
              <w:t>Summary of evidence</w:t>
            </w:r>
          </w:p>
        </w:tc>
      </w:tr>
      <w:tr w:rsidR="00B3406A" w:rsidRPr="00916516" w:rsidTr="00A82090">
        <w:trPr>
          <w:trHeight w:val="67"/>
        </w:trPr>
        <w:tc>
          <w:tcPr>
            <w:tcW w:w="5000" w:type="pct"/>
            <w:gridSpan w:val="3"/>
            <w:shd w:val="clear" w:color="auto" w:fill="F2F2F2" w:themeFill="background1" w:themeFillShade="F2"/>
            <w:hideMark/>
          </w:tcPr>
          <w:p w:rsidR="00B3406A" w:rsidRPr="00916516" w:rsidRDefault="00B3406A" w:rsidP="001E7257">
            <w:pPr>
              <w:spacing w:after="200"/>
              <w:rPr>
                <w:szCs w:val="18"/>
              </w:rPr>
            </w:pPr>
            <w:r w:rsidRPr="00916516">
              <w:rPr>
                <w:b/>
                <w:bCs/>
                <w:szCs w:val="18"/>
              </w:rPr>
              <w:t>Treatment-experienced population (relapse prevention treatment in abstainers)</w:t>
            </w:r>
          </w:p>
        </w:tc>
      </w:tr>
      <w:tr w:rsidR="00B3406A" w:rsidRPr="00916516" w:rsidTr="00A82090">
        <w:trPr>
          <w:trHeight w:val="333"/>
        </w:trPr>
        <w:tc>
          <w:tcPr>
            <w:tcW w:w="1295" w:type="pct"/>
            <w:shd w:val="clear" w:color="auto" w:fill="F2F2F2" w:themeFill="background1" w:themeFillShade="F2"/>
            <w:hideMark/>
          </w:tcPr>
          <w:p w:rsidR="00B3406A" w:rsidRPr="00360862" w:rsidRDefault="00B3406A" w:rsidP="001E7257">
            <w:pPr>
              <w:spacing w:after="200"/>
              <w:rPr>
                <w:szCs w:val="18"/>
              </w:rPr>
            </w:pPr>
            <w:r w:rsidRPr="00360862">
              <w:rPr>
                <w:szCs w:val="18"/>
              </w:rPr>
              <w:t>NRT (gum or inhaler) vs p</w:t>
            </w:r>
            <w:r w:rsidRPr="00360862">
              <w:rPr>
                <w:rFonts w:eastAsia="Calibri"/>
                <w:szCs w:val="18"/>
              </w:rPr>
              <w:t>lacebo</w:t>
            </w:r>
          </w:p>
        </w:tc>
        <w:tc>
          <w:tcPr>
            <w:tcW w:w="1497" w:type="pct"/>
            <w:shd w:val="clear" w:color="auto" w:fill="F2F2F2" w:themeFill="background1" w:themeFillShade="F2"/>
            <w:hideMark/>
          </w:tcPr>
          <w:p w:rsidR="00B3406A" w:rsidRPr="0081007D" w:rsidRDefault="00B3406A" w:rsidP="00815A6D">
            <w:pPr>
              <w:pStyle w:val="ListParagraph"/>
              <w:numPr>
                <w:ilvl w:val="0"/>
                <w:numId w:val="48"/>
              </w:numPr>
              <w:rPr>
                <w:szCs w:val="18"/>
              </w:rPr>
            </w:pPr>
            <w:r w:rsidRPr="0081007D">
              <w:rPr>
                <w:szCs w:val="18"/>
              </w:rPr>
              <w:t>Livingstone-Banks (2019)</w:t>
            </w:r>
            <w:r w:rsidRPr="0081007D">
              <w:rPr>
                <w:szCs w:val="18"/>
                <w:vertAlign w:val="superscript"/>
              </w:rPr>
              <w:t>1</w:t>
            </w:r>
          </w:p>
        </w:tc>
        <w:tc>
          <w:tcPr>
            <w:tcW w:w="2208" w:type="pct"/>
            <w:shd w:val="clear" w:color="auto" w:fill="F2F2F2" w:themeFill="background1" w:themeFillShade="F2"/>
            <w:hideMark/>
          </w:tcPr>
          <w:p w:rsidR="00B3406A" w:rsidRPr="00360862" w:rsidRDefault="00B3406A" w:rsidP="00815A6D">
            <w:pPr>
              <w:pStyle w:val="ListParagraph"/>
              <w:numPr>
                <w:ilvl w:val="0"/>
                <w:numId w:val="46"/>
              </w:numPr>
              <w:rPr>
                <w:szCs w:val="18"/>
              </w:rPr>
            </w:pPr>
            <w:r w:rsidRPr="00360862">
              <w:rPr>
                <w:szCs w:val="18"/>
              </w:rPr>
              <w:t>Efficacy: Not statistically significant</w:t>
            </w:r>
            <w:r>
              <w:rPr>
                <w:szCs w:val="18"/>
              </w:rPr>
              <w:t xml:space="preserve"> based on RR.</w:t>
            </w:r>
          </w:p>
          <w:p w:rsidR="00B3406A" w:rsidRPr="00360862" w:rsidRDefault="00B3406A" w:rsidP="00815A6D">
            <w:pPr>
              <w:pStyle w:val="ListParagraph"/>
              <w:numPr>
                <w:ilvl w:val="0"/>
                <w:numId w:val="46"/>
              </w:numPr>
              <w:rPr>
                <w:szCs w:val="18"/>
              </w:rPr>
            </w:pPr>
            <w:r w:rsidRPr="00360862">
              <w:rPr>
                <w:szCs w:val="18"/>
              </w:rPr>
              <w:t xml:space="preserve">Safety: </w:t>
            </w:r>
            <w:r w:rsidRPr="00360862">
              <w:rPr>
                <w:rFonts w:eastAsia="Calibri"/>
                <w:szCs w:val="18"/>
              </w:rPr>
              <w:t>AEs reported were consistent with those expected of NRT</w:t>
            </w:r>
            <w:r>
              <w:rPr>
                <w:rFonts w:eastAsia="Calibri"/>
                <w:szCs w:val="18"/>
              </w:rPr>
              <w:t>.</w:t>
            </w:r>
          </w:p>
        </w:tc>
      </w:tr>
      <w:tr w:rsidR="00B3406A" w:rsidRPr="00916516" w:rsidTr="00A82090">
        <w:trPr>
          <w:trHeight w:val="67"/>
        </w:trPr>
        <w:tc>
          <w:tcPr>
            <w:tcW w:w="5000" w:type="pct"/>
            <w:gridSpan w:val="3"/>
            <w:shd w:val="clear" w:color="auto" w:fill="F2F2F2" w:themeFill="background1" w:themeFillShade="F2"/>
            <w:hideMark/>
          </w:tcPr>
          <w:p w:rsidR="00B3406A" w:rsidRPr="00916516" w:rsidRDefault="00B3406A" w:rsidP="001E7257">
            <w:pPr>
              <w:rPr>
                <w:szCs w:val="18"/>
              </w:rPr>
            </w:pPr>
            <w:r w:rsidRPr="00916516">
              <w:rPr>
                <w:b/>
                <w:bCs/>
                <w:szCs w:val="18"/>
              </w:rPr>
              <w:t>Treatment-experienced population (retreatment in non-abstainers)</w:t>
            </w:r>
          </w:p>
        </w:tc>
      </w:tr>
      <w:tr w:rsidR="00B3406A" w:rsidRPr="00916516" w:rsidTr="00A82090">
        <w:trPr>
          <w:trHeight w:val="441"/>
        </w:trPr>
        <w:tc>
          <w:tcPr>
            <w:tcW w:w="1295" w:type="pct"/>
            <w:shd w:val="clear" w:color="auto" w:fill="F2F2F2" w:themeFill="background1" w:themeFillShade="F2"/>
            <w:hideMark/>
          </w:tcPr>
          <w:p w:rsidR="00B3406A" w:rsidRPr="00360862" w:rsidRDefault="00B3406A" w:rsidP="001E7257">
            <w:pPr>
              <w:spacing w:after="200"/>
              <w:rPr>
                <w:szCs w:val="18"/>
              </w:rPr>
            </w:pPr>
            <w:r w:rsidRPr="00360862">
              <w:rPr>
                <w:szCs w:val="18"/>
              </w:rPr>
              <w:t>NRT (patch) vs p</w:t>
            </w:r>
            <w:r w:rsidRPr="00360862">
              <w:rPr>
                <w:rFonts w:eastAsia="Calibri"/>
                <w:szCs w:val="18"/>
              </w:rPr>
              <w:t>lacebo</w:t>
            </w:r>
          </w:p>
        </w:tc>
        <w:tc>
          <w:tcPr>
            <w:tcW w:w="1497" w:type="pct"/>
            <w:shd w:val="clear" w:color="auto" w:fill="F2F2F2" w:themeFill="background1" w:themeFillShade="F2"/>
            <w:hideMark/>
          </w:tcPr>
          <w:p w:rsidR="00B3406A" w:rsidRPr="0081007D" w:rsidRDefault="00B3406A" w:rsidP="00815A6D">
            <w:pPr>
              <w:pStyle w:val="ListParagraph"/>
              <w:numPr>
                <w:ilvl w:val="0"/>
                <w:numId w:val="49"/>
              </w:numPr>
              <w:rPr>
                <w:szCs w:val="18"/>
              </w:rPr>
            </w:pPr>
            <w:proofErr w:type="spellStart"/>
            <w:r w:rsidRPr="0081007D">
              <w:rPr>
                <w:szCs w:val="18"/>
              </w:rPr>
              <w:t>Gourlay</w:t>
            </w:r>
            <w:proofErr w:type="spellEnd"/>
            <w:r>
              <w:rPr>
                <w:szCs w:val="18"/>
              </w:rPr>
              <w:t xml:space="preserve"> </w:t>
            </w:r>
            <w:r w:rsidRPr="0081007D">
              <w:rPr>
                <w:szCs w:val="18"/>
              </w:rPr>
              <w:t>(1995</w:t>
            </w:r>
            <w:r>
              <w:rPr>
                <w:szCs w:val="18"/>
              </w:rPr>
              <w:t>)</w:t>
            </w:r>
            <w:r>
              <w:rPr>
                <w:szCs w:val="18"/>
                <w:vertAlign w:val="superscript"/>
              </w:rPr>
              <w:t>2</w:t>
            </w:r>
          </w:p>
        </w:tc>
        <w:tc>
          <w:tcPr>
            <w:tcW w:w="2208" w:type="pct"/>
            <w:shd w:val="clear" w:color="auto" w:fill="F2F2F2" w:themeFill="background1" w:themeFillShade="F2"/>
            <w:hideMark/>
          </w:tcPr>
          <w:p w:rsidR="00B3406A" w:rsidRPr="00360862" w:rsidRDefault="00B3406A" w:rsidP="00815A6D">
            <w:pPr>
              <w:pStyle w:val="ListParagraph"/>
              <w:numPr>
                <w:ilvl w:val="0"/>
                <w:numId w:val="47"/>
              </w:numPr>
              <w:rPr>
                <w:szCs w:val="18"/>
              </w:rPr>
            </w:pPr>
            <w:r w:rsidRPr="00360862">
              <w:rPr>
                <w:szCs w:val="18"/>
              </w:rPr>
              <w:t>Efficacy: Not statistically significant</w:t>
            </w:r>
            <w:r>
              <w:rPr>
                <w:szCs w:val="18"/>
              </w:rPr>
              <w:t xml:space="preserve"> based on RR and RD.</w:t>
            </w:r>
          </w:p>
          <w:p w:rsidR="00B3406A" w:rsidRPr="00A303FF" w:rsidRDefault="00B3406A" w:rsidP="00815A6D">
            <w:pPr>
              <w:pStyle w:val="ListParagraph"/>
              <w:numPr>
                <w:ilvl w:val="0"/>
                <w:numId w:val="47"/>
              </w:numPr>
              <w:rPr>
                <w:szCs w:val="18"/>
              </w:rPr>
            </w:pPr>
            <w:r w:rsidRPr="00360862">
              <w:rPr>
                <w:szCs w:val="18"/>
              </w:rPr>
              <w:t xml:space="preserve">Safety: Not statistically significant </w:t>
            </w:r>
            <w:r>
              <w:rPr>
                <w:szCs w:val="18"/>
              </w:rPr>
              <w:t xml:space="preserve">based on RR and RD </w:t>
            </w:r>
            <w:r w:rsidRPr="00A303FF">
              <w:rPr>
                <w:szCs w:val="18"/>
              </w:rPr>
              <w:t xml:space="preserve">(palpitations, tachycardia, </w:t>
            </w:r>
            <w:proofErr w:type="gramStart"/>
            <w:r w:rsidRPr="00A303FF">
              <w:rPr>
                <w:szCs w:val="18"/>
              </w:rPr>
              <w:t>chest</w:t>
            </w:r>
            <w:proofErr w:type="gramEnd"/>
            <w:r w:rsidRPr="00A303FF">
              <w:rPr>
                <w:szCs w:val="18"/>
              </w:rPr>
              <w:t xml:space="preserve"> pains)</w:t>
            </w:r>
            <w:r>
              <w:rPr>
                <w:szCs w:val="18"/>
              </w:rPr>
              <w:t>.</w:t>
            </w:r>
          </w:p>
        </w:tc>
      </w:tr>
    </w:tbl>
    <w:p w:rsidR="00B3406A" w:rsidRDefault="00B3406A" w:rsidP="001E7257">
      <w:pPr>
        <w:pStyle w:val="TableFooter"/>
        <w:keepNext/>
      </w:pPr>
      <w:r>
        <w:t>Abbreviations: AEs = adverse events; OR = odds ratio; RR = risk ratio, RD = risk difference.</w:t>
      </w:r>
    </w:p>
    <w:p w:rsidR="00B3406A" w:rsidRDefault="00B3406A" w:rsidP="001E7257">
      <w:pPr>
        <w:pStyle w:val="TableFooter"/>
        <w:keepNext/>
      </w:pPr>
      <w:r w:rsidRPr="00BE36E8">
        <w:t xml:space="preserve">Notes: </w:t>
      </w:r>
    </w:p>
    <w:p w:rsidR="00B3406A" w:rsidRPr="00487DD4" w:rsidRDefault="00B3406A" w:rsidP="001E7257">
      <w:pPr>
        <w:pStyle w:val="TableFooter"/>
        <w:keepNext/>
      </w:pPr>
      <w:r w:rsidRPr="00BE36E8">
        <w:t>1 Cochrane Review</w:t>
      </w:r>
      <w:r>
        <w:t xml:space="preserve">. </w:t>
      </w:r>
      <w:r w:rsidRPr="006635AD">
        <w:t xml:space="preserve">None of the studies identified by Livingstone-Banks et al. (2019) compared NRT monotherapy (either as patch, gum or lozenge) with placebo in patients who achieved abstinence after initial treatment with NRT monotherapy using the same formulation. In Covey et al. (2007), patients were provided bupropion plus NRT patches in the initial treatment phase while patients were provided NRT inhaler in </w:t>
      </w:r>
      <w:proofErr w:type="spellStart"/>
      <w:r w:rsidRPr="006635AD">
        <w:t>Croghan</w:t>
      </w:r>
      <w:proofErr w:type="spellEnd"/>
      <w:r w:rsidRPr="006635AD">
        <w:t xml:space="preserve"> et al. (2007)</w:t>
      </w:r>
      <w:r>
        <w:t>.</w:t>
      </w:r>
    </w:p>
    <w:p w:rsidR="00B3406A" w:rsidRPr="00487DD4" w:rsidRDefault="007D1349" w:rsidP="007D1349">
      <w:pPr>
        <w:pStyle w:val="TableFooter"/>
        <w:keepNext/>
      </w:pPr>
      <w:r>
        <w:t xml:space="preserve">2 </w:t>
      </w:r>
      <w:r w:rsidR="00B3406A">
        <w:t>Included in Cochrane Review by Hartmann-Boyce et al. (2018).</w:t>
      </w:r>
    </w:p>
    <w:p w:rsidR="00B3406A" w:rsidRDefault="00280A7C" w:rsidP="00280A7C">
      <w:pPr>
        <w:pStyle w:val="Heading3"/>
        <w:spacing w:before="240" w:after="200"/>
      </w:pPr>
      <w:bookmarkStart w:id="45" w:name="_Toc63082730"/>
      <w:bookmarkStart w:id="46" w:name="_Toc72848460"/>
      <w:r>
        <w:t xml:space="preserve">3.2 </w:t>
      </w:r>
      <w:r w:rsidR="00B3406A">
        <w:t>Combination therapy in the general population</w:t>
      </w:r>
      <w:bookmarkEnd w:id="45"/>
      <w:bookmarkEnd w:id="46"/>
    </w:p>
    <w:p w:rsidR="00B3406A" w:rsidRDefault="00B3406A" w:rsidP="001E7257">
      <w:pPr>
        <w:rPr>
          <w:rFonts w:eastAsiaTheme="minorEastAsia"/>
          <w:b/>
          <w:i/>
          <w:sz w:val="28"/>
          <w:szCs w:val="28"/>
        </w:rPr>
      </w:pPr>
      <w:r w:rsidRPr="009F485D">
        <w:rPr>
          <w:rFonts w:eastAsiaTheme="minorEastAsia"/>
          <w:b/>
          <w:i/>
          <w:sz w:val="28"/>
          <w:szCs w:val="28"/>
        </w:rPr>
        <w:t>Summarise the comparative efficacy and safety of PBS-listed treatments when used as combination therapy</w:t>
      </w:r>
    </w:p>
    <w:p w:rsidR="00B3406A" w:rsidRPr="00663D67" w:rsidRDefault="00B3406A" w:rsidP="00D25738">
      <w:pPr>
        <w:jc w:val="both"/>
      </w:pPr>
      <w:r w:rsidRPr="00541990">
        <w:t>Combination therapies for smoking cessation have not been previously considered by the PBAC. In March 2018, the PBAC noted that the latest clinical guidelines encouraged health professionals to consider recommending the use of combination NRT (e.g. NRT patch with NRT gum or lozenges)</w:t>
      </w:r>
      <w:r>
        <w:t>.</w:t>
      </w:r>
    </w:p>
    <w:p w:rsidR="00B3406A" w:rsidRPr="00B23D0F" w:rsidRDefault="00B3406A" w:rsidP="00684849">
      <w:pPr>
        <w:pStyle w:val="Heading6"/>
        <w:numPr>
          <w:ilvl w:val="2"/>
          <w:numId w:val="69"/>
        </w:numPr>
        <w:spacing w:after="240"/>
        <w:rPr>
          <w:rFonts w:asciiTheme="minorHAnsi" w:hAnsiTheme="minorHAnsi" w:cstheme="minorHAnsi"/>
          <w:b/>
          <w:i w:val="0"/>
          <w:color w:val="auto"/>
        </w:rPr>
      </w:pPr>
      <w:r w:rsidRPr="00B23D0F">
        <w:rPr>
          <w:rFonts w:asciiTheme="minorHAnsi" w:hAnsiTheme="minorHAnsi" w:cstheme="minorHAnsi"/>
          <w:b/>
          <w:i w:val="0"/>
          <w:color w:val="auto"/>
        </w:rPr>
        <w:t>Combination NRT</w:t>
      </w:r>
    </w:p>
    <w:p w:rsidR="00B3406A" w:rsidRPr="007F3B6D" w:rsidRDefault="00B3406A" w:rsidP="001E7257">
      <w:r w:rsidRPr="007F3B6D">
        <w:t>Treatment-naïve population</w:t>
      </w:r>
    </w:p>
    <w:p w:rsidR="00B3406A" w:rsidRDefault="00B3406A" w:rsidP="00D25738">
      <w:pPr>
        <w:pStyle w:val="ListParagraph"/>
        <w:numPr>
          <w:ilvl w:val="0"/>
          <w:numId w:val="23"/>
        </w:numPr>
        <w:ind w:left="360"/>
        <w:jc w:val="both"/>
      </w:pPr>
      <w:r w:rsidRPr="0076496A">
        <w:t>Combination NRT (patch + lozenge, patch + lozenge and gum) was shown to be superior to placebo in terms of efficacy, noting the results of the updated re-analysis for NRT patch + lozenge were statistically significant based on risk ratio but not risk difference. There were no statistically significant differences in smoking cessation rates between NRT patch + gum or NRT patch + inhalator and placebo. The non-significant result of NRT patch + gum was likely due to the study design issues, such as small sample size, leading to insufficient power to detect a modest treatment effect with reasonable certainty. The incidence of adverse events comparing combination NRT with placebo was not synthesised quantitatively. However, based on one RCT, which did not detect a statistically significant difference in efficacy, no statistically significant differences between NRT patch + lozenge and placebo were reported in terms of any adverse events and serious adverse events.</w:t>
      </w:r>
    </w:p>
    <w:p w:rsidR="00B3406A" w:rsidRPr="0076496A" w:rsidRDefault="00B3406A" w:rsidP="00D25738">
      <w:pPr>
        <w:pStyle w:val="ListParagraph"/>
        <w:numPr>
          <w:ilvl w:val="0"/>
          <w:numId w:val="23"/>
        </w:numPr>
        <w:ind w:left="360"/>
        <w:jc w:val="both"/>
      </w:pPr>
      <w:r w:rsidRPr="0076496A">
        <w:t>Combination NRT was shown to be superior to NRT monotherapy (patch or fast-acting) in terms of efficacy. In terms of safety, there were no statistically significant differences in cardiac adverse events, serious adverse events or withdrawals due to treatment. Additional subgroup analyses were conducted during the review to determine the comparative effectiveness of the different types of combination NRT formulations:</w:t>
      </w:r>
    </w:p>
    <w:p w:rsidR="00B3406A" w:rsidRPr="003C0301" w:rsidRDefault="00B3406A" w:rsidP="00D25738">
      <w:pPr>
        <w:pStyle w:val="ListParagraph"/>
        <w:numPr>
          <w:ilvl w:val="0"/>
          <w:numId w:val="24"/>
        </w:numPr>
        <w:ind w:left="1080"/>
        <w:jc w:val="both"/>
      </w:pPr>
      <w:r>
        <w:t>C</w:t>
      </w:r>
      <w:r w:rsidRPr="003C0301">
        <w:t xml:space="preserve">ombination NRT versus NRT </w:t>
      </w:r>
      <w:r>
        <w:t>patches: for this comparison</w:t>
      </w:r>
      <w:r w:rsidRPr="003C0301">
        <w:t xml:space="preserve"> NRT patch + lozenge and NRT patch + gum were shown to provide a significantly higher rate of smoking cessation compared to NRT </w:t>
      </w:r>
      <w:r>
        <w:t>patches</w:t>
      </w:r>
      <w:r w:rsidRPr="003C0301">
        <w:t xml:space="preserve"> alone. There were no statistically significant differences observed for the other types of combination NRT formulations (patch + nasal spray, patch + inhaler, patch + oral spray)</w:t>
      </w:r>
      <w:r>
        <w:t xml:space="preserve"> when compared to NRT patches alone</w:t>
      </w:r>
      <w:r w:rsidRPr="003C0301">
        <w:t>.</w:t>
      </w:r>
    </w:p>
    <w:p w:rsidR="00B3406A" w:rsidRPr="003C0301" w:rsidRDefault="00B3406A" w:rsidP="00D25738">
      <w:pPr>
        <w:pStyle w:val="ListParagraph"/>
        <w:numPr>
          <w:ilvl w:val="0"/>
          <w:numId w:val="24"/>
        </w:numPr>
        <w:ind w:left="1080"/>
        <w:jc w:val="both"/>
      </w:pPr>
      <w:r>
        <w:t>C</w:t>
      </w:r>
      <w:r w:rsidRPr="003C0301">
        <w:t>ombination NRT versus fast-acting NRT</w:t>
      </w:r>
      <w:r>
        <w:t>; for this comparison</w:t>
      </w:r>
      <w:r w:rsidRPr="003C0301">
        <w:t xml:space="preserve"> only NRT patch + lozenge was shown to provide a significantly higher rate of smoking cessation compared to fast-acting NRT alone. There were no statistically significant differences observed for the other types of combination NRT formulations (patch + gum, patch + nasal spray, patch + inhaler)</w:t>
      </w:r>
      <w:r>
        <w:t xml:space="preserve"> when compared to fast-acting NRT alone</w:t>
      </w:r>
      <w:r w:rsidRPr="003C0301">
        <w:t>.</w:t>
      </w:r>
    </w:p>
    <w:p w:rsidR="00B3406A" w:rsidRDefault="00B3406A" w:rsidP="00D25738">
      <w:pPr>
        <w:pStyle w:val="ListParagraph"/>
        <w:numPr>
          <w:ilvl w:val="0"/>
          <w:numId w:val="25"/>
        </w:numPr>
        <w:ind w:left="360"/>
        <w:jc w:val="both"/>
      </w:pPr>
      <w:r w:rsidRPr="00816F20">
        <w:t xml:space="preserve">Combination NRT (patch + lozenge) was shown to be inferior to </w:t>
      </w:r>
      <w:proofErr w:type="spellStart"/>
      <w:r w:rsidRPr="00816F20">
        <w:t>varenicline</w:t>
      </w:r>
      <w:proofErr w:type="spellEnd"/>
      <w:r w:rsidRPr="00816F20">
        <w:t xml:space="preserve"> in terms of efficacy </w:t>
      </w:r>
      <w:r>
        <w:t>with no statistically significant differences</w:t>
      </w:r>
      <w:r w:rsidRPr="00816F20">
        <w:t xml:space="preserve"> in terms of safety based on one direct </w:t>
      </w:r>
      <w:r>
        <w:t>randomised controlled trial (</w:t>
      </w:r>
      <w:r w:rsidRPr="00816F20">
        <w:t>RCT</w:t>
      </w:r>
      <w:r>
        <w:t>)</w:t>
      </w:r>
      <w:r w:rsidRPr="00816F20">
        <w:t xml:space="preserve">. There was a statistically significant difference in point prevalence abstinence at 6 months, in favour of </w:t>
      </w:r>
      <w:proofErr w:type="spellStart"/>
      <w:r w:rsidRPr="00816F20">
        <w:t>varenicline</w:t>
      </w:r>
      <w:proofErr w:type="spellEnd"/>
      <w:r w:rsidRPr="00816F20">
        <w:t xml:space="preserve">, while there were no statistically significant differences across the key adverse events between the two treatment arms, except for nausea and vivid dreams which were significantly higher in the </w:t>
      </w:r>
      <w:proofErr w:type="spellStart"/>
      <w:r w:rsidRPr="00816F20">
        <w:t>varenicline</w:t>
      </w:r>
      <w:proofErr w:type="spellEnd"/>
      <w:r w:rsidRPr="00816F20">
        <w:t xml:space="preserve"> arm. However, the results of the network meta-analysis by Cahill et al. (2013) demonstrated no statistically significant difference in smoking cessation rates between combination NRT and </w:t>
      </w:r>
      <w:proofErr w:type="spellStart"/>
      <w:r w:rsidRPr="00816F20">
        <w:t>varenicline</w:t>
      </w:r>
      <w:proofErr w:type="spellEnd"/>
      <w:r w:rsidRPr="00816F20">
        <w:t xml:space="preserve">, although the results numerically favoured </w:t>
      </w:r>
      <w:proofErr w:type="spellStart"/>
      <w:r w:rsidRPr="00816F20">
        <w:t>varenicline</w:t>
      </w:r>
      <w:proofErr w:type="spellEnd"/>
      <w:r w:rsidR="00077455">
        <w:t>.</w:t>
      </w:r>
      <w:r w:rsidRPr="00816F20">
        <w:t xml:space="preserve"> </w:t>
      </w:r>
      <w:r w:rsidR="00077455">
        <w:t>T</w:t>
      </w:r>
      <w:r w:rsidRPr="00816F20">
        <w:t>he type</w:t>
      </w:r>
      <w:r>
        <w:t>s</w:t>
      </w:r>
      <w:r w:rsidRPr="00816F20">
        <w:t xml:space="preserve"> of formulation</w:t>
      </w:r>
      <w:r>
        <w:t>s</w:t>
      </w:r>
      <w:r w:rsidRPr="00816F20">
        <w:t xml:space="preserve"> used in the combination NRT treatment arm w</w:t>
      </w:r>
      <w:r>
        <w:t>ere</w:t>
      </w:r>
      <w:r w:rsidRPr="00816F20">
        <w:t xml:space="preserve"> </w:t>
      </w:r>
      <w:r>
        <w:t xml:space="preserve">clinically </w:t>
      </w:r>
      <w:r w:rsidR="007918CA">
        <w:t>heterogeneous</w:t>
      </w:r>
      <w:r w:rsidR="00077455">
        <w:t xml:space="preserve"> and t</w:t>
      </w:r>
      <w:r w:rsidRPr="00E44386">
        <w:t>he results of the network meta-analysis should be interpreted with caution due to potential biases and uncertainties arising from heterogeneity and inconsistent outcomes between studies</w:t>
      </w:r>
      <w:r>
        <w:t>.</w:t>
      </w:r>
    </w:p>
    <w:p w:rsidR="002F3376" w:rsidRDefault="00B3406A" w:rsidP="00D25738">
      <w:pPr>
        <w:pStyle w:val="ListParagraph"/>
        <w:numPr>
          <w:ilvl w:val="0"/>
          <w:numId w:val="25"/>
        </w:numPr>
        <w:ind w:left="360"/>
        <w:jc w:val="both"/>
      </w:pPr>
      <w:r w:rsidRPr="00925038">
        <w:t xml:space="preserve">Combination NRT was shown to be superior to bupropion in terms of efficacy based on the results of the network meta-analysis by Cahill et al. (2013) (no direct RCT was identified for this comparison). Similarly, </w:t>
      </w:r>
      <w:r w:rsidRPr="00070196">
        <w:t>this result should be interpreted with caution due to the general limitation</w:t>
      </w:r>
      <w:r>
        <w:t>s</w:t>
      </w:r>
      <w:r w:rsidRPr="00070196">
        <w:t xml:space="preserve"> of network meta-analyses and</w:t>
      </w:r>
      <w:r w:rsidRPr="00925038">
        <w:t xml:space="preserve"> the type</w:t>
      </w:r>
      <w:r>
        <w:t>s</w:t>
      </w:r>
      <w:r w:rsidRPr="00925038">
        <w:t xml:space="preserve"> of formulation</w:t>
      </w:r>
      <w:r>
        <w:t>s</w:t>
      </w:r>
      <w:r w:rsidRPr="00925038">
        <w:t xml:space="preserve"> used in the combination NRT treatment arm w</w:t>
      </w:r>
      <w:r>
        <w:t xml:space="preserve">ere clinically </w:t>
      </w:r>
      <w:r w:rsidR="007918CA">
        <w:t>heterogeneous</w:t>
      </w:r>
      <w:r w:rsidRPr="00925038">
        <w:t>.</w:t>
      </w:r>
    </w:p>
    <w:p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5"/>
        <w:gridCol w:w="2611"/>
        <w:gridCol w:w="4430"/>
      </w:tblGrid>
      <w:tr w:rsidR="00B3406A" w:rsidRPr="00916516" w:rsidTr="00A82090">
        <w:trPr>
          <w:trHeight w:val="215"/>
        </w:trPr>
        <w:tc>
          <w:tcPr>
            <w:tcW w:w="109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448"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4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16516" w:rsidTr="00A82090">
        <w:trPr>
          <w:trHeight w:val="164"/>
        </w:trPr>
        <w:tc>
          <w:tcPr>
            <w:tcW w:w="5000" w:type="pct"/>
            <w:gridSpan w:val="3"/>
            <w:shd w:val="clear" w:color="auto" w:fill="F2F2F2" w:themeFill="background1" w:themeFillShade="F2"/>
            <w:hideMark/>
          </w:tcPr>
          <w:p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rsidTr="00A82090">
        <w:trPr>
          <w:trHeight w:val="345"/>
        </w:trPr>
        <w:tc>
          <w:tcPr>
            <w:tcW w:w="1095" w:type="pct"/>
            <w:shd w:val="clear" w:color="auto" w:fill="F2F2F2" w:themeFill="background1" w:themeFillShade="F2"/>
            <w:hideMark/>
          </w:tcPr>
          <w:p w:rsidR="00B3406A" w:rsidRPr="00360862" w:rsidRDefault="00B3406A" w:rsidP="001E7257">
            <w:pPr>
              <w:spacing w:after="200"/>
              <w:rPr>
                <w:szCs w:val="18"/>
              </w:rPr>
            </w:pPr>
            <w:r>
              <w:rPr>
                <w:szCs w:val="18"/>
              </w:rPr>
              <w:t>Combination NRT</w:t>
            </w:r>
            <w:r w:rsidRPr="007B1E27">
              <w:rPr>
                <w:szCs w:val="18"/>
                <w:vertAlign w:val="superscript"/>
              </w:rPr>
              <w:t>1</w:t>
            </w:r>
            <w:r>
              <w:rPr>
                <w:szCs w:val="18"/>
              </w:rPr>
              <w:t xml:space="preserve"> vs placebo</w:t>
            </w:r>
          </w:p>
        </w:tc>
        <w:tc>
          <w:tcPr>
            <w:tcW w:w="1448" w:type="pct"/>
            <w:shd w:val="clear" w:color="auto" w:fill="F2F2F2" w:themeFill="background1" w:themeFillShade="F2"/>
            <w:hideMark/>
          </w:tcPr>
          <w:p w:rsidR="00B3406A" w:rsidRPr="002A5E9C" w:rsidRDefault="00B3406A" w:rsidP="00815A6D">
            <w:pPr>
              <w:pStyle w:val="ListParagraph"/>
              <w:numPr>
                <w:ilvl w:val="0"/>
                <w:numId w:val="43"/>
              </w:numPr>
              <w:rPr>
                <w:szCs w:val="18"/>
              </w:rPr>
            </w:pPr>
            <w:r w:rsidRPr="00AA0389">
              <w:rPr>
                <w:szCs w:val="18"/>
              </w:rPr>
              <w:t>Hartmann-Boyce (2018)</w:t>
            </w:r>
            <w:r w:rsidRPr="00AA0389">
              <w:rPr>
                <w:szCs w:val="18"/>
                <w:vertAlign w:val="superscript"/>
              </w:rPr>
              <w:t>6</w:t>
            </w:r>
          </w:p>
          <w:p w:rsidR="00B3406A" w:rsidRPr="00AA0389" w:rsidRDefault="00B3406A" w:rsidP="00815A6D">
            <w:pPr>
              <w:pStyle w:val="ListParagraph"/>
              <w:numPr>
                <w:ilvl w:val="0"/>
                <w:numId w:val="43"/>
              </w:numPr>
              <w:rPr>
                <w:szCs w:val="18"/>
              </w:rPr>
            </w:pPr>
            <w:r w:rsidRPr="00AA0389">
              <w:rPr>
                <w:szCs w:val="18"/>
              </w:rPr>
              <w:t>Chen</w:t>
            </w:r>
            <w:r>
              <w:rPr>
                <w:szCs w:val="18"/>
              </w:rPr>
              <w:t xml:space="preserve"> </w:t>
            </w:r>
            <w:r w:rsidRPr="00AA0389">
              <w:rPr>
                <w:szCs w:val="18"/>
              </w:rPr>
              <w:t>(2020)</w:t>
            </w:r>
            <w:r w:rsidRPr="00AA0389">
              <w:rPr>
                <w:szCs w:val="18"/>
                <w:vertAlign w:val="superscript"/>
              </w:rPr>
              <w:t>7</w:t>
            </w:r>
          </w:p>
        </w:tc>
        <w:tc>
          <w:tcPr>
            <w:tcW w:w="2457" w:type="pct"/>
            <w:shd w:val="clear" w:color="auto" w:fill="F2F2F2" w:themeFill="background1" w:themeFillShade="F2"/>
            <w:hideMark/>
          </w:tcPr>
          <w:p w:rsidR="00B3406A" w:rsidRPr="00D601CB" w:rsidRDefault="00B3406A" w:rsidP="00815A6D">
            <w:pPr>
              <w:pStyle w:val="ListParagraph"/>
              <w:numPr>
                <w:ilvl w:val="0"/>
                <w:numId w:val="42"/>
              </w:numPr>
              <w:rPr>
                <w:szCs w:val="18"/>
              </w:rPr>
            </w:pPr>
            <w:r w:rsidRPr="008C25A6">
              <w:rPr>
                <w:szCs w:val="18"/>
                <w:u w:val="single"/>
              </w:rPr>
              <w:t>Efficacy</w:t>
            </w:r>
            <w:r w:rsidRPr="008C25A6">
              <w:rPr>
                <w:szCs w:val="18"/>
              </w:rPr>
              <w:t xml:space="preserve">: Statistically significant based on RR </w:t>
            </w:r>
            <w:r w:rsidRPr="00DE6EAF">
              <w:rPr>
                <w:szCs w:val="18"/>
              </w:rPr>
              <w:t xml:space="preserve">(in favour of </w:t>
            </w:r>
            <w:r w:rsidRPr="00607958">
              <w:rPr>
                <w:szCs w:val="18"/>
              </w:rPr>
              <w:t>patch+lozenge</w:t>
            </w:r>
            <w:r w:rsidRPr="00531AAD">
              <w:rPr>
                <w:szCs w:val="18"/>
                <w:vertAlign w:val="superscript"/>
              </w:rPr>
              <w:t>8</w:t>
            </w:r>
            <w:r w:rsidRPr="000B398D">
              <w:rPr>
                <w:szCs w:val="18"/>
              </w:rPr>
              <w:t xml:space="preserve"> and </w:t>
            </w:r>
            <w:proofErr w:type="spellStart"/>
            <w:r w:rsidRPr="000B398D">
              <w:rPr>
                <w:szCs w:val="18"/>
              </w:rPr>
              <w:t>patch+lozenge</w:t>
            </w:r>
            <w:proofErr w:type="spellEnd"/>
            <w:r w:rsidRPr="000B398D">
              <w:rPr>
                <w:szCs w:val="18"/>
              </w:rPr>
              <w:t xml:space="preserve"> and gum</w:t>
            </w:r>
            <w:r w:rsidRPr="0042217E">
              <w:rPr>
                <w:szCs w:val="18"/>
              </w:rPr>
              <w:t>)</w:t>
            </w:r>
            <w:r>
              <w:rPr>
                <w:szCs w:val="18"/>
              </w:rPr>
              <w:t xml:space="preserve"> but not RD (patch+lozenge</w:t>
            </w:r>
            <w:r>
              <w:rPr>
                <w:szCs w:val="18"/>
                <w:vertAlign w:val="superscript"/>
              </w:rPr>
              <w:t>8</w:t>
            </w:r>
            <w:r w:rsidRPr="00607958">
              <w:rPr>
                <w:szCs w:val="18"/>
              </w:rPr>
              <w:t>);</w:t>
            </w:r>
            <w:r>
              <w:rPr>
                <w:szCs w:val="18"/>
              </w:rPr>
              <w:t xml:space="preserve"> </w:t>
            </w:r>
            <w:r w:rsidR="007918CA" w:rsidRPr="008C25A6">
              <w:rPr>
                <w:szCs w:val="18"/>
              </w:rPr>
              <w:t>not</w:t>
            </w:r>
            <w:r w:rsidRPr="008C25A6">
              <w:rPr>
                <w:szCs w:val="18"/>
              </w:rPr>
              <w:t xml:space="preserve"> statistically significant based o</w:t>
            </w:r>
            <w:r w:rsidRPr="00DE6EAF">
              <w:rPr>
                <w:szCs w:val="18"/>
              </w:rPr>
              <w:t xml:space="preserve">n RR </w:t>
            </w:r>
            <w:r w:rsidRPr="00A62C1A">
              <w:rPr>
                <w:szCs w:val="18"/>
              </w:rPr>
              <w:t>(</w:t>
            </w:r>
            <w:proofErr w:type="spellStart"/>
            <w:r w:rsidRPr="00A62C1A">
              <w:rPr>
                <w:szCs w:val="18"/>
              </w:rPr>
              <w:t>patch+gum</w:t>
            </w:r>
            <w:proofErr w:type="spellEnd"/>
            <w:r w:rsidRPr="00A62C1A">
              <w:rPr>
                <w:szCs w:val="18"/>
              </w:rPr>
              <w:t xml:space="preserve"> and </w:t>
            </w:r>
            <w:proofErr w:type="spellStart"/>
            <w:r w:rsidRPr="00A62C1A">
              <w:rPr>
                <w:szCs w:val="18"/>
              </w:rPr>
              <w:t>patch+inhaler</w:t>
            </w:r>
            <w:proofErr w:type="spellEnd"/>
            <w:r w:rsidRPr="00A62C1A">
              <w:rPr>
                <w:szCs w:val="18"/>
              </w:rPr>
              <w:t>)</w:t>
            </w:r>
            <w:r>
              <w:rPr>
                <w:szCs w:val="18"/>
              </w:rPr>
              <w:t>.</w:t>
            </w:r>
          </w:p>
          <w:p w:rsidR="00B3406A" w:rsidRPr="007B1E27"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and RD </w:t>
            </w:r>
            <w:r w:rsidRPr="007B1E27">
              <w:rPr>
                <w:szCs w:val="18"/>
              </w:rPr>
              <w:t xml:space="preserve">(any AEs, </w:t>
            </w:r>
            <w:r>
              <w:rPr>
                <w:szCs w:val="18"/>
              </w:rPr>
              <w:t>S</w:t>
            </w:r>
            <w:r w:rsidRPr="007B1E27">
              <w:rPr>
                <w:szCs w:val="18"/>
              </w:rPr>
              <w:t xml:space="preserve">AEs; NRT </w:t>
            </w:r>
            <w:proofErr w:type="spellStart"/>
            <w:r w:rsidRPr="007B1E27">
              <w:rPr>
                <w:szCs w:val="18"/>
              </w:rPr>
              <w:t>patch+lozenge</w:t>
            </w:r>
            <w:proofErr w:type="spellEnd"/>
            <w:r w:rsidRPr="007B1E27">
              <w:rPr>
                <w:szCs w:val="18"/>
              </w:rPr>
              <w:t>)</w:t>
            </w:r>
            <w:r>
              <w:rPr>
                <w:szCs w:val="18"/>
              </w:rPr>
              <w:t>.</w:t>
            </w:r>
          </w:p>
        </w:tc>
      </w:tr>
      <w:tr w:rsidR="00B3406A" w:rsidRPr="00360862" w:rsidTr="00A82090">
        <w:trPr>
          <w:trHeight w:val="617"/>
        </w:trPr>
        <w:tc>
          <w:tcPr>
            <w:tcW w:w="1095" w:type="pct"/>
            <w:shd w:val="clear" w:color="auto" w:fill="F2F2F2" w:themeFill="background1" w:themeFillShade="F2"/>
            <w:hideMark/>
          </w:tcPr>
          <w:p w:rsidR="00B3406A" w:rsidRPr="00360862" w:rsidRDefault="00B3406A" w:rsidP="001E7257">
            <w:pPr>
              <w:spacing w:after="200"/>
              <w:rPr>
                <w:szCs w:val="18"/>
              </w:rPr>
            </w:pPr>
            <w:r>
              <w:rPr>
                <w:szCs w:val="18"/>
              </w:rPr>
              <w:t>Combination NRT</w:t>
            </w:r>
            <w:r w:rsidRPr="007B1E27">
              <w:rPr>
                <w:szCs w:val="18"/>
                <w:vertAlign w:val="superscript"/>
              </w:rPr>
              <w:t>2</w:t>
            </w:r>
            <w:r>
              <w:rPr>
                <w:szCs w:val="18"/>
              </w:rPr>
              <w:t xml:space="preserve"> vs NRT monotherapy (patch)</w:t>
            </w:r>
          </w:p>
        </w:tc>
        <w:tc>
          <w:tcPr>
            <w:tcW w:w="1448" w:type="pct"/>
            <w:shd w:val="clear" w:color="auto" w:fill="F2F2F2" w:themeFill="background1" w:themeFillShade="F2"/>
            <w:hideMark/>
          </w:tcPr>
          <w:p w:rsidR="00B3406A" w:rsidRDefault="00B3406A" w:rsidP="00815A6D">
            <w:pPr>
              <w:pStyle w:val="ListParagraph"/>
              <w:numPr>
                <w:ilvl w:val="0"/>
                <w:numId w:val="44"/>
              </w:numPr>
              <w:rPr>
                <w:szCs w:val="18"/>
              </w:rPr>
            </w:pPr>
            <w:proofErr w:type="spellStart"/>
            <w:r w:rsidRPr="00AA0389">
              <w:rPr>
                <w:szCs w:val="18"/>
              </w:rPr>
              <w:t>Lindson</w:t>
            </w:r>
            <w:proofErr w:type="spellEnd"/>
            <w:r>
              <w:rPr>
                <w:szCs w:val="18"/>
              </w:rPr>
              <w:t xml:space="preserve"> </w:t>
            </w:r>
            <w:r w:rsidRPr="00AA0389">
              <w:rPr>
                <w:szCs w:val="18"/>
              </w:rPr>
              <w:t>(2019)</w:t>
            </w:r>
            <w:r w:rsidRPr="00AA0389">
              <w:rPr>
                <w:szCs w:val="18"/>
                <w:vertAlign w:val="superscript"/>
              </w:rPr>
              <w:t>6</w:t>
            </w:r>
          </w:p>
          <w:p w:rsidR="00B3406A" w:rsidRPr="00AA0389" w:rsidRDefault="00B3406A" w:rsidP="00815A6D">
            <w:pPr>
              <w:pStyle w:val="ListParagraph"/>
              <w:numPr>
                <w:ilvl w:val="0"/>
                <w:numId w:val="44"/>
              </w:numPr>
              <w:rPr>
                <w:szCs w:val="18"/>
              </w:rPr>
            </w:pPr>
            <w:r w:rsidRPr="00AA0389">
              <w:rPr>
                <w:szCs w:val="18"/>
              </w:rPr>
              <w:t>Leung</w:t>
            </w:r>
            <w:r>
              <w:rPr>
                <w:szCs w:val="18"/>
              </w:rPr>
              <w:t xml:space="preserve"> </w:t>
            </w:r>
            <w:r w:rsidRPr="00AA0389">
              <w:rPr>
                <w:szCs w:val="18"/>
              </w:rPr>
              <w:t>(2019)</w:t>
            </w:r>
            <w:r w:rsidRPr="00AA0389">
              <w:rPr>
                <w:szCs w:val="18"/>
                <w:vertAlign w:val="superscript"/>
              </w:rPr>
              <w:t>7</w:t>
            </w:r>
          </w:p>
        </w:tc>
        <w:tc>
          <w:tcPr>
            <w:tcW w:w="2457" w:type="pct"/>
            <w:shd w:val="clear" w:color="auto" w:fill="F2F2F2" w:themeFill="background1" w:themeFillShade="F2"/>
            <w:hideMark/>
          </w:tcPr>
          <w:p w:rsidR="00B3406A" w:rsidRPr="008C25A6" w:rsidRDefault="00B3406A" w:rsidP="00815A6D">
            <w:pPr>
              <w:pStyle w:val="ListParagraph"/>
              <w:numPr>
                <w:ilvl w:val="0"/>
                <w:numId w:val="42"/>
              </w:numPr>
              <w:rPr>
                <w:szCs w:val="18"/>
              </w:rPr>
            </w:pPr>
            <w:r w:rsidRPr="008C25A6">
              <w:rPr>
                <w:szCs w:val="18"/>
                <w:u w:val="single"/>
              </w:rPr>
              <w:t>Efficacy</w:t>
            </w:r>
            <w:r w:rsidRPr="008C25A6">
              <w:rPr>
                <w:szCs w:val="18"/>
              </w:rPr>
              <w:t>: Statistically significant based on R</w:t>
            </w:r>
            <w:r w:rsidRPr="00DE6EAF">
              <w:rPr>
                <w:szCs w:val="18"/>
              </w:rPr>
              <w:t xml:space="preserve">R and RD (in favour of </w:t>
            </w:r>
            <w:proofErr w:type="spellStart"/>
            <w:r w:rsidRPr="00DE6EAF">
              <w:rPr>
                <w:szCs w:val="18"/>
              </w:rPr>
              <w:t>patch+lozenge</w:t>
            </w:r>
            <w:proofErr w:type="spellEnd"/>
            <w:r w:rsidRPr="00DE6EAF">
              <w:rPr>
                <w:szCs w:val="18"/>
              </w:rPr>
              <w:t xml:space="preserve"> and </w:t>
            </w:r>
            <w:proofErr w:type="spellStart"/>
            <w:r w:rsidRPr="00DE6EAF">
              <w:rPr>
                <w:szCs w:val="18"/>
              </w:rPr>
              <w:t>patch+gum</w:t>
            </w:r>
            <w:proofErr w:type="spellEnd"/>
            <w:r w:rsidRPr="00DE6EAF">
              <w:rPr>
                <w:szCs w:val="18"/>
              </w:rPr>
              <w:t>);</w:t>
            </w:r>
            <w:r>
              <w:rPr>
                <w:szCs w:val="18"/>
              </w:rPr>
              <w:t xml:space="preserve"> </w:t>
            </w:r>
            <w:r w:rsidRPr="008C25A6">
              <w:rPr>
                <w:szCs w:val="18"/>
              </w:rPr>
              <w:t>Not statistically significant</w:t>
            </w:r>
          </w:p>
          <w:p w:rsidR="00B3406A" w:rsidRPr="007B1E27" w:rsidRDefault="00B3406A" w:rsidP="001E7257">
            <w:pPr>
              <w:pStyle w:val="ListParagraph"/>
              <w:ind w:left="360"/>
              <w:rPr>
                <w:szCs w:val="18"/>
              </w:rPr>
            </w:pPr>
            <w:r w:rsidRPr="007B1E27">
              <w:rPr>
                <w:szCs w:val="18"/>
              </w:rPr>
              <w:t>(</w:t>
            </w:r>
            <w:proofErr w:type="spellStart"/>
            <w:proofErr w:type="gramStart"/>
            <w:r w:rsidRPr="007B1E27">
              <w:rPr>
                <w:szCs w:val="18"/>
              </w:rPr>
              <w:t>patch+</w:t>
            </w:r>
            <w:proofErr w:type="gramEnd"/>
            <w:r w:rsidRPr="007B1E27">
              <w:rPr>
                <w:szCs w:val="18"/>
              </w:rPr>
              <w:t>nasal</w:t>
            </w:r>
            <w:proofErr w:type="spellEnd"/>
            <w:r w:rsidRPr="007B1E27">
              <w:rPr>
                <w:szCs w:val="18"/>
              </w:rPr>
              <w:t xml:space="preserve"> spray, </w:t>
            </w:r>
            <w:proofErr w:type="spellStart"/>
            <w:r w:rsidRPr="007B1E27">
              <w:rPr>
                <w:szCs w:val="18"/>
              </w:rPr>
              <w:t>patch+inhaler</w:t>
            </w:r>
            <w:proofErr w:type="spellEnd"/>
            <w:r w:rsidRPr="007B1E27">
              <w:rPr>
                <w:szCs w:val="18"/>
              </w:rPr>
              <w:t xml:space="preserve"> and </w:t>
            </w:r>
            <w:proofErr w:type="spellStart"/>
            <w:r w:rsidRPr="007B1E27">
              <w:rPr>
                <w:szCs w:val="18"/>
              </w:rPr>
              <w:t>patch+oral</w:t>
            </w:r>
            <w:proofErr w:type="spellEnd"/>
            <w:r w:rsidRPr="007B1E27">
              <w:rPr>
                <w:szCs w:val="18"/>
              </w:rPr>
              <w:t xml:space="preserve"> spray)</w:t>
            </w:r>
            <w:r>
              <w:rPr>
                <w:szCs w:val="18"/>
              </w:rPr>
              <w:t>.</w:t>
            </w:r>
          </w:p>
          <w:p w:rsidR="00B3406A" w:rsidRPr="007B1E27"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w:t>
            </w:r>
            <w:r w:rsidRPr="007B1E27">
              <w:rPr>
                <w:szCs w:val="18"/>
              </w:rPr>
              <w:t>(</w:t>
            </w:r>
            <w:r>
              <w:rPr>
                <w:szCs w:val="18"/>
              </w:rPr>
              <w:t>S</w:t>
            </w:r>
            <w:r w:rsidRPr="007B1E27">
              <w:rPr>
                <w:szCs w:val="18"/>
              </w:rPr>
              <w:t>AEs, withdrawal due to treatment)</w:t>
            </w:r>
            <w:r>
              <w:rPr>
                <w:szCs w:val="18"/>
              </w:rPr>
              <w:t>, and RD (cardiac AEs).</w:t>
            </w:r>
          </w:p>
        </w:tc>
      </w:tr>
      <w:tr w:rsidR="00B3406A" w:rsidRPr="00360862" w:rsidTr="00A82090">
        <w:trPr>
          <w:trHeight w:val="523"/>
        </w:trPr>
        <w:tc>
          <w:tcPr>
            <w:tcW w:w="1095" w:type="pct"/>
            <w:shd w:val="clear" w:color="auto" w:fill="F2F2F2" w:themeFill="background1" w:themeFillShade="F2"/>
            <w:hideMark/>
          </w:tcPr>
          <w:p w:rsidR="00B3406A" w:rsidRPr="00360862" w:rsidRDefault="00B3406A" w:rsidP="001E7257">
            <w:pPr>
              <w:spacing w:after="200"/>
              <w:rPr>
                <w:szCs w:val="18"/>
              </w:rPr>
            </w:pPr>
            <w:r>
              <w:rPr>
                <w:szCs w:val="18"/>
              </w:rPr>
              <w:t>Combination NRT</w:t>
            </w:r>
            <w:r w:rsidRPr="007B1E27">
              <w:rPr>
                <w:szCs w:val="18"/>
                <w:vertAlign w:val="superscript"/>
              </w:rPr>
              <w:t>3</w:t>
            </w:r>
            <w:r>
              <w:rPr>
                <w:szCs w:val="18"/>
              </w:rPr>
              <w:t xml:space="preserve"> vs NRT monotherapy (fast-acting)</w:t>
            </w:r>
          </w:p>
        </w:tc>
        <w:tc>
          <w:tcPr>
            <w:tcW w:w="1448" w:type="pct"/>
            <w:shd w:val="clear" w:color="auto" w:fill="F2F2F2" w:themeFill="background1" w:themeFillShade="F2"/>
            <w:hideMark/>
          </w:tcPr>
          <w:p w:rsidR="00B3406A" w:rsidRPr="00AA0389" w:rsidRDefault="00B3406A" w:rsidP="00815A6D">
            <w:pPr>
              <w:pStyle w:val="ListParagraph"/>
              <w:numPr>
                <w:ilvl w:val="0"/>
                <w:numId w:val="45"/>
              </w:numPr>
              <w:rPr>
                <w:szCs w:val="18"/>
              </w:rPr>
            </w:pPr>
            <w:proofErr w:type="spellStart"/>
            <w:r w:rsidRPr="00AA0389">
              <w:rPr>
                <w:szCs w:val="18"/>
              </w:rPr>
              <w:t>Lindson</w:t>
            </w:r>
            <w:proofErr w:type="spellEnd"/>
            <w:r>
              <w:rPr>
                <w:szCs w:val="18"/>
              </w:rPr>
              <w:t xml:space="preserve"> </w:t>
            </w:r>
            <w:r w:rsidRPr="00AA0389">
              <w:rPr>
                <w:szCs w:val="18"/>
              </w:rPr>
              <w:t>(2019)</w:t>
            </w:r>
            <w:r w:rsidRPr="00AA0389">
              <w:rPr>
                <w:szCs w:val="18"/>
                <w:vertAlign w:val="superscript"/>
              </w:rPr>
              <w:t>6</w:t>
            </w:r>
          </w:p>
        </w:tc>
        <w:tc>
          <w:tcPr>
            <w:tcW w:w="2457" w:type="pct"/>
            <w:shd w:val="clear" w:color="auto" w:fill="F2F2F2" w:themeFill="background1" w:themeFillShade="F2"/>
            <w:hideMark/>
          </w:tcPr>
          <w:p w:rsidR="00B3406A" w:rsidRPr="00DE6EAF" w:rsidRDefault="00B3406A" w:rsidP="00815A6D">
            <w:pPr>
              <w:pStyle w:val="ListParagraph"/>
              <w:numPr>
                <w:ilvl w:val="0"/>
                <w:numId w:val="42"/>
              </w:numPr>
              <w:rPr>
                <w:szCs w:val="18"/>
              </w:rPr>
            </w:pPr>
            <w:r w:rsidRPr="008C25A6">
              <w:rPr>
                <w:szCs w:val="18"/>
                <w:u w:val="single"/>
              </w:rPr>
              <w:t>Efficacy:</w:t>
            </w:r>
            <w:r w:rsidRPr="008C25A6">
              <w:rPr>
                <w:szCs w:val="18"/>
              </w:rPr>
              <w:t xml:space="preserve"> Statistically significant based on RR</w:t>
            </w:r>
          </w:p>
          <w:p w:rsidR="00B3406A" w:rsidRPr="00AA0389" w:rsidRDefault="00B3406A" w:rsidP="001E7257">
            <w:pPr>
              <w:pStyle w:val="ListParagraph"/>
              <w:ind w:left="360"/>
              <w:rPr>
                <w:szCs w:val="18"/>
              </w:rPr>
            </w:pPr>
            <w:r w:rsidRPr="007B1E27">
              <w:rPr>
                <w:szCs w:val="18"/>
              </w:rPr>
              <w:t>(</w:t>
            </w:r>
            <w:proofErr w:type="gramStart"/>
            <w:r w:rsidRPr="007B1E27">
              <w:rPr>
                <w:szCs w:val="18"/>
              </w:rPr>
              <w:t>in</w:t>
            </w:r>
            <w:proofErr w:type="gramEnd"/>
            <w:r w:rsidRPr="007B1E27">
              <w:rPr>
                <w:szCs w:val="18"/>
              </w:rPr>
              <w:t xml:space="preserve"> favour of </w:t>
            </w:r>
            <w:proofErr w:type="spellStart"/>
            <w:r w:rsidRPr="007B1E27">
              <w:rPr>
                <w:szCs w:val="18"/>
              </w:rPr>
              <w:t>patch+lozenge</w:t>
            </w:r>
            <w:proofErr w:type="spellEnd"/>
            <w:r w:rsidRPr="007B1E27">
              <w:rPr>
                <w:szCs w:val="18"/>
              </w:rPr>
              <w:t>)</w:t>
            </w:r>
            <w:r>
              <w:rPr>
                <w:szCs w:val="18"/>
              </w:rPr>
              <w:t xml:space="preserve">; </w:t>
            </w:r>
            <w:r w:rsidRPr="007B1E27">
              <w:rPr>
                <w:szCs w:val="18"/>
              </w:rPr>
              <w:t>Not statistically significant</w:t>
            </w:r>
            <w:r>
              <w:rPr>
                <w:szCs w:val="18"/>
              </w:rPr>
              <w:t xml:space="preserve"> based on RR </w:t>
            </w:r>
            <w:r w:rsidRPr="00AA0389">
              <w:rPr>
                <w:szCs w:val="18"/>
              </w:rPr>
              <w:t>(</w:t>
            </w:r>
            <w:proofErr w:type="spellStart"/>
            <w:r w:rsidRPr="00AA0389">
              <w:rPr>
                <w:szCs w:val="18"/>
              </w:rPr>
              <w:t>patch+gum</w:t>
            </w:r>
            <w:proofErr w:type="spellEnd"/>
            <w:r w:rsidRPr="00AA0389">
              <w:rPr>
                <w:szCs w:val="18"/>
              </w:rPr>
              <w:t xml:space="preserve">, </w:t>
            </w:r>
            <w:proofErr w:type="spellStart"/>
            <w:r w:rsidRPr="00AA0389">
              <w:rPr>
                <w:szCs w:val="18"/>
              </w:rPr>
              <w:t>patch+nasal</w:t>
            </w:r>
            <w:proofErr w:type="spellEnd"/>
            <w:r w:rsidRPr="00AA0389">
              <w:rPr>
                <w:szCs w:val="18"/>
              </w:rPr>
              <w:t xml:space="preserve"> spray and </w:t>
            </w:r>
            <w:proofErr w:type="spellStart"/>
            <w:r w:rsidRPr="00AA0389">
              <w:rPr>
                <w:szCs w:val="18"/>
              </w:rPr>
              <w:t>patch+inhaler</w:t>
            </w:r>
            <w:proofErr w:type="spellEnd"/>
            <w:r w:rsidRPr="00AA0389">
              <w:rPr>
                <w:szCs w:val="18"/>
              </w:rPr>
              <w:t>).</w:t>
            </w:r>
          </w:p>
          <w:p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w:t>
            </w:r>
            <w:r w:rsidRPr="007B1E27">
              <w:rPr>
                <w:szCs w:val="18"/>
              </w:rPr>
              <w:t>(</w:t>
            </w:r>
            <w:r>
              <w:rPr>
                <w:szCs w:val="18"/>
              </w:rPr>
              <w:t>S</w:t>
            </w:r>
            <w:r w:rsidRPr="007B1E27">
              <w:rPr>
                <w:szCs w:val="18"/>
              </w:rPr>
              <w:t>AEs, withdrawal due to treatment)</w:t>
            </w:r>
            <w:r>
              <w:rPr>
                <w:szCs w:val="18"/>
              </w:rPr>
              <w:t>.</w:t>
            </w:r>
          </w:p>
          <w:p w:rsidR="00B3406A" w:rsidRPr="00334A64" w:rsidRDefault="00B3406A" w:rsidP="001E7257">
            <w:pPr>
              <w:rPr>
                <w:szCs w:val="18"/>
              </w:rPr>
            </w:pPr>
          </w:p>
        </w:tc>
      </w:tr>
      <w:tr w:rsidR="00B3406A" w:rsidRPr="00360862" w:rsidTr="00A82090">
        <w:trPr>
          <w:trHeight w:val="523"/>
        </w:trPr>
        <w:tc>
          <w:tcPr>
            <w:tcW w:w="1095" w:type="pct"/>
            <w:shd w:val="clear" w:color="auto" w:fill="F2F2F2" w:themeFill="background1" w:themeFillShade="F2"/>
          </w:tcPr>
          <w:p w:rsidR="00B3406A" w:rsidRDefault="00B3406A" w:rsidP="001E7257">
            <w:pPr>
              <w:rPr>
                <w:szCs w:val="18"/>
              </w:rPr>
            </w:pPr>
            <w:r>
              <w:rPr>
                <w:szCs w:val="18"/>
              </w:rPr>
              <w:t>Combination NRT</w:t>
            </w:r>
            <w:r>
              <w:rPr>
                <w:szCs w:val="18"/>
                <w:vertAlign w:val="superscript"/>
              </w:rPr>
              <w:t>4</w:t>
            </w:r>
            <w:r>
              <w:rPr>
                <w:szCs w:val="18"/>
              </w:rPr>
              <w:t xml:space="preserve"> vs </w:t>
            </w:r>
            <w:proofErr w:type="spellStart"/>
            <w:r>
              <w:rPr>
                <w:szCs w:val="18"/>
              </w:rPr>
              <w:t>varenicline</w:t>
            </w:r>
            <w:proofErr w:type="spellEnd"/>
          </w:p>
        </w:tc>
        <w:tc>
          <w:tcPr>
            <w:tcW w:w="1448" w:type="pct"/>
            <w:shd w:val="clear" w:color="auto" w:fill="F2F2F2" w:themeFill="background1" w:themeFillShade="F2"/>
          </w:tcPr>
          <w:p w:rsidR="00B3406A" w:rsidRPr="00583050" w:rsidRDefault="00B3406A" w:rsidP="00815A6D">
            <w:pPr>
              <w:pStyle w:val="ListParagraph"/>
              <w:numPr>
                <w:ilvl w:val="0"/>
                <w:numId w:val="45"/>
              </w:numPr>
              <w:rPr>
                <w:szCs w:val="18"/>
              </w:rPr>
            </w:pPr>
            <w:r w:rsidRPr="00583050">
              <w:rPr>
                <w:szCs w:val="18"/>
              </w:rPr>
              <w:t>Chen (2020)</w:t>
            </w:r>
            <w:r w:rsidRPr="00583050">
              <w:rPr>
                <w:szCs w:val="18"/>
                <w:vertAlign w:val="superscript"/>
              </w:rPr>
              <w:t>7</w:t>
            </w:r>
          </w:p>
        </w:tc>
        <w:tc>
          <w:tcPr>
            <w:tcW w:w="2457" w:type="pct"/>
            <w:shd w:val="clear" w:color="auto" w:fill="F2F2F2" w:themeFill="background1" w:themeFillShade="F2"/>
          </w:tcPr>
          <w:p w:rsidR="00B3406A" w:rsidRPr="00583050" w:rsidRDefault="00B3406A" w:rsidP="00815A6D">
            <w:pPr>
              <w:pStyle w:val="ListParagraph"/>
              <w:numPr>
                <w:ilvl w:val="0"/>
                <w:numId w:val="45"/>
              </w:numPr>
              <w:rPr>
                <w:szCs w:val="18"/>
              </w:rPr>
            </w:pPr>
            <w:r w:rsidRPr="00A44ADB">
              <w:rPr>
                <w:szCs w:val="18"/>
                <w:u w:val="single"/>
              </w:rPr>
              <w:t xml:space="preserve">Efficacy: </w:t>
            </w:r>
            <w:r w:rsidRPr="00A44ADB">
              <w:rPr>
                <w:szCs w:val="18"/>
              </w:rPr>
              <w:t>Statistically significant</w:t>
            </w:r>
            <w:r>
              <w:rPr>
                <w:szCs w:val="18"/>
                <w:vertAlign w:val="superscript"/>
              </w:rPr>
              <w:t xml:space="preserve"> </w:t>
            </w:r>
            <w:r>
              <w:rPr>
                <w:szCs w:val="18"/>
              </w:rPr>
              <w:t>b</w:t>
            </w:r>
            <w:r w:rsidRPr="00583050">
              <w:rPr>
                <w:szCs w:val="18"/>
              </w:rPr>
              <w:t xml:space="preserve">ased on RR and RD (in favour of </w:t>
            </w:r>
            <w:proofErr w:type="spellStart"/>
            <w:r w:rsidRPr="00583050">
              <w:rPr>
                <w:szCs w:val="18"/>
              </w:rPr>
              <w:t>varenicline</w:t>
            </w:r>
            <w:proofErr w:type="spellEnd"/>
            <w:r w:rsidRPr="00583050">
              <w:rPr>
                <w:szCs w:val="18"/>
              </w:rPr>
              <w:t>)</w:t>
            </w:r>
            <w:r>
              <w:rPr>
                <w:szCs w:val="18"/>
              </w:rPr>
              <w:t>.</w:t>
            </w:r>
          </w:p>
          <w:p w:rsidR="00B3406A" w:rsidRPr="002030E6" w:rsidRDefault="00B3406A" w:rsidP="00815A6D">
            <w:pPr>
              <w:pStyle w:val="ListParagraph"/>
              <w:numPr>
                <w:ilvl w:val="0"/>
                <w:numId w:val="45"/>
              </w:numPr>
              <w:rPr>
                <w:szCs w:val="18"/>
                <w:u w:val="single"/>
              </w:rPr>
            </w:pPr>
            <w:r w:rsidRPr="00A44ADB">
              <w:rPr>
                <w:szCs w:val="18"/>
                <w:u w:val="single"/>
              </w:rPr>
              <w:t xml:space="preserve">Safety: </w:t>
            </w:r>
            <w:r w:rsidRPr="002030E6">
              <w:rPr>
                <w:szCs w:val="18"/>
              </w:rPr>
              <w:t>Statistically significant</w:t>
            </w:r>
            <w:r>
              <w:rPr>
                <w:szCs w:val="18"/>
              </w:rPr>
              <w:t xml:space="preserve"> based on RR and RD </w:t>
            </w:r>
            <w:r w:rsidRPr="00A44ADB">
              <w:rPr>
                <w:szCs w:val="18"/>
              </w:rPr>
              <w:t xml:space="preserve">(nausea, vivid dreams; higher in </w:t>
            </w:r>
            <w:proofErr w:type="spellStart"/>
            <w:r w:rsidRPr="00A44ADB">
              <w:rPr>
                <w:szCs w:val="18"/>
              </w:rPr>
              <w:t>varenicline</w:t>
            </w:r>
            <w:proofErr w:type="spellEnd"/>
            <w:r w:rsidRPr="00DE6EAF">
              <w:rPr>
                <w:szCs w:val="18"/>
              </w:rPr>
              <w:t>)</w:t>
            </w:r>
            <w:r>
              <w:rPr>
                <w:szCs w:val="18"/>
              </w:rPr>
              <w:t xml:space="preserve">; </w:t>
            </w:r>
            <w:r w:rsidRPr="00A44ADB">
              <w:rPr>
                <w:szCs w:val="18"/>
              </w:rPr>
              <w:t>Not statistically significant</w:t>
            </w:r>
            <w:r>
              <w:rPr>
                <w:szCs w:val="18"/>
              </w:rPr>
              <w:t xml:space="preserve"> based on RR and RD </w:t>
            </w:r>
            <w:r w:rsidRPr="00A44ADB">
              <w:rPr>
                <w:szCs w:val="18"/>
              </w:rPr>
              <w:t xml:space="preserve">(vomiting, headache, insomnia, irregular heartbeat, </w:t>
            </w:r>
            <w:r>
              <w:rPr>
                <w:szCs w:val="18"/>
              </w:rPr>
              <w:t>S</w:t>
            </w:r>
            <w:r w:rsidRPr="00A44ADB">
              <w:rPr>
                <w:szCs w:val="18"/>
              </w:rPr>
              <w:t>AEs)</w:t>
            </w:r>
            <w:r>
              <w:rPr>
                <w:szCs w:val="18"/>
              </w:rPr>
              <w:t>.</w:t>
            </w:r>
          </w:p>
        </w:tc>
      </w:tr>
      <w:tr w:rsidR="00B3406A" w:rsidRPr="00360862" w:rsidTr="00A82090">
        <w:trPr>
          <w:trHeight w:val="523"/>
        </w:trPr>
        <w:tc>
          <w:tcPr>
            <w:tcW w:w="1095" w:type="pct"/>
            <w:shd w:val="clear" w:color="auto" w:fill="F2F2F2" w:themeFill="background1" w:themeFillShade="F2"/>
          </w:tcPr>
          <w:p w:rsidR="00B3406A" w:rsidRDefault="00B3406A" w:rsidP="001E7257">
            <w:pPr>
              <w:rPr>
                <w:szCs w:val="18"/>
              </w:rPr>
            </w:pPr>
            <w:r>
              <w:rPr>
                <w:szCs w:val="18"/>
              </w:rPr>
              <w:t>Combination NRT</w:t>
            </w:r>
            <w:r>
              <w:rPr>
                <w:szCs w:val="18"/>
                <w:vertAlign w:val="superscript"/>
              </w:rPr>
              <w:t>5</w:t>
            </w:r>
            <w:r>
              <w:rPr>
                <w:szCs w:val="18"/>
              </w:rPr>
              <w:t xml:space="preserve"> vs </w:t>
            </w:r>
            <w:proofErr w:type="spellStart"/>
            <w:r>
              <w:rPr>
                <w:szCs w:val="18"/>
              </w:rPr>
              <w:t>varenicline</w:t>
            </w:r>
            <w:proofErr w:type="spellEnd"/>
          </w:p>
        </w:tc>
        <w:tc>
          <w:tcPr>
            <w:tcW w:w="1448" w:type="pct"/>
            <w:shd w:val="clear" w:color="auto" w:fill="F2F2F2" w:themeFill="background1" w:themeFillShade="F2"/>
          </w:tcPr>
          <w:p w:rsidR="00B3406A" w:rsidRPr="006C1DAD" w:rsidRDefault="00B3406A" w:rsidP="00815A6D">
            <w:pPr>
              <w:pStyle w:val="ListParagraph"/>
              <w:numPr>
                <w:ilvl w:val="0"/>
                <w:numId w:val="45"/>
              </w:numPr>
              <w:rPr>
                <w:szCs w:val="18"/>
              </w:rPr>
            </w:pPr>
            <w:r w:rsidRPr="00583050">
              <w:rPr>
                <w:szCs w:val="18"/>
              </w:rPr>
              <w:t>Cahill (2013)</w:t>
            </w:r>
            <w:r w:rsidRPr="00583050">
              <w:rPr>
                <w:szCs w:val="18"/>
                <w:vertAlign w:val="superscript"/>
              </w:rPr>
              <w:t>6</w:t>
            </w:r>
          </w:p>
        </w:tc>
        <w:tc>
          <w:tcPr>
            <w:tcW w:w="2457" w:type="pct"/>
            <w:shd w:val="clear" w:color="auto" w:fill="F2F2F2" w:themeFill="background1" w:themeFillShade="F2"/>
          </w:tcPr>
          <w:p w:rsidR="00B3406A" w:rsidRPr="00876252" w:rsidRDefault="00B3406A" w:rsidP="00815A6D">
            <w:pPr>
              <w:pStyle w:val="ListParagraph"/>
              <w:numPr>
                <w:ilvl w:val="0"/>
                <w:numId w:val="45"/>
              </w:numPr>
              <w:rPr>
                <w:szCs w:val="18"/>
              </w:rPr>
            </w:pPr>
            <w:r w:rsidRPr="00876252">
              <w:rPr>
                <w:szCs w:val="18"/>
                <w:u w:val="single"/>
              </w:rPr>
              <w:t xml:space="preserve">Efficacy: </w:t>
            </w:r>
            <w:r w:rsidRPr="00876252">
              <w:rPr>
                <w:szCs w:val="18"/>
              </w:rPr>
              <w:t>Not statistically significant</w:t>
            </w:r>
            <w:r>
              <w:rPr>
                <w:szCs w:val="18"/>
              </w:rPr>
              <w:t xml:space="preserve"> based on OR.</w:t>
            </w:r>
          </w:p>
          <w:p w:rsidR="00B3406A" w:rsidRPr="00876252" w:rsidRDefault="00B3406A" w:rsidP="00815A6D">
            <w:pPr>
              <w:pStyle w:val="ListParagraph"/>
              <w:numPr>
                <w:ilvl w:val="0"/>
                <w:numId w:val="45"/>
              </w:numPr>
              <w:rPr>
                <w:szCs w:val="18"/>
                <w:u w:val="single"/>
              </w:rPr>
            </w:pPr>
            <w:r w:rsidRPr="00876252">
              <w:rPr>
                <w:szCs w:val="18"/>
                <w:u w:val="single"/>
              </w:rPr>
              <w:t>Safety:</w:t>
            </w:r>
            <w:r w:rsidRPr="00876252">
              <w:rPr>
                <w:szCs w:val="18"/>
              </w:rPr>
              <w:t xml:space="preserve"> No safety comparison was conducted by the authors</w:t>
            </w:r>
            <w:r>
              <w:rPr>
                <w:szCs w:val="18"/>
              </w:rPr>
              <w:t>.</w:t>
            </w:r>
          </w:p>
        </w:tc>
      </w:tr>
      <w:tr w:rsidR="00B3406A" w:rsidRPr="00360862" w:rsidTr="00A82090">
        <w:trPr>
          <w:trHeight w:val="523"/>
        </w:trPr>
        <w:tc>
          <w:tcPr>
            <w:tcW w:w="1095" w:type="pct"/>
            <w:shd w:val="clear" w:color="auto" w:fill="F2F2F2" w:themeFill="background1" w:themeFillShade="F2"/>
          </w:tcPr>
          <w:p w:rsidR="00B3406A" w:rsidRDefault="00B3406A" w:rsidP="001E7257">
            <w:pPr>
              <w:rPr>
                <w:szCs w:val="18"/>
              </w:rPr>
            </w:pPr>
            <w:r>
              <w:rPr>
                <w:szCs w:val="18"/>
              </w:rPr>
              <w:t>Combination NRT</w:t>
            </w:r>
            <w:r>
              <w:rPr>
                <w:szCs w:val="18"/>
                <w:vertAlign w:val="superscript"/>
              </w:rPr>
              <w:t>5</w:t>
            </w:r>
            <w:r>
              <w:rPr>
                <w:szCs w:val="18"/>
              </w:rPr>
              <w:t xml:space="preserve"> vs bupropion</w:t>
            </w:r>
          </w:p>
        </w:tc>
        <w:tc>
          <w:tcPr>
            <w:tcW w:w="1448" w:type="pct"/>
            <w:shd w:val="clear" w:color="auto" w:fill="F2F2F2" w:themeFill="background1" w:themeFillShade="F2"/>
          </w:tcPr>
          <w:p w:rsidR="00B3406A" w:rsidRPr="006C1DAD" w:rsidRDefault="00B3406A" w:rsidP="00815A6D">
            <w:pPr>
              <w:pStyle w:val="ListParagraph"/>
              <w:numPr>
                <w:ilvl w:val="0"/>
                <w:numId w:val="45"/>
              </w:numPr>
              <w:rPr>
                <w:szCs w:val="18"/>
              </w:rPr>
            </w:pPr>
            <w:r w:rsidRPr="00583050">
              <w:rPr>
                <w:szCs w:val="18"/>
              </w:rPr>
              <w:t>Cahill (2013)</w:t>
            </w:r>
            <w:r w:rsidRPr="00583050">
              <w:rPr>
                <w:szCs w:val="18"/>
                <w:vertAlign w:val="superscript"/>
              </w:rPr>
              <w:t>6</w:t>
            </w:r>
          </w:p>
        </w:tc>
        <w:tc>
          <w:tcPr>
            <w:tcW w:w="2457" w:type="pct"/>
            <w:shd w:val="clear" w:color="auto" w:fill="F2F2F2" w:themeFill="background1" w:themeFillShade="F2"/>
          </w:tcPr>
          <w:p w:rsidR="00B3406A" w:rsidRPr="00583050" w:rsidRDefault="00B3406A" w:rsidP="00815A6D">
            <w:pPr>
              <w:pStyle w:val="ListParagraph"/>
              <w:numPr>
                <w:ilvl w:val="0"/>
                <w:numId w:val="45"/>
              </w:numPr>
              <w:rPr>
                <w:szCs w:val="18"/>
              </w:rPr>
            </w:pPr>
            <w:r w:rsidRPr="00876252">
              <w:rPr>
                <w:szCs w:val="18"/>
                <w:u w:val="single"/>
              </w:rPr>
              <w:t xml:space="preserve">Efficacy: </w:t>
            </w:r>
            <w:r w:rsidRPr="00876252">
              <w:rPr>
                <w:szCs w:val="18"/>
              </w:rPr>
              <w:t>Statistically significant</w:t>
            </w:r>
            <w:r>
              <w:rPr>
                <w:szCs w:val="18"/>
              </w:rPr>
              <w:t xml:space="preserve"> based on OR </w:t>
            </w:r>
            <w:r w:rsidRPr="00583050">
              <w:rPr>
                <w:szCs w:val="18"/>
              </w:rPr>
              <w:t>(in favour of combination NRT)</w:t>
            </w:r>
            <w:r>
              <w:rPr>
                <w:szCs w:val="18"/>
              </w:rPr>
              <w:t>.</w:t>
            </w:r>
          </w:p>
          <w:p w:rsidR="00B3406A" w:rsidRPr="00876252" w:rsidRDefault="00B3406A" w:rsidP="00815A6D">
            <w:pPr>
              <w:pStyle w:val="ListParagraph"/>
              <w:numPr>
                <w:ilvl w:val="0"/>
                <w:numId w:val="45"/>
              </w:numPr>
              <w:rPr>
                <w:szCs w:val="18"/>
                <w:u w:val="single"/>
              </w:rPr>
            </w:pPr>
            <w:r w:rsidRPr="00876252">
              <w:rPr>
                <w:szCs w:val="18"/>
                <w:u w:val="single"/>
              </w:rPr>
              <w:t xml:space="preserve">Safety: </w:t>
            </w:r>
            <w:r w:rsidRPr="00876252">
              <w:rPr>
                <w:szCs w:val="18"/>
              </w:rPr>
              <w:t>No safety comparison was conducted by the authors.</w:t>
            </w:r>
          </w:p>
        </w:tc>
      </w:tr>
    </w:tbl>
    <w:p w:rsidR="00B3406A" w:rsidRDefault="00B3406A" w:rsidP="001E7257">
      <w:pPr>
        <w:pStyle w:val="TableFooter"/>
      </w:pPr>
      <w:r>
        <w:t>Abbreviations: AEs = adverse events; NRT = nicotine replacement therapy; OR = odds ratio; RR = risk ratio, RD = risk difference; SAEs = serious adverse events.</w:t>
      </w:r>
    </w:p>
    <w:p w:rsidR="00B3406A" w:rsidRDefault="00B3406A" w:rsidP="001E7257">
      <w:pPr>
        <w:pStyle w:val="TableFooter"/>
      </w:pPr>
      <w:r w:rsidRPr="00BE36E8">
        <w:t xml:space="preserve">Notes: </w:t>
      </w:r>
    </w:p>
    <w:p w:rsidR="00B3406A" w:rsidRPr="007B1E27" w:rsidRDefault="00B3406A" w:rsidP="001E7257">
      <w:pPr>
        <w:pStyle w:val="TableFooter"/>
      </w:pPr>
      <w:r>
        <w:t xml:space="preserve">1 </w:t>
      </w:r>
      <w:r w:rsidRPr="007B1E27">
        <w:t xml:space="preserve">Combination NRT administered either as </w:t>
      </w:r>
      <w:proofErr w:type="spellStart"/>
      <w:r w:rsidRPr="007B1E27">
        <w:t>patch+lozenge</w:t>
      </w:r>
      <w:proofErr w:type="spellEnd"/>
      <w:r w:rsidRPr="007B1E27">
        <w:t xml:space="preserve">, </w:t>
      </w:r>
      <w:proofErr w:type="spellStart"/>
      <w:r w:rsidRPr="007B1E27">
        <w:t>patch+gum</w:t>
      </w:r>
      <w:proofErr w:type="spellEnd"/>
      <w:r w:rsidRPr="007B1E27">
        <w:t xml:space="preserve">, </w:t>
      </w:r>
      <w:proofErr w:type="spellStart"/>
      <w:r w:rsidRPr="007B1E27">
        <w:t>patch+inhaler</w:t>
      </w:r>
      <w:proofErr w:type="spellEnd"/>
      <w:r w:rsidRPr="007B1E27">
        <w:t xml:space="preserve">, or </w:t>
      </w:r>
      <w:proofErr w:type="spellStart"/>
      <w:r w:rsidRPr="007B1E27">
        <w:t>patch+lozenge</w:t>
      </w:r>
      <w:proofErr w:type="spellEnd"/>
      <w:r w:rsidRPr="007B1E27">
        <w:t xml:space="preserve"> and gum.</w:t>
      </w:r>
    </w:p>
    <w:p w:rsidR="00B3406A" w:rsidRPr="007B1E27" w:rsidRDefault="00B3406A" w:rsidP="001E7257">
      <w:pPr>
        <w:pStyle w:val="TableFooter"/>
      </w:pPr>
      <w:r>
        <w:t xml:space="preserve">2 </w:t>
      </w:r>
      <w:r w:rsidRPr="007B1E27">
        <w:t xml:space="preserve">Combination NRT administered either as </w:t>
      </w:r>
      <w:proofErr w:type="spellStart"/>
      <w:r w:rsidRPr="007B1E27">
        <w:t>patch+lozenge</w:t>
      </w:r>
      <w:proofErr w:type="spellEnd"/>
      <w:r w:rsidRPr="007B1E27">
        <w:t xml:space="preserve">, </w:t>
      </w:r>
      <w:proofErr w:type="spellStart"/>
      <w:r w:rsidRPr="007B1E27">
        <w:t>patch+gum</w:t>
      </w:r>
      <w:proofErr w:type="spellEnd"/>
      <w:r w:rsidRPr="007B1E27">
        <w:t xml:space="preserve">, </w:t>
      </w:r>
      <w:proofErr w:type="spellStart"/>
      <w:r w:rsidRPr="007B1E27">
        <w:t>patch+inhaler</w:t>
      </w:r>
      <w:proofErr w:type="spellEnd"/>
      <w:r w:rsidRPr="007B1E27">
        <w:t xml:space="preserve">, </w:t>
      </w:r>
      <w:proofErr w:type="spellStart"/>
      <w:r w:rsidRPr="007B1E27">
        <w:t>patch+nasal</w:t>
      </w:r>
      <w:proofErr w:type="spellEnd"/>
      <w:r w:rsidRPr="007B1E27">
        <w:t xml:space="preserve"> spray, or </w:t>
      </w:r>
      <w:proofErr w:type="spellStart"/>
      <w:r w:rsidRPr="007B1E27">
        <w:t>patch+oral</w:t>
      </w:r>
      <w:proofErr w:type="spellEnd"/>
      <w:r w:rsidRPr="007B1E27">
        <w:t xml:space="preserve"> spray.</w:t>
      </w:r>
    </w:p>
    <w:p w:rsidR="00B3406A" w:rsidRPr="007B1E27" w:rsidRDefault="00B3406A" w:rsidP="001E7257">
      <w:pPr>
        <w:pStyle w:val="TableFooter"/>
      </w:pPr>
      <w:r>
        <w:t xml:space="preserve">3 </w:t>
      </w:r>
      <w:r w:rsidRPr="007B1E27">
        <w:t xml:space="preserve">Combination NRT administered either as </w:t>
      </w:r>
      <w:proofErr w:type="spellStart"/>
      <w:r w:rsidRPr="007B1E27">
        <w:t>patch+lozenge</w:t>
      </w:r>
      <w:proofErr w:type="spellEnd"/>
      <w:r w:rsidRPr="007B1E27">
        <w:t xml:space="preserve">, </w:t>
      </w:r>
      <w:proofErr w:type="spellStart"/>
      <w:r w:rsidRPr="007B1E27">
        <w:t>patch+gum</w:t>
      </w:r>
      <w:proofErr w:type="spellEnd"/>
      <w:r w:rsidRPr="007B1E27">
        <w:t xml:space="preserve">, </w:t>
      </w:r>
      <w:proofErr w:type="spellStart"/>
      <w:r w:rsidRPr="007B1E27">
        <w:t>patch+inhaler</w:t>
      </w:r>
      <w:proofErr w:type="spellEnd"/>
      <w:r w:rsidRPr="007B1E27">
        <w:t xml:space="preserve">, or </w:t>
      </w:r>
      <w:proofErr w:type="spellStart"/>
      <w:r w:rsidRPr="007B1E27">
        <w:t>patch+nasal</w:t>
      </w:r>
      <w:proofErr w:type="spellEnd"/>
      <w:r w:rsidRPr="007B1E27">
        <w:t xml:space="preserve"> spray.</w:t>
      </w:r>
    </w:p>
    <w:p w:rsidR="00B3406A" w:rsidRPr="00A44ADB" w:rsidRDefault="00B3406A" w:rsidP="001E7257">
      <w:pPr>
        <w:pStyle w:val="TableFooter"/>
      </w:pPr>
      <w:r>
        <w:t>4</w:t>
      </w:r>
      <w:r w:rsidRPr="00BE36E8">
        <w:t xml:space="preserve"> </w:t>
      </w:r>
      <w:r w:rsidRPr="00A44ADB">
        <w:t>Combination of NRT patches and lozenges.</w:t>
      </w:r>
    </w:p>
    <w:p w:rsidR="00B3406A" w:rsidRPr="00A44ADB" w:rsidRDefault="00B3406A" w:rsidP="001E7257">
      <w:pPr>
        <w:pStyle w:val="TableFooter"/>
      </w:pPr>
      <w:r>
        <w:t xml:space="preserve">5 </w:t>
      </w:r>
      <w:r w:rsidRPr="00A44ADB">
        <w:t xml:space="preserve">The types of formulations used in the combination NRT treatment arm were clinically </w:t>
      </w:r>
      <w:r w:rsidR="007918CA" w:rsidRPr="00A44ADB">
        <w:t>heterogeneous</w:t>
      </w:r>
      <w:r w:rsidRPr="00A44ADB">
        <w:t>.</w:t>
      </w:r>
    </w:p>
    <w:p w:rsidR="00B3406A" w:rsidRDefault="00B3406A" w:rsidP="001E7257">
      <w:pPr>
        <w:pStyle w:val="TableFooter"/>
      </w:pPr>
      <w:r>
        <w:t xml:space="preserve">6 </w:t>
      </w:r>
      <w:r w:rsidRPr="00BE36E8">
        <w:t>Cochrane Review</w:t>
      </w:r>
      <w:r>
        <w:t>.</w:t>
      </w:r>
    </w:p>
    <w:p w:rsidR="002F3376" w:rsidRDefault="00B3406A" w:rsidP="002F3376">
      <w:pPr>
        <w:pStyle w:val="TableFooter"/>
      </w:pPr>
      <w:r>
        <w:t>7 Supplemental evidence (RCT).</w:t>
      </w:r>
    </w:p>
    <w:p w:rsidR="00B3406A" w:rsidRDefault="00B3406A" w:rsidP="002F3376">
      <w:pPr>
        <w:pStyle w:val="TableFooter"/>
      </w:pPr>
      <w:r>
        <w:t xml:space="preserve">8 </w:t>
      </w:r>
      <w:r w:rsidRPr="007B1E27">
        <w:t>Statistically significant based on risk ratio but not significant based on risk difference (RR = 1.60, 95% CI: 1.10, 2.32; RD = 0.10, 95% CI: 0.10, -0.04, 0.23).</w:t>
      </w:r>
    </w:p>
    <w:p w:rsidR="002F3376" w:rsidRPr="0043205F" w:rsidRDefault="002F3376" w:rsidP="002F3376">
      <w:pPr>
        <w:pStyle w:val="TableFooter"/>
      </w:pPr>
    </w:p>
    <w:p w:rsidR="00B3406A" w:rsidRPr="00B23D0F" w:rsidRDefault="00B3406A" w:rsidP="002F3376">
      <w:pPr>
        <w:pStyle w:val="Heading6"/>
        <w:numPr>
          <w:ilvl w:val="2"/>
          <w:numId w:val="69"/>
        </w:numPr>
        <w:spacing w:after="240"/>
        <w:rPr>
          <w:rFonts w:asciiTheme="minorHAnsi" w:hAnsiTheme="minorHAnsi" w:cstheme="minorHAnsi"/>
          <w:b/>
          <w:i w:val="0"/>
          <w:color w:val="auto"/>
        </w:rPr>
      </w:pPr>
      <w:r w:rsidRPr="00B23D0F">
        <w:rPr>
          <w:rFonts w:asciiTheme="minorHAnsi" w:hAnsiTheme="minorHAnsi" w:cstheme="minorHAnsi"/>
          <w:b/>
          <w:i w:val="0"/>
          <w:color w:val="auto"/>
        </w:rPr>
        <w:t xml:space="preserve">Combination </w:t>
      </w:r>
      <w:proofErr w:type="spellStart"/>
      <w:r w:rsidRPr="00B23D0F">
        <w:rPr>
          <w:rFonts w:asciiTheme="minorHAnsi" w:hAnsiTheme="minorHAnsi" w:cstheme="minorHAnsi"/>
          <w:b/>
          <w:i w:val="0"/>
          <w:color w:val="auto"/>
        </w:rPr>
        <w:t>varenicline</w:t>
      </w:r>
      <w:proofErr w:type="spellEnd"/>
    </w:p>
    <w:p w:rsidR="00B3406A" w:rsidRPr="00925038" w:rsidRDefault="00B3406A" w:rsidP="001E7257">
      <w:r w:rsidRPr="00925038">
        <w:t>Treatment-naïve population</w:t>
      </w:r>
    </w:p>
    <w:p w:rsidR="00B3406A" w:rsidRPr="00A81526" w:rsidRDefault="00B3406A" w:rsidP="00D25738">
      <w:pPr>
        <w:pStyle w:val="ListParagraph"/>
        <w:numPr>
          <w:ilvl w:val="0"/>
          <w:numId w:val="26"/>
        </w:numPr>
        <w:ind w:left="360"/>
        <w:jc w:val="both"/>
      </w:pPr>
      <w:r w:rsidRPr="00925038">
        <w:t xml:space="preserve">Varenicline in combination with NRT patch was shown to be superior to </w:t>
      </w:r>
      <w:proofErr w:type="spellStart"/>
      <w:r w:rsidRPr="00925038">
        <w:t>varenicline</w:t>
      </w:r>
      <w:proofErr w:type="spellEnd"/>
      <w:r w:rsidRPr="00925038">
        <w:t xml:space="preserve"> alone in terms of efficacy, </w:t>
      </w:r>
      <w:r>
        <w:t>but</w:t>
      </w:r>
      <w:r w:rsidRPr="00A81526">
        <w:t xml:space="preserve"> the results were no longer significant after excluding one RCT identified to be different in study design (pre-cessation treatment with patch) and participant characteristics (more females than males). There were no statistically significant differences between </w:t>
      </w:r>
      <w:proofErr w:type="spellStart"/>
      <w:r w:rsidRPr="00A81526">
        <w:t>varenicline</w:t>
      </w:r>
      <w:proofErr w:type="spellEnd"/>
      <w:r w:rsidRPr="00A81526">
        <w:t xml:space="preserve"> plus NRT patch and </w:t>
      </w:r>
      <w:proofErr w:type="spellStart"/>
      <w:r w:rsidRPr="00A81526">
        <w:t>varenicline</w:t>
      </w:r>
      <w:proofErr w:type="spellEnd"/>
      <w:r w:rsidRPr="00A81526">
        <w:t xml:space="preserve"> alone in terms of nausea, insomnia, abnormal dreams or headache.</w:t>
      </w:r>
    </w:p>
    <w:p w:rsidR="00B3406A" w:rsidRDefault="00B3406A" w:rsidP="00D25738">
      <w:pPr>
        <w:pStyle w:val="ListParagraph"/>
        <w:numPr>
          <w:ilvl w:val="0"/>
          <w:numId w:val="26"/>
        </w:numPr>
        <w:ind w:left="360"/>
        <w:jc w:val="both"/>
      </w:pPr>
      <w:r>
        <w:t xml:space="preserve">There were no </w:t>
      </w:r>
      <w:r w:rsidR="00077455">
        <w:t>statistically</w:t>
      </w:r>
      <w:r>
        <w:t xml:space="preserve"> significant differences between </w:t>
      </w:r>
      <w:proofErr w:type="spellStart"/>
      <w:r>
        <w:t>v</w:t>
      </w:r>
      <w:r w:rsidRPr="00734F63">
        <w:t>arenicline</w:t>
      </w:r>
      <w:proofErr w:type="spellEnd"/>
      <w:r w:rsidRPr="00734F63">
        <w:t xml:space="preserve"> </w:t>
      </w:r>
      <w:proofErr w:type="gramStart"/>
      <w:r w:rsidRPr="00734F63">
        <w:t>plus</w:t>
      </w:r>
      <w:proofErr w:type="gramEnd"/>
      <w:r w:rsidRPr="00734F63">
        <w:t xml:space="preserve"> bupropion </w:t>
      </w:r>
      <w:r>
        <w:t xml:space="preserve">compared </w:t>
      </w:r>
      <w:r w:rsidRPr="00734F63">
        <w:t xml:space="preserve">to </w:t>
      </w:r>
      <w:proofErr w:type="spellStart"/>
      <w:r w:rsidRPr="00734F63">
        <w:t>varenicline</w:t>
      </w:r>
      <w:proofErr w:type="spellEnd"/>
      <w:r w:rsidRPr="00734F63">
        <w:t xml:space="preserve"> alone in terms of efficacy. </w:t>
      </w:r>
      <w:r>
        <w:t>While</w:t>
      </w:r>
      <w:r w:rsidRPr="00734F63">
        <w:t xml:space="preserve"> a significantly higher proportion of patients in the </w:t>
      </w:r>
      <w:proofErr w:type="spellStart"/>
      <w:r w:rsidRPr="00734F63">
        <w:t>varenicline</w:t>
      </w:r>
      <w:proofErr w:type="spellEnd"/>
      <w:r w:rsidRPr="00734F63">
        <w:t xml:space="preserve"> plus bupropion arm experienc</w:t>
      </w:r>
      <w:r>
        <w:t>ed</w:t>
      </w:r>
      <w:r w:rsidRPr="00734F63">
        <w:t xml:space="preserve"> any adverse events and psychiatric adverse events compared with patients in the </w:t>
      </w:r>
      <w:proofErr w:type="spellStart"/>
      <w:r w:rsidRPr="00734F63">
        <w:t>varenicline</w:t>
      </w:r>
      <w:proofErr w:type="spellEnd"/>
      <w:r w:rsidRPr="00734F63">
        <w:t xml:space="preserve"> alone arm, there were no statistically significant differences in serious adverse events and discontinuation due to adverse events.</w:t>
      </w:r>
    </w:p>
    <w:tbl>
      <w:tblPr>
        <w:tblStyle w:val="TableGrid3"/>
        <w:tblW w:w="5000" w:type="pct"/>
        <w:shd w:val="clear" w:color="auto" w:fill="F2F2F2" w:themeFill="background1" w:themeFillShade="F2"/>
        <w:tblLook w:val="04A0" w:firstRow="1" w:lastRow="0" w:firstColumn="1" w:lastColumn="0" w:noHBand="0" w:noVBand="1"/>
      </w:tblPr>
      <w:tblGrid>
        <w:gridCol w:w="2154"/>
        <w:gridCol w:w="1800"/>
        <w:gridCol w:w="5062"/>
      </w:tblGrid>
      <w:tr w:rsidR="00B3406A" w:rsidRPr="00916516" w:rsidTr="00A82090">
        <w:trPr>
          <w:trHeight w:val="67"/>
        </w:trPr>
        <w:tc>
          <w:tcPr>
            <w:tcW w:w="119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998"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16516" w:rsidTr="00A82090">
        <w:trPr>
          <w:trHeight w:val="164"/>
        </w:trPr>
        <w:tc>
          <w:tcPr>
            <w:tcW w:w="5000" w:type="pct"/>
            <w:gridSpan w:val="3"/>
            <w:shd w:val="clear" w:color="auto" w:fill="F2F2F2" w:themeFill="background1" w:themeFillShade="F2"/>
            <w:hideMark/>
          </w:tcPr>
          <w:p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rsidTr="00A82090">
        <w:trPr>
          <w:trHeight w:val="345"/>
        </w:trPr>
        <w:tc>
          <w:tcPr>
            <w:tcW w:w="1195" w:type="pct"/>
            <w:shd w:val="clear" w:color="auto" w:fill="F2F2F2" w:themeFill="background1" w:themeFillShade="F2"/>
            <w:hideMark/>
          </w:tcPr>
          <w:p w:rsidR="00B3406A" w:rsidRPr="00360862" w:rsidRDefault="00B3406A" w:rsidP="001E7257">
            <w:pPr>
              <w:tabs>
                <w:tab w:val="left" w:pos="1198"/>
              </w:tabs>
              <w:spacing w:after="200"/>
              <w:rPr>
                <w:szCs w:val="18"/>
              </w:rPr>
            </w:pPr>
            <w:r w:rsidRPr="00552AFA">
              <w:rPr>
                <w:szCs w:val="18"/>
              </w:rPr>
              <w:t>Varenicline + NRT patch</w:t>
            </w:r>
            <w:r>
              <w:rPr>
                <w:szCs w:val="18"/>
              </w:rPr>
              <w:t xml:space="preserve"> vs </w:t>
            </w:r>
            <w:proofErr w:type="spellStart"/>
            <w:r>
              <w:rPr>
                <w:szCs w:val="18"/>
              </w:rPr>
              <w:t>varenicline</w:t>
            </w:r>
            <w:proofErr w:type="spellEnd"/>
            <w:r>
              <w:rPr>
                <w:szCs w:val="18"/>
              </w:rPr>
              <w:t xml:space="preserve"> alone</w:t>
            </w:r>
          </w:p>
        </w:tc>
        <w:tc>
          <w:tcPr>
            <w:tcW w:w="998" w:type="pct"/>
            <w:shd w:val="clear" w:color="auto" w:fill="F2F2F2" w:themeFill="background1" w:themeFillShade="F2"/>
            <w:hideMark/>
          </w:tcPr>
          <w:p w:rsidR="00B3406A" w:rsidRPr="00614418" w:rsidRDefault="00B3406A" w:rsidP="00815A6D">
            <w:pPr>
              <w:pStyle w:val="ListParagraph"/>
              <w:numPr>
                <w:ilvl w:val="0"/>
                <w:numId w:val="43"/>
              </w:numPr>
              <w:rPr>
                <w:szCs w:val="18"/>
              </w:rPr>
            </w:pPr>
            <w:r w:rsidRPr="00614418">
              <w:rPr>
                <w:szCs w:val="18"/>
              </w:rPr>
              <w:t>Chang</w:t>
            </w:r>
            <w:r>
              <w:rPr>
                <w:szCs w:val="18"/>
              </w:rPr>
              <w:t xml:space="preserve"> </w:t>
            </w:r>
            <w:r w:rsidRPr="00614418">
              <w:rPr>
                <w:szCs w:val="18"/>
              </w:rPr>
              <w:t>(2015</w:t>
            </w:r>
            <w:r>
              <w:rPr>
                <w:szCs w:val="18"/>
              </w:rPr>
              <w:t>)</w:t>
            </w:r>
            <w:r w:rsidRPr="00614418">
              <w:rPr>
                <w:szCs w:val="18"/>
                <w:vertAlign w:val="superscript"/>
              </w:rPr>
              <w:t>2</w:t>
            </w:r>
          </w:p>
        </w:tc>
        <w:tc>
          <w:tcPr>
            <w:tcW w:w="2807" w:type="pct"/>
            <w:shd w:val="clear" w:color="auto" w:fill="F2F2F2" w:themeFill="background1" w:themeFillShade="F2"/>
            <w:hideMark/>
          </w:tcPr>
          <w:p w:rsidR="00B3406A" w:rsidRPr="00552AFA"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52AFA">
              <w:rPr>
                <w:szCs w:val="18"/>
              </w:rPr>
              <w:t>Statistically significant</w:t>
            </w:r>
            <w:r>
              <w:rPr>
                <w:szCs w:val="18"/>
                <w:vertAlign w:val="superscript"/>
              </w:rPr>
              <w:t xml:space="preserve">3 </w:t>
            </w:r>
            <w:r>
              <w:rPr>
                <w:szCs w:val="18"/>
              </w:rPr>
              <w:t xml:space="preserve">based on OR </w:t>
            </w:r>
            <w:r w:rsidRPr="00552AFA">
              <w:rPr>
                <w:szCs w:val="18"/>
              </w:rPr>
              <w:t xml:space="preserve">(in favour of </w:t>
            </w:r>
            <w:proofErr w:type="spellStart"/>
            <w:r w:rsidRPr="00552AFA">
              <w:rPr>
                <w:szCs w:val="18"/>
              </w:rPr>
              <w:t>varenicline+NRT</w:t>
            </w:r>
            <w:proofErr w:type="spellEnd"/>
            <w:r w:rsidRPr="00552AFA">
              <w:rPr>
                <w:szCs w:val="18"/>
              </w:rPr>
              <w:t xml:space="preserve"> patch)</w:t>
            </w:r>
            <w:r>
              <w:rPr>
                <w:szCs w:val="18"/>
              </w:rPr>
              <w:t>.</w:t>
            </w:r>
          </w:p>
          <w:p w:rsidR="00B3406A" w:rsidRPr="00552AF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552AFA">
              <w:rPr>
                <w:szCs w:val="18"/>
              </w:rPr>
              <w:t>Not statistically significant</w:t>
            </w:r>
            <w:r>
              <w:rPr>
                <w:szCs w:val="18"/>
              </w:rPr>
              <w:t xml:space="preserve"> based on OR </w:t>
            </w:r>
            <w:r w:rsidRPr="00552AFA">
              <w:rPr>
                <w:szCs w:val="18"/>
              </w:rPr>
              <w:t>(nausea, insomnia, abnormal dreams, headache)</w:t>
            </w:r>
            <w:r>
              <w:rPr>
                <w:szCs w:val="18"/>
              </w:rPr>
              <w:t>.</w:t>
            </w:r>
          </w:p>
        </w:tc>
      </w:tr>
      <w:tr w:rsidR="00B3406A" w:rsidRPr="00360862" w:rsidTr="00A82090">
        <w:trPr>
          <w:trHeight w:val="617"/>
        </w:trPr>
        <w:tc>
          <w:tcPr>
            <w:tcW w:w="1195" w:type="pct"/>
            <w:shd w:val="clear" w:color="auto" w:fill="F2F2F2" w:themeFill="background1" w:themeFillShade="F2"/>
            <w:hideMark/>
          </w:tcPr>
          <w:p w:rsidR="00B3406A" w:rsidRPr="00360862" w:rsidRDefault="00B3406A" w:rsidP="001E7257">
            <w:pPr>
              <w:spacing w:after="200"/>
              <w:rPr>
                <w:szCs w:val="18"/>
              </w:rPr>
            </w:pPr>
            <w:r w:rsidRPr="00552AFA">
              <w:rPr>
                <w:szCs w:val="18"/>
              </w:rPr>
              <w:t>Varenicline + bupropion</w:t>
            </w:r>
            <w:r>
              <w:rPr>
                <w:szCs w:val="18"/>
              </w:rPr>
              <w:t xml:space="preserve"> vs </w:t>
            </w:r>
            <w:proofErr w:type="spellStart"/>
            <w:r>
              <w:rPr>
                <w:szCs w:val="18"/>
              </w:rPr>
              <w:t>vs</w:t>
            </w:r>
            <w:proofErr w:type="spellEnd"/>
            <w:r>
              <w:rPr>
                <w:szCs w:val="18"/>
              </w:rPr>
              <w:t xml:space="preserve"> </w:t>
            </w:r>
            <w:proofErr w:type="spellStart"/>
            <w:r>
              <w:rPr>
                <w:szCs w:val="18"/>
              </w:rPr>
              <w:t>varenicline</w:t>
            </w:r>
            <w:proofErr w:type="spellEnd"/>
            <w:r>
              <w:rPr>
                <w:szCs w:val="18"/>
              </w:rPr>
              <w:t xml:space="preserve"> alone</w:t>
            </w:r>
          </w:p>
        </w:tc>
        <w:tc>
          <w:tcPr>
            <w:tcW w:w="998"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rPr>
                <w:rFonts w:eastAsia="MS Mincho"/>
              </w:rPr>
              <w:t>Howes</w:t>
            </w:r>
            <w:proofErr w:type="spellEnd"/>
            <w:r w:rsidRPr="00061F78">
              <w:rPr>
                <w:rFonts w:eastAsia="MS Mincho"/>
              </w:rPr>
              <w:t xml:space="preserve"> (20</w:t>
            </w:r>
            <w:r>
              <w:rPr>
                <w:rFonts w:eastAsia="MS Mincho"/>
              </w:rPr>
              <w:t>20</w:t>
            </w:r>
            <w:r w:rsidRPr="00061F78">
              <w:rPr>
                <w:rFonts w:eastAsia="MS Mincho"/>
              </w:rPr>
              <w:t>)</w:t>
            </w:r>
            <w:r w:rsidRPr="00614418">
              <w:rPr>
                <w:rFonts w:eastAsia="MS Mincho"/>
                <w:vertAlign w:val="superscript"/>
              </w:rPr>
              <w:t>1</w:t>
            </w:r>
          </w:p>
        </w:tc>
        <w:tc>
          <w:tcPr>
            <w:tcW w:w="2807" w:type="pct"/>
            <w:shd w:val="clear" w:color="auto" w:fill="F2F2F2" w:themeFill="background1" w:themeFillShade="F2"/>
            <w:hideMark/>
          </w:tcPr>
          <w:p w:rsidR="00B3406A" w:rsidRPr="00552AFA"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52AFA">
              <w:rPr>
                <w:szCs w:val="18"/>
              </w:rPr>
              <w:t>Not statistically significant</w:t>
            </w:r>
            <w:r>
              <w:rPr>
                <w:szCs w:val="18"/>
              </w:rPr>
              <w:t xml:space="preserve"> based on RR. </w:t>
            </w:r>
          </w:p>
          <w:p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552AFA">
              <w:rPr>
                <w:szCs w:val="18"/>
              </w:rPr>
              <w:t>Statistically significant</w:t>
            </w:r>
            <w:r>
              <w:rPr>
                <w:szCs w:val="18"/>
              </w:rPr>
              <w:t xml:space="preserve"> based on RR </w:t>
            </w:r>
            <w:r w:rsidRPr="00552AFA">
              <w:rPr>
                <w:szCs w:val="18"/>
              </w:rPr>
              <w:t xml:space="preserve">(any AEs, psychiatric AEs; higher in </w:t>
            </w:r>
            <w:proofErr w:type="spellStart"/>
            <w:r w:rsidRPr="00552AFA">
              <w:rPr>
                <w:szCs w:val="18"/>
              </w:rPr>
              <w:t>varenicline+bupropion</w:t>
            </w:r>
            <w:proofErr w:type="spellEnd"/>
            <w:r w:rsidRPr="00552AFA">
              <w:rPr>
                <w:szCs w:val="18"/>
              </w:rPr>
              <w:t>)</w:t>
            </w:r>
            <w:r>
              <w:rPr>
                <w:szCs w:val="18"/>
              </w:rPr>
              <w:t>;</w:t>
            </w:r>
          </w:p>
          <w:p w:rsidR="00B3406A" w:rsidRPr="00552AFA" w:rsidRDefault="00B3406A" w:rsidP="001E7257">
            <w:pPr>
              <w:pStyle w:val="ListParagraph"/>
              <w:ind w:left="360"/>
              <w:rPr>
                <w:szCs w:val="18"/>
              </w:rPr>
            </w:pPr>
            <w:r w:rsidRPr="00552AFA">
              <w:rPr>
                <w:szCs w:val="18"/>
              </w:rPr>
              <w:t xml:space="preserve">Not statistically significant </w:t>
            </w:r>
            <w:r>
              <w:rPr>
                <w:szCs w:val="18"/>
              </w:rPr>
              <w:t xml:space="preserve">based on RR </w:t>
            </w:r>
            <w:r w:rsidRPr="00552AFA">
              <w:rPr>
                <w:szCs w:val="18"/>
              </w:rPr>
              <w:t>(</w:t>
            </w:r>
            <w:r>
              <w:rPr>
                <w:szCs w:val="18"/>
              </w:rPr>
              <w:t>S</w:t>
            </w:r>
            <w:r w:rsidRPr="00552AFA">
              <w:rPr>
                <w:szCs w:val="18"/>
              </w:rPr>
              <w:t>AEs, discontinuation due to AEs)</w:t>
            </w:r>
            <w:r>
              <w:rPr>
                <w:szCs w:val="18"/>
              </w:rPr>
              <w:t>.</w:t>
            </w:r>
          </w:p>
        </w:tc>
      </w:tr>
    </w:tbl>
    <w:p w:rsidR="00B3406A" w:rsidRDefault="00B3406A" w:rsidP="001E7257">
      <w:pPr>
        <w:pStyle w:val="TableFooter"/>
        <w:keepNext/>
      </w:pPr>
      <w:r>
        <w:t xml:space="preserve">Abbreviations: AEs = adverse events; NRT = nicotine replacement therapy; OR = odds ratio; RR = risk ratio, RD = risk difference; SAEs = serious adverse events. </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1 Cochrane Review</w:t>
      </w:r>
      <w:r>
        <w:t>.</w:t>
      </w:r>
    </w:p>
    <w:p w:rsidR="00B3406A" w:rsidRPr="007F4C6A" w:rsidRDefault="00B3406A" w:rsidP="001E7257">
      <w:pPr>
        <w:pStyle w:val="TableFooter"/>
        <w:keepNext/>
      </w:pPr>
      <w:r>
        <w:t xml:space="preserve">2 Non-Cochrane systematic review. </w:t>
      </w:r>
    </w:p>
    <w:p w:rsidR="00B3406A" w:rsidRPr="00B51756" w:rsidRDefault="00B3406A" w:rsidP="001E7257">
      <w:pPr>
        <w:pStyle w:val="TableFooter"/>
        <w:keepNext/>
      </w:pPr>
      <w:r>
        <w:t xml:space="preserve">3 </w:t>
      </w:r>
      <w:r w:rsidRPr="00552AFA">
        <w:t>The results were no longer significant after excluding one RCT identified to be different in study design (pre-cessation treatment with patch) and participant characteristics (more females than males).</w:t>
      </w:r>
    </w:p>
    <w:p w:rsidR="00B3406A" w:rsidRPr="00B23D0F" w:rsidRDefault="00B3406A" w:rsidP="002F3376">
      <w:pPr>
        <w:pStyle w:val="Heading6"/>
        <w:numPr>
          <w:ilvl w:val="2"/>
          <w:numId w:val="69"/>
        </w:numPr>
        <w:spacing w:after="240"/>
        <w:rPr>
          <w:rFonts w:asciiTheme="minorHAnsi" w:hAnsiTheme="minorHAnsi" w:cstheme="minorHAnsi"/>
          <w:b/>
          <w:i w:val="0"/>
          <w:color w:val="auto"/>
          <w:szCs w:val="24"/>
        </w:rPr>
      </w:pPr>
      <w:r w:rsidRPr="00B23D0F">
        <w:rPr>
          <w:rFonts w:asciiTheme="minorHAnsi" w:hAnsiTheme="minorHAnsi" w:cstheme="minorHAnsi"/>
          <w:b/>
          <w:i w:val="0"/>
          <w:color w:val="auto"/>
          <w:szCs w:val="24"/>
        </w:rPr>
        <w:t>Combination bupropion</w:t>
      </w:r>
    </w:p>
    <w:p w:rsidR="00B3406A" w:rsidRPr="00B71EA5" w:rsidRDefault="00B3406A" w:rsidP="001E7257">
      <w:r w:rsidRPr="00B71EA5">
        <w:t>Treatment-naïve population</w:t>
      </w:r>
    </w:p>
    <w:p w:rsidR="00B23D0F" w:rsidRDefault="00B3406A" w:rsidP="00D25738">
      <w:pPr>
        <w:pStyle w:val="ListParagraph"/>
        <w:numPr>
          <w:ilvl w:val="0"/>
          <w:numId w:val="27"/>
        </w:numPr>
        <w:ind w:left="360"/>
        <w:jc w:val="both"/>
      </w:pPr>
      <w:r>
        <w:t xml:space="preserve">There were no statistically </w:t>
      </w:r>
      <w:r w:rsidR="00D46574">
        <w:t>significant</w:t>
      </w:r>
      <w:r>
        <w:t xml:space="preserve"> differences between b</w:t>
      </w:r>
      <w:r w:rsidRPr="00B71EA5">
        <w:t xml:space="preserve">upropion in combination with NRT </w:t>
      </w:r>
      <w:r>
        <w:t xml:space="preserve">compared </w:t>
      </w:r>
      <w:r w:rsidRPr="00B71EA5">
        <w:t xml:space="preserve">to NRT alone (either as patch, lozenge or choice of NRT) in terms of efficacy. </w:t>
      </w:r>
      <w:r>
        <w:t>While</w:t>
      </w:r>
      <w:r w:rsidRPr="00B71EA5">
        <w:t xml:space="preserve"> a significantly higher proportion of patients in the bupropion plus NRT arm experienc</w:t>
      </w:r>
      <w:r>
        <w:t>ed</w:t>
      </w:r>
      <w:r w:rsidRPr="00B71EA5">
        <w:t xml:space="preserve"> any adverse events compared with patients in the NRT alone arm, there were no statistically significant differences in serious adverse events and discontinuation due to adverse events.</w:t>
      </w:r>
    </w:p>
    <w:p w:rsidR="00B3406A" w:rsidRDefault="00B23D0F" w:rsidP="00B23D0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4"/>
        <w:gridCol w:w="1980"/>
        <w:gridCol w:w="5062"/>
      </w:tblGrid>
      <w:tr w:rsidR="00B3406A" w:rsidRPr="00916516" w:rsidTr="00A82090">
        <w:trPr>
          <w:trHeight w:val="67"/>
        </w:trPr>
        <w:tc>
          <w:tcPr>
            <w:tcW w:w="109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098"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16516" w:rsidTr="00A82090">
        <w:trPr>
          <w:trHeight w:val="164"/>
        </w:trPr>
        <w:tc>
          <w:tcPr>
            <w:tcW w:w="5000" w:type="pct"/>
            <w:gridSpan w:val="3"/>
            <w:shd w:val="clear" w:color="auto" w:fill="F2F2F2" w:themeFill="background1" w:themeFillShade="F2"/>
            <w:hideMark/>
          </w:tcPr>
          <w:p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552AFA" w:rsidTr="00A82090">
        <w:trPr>
          <w:trHeight w:val="345"/>
        </w:trPr>
        <w:tc>
          <w:tcPr>
            <w:tcW w:w="1095" w:type="pct"/>
            <w:shd w:val="clear" w:color="auto" w:fill="F2F2F2" w:themeFill="background1" w:themeFillShade="F2"/>
            <w:hideMark/>
          </w:tcPr>
          <w:p w:rsidR="00B3406A" w:rsidRPr="00C370DF" w:rsidRDefault="00B3406A" w:rsidP="001E7257">
            <w:pPr>
              <w:tabs>
                <w:tab w:val="left" w:pos="1198"/>
              </w:tabs>
              <w:spacing w:after="200"/>
              <w:rPr>
                <w:szCs w:val="18"/>
              </w:rPr>
            </w:pPr>
            <w:r w:rsidRPr="00C370DF">
              <w:rPr>
                <w:szCs w:val="18"/>
              </w:rPr>
              <w:t>Bupropion + NRT</w:t>
            </w:r>
            <w:r w:rsidRPr="00C370DF">
              <w:rPr>
                <w:szCs w:val="18"/>
                <w:vertAlign w:val="superscript"/>
              </w:rPr>
              <w:t>1</w:t>
            </w:r>
            <w:r>
              <w:rPr>
                <w:szCs w:val="18"/>
                <w:vertAlign w:val="superscript"/>
              </w:rPr>
              <w:t xml:space="preserve">  </w:t>
            </w:r>
            <w:r>
              <w:rPr>
                <w:szCs w:val="18"/>
              </w:rPr>
              <w:t>vs NRT monotherapy</w:t>
            </w:r>
          </w:p>
        </w:tc>
        <w:tc>
          <w:tcPr>
            <w:tcW w:w="1098" w:type="pct"/>
            <w:shd w:val="clear" w:color="auto" w:fill="F2F2F2" w:themeFill="background1" w:themeFillShade="F2"/>
            <w:hideMark/>
          </w:tcPr>
          <w:p w:rsidR="00B3406A" w:rsidRPr="009A0D52" w:rsidRDefault="00B3406A" w:rsidP="00815A6D">
            <w:pPr>
              <w:pStyle w:val="ListParagraph"/>
              <w:numPr>
                <w:ilvl w:val="0"/>
                <w:numId w:val="43"/>
              </w:numPr>
              <w:rPr>
                <w:szCs w:val="18"/>
              </w:rPr>
            </w:pPr>
            <w:proofErr w:type="spellStart"/>
            <w:r>
              <w:rPr>
                <w:rFonts w:eastAsia="MS Mincho"/>
              </w:rPr>
              <w:t>Howes</w:t>
            </w:r>
            <w:proofErr w:type="spellEnd"/>
            <w:r w:rsidRPr="00061F78">
              <w:rPr>
                <w:rFonts w:eastAsia="MS Mincho"/>
              </w:rPr>
              <w:t xml:space="preserve"> (20</w:t>
            </w:r>
            <w:r>
              <w:rPr>
                <w:rFonts w:eastAsia="MS Mincho"/>
              </w:rPr>
              <w:t>20</w:t>
            </w:r>
            <w:r w:rsidRPr="00061F78">
              <w:rPr>
                <w:rFonts w:eastAsia="MS Mincho"/>
              </w:rPr>
              <w:t>)</w:t>
            </w:r>
            <w:r>
              <w:rPr>
                <w:rFonts w:eastAsia="MS Mincho"/>
                <w:vertAlign w:val="superscript"/>
              </w:rPr>
              <w:t>2</w:t>
            </w:r>
          </w:p>
        </w:tc>
        <w:tc>
          <w:tcPr>
            <w:tcW w:w="2807" w:type="pct"/>
            <w:shd w:val="clear" w:color="auto" w:fill="F2F2F2" w:themeFill="background1" w:themeFillShade="F2"/>
            <w:hideMark/>
          </w:tcPr>
          <w:p w:rsidR="00B3406A" w:rsidRPr="00C370DF" w:rsidRDefault="00B3406A" w:rsidP="00815A6D">
            <w:pPr>
              <w:pStyle w:val="ListParagraph"/>
              <w:numPr>
                <w:ilvl w:val="0"/>
                <w:numId w:val="42"/>
              </w:numPr>
              <w:rPr>
                <w:szCs w:val="18"/>
              </w:rPr>
            </w:pPr>
            <w:r w:rsidRPr="00360862">
              <w:rPr>
                <w:szCs w:val="18"/>
                <w:u w:val="single"/>
              </w:rPr>
              <w:t>Efficacy</w:t>
            </w:r>
            <w:r w:rsidRPr="00360862">
              <w:rPr>
                <w:szCs w:val="18"/>
              </w:rPr>
              <w:t>:</w:t>
            </w:r>
            <w:r>
              <w:rPr>
                <w:szCs w:val="18"/>
              </w:rPr>
              <w:t xml:space="preserve"> </w:t>
            </w:r>
            <w:r w:rsidRPr="00C370DF">
              <w:rPr>
                <w:szCs w:val="18"/>
              </w:rPr>
              <w:t>Not statistically significant</w:t>
            </w:r>
            <w:r>
              <w:rPr>
                <w:szCs w:val="18"/>
              </w:rPr>
              <w:t xml:space="preserve"> based on RR.</w:t>
            </w:r>
            <w:r w:rsidRPr="00C370DF">
              <w:rPr>
                <w:szCs w:val="18"/>
              </w:rPr>
              <w:t xml:space="preserve"> </w:t>
            </w:r>
          </w:p>
          <w:p w:rsidR="00B3406A" w:rsidRPr="00C370DF"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C370DF">
              <w:rPr>
                <w:szCs w:val="18"/>
              </w:rPr>
              <w:t>Statistically significant</w:t>
            </w:r>
            <w:r>
              <w:rPr>
                <w:szCs w:val="18"/>
              </w:rPr>
              <w:t xml:space="preserve"> based on RR </w:t>
            </w:r>
            <w:r w:rsidRPr="00C370DF">
              <w:rPr>
                <w:szCs w:val="18"/>
              </w:rPr>
              <w:t xml:space="preserve">(any AEs; higher in </w:t>
            </w:r>
            <w:proofErr w:type="spellStart"/>
            <w:r w:rsidRPr="00C370DF">
              <w:rPr>
                <w:szCs w:val="18"/>
              </w:rPr>
              <w:t>bupropion+NRT</w:t>
            </w:r>
            <w:proofErr w:type="spellEnd"/>
            <w:r w:rsidRPr="00C370DF">
              <w:rPr>
                <w:szCs w:val="18"/>
              </w:rPr>
              <w:t>)</w:t>
            </w:r>
            <w:r>
              <w:rPr>
                <w:szCs w:val="18"/>
              </w:rPr>
              <w:t xml:space="preserve">; </w:t>
            </w:r>
            <w:r w:rsidRPr="00C370DF">
              <w:rPr>
                <w:szCs w:val="18"/>
              </w:rPr>
              <w:t>Not statistically significant</w:t>
            </w:r>
            <w:r>
              <w:rPr>
                <w:szCs w:val="18"/>
              </w:rPr>
              <w:t xml:space="preserve"> based on RR </w:t>
            </w:r>
            <w:r w:rsidRPr="00C370DF">
              <w:rPr>
                <w:szCs w:val="18"/>
              </w:rPr>
              <w:t>(</w:t>
            </w:r>
            <w:r>
              <w:rPr>
                <w:szCs w:val="18"/>
              </w:rPr>
              <w:t>S</w:t>
            </w:r>
            <w:r w:rsidRPr="00C370DF">
              <w:rPr>
                <w:szCs w:val="18"/>
              </w:rPr>
              <w:t>AEs, discontinuation due to AEs)</w:t>
            </w:r>
            <w:r>
              <w:rPr>
                <w:szCs w:val="18"/>
              </w:rPr>
              <w:t>.</w:t>
            </w:r>
          </w:p>
        </w:tc>
      </w:tr>
    </w:tbl>
    <w:p w:rsidR="00B3406A" w:rsidRDefault="00B3406A" w:rsidP="001E7257">
      <w:pPr>
        <w:pStyle w:val="TableFooter"/>
        <w:keepNext/>
      </w:pPr>
      <w:r>
        <w:t>Abbreviations: AEs = adverse events; NRT = nicotine replacement therapy; RR = risk ratio;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 xml:space="preserve">1 </w:t>
      </w:r>
      <w:r w:rsidRPr="00C370DF">
        <w:t>NRT administered either as patch, lozenge or choice of NRT.</w:t>
      </w:r>
    </w:p>
    <w:p w:rsidR="00B3406A" w:rsidRPr="00210F5E" w:rsidRDefault="00B3406A" w:rsidP="001E7257">
      <w:pPr>
        <w:pStyle w:val="TableFooter"/>
        <w:keepNext/>
      </w:pPr>
      <w:r>
        <w:t xml:space="preserve">2 </w:t>
      </w:r>
      <w:r w:rsidRPr="00BE36E8">
        <w:t>Cochrane Review</w:t>
      </w:r>
      <w:r>
        <w:t>.</w:t>
      </w:r>
    </w:p>
    <w:p w:rsidR="00B3406A" w:rsidRPr="00B71EA5" w:rsidRDefault="00B3406A" w:rsidP="001E7257">
      <w:r w:rsidRPr="00B71EA5">
        <w:t>Treatment-experienced population</w:t>
      </w:r>
    </w:p>
    <w:p w:rsidR="00B3406A" w:rsidRDefault="00B3406A" w:rsidP="00A13556">
      <w:pPr>
        <w:pStyle w:val="ListParagraph"/>
        <w:numPr>
          <w:ilvl w:val="0"/>
          <w:numId w:val="27"/>
        </w:numPr>
        <w:ind w:left="360"/>
      </w:pPr>
      <w:r>
        <w:t>There were no statistically significant differences between b</w:t>
      </w:r>
      <w:r w:rsidRPr="00B71EA5">
        <w:t xml:space="preserve">upropion in combination with NRT </w:t>
      </w:r>
      <w:r>
        <w:t xml:space="preserve">(either as gum or inhaler) compared </w:t>
      </w:r>
      <w:r w:rsidRPr="00B71EA5">
        <w:t>to placebo as a relapse prevention treatment in abstainers.</w:t>
      </w:r>
      <w:r>
        <w:t xml:space="preserve"> </w:t>
      </w:r>
      <w:r w:rsidRPr="00663D67">
        <w:t>The adverse events reported were consistent with those expected of bupropion and NRT.</w:t>
      </w:r>
    </w:p>
    <w:tbl>
      <w:tblPr>
        <w:tblStyle w:val="TableGrid3"/>
        <w:tblW w:w="5000" w:type="pct"/>
        <w:shd w:val="clear" w:color="auto" w:fill="F2F2F2" w:themeFill="background1" w:themeFillShade="F2"/>
        <w:tblLook w:val="04A0" w:firstRow="1" w:lastRow="0" w:firstColumn="1" w:lastColumn="0" w:noHBand="0" w:noVBand="1"/>
      </w:tblPr>
      <w:tblGrid>
        <w:gridCol w:w="2065"/>
        <w:gridCol w:w="2699"/>
        <w:gridCol w:w="4252"/>
      </w:tblGrid>
      <w:tr w:rsidR="00B3406A" w:rsidRPr="00916516" w:rsidTr="00A82090">
        <w:trPr>
          <w:trHeight w:val="67"/>
        </w:trPr>
        <w:tc>
          <w:tcPr>
            <w:tcW w:w="114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49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3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16516" w:rsidTr="00A82090">
        <w:trPr>
          <w:trHeight w:val="164"/>
        </w:trPr>
        <w:tc>
          <w:tcPr>
            <w:tcW w:w="5000" w:type="pct"/>
            <w:gridSpan w:val="3"/>
            <w:shd w:val="clear" w:color="auto" w:fill="F2F2F2" w:themeFill="background1" w:themeFillShade="F2"/>
            <w:hideMark/>
          </w:tcPr>
          <w:p w:rsidR="00B3406A" w:rsidRPr="00916516" w:rsidRDefault="00B3406A" w:rsidP="001E7257">
            <w:pPr>
              <w:tabs>
                <w:tab w:val="left" w:pos="3037"/>
              </w:tabs>
              <w:rPr>
                <w:szCs w:val="18"/>
              </w:rPr>
            </w:pPr>
            <w:r w:rsidRPr="00C370DF">
              <w:rPr>
                <w:b/>
                <w:bCs/>
                <w:szCs w:val="18"/>
              </w:rPr>
              <w:t>Treatment-experienced population (relapse prevention treatment in abstainers)</w:t>
            </w:r>
          </w:p>
        </w:tc>
      </w:tr>
      <w:tr w:rsidR="00B3406A" w:rsidRPr="00552AFA" w:rsidTr="00A82090">
        <w:trPr>
          <w:trHeight w:val="345"/>
        </w:trPr>
        <w:tc>
          <w:tcPr>
            <w:tcW w:w="1145" w:type="pct"/>
            <w:shd w:val="clear" w:color="auto" w:fill="F2F2F2" w:themeFill="background1" w:themeFillShade="F2"/>
            <w:hideMark/>
          </w:tcPr>
          <w:p w:rsidR="00B3406A" w:rsidRPr="00360862" w:rsidRDefault="00B3406A" w:rsidP="001E7257">
            <w:pPr>
              <w:tabs>
                <w:tab w:val="left" w:pos="1198"/>
              </w:tabs>
              <w:spacing w:after="200"/>
              <w:rPr>
                <w:szCs w:val="18"/>
              </w:rPr>
            </w:pPr>
            <w:r w:rsidRPr="00C370DF">
              <w:rPr>
                <w:szCs w:val="18"/>
              </w:rPr>
              <w:t>Bupropion + NRT</w:t>
            </w:r>
            <w:r w:rsidRPr="00C370DF">
              <w:rPr>
                <w:szCs w:val="18"/>
                <w:vertAlign w:val="superscript"/>
              </w:rPr>
              <w:t>1</w:t>
            </w:r>
            <w:r>
              <w:rPr>
                <w:szCs w:val="18"/>
              </w:rPr>
              <w:t xml:space="preserve"> vs placebo</w:t>
            </w:r>
          </w:p>
        </w:tc>
        <w:tc>
          <w:tcPr>
            <w:tcW w:w="1497" w:type="pct"/>
            <w:shd w:val="clear" w:color="auto" w:fill="F2F2F2" w:themeFill="background1" w:themeFillShade="F2"/>
            <w:hideMark/>
          </w:tcPr>
          <w:p w:rsidR="00B3406A" w:rsidRPr="009A0D52" w:rsidRDefault="00B3406A" w:rsidP="00815A6D">
            <w:pPr>
              <w:pStyle w:val="ListParagraph"/>
              <w:numPr>
                <w:ilvl w:val="0"/>
                <w:numId w:val="43"/>
              </w:numPr>
              <w:rPr>
                <w:szCs w:val="18"/>
              </w:rPr>
            </w:pPr>
            <w:r>
              <w:rPr>
                <w:rFonts w:eastAsia="MS Mincho"/>
              </w:rPr>
              <w:t>Livingstone-Banks (2019)</w:t>
            </w:r>
            <w:r w:rsidRPr="009A0D52">
              <w:rPr>
                <w:rFonts w:eastAsia="MS Mincho"/>
                <w:vertAlign w:val="superscript"/>
              </w:rPr>
              <w:t>2</w:t>
            </w:r>
          </w:p>
        </w:tc>
        <w:tc>
          <w:tcPr>
            <w:tcW w:w="2357" w:type="pct"/>
            <w:shd w:val="clear" w:color="auto" w:fill="F2F2F2" w:themeFill="background1" w:themeFillShade="F2"/>
            <w:hideMark/>
          </w:tcPr>
          <w:p w:rsidR="00B3406A" w:rsidRPr="00E338EF"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E338EF">
              <w:rPr>
                <w:szCs w:val="18"/>
              </w:rPr>
              <w:t>Not statistically significant</w:t>
            </w:r>
            <w:r>
              <w:rPr>
                <w:szCs w:val="18"/>
              </w:rPr>
              <w:t xml:space="preserve"> based on RR.</w:t>
            </w:r>
          </w:p>
          <w:p w:rsidR="00B3406A" w:rsidRPr="00E338EF"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E338EF">
              <w:rPr>
                <w:szCs w:val="18"/>
              </w:rPr>
              <w:t>AEs reported were consistent with those expected of bupropion and NRT</w:t>
            </w:r>
            <w:r>
              <w:rPr>
                <w:szCs w:val="18"/>
              </w:rPr>
              <w:t>.</w:t>
            </w:r>
          </w:p>
        </w:tc>
      </w:tr>
    </w:tbl>
    <w:p w:rsidR="00B3406A" w:rsidRDefault="00B3406A" w:rsidP="001E7257">
      <w:pPr>
        <w:pStyle w:val="TableFooter"/>
        <w:keepNext/>
      </w:pPr>
      <w:r>
        <w:t>Abbreviations: AEs = adverse events; NRT = nicotine replacement therapy; RR = risk ratio.</w:t>
      </w:r>
    </w:p>
    <w:p w:rsidR="00B3406A" w:rsidRDefault="00B3406A" w:rsidP="001E7257">
      <w:pPr>
        <w:pStyle w:val="TableFooter"/>
        <w:keepNext/>
      </w:pPr>
      <w:r w:rsidRPr="00BE36E8">
        <w:t xml:space="preserve">Notes: </w:t>
      </w:r>
    </w:p>
    <w:p w:rsidR="00B3406A" w:rsidRDefault="00B3406A" w:rsidP="001E7257">
      <w:pPr>
        <w:pStyle w:val="TableFooter"/>
        <w:keepNext/>
      </w:pPr>
      <w:r w:rsidRPr="00BE36E8">
        <w:t xml:space="preserve">1 </w:t>
      </w:r>
      <w:r w:rsidRPr="00C370DF">
        <w:t>NRT administered either as gum or inhaler.</w:t>
      </w:r>
    </w:p>
    <w:p w:rsidR="00B3406A" w:rsidRPr="002C3186" w:rsidRDefault="00B3406A" w:rsidP="00815A6D">
      <w:pPr>
        <w:pStyle w:val="TableFooter"/>
        <w:keepNext/>
        <w:numPr>
          <w:ilvl w:val="0"/>
          <w:numId w:val="50"/>
        </w:numPr>
      </w:pPr>
      <w:r w:rsidRPr="00BE36E8">
        <w:t>Cochrane Review</w:t>
      </w:r>
      <w:r>
        <w:t>.</w:t>
      </w:r>
    </w:p>
    <w:p w:rsidR="00B3406A" w:rsidRDefault="00B23D0F" w:rsidP="00B23D0F">
      <w:pPr>
        <w:pStyle w:val="Heading3"/>
        <w:spacing w:before="240" w:after="200"/>
      </w:pPr>
      <w:bookmarkStart w:id="47" w:name="_Toc63082731"/>
      <w:bookmarkStart w:id="48" w:name="_Toc72848461"/>
      <w:r>
        <w:t xml:space="preserve">3.3 </w:t>
      </w:r>
      <w:r w:rsidR="00B3406A">
        <w:t>NRT dose, dosage form and length of therapy</w:t>
      </w:r>
      <w:bookmarkEnd w:id="47"/>
      <w:bookmarkEnd w:id="48"/>
    </w:p>
    <w:p w:rsidR="00B3406A" w:rsidRDefault="00B3406A" w:rsidP="001E7257">
      <w:pPr>
        <w:rPr>
          <w:rFonts w:eastAsiaTheme="minorEastAsia"/>
          <w:b/>
          <w:i/>
          <w:sz w:val="28"/>
          <w:szCs w:val="28"/>
        </w:rPr>
      </w:pPr>
      <w:r w:rsidRPr="00DA1566">
        <w:rPr>
          <w:rFonts w:eastAsiaTheme="minorEastAsia"/>
          <w:b/>
          <w:i/>
          <w:sz w:val="28"/>
          <w:szCs w:val="28"/>
        </w:rPr>
        <w:t>Examine the efficacy and safety of NRT with respect to dose, dosage form, length of therapy and combination thera</w:t>
      </w:r>
      <w:r>
        <w:rPr>
          <w:rFonts w:eastAsiaTheme="minorEastAsia"/>
          <w:b/>
          <w:i/>
          <w:sz w:val="28"/>
          <w:szCs w:val="28"/>
        </w:rPr>
        <w:t>py</w:t>
      </w:r>
    </w:p>
    <w:p w:rsidR="00B3406A" w:rsidRPr="00B23D0F" w:rsidRDefault="00B3406A" w:rsidP="002F3376">
      <w:pPr>
        <w:pStyle w:val="Heading6"/>
        <w:numPr>
          <w:ilvl w:val="2"/>
          <w:numId w:val="70"/>
        </w:numPr>
        <w:spacing w:after="240"/>
        <w:rPr>
          <w:rFonts w:asciiTheme="minorHAnsi" w:hAnsiTheme="minorHAnsi" w:cstheme="minorHAnsi"/>
          <w:b/>
          <w:i w:val="0"/>
          <w:color w:val="auto"/>
        </w:rPr>
      </w:pPr>
      <w:r w:rsidRPr="00B23D0F">
        <w:rPr>
          <w:rFonts w:asciiTheme="minorHAnsi" w:hAnsiTheme="minorHAnsi" w:cstheme="minorHAnsi"/>
          <w:b/>
          <w:i w:val="0"/>
          <w:color w:val="auto"/>
        </w:rPr>
        <w:t>NRT dose</w:t>
      </w:r>
    </w:p>
    <w:p w:rsidR="00B3406A" w:rsidRDefault="00B3406A" w:rsidP="00D25738">
      <w:pPr>
        <w:pStyle w:val="ListParagraph"/>
        <w:numPr>
          <w:ilvl w:val="0"/>
          <w:numId w:val="27"/>
        </w:numPr>
        <w:ind w:left="360"/>
        <w:jc w:val="both"/>
      </w:pPr>
      <w:r w:rsidRPr="002B518E">
        <w:t>Higher strength NRT patch</w:t>
      </w:r>
      <w:r>
        <w:t>es</w:t>
      </w:r>
      <w:r w:rsidRPr="002B518E">
        <w:t xml:space="preserve"> (21 mg/24-hour) w</w:t>
      </w:r>
      <w:r>
        <w:t>ere</w:t>
      </w:r>
      <w:r w:rsidRPr="002B518E">
        <w:t xml:space="preserve"> shown to </w:t>
      </w:r>
      <w:r>
        <w:t xml:space="preserve">be superior to </w:t>
      </w:r>
      <w:r w:rsidRPr="002B518E">
        <w:t>lower strength patch</w:t>
      </w:r>
      <w:r>
        <w:t>es</w:t>
      </w:r>
      <w:r w:rsidRPr="002B518E">
        <w:t xml:space="preserve"> (14 mg/24-hour</w:t>
      </w:r>
      <w:r>
        <w:t>) in terms of efficacy based on</w:t>
      </w:r>
      <w:r w:rsidRPr="002B518E">
        <w:t xml:space="preserve"> </w:t>
      </w:r>
      <w:r>
        <w:t>trials that primarily involved participants who smoked 20 or more cigarettes a day</w:t>
      </w:r>
      <w:r w:rsidRPr="002B518E">
        <w:t xml:space="preserve">. There were no statistically significant differences in smoking cessation rates for the other comparisons (25 mg/16-hour versus 15 mg/16-hour </w:t>
      </w:r>
      <w:r>
        <w:t>patches</w:t>
      </w:r>
      <w:r w:rsidRPr="002B518E">
        <w:t xml:space="preserve">; 42/44 mg/24-hour versus 21/22 mg/24-hour </w:t>
      </w:r>
      <w:r>
        <w:t>patches</w:t>
      </w:r>
      <w:r w:rsidRPr="002B518E">
        <w:t xml:space="preserve">). </w:t>
      </w:r>
      <w:r>
        <w:t xml:space="preserve">In </w:t>
      </w:r>
      <w:proofErr w:type="spellStart"/>
      <w:r>
        <w:t>Lindson</w:t>
      </w:r>
      <w:proofErr w:type="spellEnd"/>
      <w:r>
        <w:t xml:space="preserve"> et al. (2019), </w:t>
      </w:r>
      <w:r w:rsidRPr="002A2CAA">
        <w:t>studies comparing 42 mg/24-hour versus 21 mg/24-hour and 44 mg/24-hour versus 22 mg/24-hour patches</w:t>
      </w:r>
      <w:r>
        <w:t xml:space="preserve"> were pooled.</w:t>
      </w:r>
      <w:r w:rsidRPr="002B518E">
        <w:t xml:space="preserve"> For safety, there were no statistically significant differences in the key adverse events between higher strength and lower strength NRT patches for all comparisons except for treatment withdrawals comparing the 42/44 mg with 21/22 mg (24-hour) patches</w:t>
      </w:r>
      <w:r>
        <w:t>, with</w:t>
      </w:r>
      <w:r w:rsidRPr="002B518E">
        <w:t xml:space="preserve"> a significantly higher treatment withdrawal rate observed in patients treated with 42/44 mg (24-hour) patch</w:t>
      </w:r>
      <w:r>
        <w:t>es</w:t>
      </w:r>
      <w:r w:rsidRPr="002B518E">
        <w:t xml:space="preserve">. </w:t>
      </w:r>
    </w:p>
    <w:p w:rsidR="00B3406A" w:rsidRDefault="00B3406A" w:rsidP="00D25738">
      <w:pPr>
        <w:pStyle w:val="ListParagraph"/>
        <w:numPr>
          <w:ilvl w:val="0"/>
          <w:numId w:val="27"/>
        </w:numPr>
        <w:ind w:left="360"/>
        <w:jc w:val="both"/>
      </w:pPr>
      <w:r w:rsidRPr="002B518E">
        <w:t xml:space="preserve">Higher strength NRT gum (4 mg) </w:t>
      </w:r>
      <w:r>
        <w:t>was shown to be superior to</w:t>
      </w:r>
      <w:r w:rsidRPr="002B518E">
        <w:t xml:space="preserve"> lower strength gum (2 mg)</w:t>
      </w:r>
      <w:r>
        <w:t xml:space="preserve"> in terms of efficacy</w:t>
      </w:r>
      <w:r w:rsidRPr="002B518E">
        <w:t xml:space="preserve"> based on the pooled results of high-dependency and low-dependency smokers. However, the results of the subgroup analysis suggest that only smokers who are highly dependent may benefit from the higher strength NRT gum</w:t>
      </w:r>
      <w:r>
        <w:t>.</w:t>
      </w:r>
      <w:r w:rsidRPr="002B518E">
        <w:t xml:space="preserve"> There were no statistically significant differences in palpitations and treatment withdrawals between the two treatment arms. </w:t>
      </w:r>
    </w:p>
    <w:tbl>
      <w:tblPr>
        <w:tblStyle w:val="TableGrid3"/>
        <w:tblW w:w="5000" w:type="pct"/>
        <w:shd w:val="clear" w:color="auto" w:fill="F2F2F2" w:themeFill="background1" w:themeFillShade="F2"/>
        <w:tblLook w:val="04A0" w:firstRow="1" w:lastRow="0" w:firstColumn="1" w:lastColumn="0" w:noHBand="0" w:noVBand="1"/>
      </w:tblPr>
      <w:tblGrid>
        <w:gridCol w:w="1884"/>
        <w:gridCol w:w="1892"/>
        <w:gridCol w:w="5240"/>
      </w:tblGrid>
      <w:tr w:rsidR="00B3406A" w:rsidRPr="00916516" w:rsidTr="00A82090">
        <w:trPr>
          <w:trHeight w:val="67"/>
        </w:trPr>
        <w:tc>
          <w:tcPr>
            <w:tcW w:w="104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049"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906"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63070A" w:rsidTr="00A82090">
        <w:trPr>
          <w:trHeight w:val="345"/>
        </w:trPr>
        <w:tc>
          <w:tcPr>
            <w:tcW w:w="1045" w:type="pct"/>
            <w:shd w:val="clear" w:color="auto" w:fill="F2F2F2" w:themeFill="background1" w:themeFillShade="F2"/>
            <w:hideMark/>
          </w:tcPr>
          <w:p w:rsidR="00B3406A" w:rsidRPr="00182A8F" w:rsidRDefault="00B3406A" w:rsidP="001E7257">
            <w:pPr>
              <w:tabs>
                <w:tab w:val="left" w:pos="1198"/>
              </w:tabs>
              <w:spacing w:after="200"/>
              <w:rPr>
                <w:szCs w:val="18"/>
              </w:rPr>
            </w:pPr>
            <w:r w:rsidRPr="00182A8F">
              <w:rPr>
                <w:szCs w:val="18"/>
              </w:rPr>
              <w:t>Higher strength NRT patch</w:t>
            </w:r>
            <w:r w:rsidRPr="00182A8F">
              <w:rPr>
                <w:szCs w:val="18"/>
                <w:vertAlign w:val="superscript"/>
              </w:rPr>
              <w:t>1</w:t>
            </w:r>
            <w:r>
              <w:rPr>
                <w:szCs w:val="18"/>
              </w:rPr>
              <w:t xml:space="preserve"> vs l</w:t>
            </w:r>
            <w:r w:rsidRPr="00182A8F">
              <w:rPr>
                <w:szCs w:val="18"/>
              </w:rPr>
              <w:t>ower strength NRT patch</w:t>
            </w:r>
          </w:p>
        </w:tc>
        <w:tc>
          <w:tcPr>
            <w:tcW w:w="1049" w:type="pct"/>
            <w:shd w:val="clear" w:color="auto" w:fill="F2F2F2" w:themeFill="background1" w:themeFillShade="F2"/>
            <w:hideMark/>
          </w:tcPr>
          <w:p w:rsidR="00B3406A" w:rsidRPr="00614418" w:rsidRDefault="00B3406A" w:rsidP="00815A6D">
            <w:pPr>
              <w:pStyle w:val="ListParagraph"/>
              <w:numPr>
                <w:ilvl w:val="0"/>
                <w:numId w:val="43"/>
              </w:numPr>
              <w:rPr>
                <w:szCs w:val="18"/>
              </w:rPr>
            </w:pPr>
            <w:proofErr w:type="spellStart"/>
            <w:r w:rsidRPr="004834D2">
              <w:rPr>
                <w:szCs w:val="18"/>
              </w:rPr>
              <w:t>Lindson</w:t>
            </w:r>
            <w:proofErr w:type="spellEnd"/>
            <w:r w:rsidRPr="004834D2">
              <w:rPr>
                <w:szCs w:val="18"/>
              </w:rPr>
              <w:t xml:space="preserve"> (2019)</w:t>
            </w:r>
            <w:r w:rsidRPr="00E15A6E">
              <w:rPr>
                <w:szCs w:val="18"/>
                <w:vertAlign w:val="superscript"/>
              </w:rPr>
              <w:t>3</w:t>
            </w:r>
          </w:p>
        </w:tc>
        <w:tc>
          <w:tcPr>
            <w:tcW w:w="2906" w:type="pct"/>
            <w:shd w:val="clear" w:color="auto" w:fill="F2F2F2" w:themeFill="background1" w:themeFillShade="F2"/>
            <w:hideMark/>
          </w:tcPr>
          <w:p w:rsidR="00B3406A"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182A8F">
              <w:rPr>
                <w:szCs w:val="18"/>
              </w:rPr>
              <w:t xml:space="preserve">Statistically significant </w:t>
            </w:r>
            <w:r>
              <w:rPr>
                <w:szCs w:val="18"/>
              </w:rPr>
              <w:t xml:space="preserve">based on RR </w:t>
            </w:r>
            <w:r w:rsidRPr="00182A8F">
              <w:rPr>
                <w:szCs w:val="18"/>
              </w:rPr>
              <w:t>(in favour of higher strength, 21 mg/24-hour versus 14 mg/24-hour)</w:t>
            </w:r>
            <w:r>
              <w:rPr>
                <w:szCs w:val="18"/>
              </w:rPr>
              <w:t>;</w:t>
            </w:r>
          </w:p>
          <w:p w:rsidR="00B3406A" w:rsidRPr="00182A8F" w:rsidRDefault="00B3406A" w:rsidP="001E7257">
            <w:pPr>
              <w:pStyle w:val="ListParagraph"/>
              <w:ind w:left="360"/>
              <w:rPr>
                <w:szCs w:val="18"/>
              </w:rPr>
            </w:pPr>
            <w:r w:rsidRPr="00182A8F">
              <w:rPr>
                <w:szCs w:val="18"/>
              </w:rPr>
              <w:t xml:space="preserve">Not statistically significant </w:t>
            </w:r>
            <w:r>
              <w:rPr>
                <w:szCs w:val="18"/>
              </w:rPr>
              <w:t xml:space="preserve">based on RR </w:t>
            </w:r>
            <w:r w:rsidRPr="00182A8F">
              <w:rPr>
                <w:szCs w:val="18"/>
              </w:rPr>
              <w:t>(other comparisons)</w:t>
            </w:r>
            <w:r>
              <w:rPr>
                <w:szCs w:val="18"/>
              </w:rPr>
              <w:t xml:space="preserve">. </w:t>
            </w:r>
          </w:p>
          <w:p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182A8F">
              <w:rPr>
                <w:szCs w:val="18"/>
              </w:rPr>
              <w:t>Statistically significant</w:t>
            </w:r>
            <w:r>
              <w:rPr>
                <w:szCs w:val="18"/>
              </w:rPr>
              <w:t xml:space="preserve"> based on RR </w:t>
            </w:r>
            <w:r w:rsidRPr="00182A8F">
              <w:rPr>
                <w:szCs w:val="18"/>
              </w:rPr>
              <w:t>(treatment withdrawals; higher in 42/44 mg/24-hour patch)</w:t>
            </w:r>
            <w:r>
              <w:rPr>
                <w:szCs w:val="18"/>
              </w:rPr>
              <w:t>;</w:t>
            </w:r>
          </w:p>
          <w:p w:rsidR="00B3406A" w:rsidRPr="003C3714" w:rsidRDefault="00B3406A" w:rsidP="001E7257">
            <w:pPr>
              <w:pStyle w:val="ListParagraph"/>
              <w:ind w:left="360"/>
              <w:rPr>
                <w:szCs w:val="18"/>
              </w:rPr>
            </w:pPr>
            <w:r w:rsidRPr="00182A8F">
              <w:rPr>
                <w:szCs w:val="18"/>
              </w:rPr>
              <w:t>Not statistically significant</w:t>
            </w:r>
            <w:r>
              <w:rPr>
                <w:szCs w:val="18"/>
              </w:rPr>
              <w:t xml:space="preserve"> based on RR </w:t>
            </w:r>
            <w:r w:rsidRPr="003C3714">
              <w:rPr>
                <w:szCs w:val="18"/>
              </w:rPr>
              <w:t>(AEs incl. treatment withdrawals for other comparisons)</w:t>
            </w:r>
            <w:r>
              <w:rPr>
                <w:szCs w:val="18"/>
              </w:rPr>
              <w:t>.</w:t>
            </w:r>
          </w:p>
        </w:tc>
      </w:tr>
      <w:tr w:rsidR="00B3406A" w:rsidRPr="00360862" w:rsidTr="00A82090">
        <w:trPr>
          <w:trHeight w:val="617"/>
        </w:trPr>
        <w:tc>
          <w:tcPr>
            <w:tcW w:w="1045" w:type="pct"/>
            <w:shd w:val="clear" w:color="auto" w:fill="F2F2F2" w:themeFill="background1" w:themeFillShade="F2"/>
            <w:hideMark/>
          </w:tcPr>
          <w:p w:rsidR="00B3406A" w:rsidRPr="00360862" w:rsidRDefault="00B3406A" w:rsidP="001E7257">
            <w:pPr>
              <w:spacing w:after="200"/>
              <w:rPr>
                <w:szCs w:val="18"/>
              </w:rPr>
            </w:pPr>
            <w:r w:rsidRPr="00182A8F">
              <w:rPr>
                <w:szCs w:val="18"/>
              </w:rPr>
              <w:t xml:space="preserve">Higher strength NRT </w:t>
            </w:r>
            <w:r>
              <w:rPr>
                <w:szCs w:val="18"/>
              </w:rPr>
              <w:t>gum</w:t>
            </w:r>
            <w:r>
              <w:rPr>
                <w:szCs w:val="18"/>
                <w:vertAlign w:val="superscript"/>
              </w:rPr>
              <w:t>2</w:t>
            </w:r>
            <w:r>
              <w:rPr>
                <w:szCs w:val="18"/>
              </w:rPr>
              <w:t xml:space="preserve"> vs l</w:t>
            </w:r>
            <w:r w:rsidRPr="00182A8F">
              <w:rPr>
                <w:szCs w:val="18"/>
              </w:rPr>
              <w:t xml:space="preserve">ower strength NRT </w:t>
            </w:r>
            <w:r>
              <w:rPr>
                <w:szCs w:val="18"/>
              </w:rPr>
              <w:t>gum</w:t>
            </w:r>
          </w:p>
        </w:tc>
        <w:tc>
          <w:tcPr>
            <w:tcW w:w="1049"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rsidRPr="004834D2">
              <w:rPr>
                <w:szCs w:val="18"/>
              </w:rPr>
              <w:t>Lindson</w:t>
            </w:r>
            <w:proofErr w:type="spellEnd"/>
            <w:r w:rsidRPr="004834D2">
              <w:rPr>
                <w:szCs w:val="18"/>
              </w:rPr>
              <w:t xml:space="preserve"> (2019)</w:t>
            </w:r>
            <w:r w:rsidRPr="00E15A6E">
              <w:rPr>
                <w:szCs w:val="18"/>
                <w:vertAlign w:val="superscript"/>
              </w:rPr>
              <w:t>3</w:t>
            </w:r>
          </w:p>
        </w:tc>
        <w:tc>
          <w:tcPr>
            <w:tcW w:w="2906" w:type="pct"/>
            <w:shd w:val="clear" w:color="auto" w:fill="F2F2F2" w:themeFill="background1" w:themeFillShade="F2"/>
            <w:hideMark/>
          </w:tcPr>
          <w:p w:rsidR="00B3406A" w:rsidRPr="00182A8F"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182A8F">
              <w:rPr>
                <w:szCs w:val="18"/>
              </w:rPr>
              <w:t>Statistically significant</w:t>
            </w:r>
            <w:r w:rsidRPr="00182A8F">
              <w:rPr>
                <w:szCs w:val="18"/>
                <w:vertAlign w:val="superscript"/>
              </w:rPr>
              <w:t>2</w:t>
            </w:r>
            <w:r>
              <w:rPr>
                <w:szCs w:val="18"/>
                <w:vertAlign w:val="superscript"/>
              </w:rPr>
              <w:t xml:space="preserve"> </w:t>
            </w:r>
            <w:r>
              <w:rPr>
                <w:szCs w:val="18"/>
              </w:rPr>
              <w:t xml:space="preserve">based on RR </w:t>
            </w:r>
            <w:r w:rsidRPr="00182A8F">
              <w:rPr>
                <w:szCs w:val="18"/>
              </w:rPr>
              <w:t>(in favour of higher strength)</w:t>
            </w:r>
            <w:r>
              <w:rPr>
                <w:szCs w:val="18"/>
              </w:rPr>
              <w:t>.</w:t>
            </w:r>
          </w:p>
          <w:p w:rsidR="00B3406A" w:rsidRPr="00E15A6E"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182A8F">
              <w:rPr>
                <w:szCs w:val="18"/>
              </w:rPr>
              <w:t>Not statistically significant</w:t>
            </w:r>
            <w:r>
              <w:rPr>
                <w:szCs w:val="18"/>
              </w:rPr>
              <w:t xml:space="preserve"> based on RR </w:t>
            </w:r>
            <w:r w:rsidRPr="00182A8F">
              <w:rPr>
                <w:szCs w:val="18"/>
              </w:rPr>
              <w:t>(palpitations, treatment withdrawals)</w:t>
            </w:r>
            <w:r>
              <w:rPr>
                <w:szCs w:val="18"/>
              </w:rPr>
              <w:t xml:space="preserve">. </w:t>
            </w:r>
          </w:p>
        </w:tc>
      </w:tr>
    </w:tbl>
    <w:p w:rsidR="00B3406A" w:rsidRDefault="00B3406A" w:rsidP="001E7257">
      <w:pPr>
        <w:pStyle w:val="TableFooter"/>
        <w:keepNext/>
      </w:pPr>
      <w:r>
        <w:t xml:space="preserve">Abbreviations: AEs = adverse events; NRT = nicotine replacement therapy; RR = risk ratio. </w:t>
      </w:r>
    </w:p>
    <w:p w:rsidR="00B3406A" w:rsidRDefault="00B3406A" w:rsidP="001E7257">
      <w:pPr>
        <w:pStyle w:val="TableFooter"/>
        <w:keepNext/>
      </w:pPr>
      <w:r w:rsidRPr="00BE36E8">
        <w:t xml:space="preserve">Notes: </w:t>
      </w:r>
    </w:p>
    <w:p w:rsidR="00B3406A" w:rsidRPr="00182A8F" w:rsidRDefault="00B3406A" w:rsidP="001E7257">
      <w:pPr>
        <w:pStyle w:val="TableFooter"/>
        <w:keepNext/>
      </w:pPr>
      <w:r>
        <w:t xml:space="preserve">1 </w:t>
      </w:r>
      <w:r w:rsidRPr="00182A8F">
        <w:t>Comparisons include 21 mg/24-hour versus 14 mg/24-hour patches, 25 mg/16-hour versus 15 mg/16-hour patches, and 42/44 mg/24-hour versus 21/22 mg/24-hour patches. Studies comparing 42 mg/24-hour versus 21 mg/24-hour and 44 mg/24-hour versus 22 mg/24-hour patches were pooled.</w:t>
      </w:r>
    </w:p>
    <w:p w:rsidR="00B3406A" w:rsidRDefault="00B3406A" w:rsidP="001E7257">
      <w:pPr>
        <w:pStyle w:val="TableFooter"/>
        <w:keepNext/>
      </w:pPr>
      <w:r>
        <w:t xml:space="preserve">2 </w:t>
      </w:r>
      <w:r w:rsidRPr="00182A8F">
        <w:t>Comparisons include 4 mg versus 2 mg gum. Based on the pooled results of high-dependency and low-dependency smokers. The results of the subgroup analysis suggest that only smokers who are highly dependent may benefit from the higher strength NRT gum.</w:t>
      </w:r>
    </w:p>
    <w:p w:rsidR="00B3406A" w:rsidRPr="003603EB" w:rsidRDefault="00B3406A" w:rsidP="00815A6D">
      <w:pPr>
        <w:pStyle w:val="TableFooter"/>
        <w:keepNext/>
        <w:numPr>
          <w:ilvl w:val="0"/>
          <w:numId w:val="50"/>
        </w:numPr>
      </w:pPr>
      <w:r w:rsidRPr="00BE36E8">
        <w:t>Cochrane Review</w:t>
      </w:r>
      <w:r>
        <w:t>.</w:t>
      </w:r>
    </w:p>
    <w:p w:rsidR="00B3406A" w:rsidRPr="00B23D0F" w:rsidRDefault="00B23D0F" w:rsidP="002F3376">
      <w:pPr>
        <w:pStyle w:val="Heading6"/>
        <w:numPr>
          <w:ilvl w:val="0"/>
          <w:numId w:val="0"/>
        </w:numPr>
        <w:spacing w:after="240"/>
        <w:ind w:left="1152" w:hanging="1152"/>
        <w:rPr>
          <w:rFonts w:asciiTheme="minorHAnsi" w:hAnsiTheme="minorHAnsi" w:cstheme="minorHAnsi"/>
          <w:b/>
          <w:i w:val="0"/>
          <w:color w:val="auto"/>
        </w:rPr>
      </w:pPr>
      <w:r>
        <w:rPr>
          <w:rFonts w:asciiTheme="minorHAnsi" w:hAnsiTheme="minorHAnsi" w:cstheme="minorHAnsi"/>
          <w:b/>
          <w:i w:val="0"/>
          <w:color w:val="auto"/>
        </w:rPr>
        <w:t xml:space="preserve">3.3.2 </w:t>
      </w:r>
      <w:r w:rsidR="00B3406A" w:rsidRPr="00B23D0F">
        <w:rPr>
          <w:rFonts w:asciiTheme="minorHAnsi" w:hAnsiTheme="minorHAnsi" w:cstheme="minorHAnsi"/>
          <w:b/>
          <w:i w:val="0"/>
          <w:color w:val="auto"/>
        </w:rPr>
        <w:t>Length of therapy</w:t>
      </w:r>
    </w:p>
    <w:p w:rsidR="00B3406A" w:rsidRPr="0054703E" w:rsidRDefault="00B3406A" w:rsidP="00D25738">
      <w:pPr>
        <w:pStyle w:val="ListParagraph"/>
        <w:numPr>
          <w:ilvl w:val="0"/>
          <w:numId w:val="28"/>
        </w:numPr>
        <w:ind w:left="360"/>
        <w:jc w:val="both"/>
      </w:pPr>
      <w:r>
        <w:t>There were no statistically significant differences between l</w:t>
      </w:r>
      <w:r w:rsidRPr="008C5C68">
        <w:t>onger duration</w:t>
      </w:r>
      <w:r>
        <w:t xml:space="preserve"> NRT and</w:t>
      </w:r>
      <w:r w:rsidRPr="009B4E2F">
        <w:t xml:space="preserve"> </w:t>
      </w:r>
      <w:r w:rsidDel="009B4E2F">
        <w:t>shorter duration</w:t>
      </w:r>
      <w:r w:rsidRPr="008C5C68" w:rsidDel="009B4E2F">
        <w:t xml:space="preserve"> </w:t>
      </w:r>
      <w:r w:rsidRPr="009B4E2F">
        <w:t>NRT</w:t>
      </w:r>
      <w:r>
        <w:t xml:space="preserve"> in terms of efficacy and safety (serious adverse events and treatment withdrawals)</w:t>
      </w:r>
      <w:r w:rsidRPr="000D166B">
        <w:t xml:space="preserve">. </w:t>
      </w:r>
      <w:r>
        <w:t>For this comparison, NRT was administered</w:t>
      </w:r>
      <w:r w:rsidRPr="0054703E">
        <w:t xml:space="preserve"> </w:t>
      </w:r>
      <w:r w:rsidRPr="001E4395">
        <w:t>either as monotherapy (patch or gum) or combination therapy</w:t>
      </w:r>
      <w:r>
        <w:t xml:space="preserve">. </w:t>
      </w:r>
      <w:r w:rsidRPr="007A7EFF">
        <w:t xml:space="preserve">Of note, the CEASE (1999) </w:t>
      </w:r>
      <w:r>
        <w:t>study</w:t>
      </w:r>
      <w:r w:rsidRPr="007A7EFF">
        <w:t xml:space="preserve"> compared 28 weeks with 12 weeks of NRT patches, with two patch doses (25 mg and 15 mg) examined in each duration</w:t>
      </w:r>
      <w:r>
        <w:t xml:space="preserve"> showed no statistically significant differences consistent with the other studies identified</w:t>
      </w:r>
      <w:r w:rsidRPr="007A7EFF">
        <w:t>.</w:t>
      </w:r>
    </w:p>
    <w:p w:rsidR="00B3406A" w:rsidRDefault="00B3406A" w:rsidP="00D25738">
      <w:pPr>
        <w:pStyle w:val="ListParagraph"/>
        <w:numPr>
          <w:ilvl w:val="0"/>
          <w:numId w:val="28"/>
        </w:numPr>
        <w:ind w:left="360"/>
        <w:jc w:val="both"/>
      </w:pPr>
      <w:r w:rsidRPr="001F4D1B">
        <w:t xml:space="preserve">For other variations in NRT use (24-hour versus 16-hour </w:t>
      </w:r>
      <w:r>
        <w:t>patches</w:t>
      </w:r>
      <w:r w:rsidRPr="001F4D1B">
        <w:t xml:space="preserve">, continue versus stop patch use on </w:t>
      </w:r>
      <w:r>
        <w:t>re</w:t>
      </w:r>
      <w:r w:rsidRPr="001F4D1B">
        <w:t xml:space="preserve">lapse, and 22 weeks of </w:t>
      </w:r>
      <w:r>
        <w:t xml:space="preserve">a </w:t>
      </w:r>
      <w:r w:rsidRPr="001F4D1B">
        <w:t xml:space="preserve">combination of 35 mg </w:t>
      </w:r>
      <w:r>
        <w:t>patches</w:t>
      </w:r>
      <w:r w:rsidRPr="001F4D1B">
        <w:t xml:space="preserve"> and fast-acting</w:t>
      </w:r>
      <w:r>
        <w:t xml:space="preserve"> NRT</w:t>
      </w:r>
      <w:r w:rsidRPr="001F4D1B">
        <w:t xml:space="preserve"> versus 10 weeks of 21 mg</w:t>
      </w:r>
      <w:r>
        <w:t xml:space="preserve"> patches</w:t>
      </w:r>
      <w:r w:rsidRPr="001F4D1B">
        <w:t>), there were no statistically significant differences in smoking cessation rates, serious adverse events, treatment withdrawals and cardiac events in all comparisons.</w:t>
      </w:r>
    </w:p>
    <w:tbl>
      <w:tblPr>
        <w:tblStyle w:val="TableGrid3"/>
        <w:tblW w:w="5000" w:type="pct"/>
        <w:shd w:val="clear" w:color="auto" w:fill="F2F2F2" w:themeFill="background1" w:themeFillShade="F2"/>
        <w:tblLook w:val="04A0" w:firstRow="1" w:lastRow="0" w:firstColumn="1" w:lastColumn="0" w:noHBand="0" w:noVBand="1"/>
      </w:tblPr>
      <w:tblGrid>
        <w:gridCol w:w="1975"/>
        <w:gridCol w:w="2070"/>
        <w:gridCol w:w="4971"/>
      </w:tblGrid>
      <w:tr w:rsidR="00B3406A" w:rsidRPr="00916516" w:rsidTr="00A82090">
        <w:trPr>
          <w:trHeight w:val="67"/>
        </w:trPr>
        <w:tc>
          <w:tcPr>
            <w:tcW w:w="109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148"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7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63070A" w:rsidTr="00A82090">
        <w:trPr>
          <w:trHeight w:val="345"/>
        </w:trPr>
        <w:tc>
          <w:tcPr>
            <w:tcW w:w="1095" w:type="pct"/>
            <w:shd w:val="clear" w:color="auto" w:fill="F2F2F2" w:themeFill="background1" w:themeFillShade="F2"/>
            <w:hideMark/>
          </w:tcPr>
          <w:p w:rsidR="00B3406A" w:rsidRPr="00237D04" w:rsidRDefault="00B3406A" w:rsidP="001E7257">
            <w:pPr>
              <w:tabs>
                <w:tab w:val="left" w:pos="1198"/>
              </w:tabs>
              <w:rPr>
                <w:szCs w:val="18"/>
              </w:rPr>
            </w:pPr>
            <w:r w:rsidRPr="00237D04">
              <w:rPr>
                <w:szCs w:val="18"/>
              </w:rPr>
              <w:t>Longer duration NRT</w:t>
            </w:r>
            <w:r>
              <w:rPr>
                <w:szCs w:val="18"/>
                <w:vertAlign w:val="superscript"/>
              </w:rPr>
              <w:t>1</w:t>
            </w:r>
            <w:r>
              <w:rPr>
                <w:szCs w:val="18"/>
              </w:rPr>
              <w:t xml:space="preserve"> vs s</w:t>
            </w:r>
            <w:r w:rsidRPr="00237D04">
              <w:rPr>
                <w:szCs w:val="18"/>
              </w:rPr>
              <w:t>horter duration NRT</w:t>
            </w:r>
          </w:p>
          <w:p w:rsidR="00B3406A" w:rsidRPr="00237D04" w:rsidRDefault="00B3406A" w:rsidP="001E7257">
            <w:pPr>
              <w:tabs>
                <w:tab w:val="left" w:pos="1198"/>
              </w:tabs>
              <w:spacing w:after="200"/>
              <w:rPr>
                <w:szCs w:val="18"/>
              </w:rPr>
            </w:pPr>
          </w:p>
        </w:tc>
        <w:tc>
          <w:tcPr>
            <w:tcW w:w="1148" w:type="pct"/>
            <w:shd w:val="clear" w:color="auto" w:fill="F2F2F2" w:themeFill="background1" w:themeFillShade="F2"/>
            <w:hideMark/>
          </w:tcPr>
          <w:p w:rsidR="00B3406A" w:rsidRPr="00B6521D" w:rsidRDefault="00B3406A" w:rsidP="00815A6D">
            <w:pPr>
              <w:pStyle w:val="ListParagraph"/>
              <w:numPr>
                <w:ilvl w:val="0"/>
                <w:numId w:val="43"/>
              </w:numPr>
              <w:rPr>
                <w:szCs w:val="18"/>
              </w:rPr>
            </w:pPr>
            <w:proofErr w:type="spellStart"/>
            <w:r>
              <w:t>Lindson</w:t>
            </w:r>
            <w:proofErr w:type="spellEnd"/>
            <w:r w:rsidRPr="00713891">
              <w:t xml:space="preserve"> (201</w:t>
            </w:r>
            <w:r>
              <w:t>9</w:t>
            </w:r>
            <w:r w:rsidRPr="00713891">
              <w:t>)</w:t>
            </w:r>
            <w:r w:rsidRPr="00B6521D">
              <w:rPr>
                <w:vertAlign w:val="superscript"/>
              </w:rPr>
              <w:t>3</w:t>
            </w:r>
          </w:p>
          <w:p w:rsidR="00B3406A" w:rsidRPr="00614418" w:rsidRDefault="00B3406A" w:rsidP="00815A6D">
            <w:pPr>
              <w:pStyle w:val="ListParagraph"/>
              <w:numPr>
                <w:ilvl w:val="0"/>
                <w:numId w:val="43"/>
              </w:numPr>
              <w:rPr>
                <w:szCs w:val="18"/>
              </w:rPr>
            </w:pPr>
            <w:proofErr w:type="spellStart"/>
            <w:r w:rsidRPr="003158F5">
              <w:rPr>
                <w:rFonts w:eastAsia="MS Mincho"/>
              </w:rPr>
              <w:t>Ellerbeck</w:t>
            </w:r>
            <w:proofErr w:type="spellEnd"/>
            <w:r w:rsidRPr="003158F5">
              <w:rPr>
                <w:rFonts w:eastAsia="MS Mincho"/>
              </w:rPr>
              <w:t xml:space="preserve"> (2018)</w:t>
            </w:r>
            <w:r w:rsidRPr="00076C24">
              <w:rPr>
                <w:rFonts w:eastAsia="MS Mincho"/>
                <w:vertAlign w:val="superscript"/>
              </w:rPr>
              <w:t>4</w:t>
            </w:r>
          </w:p>
        </w:tc>
        <w:tc>
          <w:tcPr>
            <w:tcW w:w="2757" w:type="pct"/>
            <w:shd w:val="clear" w:color="auto" w:fill="F2F2F2" w:themeFill="background1" w:themeFillShade="F2"/>
            <w:hideMark/>
          </w:tcPr>
          <w:p w:rsidR="00B3406A" w:rsidRPr="00237D04"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237D04">
              <w:rPr>
                <w:szCs w:val="18"/>
              </w:rPr>
              <w:t>Not statistically significant</w:t>
            </w:r>
            <w:r>
              <w:rPr>
                <w:szCs w:val="18"/>
              </w:rPr>
              <w:t xml:space="preserve"> based on RR.</w:t>
            </w:r>
          </w:p>
          <w:p w:rsidR="00B3406A" w:rsidRPr="00237D04"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237D04">
              <w:rPr>
                <w:szCs w:val="18"/>
              </w:rPr>
              <w:t>Not statistically significant</w:t>
            </w:r>
            <w:r>
              <w:rPr>
                <w:szCs w:val="18"/>
              </w:rPr>
              <w:t xml:space="preserve"> based on RR </w:t>
            </w:r>
            <w:r w:rsidRPr="00237D04">
              <w:rPr>
                <w:szCs w:val="18"/>
              </w:rPr>
              <w:t>(</w:t>
            </w:r>
            <w:r w:rsidRPr="0018309C">
              <w:rPr>
                <w:szCs w:val="18"/>
              </w:rPr>
              <w:t>overall SAEs, treatment withdrawals</w:t>
            </w:r>
            <w:r>
              <w:rPr>
                <w:szCs w:val="18"/>
              </w:rPr>
              <w:t xml:space="preserve">, and </w:t>
            </w:r>
            <w:proofErr w:type="spellStart"/>
            <w:r>
              <w:rPr>
                <w:szCs w:val="18"/>
              </w:rPr>
              <w:t>m</w:t>
            </w:r>
            <w:r w:rsidRPr="0018309C">
              <w:rPr>
                <w:szCs w:val="18"/>
              </w:rPr>
              <w:t>idsternal</w:t>
            </w:r>
            <w:proofErr w:type="spellEnd"/>
            <w:r w:rsidRPr="0018309C">
              <w:rPr>
                <w:szCs w:val="18"/>
              </w:rPr>
              <w:t xml:space="preserve"> pressure</w:t>
            </w:r>
            <w:r w:rsidRPr="00237D04">
              <w:rPr>
                <w:szCs w:val="18"/>
              </w:rPr>
              <w:t>)</w:t>
            </w:r>
            <w:r>
              <w:rPr>
                <w:szCs w:val="18"/>
              </w:rPr>
              <w:t>.</w:t>
            </w:r>
          </w:p>
          <w:p w:rsidR="00B3406A" w:rsidRPr="00182A8F" w:rsidRDefault="00B3406A" w:rsidP="001E7257">
            <w:pPr>
              <w:pStyle w:val="ListParagraph"/>
              <w:ind w:left="360"/>
              <w:rPr>
                <w:szCs w:val="18"/>
              </w:rPr>
            </w:pPr>
          </w:p>
        </w:tc>
      </w:tr>
      <w:tr w:rsidR="00B3406A" w:rsidRPr="00360862" w:rsidTr="00A82090">
        <w:trPr>
          <w:trHeight w:val="617"/>
        </w:trPr>
        <w:tc>
          <w:tcPr>
            <w:tcW w:w="1095" w:type="pct"/>
            <w:shd w:val="clear" w:color="auto" w:fill="F2F2F2" w:themeFill="background1" w:themeFillShade="F2"/>
            <w:hideMark/>
          </w:tcPr>
          <w:p w:rsidR="00B3406A" w:rsidRPr="00237D04" w:rsidRDefault="00B3406A" w:rsidP="001E7257">
            <w:pPr>
              <w:rPr>
                <w:szCs w:val="18"/>
              </w:rPr>
            </w:pPr>
            <w:r w:rsidRPr="00237D04">
              <w:rPr>
                <w:szCs w:val="18"/>
              </w:rPr>
              <w:t>Other variations in NRT use</w:t>
            </w:r>
            <w:r>
              <w:rPr>
                <w:szCs w:val="18"/>
                <w:vertAlign w:val="superscript"/>
              </w:rPr>
              <w:t>2</w:t>
            </w:r>
            <w:r>
              <w:rPr>
                <w:szCs w:val="18"/>
              </w:rPr>
              <w:t xml:space="preserve"> vs o</w:t>
            </w:r>
            <w:r w:rsidRPr="00237D04">
              <w:rPr>
                <w:szCs w:val="18"/>
              </w:rPr>
              <w:t>ther variations in NRT use</w:t>
            </w:r>
          </w:p>
          <w:p w:rsidR="00B3406A" w:rsidRPr="00237D04" w:rsidRDefault="00B3406A" w:rsidP="001E7257">
            <w:pPr>
              <w:spacing w:after="200"/>
              <w:rPr>
                <w:szCs w:val="18"/>
              </w:rPr>
            </w:pPr>
          </w:p>
        </w:tc>
        <w:tc>
          <w:tcPr>
            <w:tcW w:w="1148"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t>Lindson</w:t>
            </w:r>
            <w:proofErr w:type="spellEnd"/>
            <w:r w:rsidRPr="00713891">
              <w:t xml:space="preserve"> (201</w:t>
            </w:r>
            <w:r>
              <w:t>9</w:t>
            </w:r>
            <w:r w:rsidRPr="00713891">
              <w:t>)</w:t>
            </w:r>
            <w:r w:rsidRPr="00B6521D">
              <w:rPr>
                <w:vertAlign w:val="superscript"/>
              </w:rPr>
              <w:t>3</w:t>
            </w:r>
          </w:p>
        </w:tc>
        <w:tc>
          <w:tcPr>
            <w:tcW w:w="2757" w:type="pct"/>
            <w:shd w:val="clear" w:color="auto" w:fill="F2F2F2" w:themeFill="background1" w:themeFillShade="F2"/>
            <w:hideMark/>
          </w:tcPr>
          <w:p w:rsidR="00B3406A" w:rsidRPr="00237D04"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237D04">
              <w:rPr>
                <w:szCs w:val="18"/>
              </w:rPr>
              <w:t>Not statistically significant</w:t>
            </w:r>
            <w:r>
              <w:rPr>
                <w:szCs w:val="18"/>
              </w:rPr>
              <w:t xml:space="preserve"> based on RR. </w:t>
            </w:r>
          </w:p>
          <w:p w:rsidR="00B3406A" w:rsidRPr="00237D04"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237D04">
              <w:rPr>
                <w:szCs w:val="18"/>
              </w:rPr>
              <w:t>Not statistically significant</w:t>
            </w:r>
            <w:r>
              <w:rPr>
                <w:szCs w:val="18"/>
              </w:rPr>
              <w:t xml:space="preserve"> based on RR </w:t>
            </w:r>
            <w:r w:rsidRPr="00237D04">
              <w:rPr>
                <w:szCs w:val="18"/>
              </w:rPr>
              <w:t xml:space="preserve">(cardiac AEs, </w:t>
            </w:r>
            <w:r>
              <w:rPr>
                <w:szCs w:val="18"/>
              </w:rPr>
              <w:t>S</w:t>
            </w:r>
            <w:r w:rsidRPr="00237D04">
              <w:rPr>
                <w:szCs w:val="18"/>
              </w:rPr>
              <w:t>AEs, treatment withdrawals)</w:t>
            </w:r>
            <w:r>
              <w:rPr>
                <w:szCs w:val="18"/>
              </w:rPr>
              <w:t>.</w:t>
            </w:r>
          </w:p>
          <w:p w:rsidR="00B3406A" w:rsidRPr="00552AFA" w:rsidRDefault="00B3406A" w:rsidP="001E7257">
            <w:pPr>
              <w:pStyle w:val="ListParagraph"/>
              <w:ind w:left="360"/>
              <w:rPr>
                <w:szCs w:val="18"/>
              </w:rPr>
            </w:pPr>
          </w:p>
        </w:tc>
      </w:tr>
    </w:tbl>
    <w:p w:rsidR="00B3406A" w:rsidRDefault="00B3406A" w:rsidP="001E7257">
      <w:pPr>
        <w:pStyle w:val="TableFooter"/>
      </w:pPr>
      <w:r>
        <w:t>Abbreviations: AEs = adverse events; NRT = nicotine replacement therapy; RR = risk ratio; SAEs = serious adverse events</w:t>
      </w:r>
    </w:p>
    <w:p w:rsidR="00B3406A" w:rsidRDefault="00B3406A" w:rsidP="001E7257">
      <w:pPr>
        <w:pStyle w:val="TableFooter"/>
      </w:pPr>
      <w:r w:rsidRPr="00BE36E8">
        <w:t xml:space="preserve">Notes: </w:t>
      </w:r>
    </w:p>
    <w:p w:rsidR="00B3406A" w:rsidRPr="00237D04" w:rsidRDefault="00B3406A" w:rsidP="001E7257">
      <w:pPr>
        <w:pStyle w:val="TableFooter"/>
      </w:pPr>
      <w:r>
        <w:t xml:space="preserve">1 </w:t>
      </w:r>
      <w:r w:rsidRPr="00237D04">
        <w:t>Comparisons include various durations of longer duration NRT versus shorter duration NRT (either as patch, gum or combination therapy).</w:t>
      </w:r>
    </w:p>
    <w:p w:rsidR="00B3406A" w:rsidRDefault="00B3406A" w:rsidP="001E7257">
      <w:pPr>
        <w:pStyle w:val="TableFooter"/>
      </w:pPr>
      <w:r>
        <w:t xml:space="preserve">2 </w:t>
      </w:r>
      <w:r w:rsidRPr="00237D04">
        <w:t xml:space="preserve">Comparisons include 24-hour versus 16-hour patches, continue versus stop patch use on relapse, and 22 weeks of a combination of 35 mg patches and fast-acting NRT </w:t>
      </w:r>
      <w:r>
        <w:t xml:space="preserve">(gum or inhaler) </w:t>
      </w:r>
      <w:r w:rsidRPr="00237D04">
        <w:t>versus 10 weeks of 21 mg patches.</w:t>
      </w:r>
    </w:p>
    <w:p w:rsidR="00B3406A" w:rsidRDefault="00B3406A" w:rsidP="001E7257">
      <w:pPr>
        <w:pStyle w:val="TableFooter"/>
      </w:pPr>
      <w:r>
        <w:t xml:space="preserve">3 </w:t>
      </w:r>
      <w:r w:rsidRPr="00BE36E8">
        <w:t>Cochrane Review</w:t>
      </w:r>
      <w:r>
        <w:t>.</w:t>
      </w:r>
    </w:p>
    <w:p w:rsidR="00B3406A" w:rsidRPr="00E66B17" w:rsidRDefault="002F3376" w:rsidP="001E7257">
      <w:pPr>
        <w:pStyle w:val="TableFooter"/>
      </w:pPr>
      <w:r>
        <w:t xml:space="preserve">4 Supplemental evidence (RCT). </w:t>
      </w:r>
      <w:r w:rsidR="00B3406A" w:rsidRPr="00E66B17">
        <w:t xml:space="preserve">    </w:t>
      </w:r>
    </w:p>
    <w:p w:rsidR="00B3406A" w:rsidRPr="00B23D0F" w:rsidRDefault="00B3406A" w:rsidP="002F3376">
      <w:pPr>
        <w:pStyle w:val="Heading6"/>
        <w:numPr>
          <w:ilvl w:val="2"/>
          <w:numId w:val="71"/>
        </w:numPr>
        <w:spacing w:after="240"/>
        <w:rPr>
          <w:rFonts w:asciiTheme="minorHAnsi" w:hAnsiTheme="minorHAnsi" w:cstheme="minorHAnsi"/>
          <w:b/>
          <w:i w:val="0"/>
          <w:color w:val="auto"/>
        </w:rPr>
      </w:pPr>
      <w:r w:rsidRPr="00B23D0F">
        <w:rPr>
          <w:rFonts w:asciiTheme="minorHAnsi" w:hAnsiTheme="minorHAnsi" w:cstheme="minorHAnsi"/>
          <w:b/>
          <w:i w:val="0"/>
          <w:color w:val="auto"/>
        </w:rPr>
        <w:t>Dosing schedule</w:t>
      </w:r>
    </w:p>
    <w:p w:rsidR="00B3406A" w:rsidRDefault="00B3406A" w:rsidP="00D25738">
      <w:pPr>
        <w:pStyle w:val="ListParagraph"/>
        <w:numPr>
          <w:ilvl w:val="0"/>
          <w:numId w:val="29"/>
        </w:numPr>
        <w:ind w:left="360"/>
        <w:jc w:val="both"/>
      </w:pPr>
      <w:r>
        <w:t>There were no statistically significant differences between a</w:t>
      </w:r>
      <w:r w:rsidRPr="001F4D1B">
        <w:t xml:space="preserve">brupt withdrawal </w:t>
      </w:r>
      <w:r>
        <w:t>of NRT patches compared to</w:t>
      </w:r>
      <w:r w:rsidRPr="001F4D1B">
        <w:t xml:space="preserve"> tapering patch dose</w:t>
      </w:r>
      <w:r>
        <w:t xml:space="preserve"> in terms of efficacy and safety (treatment withdrawal)</w:t>
      </w:r>
      <w:r w:rsidRPr="001F4D1B">
        <w:t>. This is consistent with previous PBAC consideration</w:t>
      </w:r>
      <w:r>
        <w:t>s</w:t>
      </w:r>
      <w:r w:rsidRPr="001F4D1B">
        <w:t>, whereby gradual tapering compared with abrupt withdrawal w</w:t>
      </w:r>
      <w:r>
        <w:t>as expected</w:t>
      </w:r>
      <w:r w:rsidRPr="001F4D1B">
        <w:t xml:space="preserve"> to result in minimal changes in clinical outcomes.</w:t>
      </w:r>
    </w:p>
    <w:p w:rsidR="00B3406A" w:rsidRDefault="00B3406A" w:rsidP="00D25738">
      <w:pPr>
        <w:pStyle w:val="ListParagraph"/>
        <w:numPr>
          <w:ilvl w:val="0"/>
          <w:numId w:val="29"/>
        </w:numPr>
        <w:ind w:left="360"/>
        <w:jc w:val="both"/>
      </w:pPr>
      <w:r>
        <w:t>There were no statistically significant differences between f</w:t>
      </w:r>
      <w:r w:rsidRPr="00111074">
        <w:t xml:space="preserve">ixed </w:t>
      </w:r>
      <w:r>
        <w:t>dosing schedules for fast-acting NRT compared to</w:t>
      </w:r>
      <w:r w:rsidRPr="00111074">
        <w:t xml:space="preserve"> ad lib dosing schedule</w:t>
      </w:r>
      <w:r>
        <w:t xml:space="preserve"> in terms of efficacy and safety</w:t>
      </w:r>
      <w:r w:rsidRPr="00111074">
        <w:t xml:space="preserve"> </w:t>
      </w:r>
      <w:r>
        <w:t xml:space="preserve">(serious adverse events and treatment withdrawals) </w:t>
      </w:r>
      <w:r w:rsidRPr="00111074">
        <w:t xml:space="preserve">for all comparisons (gum, nasal spray and pooled analysis). </w:t>
      </w:r>
    </w:p>
    <w:p w:rsidR="00B3406A" w:rsidRDefault="00B3406A" w:rsidP="00D25738">
      <w:pPr>
        <w:pStyle w:val="ListParagraph"/>
        <w:numPr>
          <w:ilvl w:val="0"/>
          <w:numId w:val="29"/>
        </w:numPr>
        <w:ind w:left="360"/>
        <w:jc w:val="both"/>
      </w:pPr>
      <w:r w:rsidRPr="009C2F54">
        <w:t xml:space="preserve">Preloading use of NRT </w:t>
      </w:r>
      <w:r>
        <w:t xml:space="preserve">(prior to smoking cessation) </w:t>
      </w:r>
      <w:r w:rsidRPr="009C2F54">
        <w:t xml:space="preserve">was </w:t>
      </w:r>
      <w:r>
        <w:t>shown to be superior to</w:t>
      </w:r>
      <w:r w:rsidRPr="009C2F54">
        <w:t xml:space="preserve"> standard use of NRT </w:t>
      </w:r>
      <w:r>
        <w:t>(commencing at the time of smoking cessation) in terms of efficacy</w:t>
      </w:r>
      <w:r w:rsidRPr="009C2F54">
        <w:t xml:space="preserve">. However, the results were only statistically significant in the NRT </w:t>
      </w:r>
      <w:r>
        <w:t>patches</w:t>
      </w:r>
      <w:r w:rsidRPr="009C2F54">
        <w:t xml:space="preserve"> subgroup and not in the NRT gum or </w:t>
      </w:r>
      <w:r>
        <w:t xml:space="preserve">NRT </w:t>
      </w:r>
      <w:r w:rsidRPr="009C2F54">
        <w:t>patch in combination with gum subgroups. For safety, there was a significantly higher proportion of patients in the preloading arm experiencing palpitations compared with patients in the standard use arm</w:t>
      </w:r>
      <w:r>
        <w:t>, however,</w:t>
      </w:r>
      <w:r w:rsidRPr="009C2F54">
        <w:t xml:space="preserve"> there were no statistically significant differences in cardiac adverse events, cardiac serious adverse events, overall serious adverse events and treatment withdrawals.</w:t>
      </w:r>
    </w:p>
    <w:p w:rsidR="00B23D0F" w:rsidRDefault="00B3406A" w:rsidP="00D25738">
      <w:pPr>
        <w:pStyle w:val="ListParagraph"/>
        <w:numPr>
          <w:ilvl w:val="0"/>
          <w:numId w:val="29"/>
        </w:numPr>
        <w:ind w:left="360"/>
        <w:jc w:val="both"/>
      </w:pPr>
      <w:r w:rsidRPr="009C2F54">
        <w:t xml:space="preserve">Reduction </w:t>
      </w:r>
      <w:r>
        <w:t>in cigarettes per day (‘cutting down to quit’)</w:t>
      </w:r>
      <w:r w:rsidRPr="009C2F54">
        <w:t xml:space="preserve"> with pharmacotherapy </w:t>
      </w:r>
      <w:r>
        <w:t>was shown to be superior to</w:t>
      </w:r>
      <w:r w:rsidRPr="009C2F54">
        <w:t xml:space="preserve"> reduction alone in </w:t>
      </w:r>
      <w:r>
        <w:t xml:space="preserve">terms of efficacy  in the </w:t>
      </w:r>
      <w:r w:rsidRPr="009C2F54">
        <w:t>fast</w:t>
      </w:r>
      <w:r>
        <w:t>-</w:t>
      </w:r>
      <w:r w:rsidRPr="009C2F54">
        <w:t xml:space="preserve">acting NRT subgroup, noting that there were no statistically significant differences between the two treatment arms in either combination NRT or NRT </w:t>
      </w:r>
      <w:r>
        <w:t>patches</w:t>
      </w:r>
      <w:r w:rsidRPr="009C2F54">
        <w:t xml:space="preserve"> subgroups. There w</w:t>
      </w:r>
      <w:r>
        <w:t>ere</w:t>
      </w:r>
      <w:r w:rsidRPr="009C2F54">
        <w:t xml:space="preserve"> no statistically significant difference</w:t>
      </w:r>
      <w:r>
        <w:t>s</w:t>
      </w:r>
      <w:r w:rsidRPr="009C2F54">
        <w:t xml:space="preserve"> in pre-quit adverse events and pre-quit serious adverse events</w:t>
      </w:r>
      <w:r>
        <w:t xml:space="preserve"> between </w:t>
      </w:r>
      <w:r w:rsidRPr="001D3FF6">
        <w:t>cutting down to quit with pharmacotherapy</w:t>
      </w:r>
      <w:r>
        <w:t xml:space="preserve"> and cutting down alone</w:t>
      </w:r>
      <w:r w:rsidRPr="009C2F54">
        <w:t xml:space="preserve">. </w:t>
      </w:r>
      <w:r w:rsidRPr="00E4688F">
        <w:t xml:space="preserve"> </w:t>
      </w:r>
      <w:r w:rsidRPr="00A4047D">
        <w:t xml:space="preserve"> </w:t>
      </w:r>
    </w:p>
    <w:p w:rsidR="00B3406A" w:rsidRDefault="00B23D0F" w:rsidP="00B23D0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4"/>
        <w:gridCol w:w="1980"/>
        <w:gridCol w:w="5062"/>
      </w:tblGrid>
      <w:tr w:rsidR="00B3406A" w:rsidRPr="00916516" w:rsidTr="00A82090">
        <w:trPr>
          <w:trHeight w:val="67"/>
        </w:trPr>
        <w:tc>
          <w:tcPr>
            <w:tcW w:w="1095"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098"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63070A" w:rsidTr="00A82090">
        <w:trPr>
          <w:trHeight w:val="345"/>
        </w:trPr>
        <w:tc>
          <w:tcPr>
            <w:tcW w:w="1095" w:type="pct"/>
            <w:shd w:val="clear" w:color="auto" w:fill="F2F2F2" w:themeFill="background1" w:themeFillShade="F2"/>
            <w:hideMark/>
          </w:tcPr>
          <w:p w:rsidR="00B3406A" w:rsidRPr="00237D04" w:rsidRDefault="00B3406A" w:rsidP="001E7257">
            <w:pPr>
              <w:tabs>
                <w:tab w:val="left" w:pos="1198"/>
              </w:tabs>
              <w:rPr>
                <w:szCs w:val="18"/>
              </w:rPr>
            </w:pPr>
            <w:r w:rsidRPr="00581533">
              <w:rPr>
                <w:szCs w:val="18"/>
              </w:rPr>
              <w:t>Abrupt withdrawal of NRT patch</w:t>
            </w:r>
            <w:r>
              <w:rPr>
                <w:szCs w:val="18"/>
              </w:rPr>
              <w:t xml:space="preserve"> vs g</w:t>
            </w:r>
            <w:r w:rsidRPr="00581533">
              <w:rPr>
                <w:szCs w:val="18"/>
              </w:rPr>
              <w:t>radual tapering of NRT patch</w:t>
            </w:r>
          </w:p>
        </w:tc>
        <w:tc>
          <w:tcPr>
            <w:tcW w:w="1098" w:type="pct"/>
            <w:shd w:val="clear" w:color="auto" w:fill="F2F2F2" w:themeFill="background1" w:themeFillShade="F2"/>
            <w:hideMark/>
          </w:tcPr>
          <w:p w:rsidR="00B3406A" w:rsidRPr="00614418" w:rsidRDefault="00B3406A" w:rsidP="00815A6D">
            <w:pPr>
              <w:pStyle w:val="ListParagraph"/>
              <w:numPr>
                <w:ilvl w:val="0"/>
                <w:numId w:val="43"/>
              </w:numPr>
              <w:rPr>
                <w:szCs w:val="18"/>
              </w:rPr>
            </w:pPr>
            <w:proofErr w:type="spellStart"/>
            <w:r w:rsidRPr="00687B43">
              <w:t>Lindson</w:t>
            </w:r>
            <w:proofErr w:type="spellEnd"/>
            <w:r w:rsidRPr="00687B43">
              <w:t xml:space="preserve"> (2019)</w:t>
            </w:r>
            <w:r w:rsidRPr="00CE108D">
              <w:rPr>
                <w:vertAlign w:val="superscript"/>
              </w:rPr>
              <w:t>4</w:t>
            </w:r>
          </w:p>
        </w:tc>
        <w:tc>
          <w:tcPr>
            <w:tcW w:w="2807" w:type="pct"/>
            <w:shd w:val="clear" w:color="auto" w:fill="F2F2F2" w:themeFill="background1" w:themeFillShade="F2"/>
            <w:hideMark/>
          </w:tcPr>
          <w:p w:rsidR="00B3406A" w:rsidRPr="00581533"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581533">
              <w:rPr>
                <w:szCs w:val="18"/>
              </w:rPr>
              <w:t>Not statistically significant</w:t>
            </w:r>
            <w:r>
              <w:rPr>
                <w:szCs w:val="18"/>
              </w:rPr>
              <w:t xml:space="preserve"> based on RR.</w:t>
            </w:r>
          </w:p>
          <w:p w:rsidR="00B3406A" w:rsidRPr="009068BC"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9068BC">
              <w:rPr>
                <w:szCs w:val="18"/>
              </w:rPr>
              <w:t>Not statistically significant</w:t>
            </w:r>
            <w:r>
              <w:rPr>
                <w:szCs w:val="18"/>
              </w:rPr>
              <w:t xml:space="preserve"> based on RR </w:t>
            </w:r>
            <w:r w:rsidRPr="009068BC">
              <w:rPr>
                <w:szCs w:val="18"/>
              </w:rPr>
              <w:t>(treatment withdrawals)</w:t>
            </w:r>
            <w:r>
              <w:rPr>
                <w:szCs w:val="18"/>
              </w:rPr>
              <w:t>.</w:t>
            </w:r>
          </w:p>
        </w:tc>
      </w:tr>
      <w:tr w:rsidR="00B3406A" w:rsidRPr="00360862" w:rsidTr="00A82090">
        <w:trPr>
          <w:trHeight w:val="617"/>
        </w:trPr>
        <w:tc>
          <w:tcPr>
            <w:tcW w:w="1095" w:type="pct"/>
            <w:shd w:val="clear" w:color="auto" w:fill="F2F2F2" w:themeFill="background1" w:themeFillShade="F2"/>
            <w:hideMark/>
          </w:tcPr>
          <w:p w:rsidR="00B3406A" w:rsidRPr="00581533" w:rsidRDefault="00B3406A" w:rsidP="001E7257">
            <w:pPr>
              <w:rPr>
                <w:szCs w:val="18"/>
              </w:rPr>
            </w:pPr>
            <w:r w:rsidRPr="00581533">
              <w:rPr>
                <w:szCs w:val="18"/>
              </w:rPr>
              <w:t>Fixed dosing schedule</w:t>
            </w:r>
            <w:r w:rsidRPr="00581533">
              <w:rPr>
                <w:szCs w:val="18"/>
                <w:vertAlign w:val="superscript"/>
              </w:rPr>
              <w:t>1</w:t>
            </w:r>
            <w:r>
              <w:rPr>
                <w:szCs w:val="18"/>
              </w:rPr>
              <w:t xml:space="preserve"> vs a</w:t>
            </w:r>
            <w:r w:rsidRPr="00581533">
              <w:rPr>
                <w:szCs w:val="18"/>
              </w:rPr>
              <w:t>d lib dosing schedule</w:t>
            </w:r>
          </w:p>
          <w:p w:rsidR="00B3406A" w:rsidRPr="00581533" w:rsidRDefault="00B3406A" w:rsidP="001E7257">
            <w:pPr>
              <w:rPr>
                <w:szCs w:val="18"/>
              </w:rPr>
            </w:pPr>
          </w:p>
        </w:tc>
        <w:tc>
          <w:tcPr>
            <w:tcW w:w="1098"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rsidRPr="00687B43">
              <w:t>Lindson</w:t>
            </w:r>
            <w:proofErr w:type="spellEnd"/>
            <w:r w:rsidRPr="00687B43">
              <w:t xml:space="preserve"> (2019)</w:t>
            </w:r>
            <w:r w:rsidRPr="00CE108D">
              <w:rPr>
                <w:vertAlign w:val="superscript"/>
              </w:rPr>
              <w:t>4</w:t>
            </w:r>
          </w:p>
        </w:tc>
        <w:tc>
          <w:tcPr>
            <w:tcW w:w="2807" w:type="pct"/>
            <w:shd w:val="clear" w:color="auto" w:fill="F2F2F2" w:themeFill="background1" w:themeFillShade="F2"/>
            <w:hideMark/>
          </w:tcPr>
          <w:p w:rsidR="00B3406A" w:rsidRPr="00581533"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81533">
              <w:rPr>
                <w:szCs w:val="18"/>
              </w:rPr>
              <w:t>Not statistically significant</w:t>
            </w:r>
            <w:r>
              <w:rPr>
                <w:szCs w:val="18"/>
              </w:rPr>
              <w:t xml:space="preserve"> based on RR.</w:t>
            </w:r>
          </w:p>
          <w:p w:rsidR="00B3406A" w:rsidRPr="009068BC"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9068BC">
              <w:rPr>
                <w:szCs w:val="18"/>
              </w:rPr>
              <w:t>Not statistically significant</w:t>
            </w:r>
            <w:r>
              <w:rPr>
                <w:szCs w:val="18"/>
              </w:rPr>
              <w:t xml:space="preserve"> based on RR </w:t>
            </w:r>
            <w:r w:rsidRPr="009068BC">
              <w:rPr>
                <w:szCs w:val="18"/>
              </w:rPr>
              <w:t>(</w:t>
            </w:r>
            <w:r>
              <w:rPr>
                <w:szCs w:val="18"/>
              </w:rPr>
              <w:t>S</w:t>
            </w:r>
            <w:r w:rsidRPr="009068BC">
              <w:rPr>
                <w:szCs w:val="18"/>
              </w:rPr>
              <w:t>AEs, treatment withdrawals)</w:t>
            </w:r>
            <w:r>
              <w:rPr>
                <w:szCs w:val="18"/>
              </w:rPr>
              <w:t>.</w:t>
            </w:r>
          </w:p>
        </w:tc>
      </w:tr>
      <w:tr w:rsidR="00B3406A" w:rsidRPr="00360862" w:rsidTr="00A82090">
        <w:trPr>
          <w:trHeight w:val="440"/>
        </w:trPr>
        <w:tc>
          <w:tcPr>
            <w:tcW w:w="1095" w:type="pct"/>
            <w:shd w:val="clear" w:color="auto" w:fill="F2F2F2" w:themeFill="background1" w:themeFillShade="F2"/>
          </w:tcPr>
          <w:p w:rsidR="00B3406A" w:rsidRPr="00581533" w:rsidRDefault="00B3406A" w:rsidP="001E7257">
            <w:pPr>
              <w:rPr>
                <w:szCs w:val="18"/>
              </w:rPr>
            </w:pPr>
            <w:r w:rsidRPr="00581533">
              <w:rPr>
                <w:szCs w:val="18"/>
              </w:rPr>
              <w:t>Preloading use of NRT</w:t>
            </w:r>
            <w:r w:rsidRPr="00581533">
              <w:rPr>
                <w:szCs w:val="18"/>
                <w:vertAlign w:val="superscript"/>
              </w:rPr>
              <w:t>2</w:t>
            </w:r>
            <w:r>
              <w:rPr>
                <w:szCs w:val="18"/>
              </w:rPr>
              <w:t xml:space="preserve"> vs s</w:t>
            </w:r>
            <w:r w:rsidRPr="00581533">
              <w:rPr>
                <w:szCs w:val="18"/>
              </w:rPr>
              <w:t>tandard use of NRT</w:t>
            </w:r>
          </w:p>
          <w:p w:rsidR="00B3406A" w:rsidRPr="00581533" w:rsidRDefault="00B3406A" w:rsidP="001E7257">
            <w:pPr>
              <w:rPr>
                <w:szCs w:val="18"/>
              </w:rPr>
            </w:pPr>
          </w:p>
        </w:tc>
        <w:tc>
          <w:tcPr>
            <w:tcW w:w="1098" w:type="pct"/>
            <w:shd w:val="clear" w:color="auto" w:fill="F2F2F2" w:themeFill="background1" w:themeFillShade="F2"/>
          </w:tcPr>
          <w:p w:rsidR="00B3406A" w:rsidRPr="00CE108D" w:rsidRDefault="00B3406A" w:rsidP="00815A6D">
            <w:pPr>
              <w:pStyle w:val="ListParagraph"/>
              <w:numPr>
                <w:ilvl w:val="0"/>
                <w:numId w:val="44"/>
              </w:numPr>
              <w:rPr>
                <w:szCs w:val="18"/>
              </w:rPr>
            </w:pPr>
            <w:proofErr w:type="spellStart"/>
            <w:r w:rsidRPr="00687B43">
              <w:t>Lindson</w:t>
            </w:r>
            <w:proofErr w:type="spellEnd"/>
            <w:r w:rsidRPr="00687B43">
              <w:t xml:space="preserve"> (2019)</w:t>
            </w:r>
            <w:r w:rsidRPr="00CE108D">
              <w:rPr>
                <w:vertAlign w:val="superscript"/>
              </w:rPr>
              <w:t>4</w:t>
            </w:r>
          </w:p>
          <w:p w:rsidR="00B3406A" w:rsidRPr="00CE108D" w:rsidRDefault="00B3406A" w:rsidP="00815A6D">
            <w:pPr>
              <w:pStyle w:val="ListParagraph"/>
              <w:numPr>
                <w:ilvl w:val="0"/>
                <w:numId w:val="44"/>
              </w:numPr>
              <w:rPr>
                <w:szCs w:val="18"/>
              </w:rPr>
            </w:pPr>
            <w:proofErr w:type="spellStart"/>
            <w:r w:rsidRPr="00CE108D">
              <w:rPr>
                <w:szCs w:val="18"/>
              </w:rPr>
              <w:t>Dedert</w:t>
            </w:r>
            <w:proofErr w:type="spellEnd"/>
            <w:r>
              <w:rPr>
                <w:szCs w:val="18"/>
              </w:rPr>
              <w:t xml:space="preserve"> </w:t>
            </w:r>
            <w:r w:rsidRPr="00CE108D">
              <w:rPr>
                <w:szCs w:val="18"/>
              </w:rPr>
              <w:t>(2018)</w:t>
            </w:r>
            <w:r w:rsidRPr="00CE108D">
              <w:rPr>
                <w:szCs w:val="18"/>
                <w:vertAlign w:val="superscript"/>
              </w:rPr>
              <w:t>5</w:t>
            </w:r>
          </w:p>
        </w:tc>
        <w:tc>
          <w:tcPr>
            <w:tcW w:w="2807" w:type="pct"/>
            <w:shd w:val="clear" w:color="auto" w:fill="F2F2F2" w:themeFill="background1" w:themeFillShade="F2"/>
          </w:tcPr>
          <w:p w:rsidR="00B3406A" w:rsidRPr="00A62C1A" w:rsidRDefault="00B3406A" w:rsidP="00815A6D">
            <w:pPr>
              <w:pStyle w:val="ListParagraph"/>
              <w:numPr>
                <w:ilvl w:val="0"/>
                <w:numId w:val="43"/>
              </w:numPr>
              <w:rPr>
                <w:szCs w:val="18"/>
              </w:rPr>
            </w:pPr>
            <w:r w:rsidRPr="00531AAD">
              <w:rPr>
                <w:szCs w:val="18"/>
                <w:u w:val="single"/>
              </w:rPr>
              <w:t>Efficacy</w:t>
            </w:r>
            <w:r w:rsidRPr="00531AAD">
              <w:rPr>
                <w:szCs w:val="18"/>
              </w:rPr>
              <w:t xml:space="preserve">: </w:t>
            </w:r>
            <w:r w:rsidRPr="004819C7">
              <w:rPr>
                <w:szCs w:val="18"/>
              </w:rPr>
              <w:t xml:space="preserve">Statistically significant based on RR and RD </w:t>
            </w:r>
            <w:r w:rsidRPr="0042217E">
              <w:rPr>
                <w:szCs w:val="18"/>
              </w:rPr>
              <w:t xml:space="preserve">(in favour of preloading use for NRT </w:t>
            </w:r>
            <w:r w:rsidRPr="00A62C1A">
              <w:rPr>
                <w:szCs w:val="18"/>
              </w:rPr>
              <w:t>patch</w:t>
            </w:r>
            <w:r w:rsidRPr="00547BB4">
              <w:rPr>
                <w:szCs w:val="18"/>
              </w:rPr>
              <w:t>);</w:t>
            </w:r>
            <w:r>
              <w:rPr>
                <w:szCs w:val="18"/>
              </w:rPr>
              <w:t xml:space="preserve"> </w:t>
            </w:r>
            <w:r w:rsidR="007918CA" w:rsidRPr="00531AAD">
              <w:rPr>
                <w:szCs w:val="18"/>
              </w:rPr>
              <w:t>not</w:t>
            </w:r>
            <w:r w:rsidRPr="00531AAD">
              <w:rPr>
                <w:szCs w:val="18"/>
              </w:rPr>
              <w:t xml:space="preserve"> statistically significant based on RR </w:t>
            </w:r>
            <w:r w:rsidRPr="004819C7">
              <w:rPr>
                <w:szCs w:val="18"/>
              </w:rPr>
              <w:t>(other comparisons)</w:t>
            </w:r>
            <w:r>
              <w:rPr>
                <w:szCs w:val="18"/>
              </w:rPr>
              <w:t>.</w:t>
            </w:r>
          </w:p>
          <w:p w:rsidR="00B3406A" w:rsidRPr="009068BC" w:rsidRDefault="00B3406A" w:rsidP="00815A6D">
            <w:pPr>
              <w:pStyle w:val="ListParagraph"/>
              <w:numPr>
                <w:ilvl w:val="0"/>
                <w:numId w:val="43"/>
              </w:numPr>
              <w:rPr>
                <w:szCs w:val="18"/>
              </w:rPr>
            </w:pPr>
            <w:r w:rsidRPr="00581533">
              <w:rPr>
                <w:szCs w:val="18"/>
                <w:u w:val="single"/>
              </w:rPr>
              <w:t>Safety:</w:t>
            </w:r>
            <w:r w:rsidRPr="00581533">
              <w:rPr>
                <w:szCs w:val="18"/>
              </w:rPr>
              <w:t xml:space="preserve"> </w:t>
            </w:r>
            <w:r w:rsidRPr="009068BC">
              <w:rPr>
                <w:szCs w:val="18"/>
              </w:rPr>
              <w:t>Statistically significant</w:t>
            </w:r>
            <w:r>
              <w:rPr>
                <w:szCs w:val="18"/>
              </w:rPr>
              <w:t xml:space="preserve"> based on RR </w:t>
            </w:r>
            <w:r w:rsidRPr="009068BC">
              <w:rPr>
                <w:szCs w:val="18"/>
              </w:rPr>
              <w:t>(palpitations; higher in preloading use)</w:t>
            </w:r>
            <w:r>
              <w:rPr>
                <w:szCs w:val="18"/>
              </w:rPr>
              <w:t xml:space="preserve">; </w:t>
            </w:r>
            <w:r w:rsidRPr="009068BC">
              <w:rPr>
                <w:szCs w:val="18"/>
              </w:rPr>
              <w:t>Not statistically significant</w:t>
            </w:r>
            <w:r>
              <w:rPr>
                <w:szCs w:val="18"/>
              </w:rPr>
              <w:t xml:space="preserve"> based on RR </w:t>
            </w:r>
            <w:r w:rsidRPr="009068BC">
              <w:rPr>
                <w:szCs w:val="18"/>
              </w:rPr>
              <w:t>(cardiac AEs, cardiac</w:t>
            </w:r>
            <w:r w:rsidRPr="009068BC" w:rsidDel="000C561C">
              <w:rPr>
                <w:szCs w:val="18"/>
              </w:rPr>
              <w:t xml:space="preserve"> </w:t>
            </w:r>
            <w:r>
              <w:rPr>
                <w:szCs w:val="18"/>
              </w:rPr>
              <w:t>S</w:t>
            </w:r>
            <w:r w:rsidRPr="009068BC">
              <w:rPr>
                <w:szCs w:val="18"/>
              </w:rPr>
              <w:t>AEs, treatment withdrawals)</w:t>
            </w:r>
            <w:r>
              <w:rPr>
                <w:szCs w:val="18"/>
              </w:rPr>
              <w:t>, and RD (overall SAEs).</w:t>
            </w:r>
          </w:p>
        </w:tc>
      </w:tr>
      <w:tr w:rsidR="00B3406A" w:rsidRPr="00360862" w:rsidTr="00A82090">
        <w:trPr>
          <w:trHeight w:val="617"/>
        </w:trPr>
        <w:tc>
          <w:tcPr>
            <w:tcW w:w="1095" w:type="pct"/>
            <w:shd w:val="clear" w:color="auto" w:fill="F2F2F2" w:themeFill="background1" w:themeFillShade="F2"/>
          </w:tcPr>
          <w:p w:rsidR="00B3406A" w:rsidRPr="00581533" w:rsidRDefault="00B3406A" w:rsidP="001E7257">
            <w:pPr>
              <w:rPr>
                <w:szCs w:val="18"/>
              </w:rPr>
            </w:pPr>
            <w:r w:rsidRPr="00581533">
              <w:rPr>
                <w:szCs w:val="18"/>
              </w:rPr>
              <w:t>Reduction with pharmacotherapy (pre-quit)</w:t>
            </w:r>
            <w:r w:rsidRPr="00581533">
              <w:rPr>
                <w:szCs w:val="18"/>
                <w:vertAlign w:val="superscript"/>
              </w:rPr>
              <w:t>3</w:t>
            </w:r>
            <w:r>
              <w:rPr>
                <w:szCs w:val="18"/>
              </w:rPr>
              <w:t xml:space="preserve"> vs r</w:t>
            </w:r>
            <w:r w:rsidRPr="00581533">
              <w:rPr>
                <w:szCs w:val="18"/>
              </w:rPr>
              <w:t>eduction alone</w:t>
            </w:r>
          </w:p>
        </w:tc>
        <w:tc>
          <w:tcPr>
            <w:tcW w:w="1098" w:type="pct"/>
            <w:shd w:val="clear" w:color="auto" w:fill="F2F2F2" w:themeFill="background1" w:themeFillShade="F2"/>
          </w:tcPr>
          <w:p w:rsidR="00B3406A" w:rsidRPr="002A5E9C" w:rsidRDefault="00B3406A" w:rsidP="00815A6D">
            <w:pPr>
              <w:pStyle w:val="ListParagraph"/>
              <w:numPr>
                <w:ilvl w:val="0"/>
                <w:numId w:val="44"/>
              </w:numPr>
              <w:rPr>
                <w:szCs w:val="18"/>
              </w:rPr>
            </w:pPr>
            <w:proofErr w:type="spellStart"/>
            <w:r>
              <w:t>Lindson</w:t>
            </w:r>
            <w:proofErr w:type="spellEnd"/>
            <w:r w:rsidRPr="00713891">
              <w:t xml:space="preserve"> (</w:t>
            </w:r>
            <w:r w:rsidRPr="00A938BB">
              <w:t>2019b</w:t>
            </w:r>
            <w:r w:rsidRPr="00713891">
              <w:t>)</w:t>
            </w:r>
            <w:r w:rsidRPr="00CE108D">
              <w:rPr>
                <w:vertAlign w:val="superscript"/>
              </w:rPr>
              <w:t>4</w:t>
            </w:r>
          </w:p>
        </w:tc>
        <w:tc>
          <w:tcPr>
            <w:tcW w:w="2807" w:type="pct"/>
            <w:shd w:val="clear" w:color="auto" w:fill="F2F2F2" w:themeFill="background1" w:themeFillShade="F2"/>
          </w:tcPr>
          <w:p w:rsidR="00B3406A" w:rsidRPr="00A62C1A" w:rsidRDefault="00B3406A" w:rsidP="00815A6D">
            <w:pPr>
              <w:pStyle w:val="ListParagraph"/>
              <w:numPr>
                <w:ilvl w:val="0"/>
                <w:numId w:val="43"/>
              </w:numPr>
              <w:rPr>
                <w:szCs w:val="18"/>
              </w:rPr>
            </w:pPr>
            <w:r w:rsidRPr="00531AAD">
              <w:rPr>
                <w:szCs w:val="18"/>
                <w:u w:val="single"/>
              </w:rPr>
              <w:t>Efficacy</w:t>
            </w:r>
            <w:r w:rsidRPr="00531AAD">
              <w:rPr>
                <w:szCs w:val="18"/>
              </w:rPr>
              <w:t xml:space="preserve">: </w:t>
            </w:r>
            <w:r w:rsidRPr="004819C7">
              <w:rPr>
                <w:szCs w:val="18"/>
              </w:rPr>
              <w:t xml:space="preserve">Statistically significant based on RR </w:t>
            </w:r>
            <w:r w:rsidRPr="0042217E">
              <w:rPr>
                <w:szCs w:val="18"/>
              </w:rPr>
              <w:t>(in favour of reduction with pharmacotherapy for fast-acting NRT)</w:t>
            </w:r>
            <w:r w:rsidRPr="00A62C1A">
              <w:rPr>
                <w:szCs w:val="18"/>
              </w:rPr>
              <w:t>;</w:t>
            </w:r>
            <w:r>
              <w:rPr>
                <w:szCs w:val="18"/>
              </w:rPr>
              <w:t xml:space="preserve"> </w:t>
            </w:r>
            <w:r w:rsidR="007918CA" w:rsidRPr="00531AAD">
              <w:rPr>
                <w:szCs w:val="18"/>
              </w:rPr>
              <w:t>not</w:t>
            </w:r>
            <w:r w:rsidRPr="00531AAD">
              <w:rPr>
                <w:szCs w:val="18"/>
              </w:rPr>
              <w:t xml:space="preserve"> statistically significant based on RR </w:t>
            </w:r>
            <w:r w:rsidRPr="004819C7">
              <w:rPr>
                <w:szCs w:val="18"/>
              </w:rPr>
              <w:t>(other comparisons)</w:t>
            </w:r>
            <w:r>
              <w:rPr>
                <w:szCs w:val="18"/>
              </w:rPr>
              <w:t>.</w:t>
            </w:r>
          </w:p>
          <w:p w:rsidR="00B3406A" w:rsidRPr="004E53B4" w:rsidRDefault="00B3406A" w:rsidP="00815A6D">
            <w:pPr>
              <w:pStyle w:val="ListParagraph"/>
              <w:numPr>
                <w:ilvl w:val="0"/>
                <w:numId w:val="43"/>
              </w:numPr>
              <w:rPr>
                <w:szCs w:val="18"/>
              </w:rPr>
            </w:pPr>
            <w:r w:rsidRPr="00581533">
              <w:rPr>
                <w:szCs w:val="18"/>
                <w:u w:val="single"/>
              </w:rPr>
              <w:t>Safety:</w:t>
            </w:r>
            <w:r w:rsidRPr="00581533">
              <w:rPr>
                <w:szCs w:val="18"/>
              </w:rPr>
              <w:t xml:space="preserve"> </w:t>
            </w:r>
            <w:r w:rsidRPr="004E53B4">
              <w:rPr>
                <w:szCs w:val="18"/>
              </w:rPr>
              <w:t>Not statistically significant</w:t>
            </w:r>
            <w:r>
              <w:rPr>
                <w:szCs w:val="18"/>
              </w:rPr>
              <w:t xml:space="preserve"> based on RR </w:t>
            </w:r>
            <w:r w:rsidRPr="004E53B4">
              <w:rPr>
                <w:szCs w:val="18"/>
              </w:rPr>
              <w:t>(pre-quit SAEs)</w:t>
            </w:r>
            <w:r>
              <w:rPr>
                <w:szCs w:val="18"/>
              </w:rPr>
              <w:t>; I</w:t>
            </w:r>
            <w:r w:rsidRPr="004E53B4">
              <w:rPr>
                <w:szCs w:val="18"/>
              </w:rPr>
              <w:t>nconclusive for pre-quit AEs (statistically significant in one RCT but not statistically significant in another RCT)</w:t>
            </w:r>
            <w:r>
              <w:rPr>
                <w:szCs w:val="18"/>
              </w:rPr>
              <w:t>.</w:t>
            </w:r>
            <w:r w:rsidRPr="004E53B4">
              <w:rPr>
                <w:szCs w:val="18"/>
              </w:rPr>
              <w:t xml:space="preserve"> </w:t>
            </w:r>
          </w:p>
        </w:tc>
      </w:tr>
    </w:tbl>
    <w:p w:rsidR="00B3406A" w:rsidRDefault="00B3406A" w:rsidP="001E7257">
      <w:pPr>
        <w:pStyle w:val="TableFooter"/>
        <w:keepNext/>
      </w:pPr>
      <w:r>
        <w:t>Abbreviations: AEs = adverse events; NRT = nicotine replacement therapy; RR = risk ratio, RD = risk difference; SAEs = serious adverse events.</w:t>
      </w:r>
    </w:p>
    <w:p w:rsidR="00B3406A" w:rsidRDefault="00B3406A" w:rsidP="001E7257">
      <w:pPr>
        <w:pStyle w:val="TableFooter"/>
        <w:keepNext/>
      </w:pPr>
      <w:r w:rsidRPr="00BE36E8">
        <w:t xml:space="preserve">Notes: </w:t>
      </w:r>
    </w:p>
    <w:p w:rsidR="00B3406A" w:rsidRPr="004E53B4" w:rsidRDefault="00B3406A" w:rsidP="001E7257">
      <w:pPr>
        <w:pStyle w:val="TableFooter"/>
        <w:keepNext/>
      </w:pPr>
      <w:r>
        <w:t xml:space="preserve">1 </w:t>
      </w:r>
      <w:r w:rsidRPr="004E53B4">
        <w:t>Comparisons include gum, nasal spray and pooled analysis.</w:t>
      </w:r>
    </w:p>
    <w:p w:rsidR="00B3406A" w:rsidRPr="004E53B4" w:rsidRDefault="00B3406A" w:rsidP="001E7257">
      <w:pPr>
        <w:pStyle w:val="TableFooter"/>
        <w:keepNext/>
      </w:pPr>
      <w:r>
        <w:t xml:space="preserve">2 </w:t>
      </w:r>
      <w:r w:rsidRPr="004E53B4">
        <w:t>Comparisons include preloading use (prior to smoking cessation) versus standard use (commencing at the time of smoking cessation) of NRT patches, NRT gum or NRT patch in combination with gum. Pooled analysis of efficacy was statistically significant, in favour of preloading use.</w:t>
      </w:r>
    </w:p>
    <w:p w:rsidR="00B3406A" w:rsidRDefault="00B3406A" w:rsidP="001E7257">
      <w:pPr>
        <w:pStyle w:val="TableFooter"/>
        <w:keepNext/>
      </w:pPr>
      <w:r>
        <w:t xml:space="preserve">3 </w:t>
      </w:r>
      <w:r w:rsidRPr="004E53B4">
        <w:t>Comparisons include NRT patches, fast-acting NRT, and combination NRT. Reduction in cigarettes per day refers to ‘cutting down to quit’.</w:t>
      </w:r>
    </w:p>
    <w:p w:rsidR="00B3406A" w:rsidRDefault="00B3406A" w:rsidP="001E7257">
      <w:pPr>
        <w:pStyle w:val="TableFooter"/>
        <w:keepNext/>
      </w:pPr>
      <w:r>
        <w:t xml:space="preserve">4 </w:t>
      </w:r>
      <w:r w:rsidRPr="00BE36E8">
        <w:t>Cochrane Review</w:t>
      </w:r>
      <w:r>
        <w:t>.</w:t>
      </w:r>
    </w:p>
    <w:p w:rsidR="00B3406A" w:rsidRPr="00AC7527" w:rsidRDefault="00B3406A" w:rsidP="00815A6D">
      <w:pPr>
        <w:pStyle w:val="TableFooter"/>
        <w:keepNext/>
        <w:numPr>
          <w:ilvl w:val="0"/>
          <w:numId w:val="71"/>
        </w:numPr>
      </w:pPr>
      <w:r>
        <w:t xml:space="preserve">Supplemental evidence (RCT). </w:t>
      </w:r>
    </w:p>
    <w:p w:rsidR="00B3406A" w:rsidRPr="00B23D0F" w:rsidRDefault="00B23D0F" w:rsidP="002F3376">
      <w:pPr>
        <w:pStyle w:val="Heading6"/>
        <w:numPr>
          <w:ilvl w:val="0"/>
          <w:numId w:val="0"/>
        </w:numPr>
        <w:spacing w:after="240"/>
        <w:ind w:left="1152" w:hanging="1152"/>
        <w:rPr>
          <w:rFonts w:asciiTheme="minorHAnsi" w:hAnsiTheme="minorHAnsi" w:cstheme="minorHAnsi"/>
          <w:b/>
          <w:i w:val="0"/>
          <w:color w:val="auto"/>
        </w:rPr>
      </w:pPr>
      <w:r w:rsidRPr="00B23D0F">
        <w:rPr>
          <w:rFonts w:asciiTheme="minorHAnsi" w:hAnsiTheme="minorHAnsi" w:cstheme="minorHAnsi"/>
          <w:b/>
          <w:i w:val="0"/>
          <w:color w:val="auto"/>
        </w:rPr>
        <w:t xml:space="preserve">3.3.4 </w:t>
      </w:r>
      <w:r w:rsidR="00B3406A" w:rsidRPr="00B23D0F">
        <w:rPr>
          <w:rFonts w:asciiTheme="minorHAnsi" w:hAnsiTheme="minorHAnsi" w:cstheme="minorHAnsi"/>
          <w:b/>
          <w:i w:val="0"/>
          <w:color w:val="auto"/>
        </w:rPr>
        <w:t>Non-PBS listed NRT dosage forms</w:t>
      </w:r>
    </w:p>
    <w:p w:rsidR="00B3406A" w:rsidRPr="00C66757" w:rsidRDefault="00B3406A" w:rsidP="00D25738">
      <w:pPr>
        <w:jc w:val="both"/>
      </w:pPr>
      <w:r w:rsidRPr="00C66757">
        <w:t>Inhalator</w:t>
      </w:r>
    </w:p>
    <w:p w:rsidR="00B3406A" w:rsidRPr="00C746D6" w:rsidRDefault="00B3406A" w:rsidP="00D25738">
      <w:pPr>
        <w:pStyle w:val="ListParagraph"/>
        <w:numPr>
          <w:ilvl w:val="0"/>
          <w:numId w:val="30"/>
        </w:numPr>
        <w:ind w:left="360"/>
        <w:jc w:val="both"/>
      </w:pPr>
      <w:r>
        <w:t>There were no statistically significant differences between NRT i</w:t>
      </w:r>
      <w:r w:rsidRPr="00C66757">
        <w:t>nhalator</w:t>
      </w:r>
      <w:r>
        <w:t>s</w:t>
      </w:r>
      <w:r w:rsidRPr="00C66757">
        <w:t xml:space="preserve"> </w:t>
      </w:r>
      <w:r>
        <w:t>and placebo in terms of efficacy</w:t>
      </w:r>
      <w:r w:rsidRPr="00C746D6">
        <w:t xml:space="preserve"> based on the results of the updated re-analysis after including the study identified in the supplemental literature search (</w:t>
      </w:r>
      <w:proofErr w:type="spellStart"/>
      <w:r w:rsidRPr="00C746D6">
        <w:t>Oncken</w:t>
      </w:r>
      <w:proofErr w:type="spellEnd"/>
      <w:r w:rsidRPr="00C746D6">
        <w:t xml:space="preserve"> et al. 2019), noting that the results were statistically significant in Hartmann-Boyce et al. (2018). For safety, there were no statistically significant difference in adverse events between the two treatment arms (risk ratio), noting that the results were statistically significant based on risk difference.</w:t>
      </w:r>
    </w:p>
    <w:p w:rsidR="00B23D0F" w:rsidRDefault="00B3406A" w:rsidP="00D25738">
      <w:pPr>
        <w:pStyle w:val="ListParagraph"/>
        <w:numPr>
          <w:ilvl w:val="0"/>
          <w:numId w:val="30"/>
        </w:numPr>
        <w:ind w:left="360"/>
        <w:jc w:val="both"/>
      </w:pPr>
      <w:r>
        <w:t xml:space="preserve">There were no statistically significant differences between </w:t>
      </w:r>
      <w:r w:rsidRPr="00EB6867">
        <w:t>NRT inhal</w:t>
      </w:r>
      <w:r>
        <w:t>ators</w:t>
      </w:r>
      <w:r w:rsidRPr="00EB6867">
        <w:t xml:space="preserve"> </w:t>
      </w:r>
      <w:r>
        <w:t xml:space="preserve">compared </w:t>
      </w:r>
      <w:r w:rsidR="007918CA">
        <w:t xml:space="preserve">to </w:t>
      </w:r>
      <w:r w:rsidR="007918CA" w:rsidRPr="00EB6867">
        <w:t>patches</w:t>
      </w:r>
      <w:r w:rsidRPr="00EB6867">
        <w:t xml:space="preserve"> in terms of </w:t>
      </w:r>
      <w:r>
        <w:t>efficacy</w:t>
      </w:r>
      <w:r w:rsidRPr="00EB6867">
        <w:t>. For safety, the</w:t>
      </w:r>
      <w:r>
        <w:t>re were no serious adverse events reported in either treatment arm</w:t>
      </w:r>
      <w:r w:rsidRPr="00EB6867">
        <w:t xml:space="preserve">. </w:t>
      </w:r>
    </w:p>
    <w:p w:rsidR="00B3406A" w:rsidRDefault="00B23D0F" w:rsidP="00B23D0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526"/>
        <w:gridCol w:w="2699"/>
        <w:gridCol w:w="4791"/>
      </w:tblGrid>
      <w:tr w:rsidR="00B3406A" w:rsidRPr="00916516" w:rsidTr="00A82090">
        <w:trPr>
          <w:trHeight w:val="67"/>
        </w:trPr>
        <w:tc>
          <w:tcPr>
            <w:tcW w:w="846"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49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6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068BC" w:rsidTr="00A82090">
        <w:trPr>
          <w:trHeight w:val="345"/>
        </w:trPr>
        <w:tc>
          <w:tcPr>
            <w:tcW w:w="846" w:type="pct"/>
            <w:shd w:val="clear" w:color="auto" w:fill="F2F2F2" w:themeFill="background1" w:themeFillShade="F2"/>
            <w:hideMark/>
          </w:tcPr>
          <w:p w:rsidR="00B3406A" w:rsidRPr="00237D04" w:rsidRDefault="00B3406A" w:rsidP="001E7257">
            <w:pPr>
              <w:tabs>
                <w:tab w:val="left" w:pos="1198"/>
              </w:tabs>
              <w:rPr>
                <w:szCs w:val="18"/>
              </w:rPr>
            </w:pPr>
            <w:r w:rsidRPr="004537F9">
              <w:rPr>
                <w:szCs w:val="18"/>
              </w:rPr>
              <w:t>NRT inhalator</w:t>
            </w:r>
            <w:r>
              <w:rPr>
                <w:szCs w:val="18"/>
              </w:rPr>
              <w:t xml:space="preserve"> vs p</w:t>
            </w:r>
            <w:r w:rsidRPr="004537F9">
              <w:rPr>
                <w:szCs w:val="18"/>
              </w:rPr>
              <w:t>lacebo</w:t>
            </w:r>
          </w:p>
        </w:tc>
        <w:tc>
          <w:tcPr>
            <w:tcW w:w="1497" w:type="pct"/>
            <w:shd w:val="clear" w:color="auto" w:fill="F2F2F2" w:themeFill="background1" w:themeFillShade="F2"/>
            <w:hideMark/>
          </w:tcPr>
          <w:p w:rsidR="00B3406A" w:rsidRPr="00CE108D"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p w:rsidR="00B3406A" w:rsidRPr="00CE108D" w:rsidRDefault="00B3406A" w:rsidP="00815A6D">
            <w:pPr>
              <w:pStyle w:val="ListParagraph"/>
              <w:numPr>
                <w:ilvl w:val="0"/>
                <w:numId w:val="43"/>
              </w:numPr>
              <w:rPr>
                <w:szCs w:val="18"/>
              </w:rPr>
            </w:pPr>
            <w:proofErr w:type="spellStart"/>
            <w:r w:rsidRPr="003018A2">
              <w:t>Oncken</w:t>
            </w:r>
            <w:proofErr w:type="spellEnd"/>
            <w:r w:rsidRPr="003018A2">
              <w:t xml:space="preserve"> (2019)</w:t>
            </w:r>
            <w:r w:rsidRPr="00CE108D">
              <w:rPr>
                <w:vertAlign w:val="superscript"/>
              </w:rPr>
              <w:t>2</w:t>
            </w:r>
          </w:p>
        </w:tc>
        <w:tc>
          <w:tcPr>
            <w:tcW w:w="2657" w:type="pct"/>
            <w:shd w:val="clear" w:color="auto" w:fill="F2F2F2" w:themeFill="background1" w:themeFillShade="F2"/>
            <w:hideMark/>
          </w:tcPr>
          <w:p w:rsidR="00B3406A" w:rsidRPr="004537F9"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4537F9">
              <w:rPr>
                <w:szCs w:val="18"/>
              </w:rPr>
              <w:t>Not statistically significant</w:t>
            </w:r>
            <w:r>
              <w:rPr>
                <w:szCs w:val="18"/>
              </w:rPr>
              <w:t xml:space="preserve"> based on RR and RD.</w:t>
            </w:r>
          </w:p>
          <w:p w:rsidR="00B3406A" w:rsidRPr="004537F9"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4537F9">
              <w:rPr>
                <w:szCs w:val="18"/>
              </w:rPr>
              <w:t xml:space="preserve">Not statistically </w:t>
            </w:r>
            <w:proofErr w:type="gramStart"/>
            <w:r w:rsidRPr="004537F9">
              <w:rPr>
                <w:szCs w:val="18"/>
              </w:rPr>
              <w:t>significant</w:t>
            </w:r>
            <w:r>
              <w:rPr>
                <w:szCs w:val="18"/>
                <w:vertAlign w:val="superscript"/>
              </w:rPr>
              <w:t xml:space="preserve">3 </w:t>
            </w:r>
            <w:r>
              <w:rPr>
                <w:szCs w:val="18"/>
              </w:rPr>
              <w:t xml:space="preserve"> based</w:t>
            </w:r>
            <w:proofErr w:type="gramEnd"/>
            <w:r>
              <w:rPr>
                <w:szCs w:val="18"/>
              </w:rPr>
              <w:t xml:space="preserve"> on RR and RD </w:t>
            </w:r>
            <w:r w:rsidRPr="004537F9">
              <w:rPr>
                <w:szCs w:val="18"/>
              </w:rPr>
              <w:t>(any AEs)</w:t>
            </w:r>
            <w:r>
              <w:rPr>
                <w:szCs w:val="18"/>
              </w:rPr>
              <w:t>.</w:t>
            </w:r>
          </w:p>
        </w:tc>
      </w:tr>
      <w:tr w:rsidR="00B3406A" w:rsidRPr="009068BC" w:rsidTr="00A82090">
        <w:trPr>
          <w:trHeight w:val="617"/>
        </w:trPr>
        <w:tc>
          <w:tcPr>
            <w:tcW w:w="846" w:type="pct"/>
            <w:shd w:val="clear" w:color="auto" w:fill="F2F2F2" w:themeFill="background1" w:themeFillShade="F2"/>
            <w:hideMark/>
          </w:tcPr>
          <w:p w:rsidR="00B3406A" w:rsidRPr="00581533" w:rsidRDefault="00B3406A" w:rsidP="001E7257">
            <w:pPr>
              <w:rPr>
                <w:szCs w:val="18"/>
              </w:rPr>
            </w:pPr>
            <w:r w:rsidRPr="004537F9">
              <w:rPr>
                <w:szCs w:val="18"/>
              </w:rPr>
              <w:t>NRT inhalator</w:t>
            </w:r>
            <w:r>
              <w:rPr>
                <w:szCs w:val="18"/>
              </w:rPr>
              <w:t xml:space="preserve"> vs </w:t>
            </w:r>
            <w:r w:rsidRPr="004537F9">
              <w:rPr>
                <w:szCs w:val="18"/>
              </w:rPr>
              <w:t>NRT patch</w:t>
            </w:r>
          </w:p>
        </w:tc>
        <w:tc>
          <w:tcPr>
            <w:tcW w:w="1497"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t>Lindson</w:t>
            </w:r>
            <w:proofErr w:type="spellEnd"/>
            <w:r w:rsidRPr="00713891">
              <w:t xml:space="preserve">  (201</w:t>
            </w:r>
            <w:r>
              <w:t>9</w:t>
            </w:r>
            <w:r w:rsidRPr="00713891">
              <w:t>)</w:t>
            </w:r>
            <w:r w:rsidRPr="00CE108D">
              <w:rPr>
                <w:vertAlign w:val="superscript"/>
              </w:rPr>
              <w:t>1</w:t>
            </w:r>
          </w:p>
        </w:tc>
        <w:tc>
          <w:tcPr>
            <w:tcW w:w="2657" w:type="pct"/>
            <w:shd w:val="clear" w:color="auto" w:fill="F2F2F2" w:themeFill="background1" w:themeFillShade="F2"/>
            <w:hideMark/>
          </w:tcPr>
          <w:p w:rsidR="00B3406A" w:rsidRPr="004537F9"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4537F9">
              <w:rPr>
                <w:szCs w:val="18"/>
              </w:rPr>
              <w:t>Not statistically significant</w:t>
            </w:r>
            <w:r>
              <w:rPr>
                <w:szCs w:val="18"/>
              </w:rPr>
              <w:t xml:space="preserve"> based on RR. </w:t>
            </w:r>
          </w:p>
          <w:p w:rsidR="00B3406A" w:rsidRPr="004537F9"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4537F9">
              <w:rPr>
                <w:szCs w:val="18"/>
              </w:rPr>
              <w:t xml:space="preserve">No </w:t>
            </w:r>
            <w:r>
              <w:rPr>
                <w:szCs w:val="18"/>
              </w:rPr>
              <w:t>S</w:t>
            </w:r>
            <w:r w:rsidRPr="004537F9">
              <w:rPr>
                <w:szCs w:val="18"/>
              </w:rPr>
              <w:t>AEs reported in either arm</w:t>
            </w:r>
            <w:r>
              <w:rPr>
                <w:szCs w:val="18"/>
              </w:rPr>
              <w:t>.</w:t>
            </w:r>
          </w:p>
        </w:tc>
      </w:tr>
    </w:tbl>
    <w:p w:rsidR="00B3406A" w:rsidRDefault="00B3406A" w:rsidP="001E7257">
      <w:pPr>
        <w:pStyle w:val="TableFooter"/>
        <w:keepNext/>
      </w:pPr>
      <w:r>
        <w:t>Abbreviations: AEs = adverse events; NRT = nicotine replacement therapy;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t xml:space="preserve">1 </w:t>
      </w:r>
      <w:r w:rsidRPr="00BE36E8">
        <w:t>Cochrane Review</w:t>
      </w:r>
      <w:r>
        <w:t>.</w:t>
      </w:r>
    </w:p>
    <w:p w:rsidR="00B3406A" w:rsidRDefault="00B3406A" w:rsidP="001E7257">
      <w:pPr>
        <w:pStyle w:val="TableFooter"/>
        <w:keepNext/>
      </w:pPr>
      <w:r>
        <w:t xml:space="preserve">2 Supplemental evidence (RCT). </w:t>
      </w:r>
    </w:p>
    <w:p w:rsidR="00B3406A" w:rsidRPr="00C518F7" w:rsidRDefault="00B3406A" w:rsidP="001E7257">
      <w:pPr>
        <w:pStyle w:val="TableFooter"/>
        <w:keepNext/>
      </w:pPr>
      <w:r>
        <w:t xml:space="preserve">3 </w:t>
      </w:r>
      <w:r w:rsidRPr="004537F9">
        <w:t>Not statistically significant based on risk ratio but significant based on risk difference (RR = 16.28, 95%CI: 0.96, 276.65; RD = 0.11, 95%CI: 0.04, 0.19).</w:t>
      </w:r>
    </w:p>
    <w:p w:rsidR="00B3406A" w:rsidRPr="00A25C81" w:rsidRDefault="00B3406A" w:rsidP="001E7257">
      <w:r w:rsidRPr="00A25C81">
        <w:t>Nasal spray</w:t>
      </w:r>
    </w:p>
    <w:p w:rsidR="00B3406A" w:rsidRDefault="00B3406A" w:rsidP="00D25738">
      <w:pPr>
        <w:pStyle w:val="ListParagraph"/>
        <w:numPr>
          <w:ilvl w:val="0"/>
          <w:numId w:val="31"/>
        </w:numPr>
        <w:ind w:left="360"/>
        <w:jc w:val="both"/>
      </w:pPr>
      <w:r>
        <w:t>NRT</w:t>
      </w:r>
      <w:r w:rsidRPr="00EC786E" w:rsidDel="003C2903">
        <w:t xml:space="preserve"> </w:t>
      </w:r>
      <w:r>
        <w:t>nasal</w:t>
      </w:r>
      <w:r w:rsidRPr="00EC786E">
        <w:t xml:space="preserve"> spray was shown to be superior to placebo in terms of efficacy</w:t>
      </w:r>
      <w:r>
        <w:t>. In terms of safety, t</w:t>
      </w:r>
      <w:r w:rsidRPr="00134E10">
        <w:t>he results of the meta-analysis comprising three RCTs demonstrated a significantly higher incidence of palpitations/chest pains adverse events in the nasal spray arm compared to placebo</w:t>
      </w:r>
      <w:r w:rsidRPr="00EC786E">
        <w:t>.</w:t>
      </w:r>
    </w:p>
    <w:p w:rsidR="00B3406A" w:rsidRDefault="00B3406A" w:rsidP="00D25738">
      <w:pPr>
        <w:pStyle w:val="ListParagraph"/>
        <w:numPr>
          <w:ilvl w:val="0"/>
          <w:numId w:val="31"/>
        </w:numPr>
        <w:ind w:left="360"/>
        <w:jc w:val="both"/>
      </w:pPr>
      <w:r>
        <w:t xml:space="preserve">There were no statistically significant differences between </w:t>
      </w:r>
      <w:r w:rsidRPr="00A25C81">
        <w:t xml:space="preserve">NRT nasal spray </w:t>
      </w:r>
      <w:r>
        <w:t>and NRT</w:t>
      </w:r>
      <w:r w:rsidRPr="00A25C81">
        <w:t xml:space="preserve"> </w:t>
      </w:r>
      <w:r>
        <w:t>patches</w:t>
      </w:r>
      <w:r w:rsidRPr="00A25C81">
        <w:t xml:space="preserve"> in terms of efficacy. Among </w:t>
      </w:r>
      <w:r>
        <w:t xml:space="preserve">the </w:t>
      </w:r>
      <w:r w:rsidRPr="00A25C81">
        <w:t xml:space="preserve">studies comparing nasal spray </w:t>
      </w:r>
      <w:r>
        <w:t>with</w:t>
      </w:r>
      <w:r w:rsidRPr="00A25C81">
        <w:t xml:space="preserve"> </w:t>
      </w:r>
      <w:r>
        <w:t>patches</w:t>
      </w:r>
      <w:r w:rsidRPr="00A25C81">
        <w:t xml:space="preserve">, </w:t>
      </w:r>
      <w:proofErr w:type="spellStart"/>
      <w:r w:rsidRPr="00A25C81">
        <w:t>Lerman</w:t>
      </w:r>
      <w:proofErr w:type="spellEnd"/>
      <w:r w:rsidRPr="00A25C81">
        <w:t xml:space="preserve"> et al. (2004) reported no serious adverse events in </w:t>
      </w:r>
      <w:r>
        <w:t>either</w:t>
      </w:r>
      <w:r w:rsidRPr="00A25C81">
        <w:t xml:space="preserve"> tr</w:t>
      </w:r>
      <w:r>
        <w:t>eatment</w:t>
      </w:r>
      <w:r w:rsidRPr="00A25C81">
        <w:t xml:space="preserve"> arms, while </w:t>
      </w:r>
      <w:proofErr w:type="spellStart"/>
      <w:r w:rsidRPr="00A25C81">
        <w:t>Croghan</w:t>
      </w:r>
      <w:proofErr w:type="spellEnd"/>
      <w:r>
        <w:t xml:space="preserve"> et al.</w:t>
      </w:r>
      <w:r w:rsidRPr="00A25C81">
        <w:t xml:space="preserve"> </w:t>
      </w:r>
      <w:r>
        <w:t>(</w:t>
      </w:r>
      <w:r w:rsidRPr="00A25C81">
        <w:t>2003</w:t>
      </w:r>
      <w:r>
        <w:t>)</w:t>
      </w:r>
      <w:r w:rsidRPr="00A25C81">
        <w:t xml:space="preserve"> showed </w:t>
      </w:r>
      <w:r>
        <w:t xml:space="preserve">a </w:t>
      </w:r>
      <w:r w:rsidRPr="00A25C81">
        <w:t>significant</w:t>
      </w:r>
      <w:r>
        <w:t>ly higher</w:t>
      </w:r>
      <w:r w:rsidRPr="00A25C81">
        <w:t xml:space="preserve"> </w:t>
      </w:r>
      <w:r>
        <w:t>rate</w:t>
      </w:r>
      <w:r w:rsidRPr="00A25C81">
        <w:t xml:space="preserve"> of treatment withdrawals in </w:t>
      </w:r>
      <w:r>
        <w:t>the nasal spray treatment arm</w:t>
      </w:r>
      <w:r w:rsidRPr="00A25C81">
        <w:t>.</w:t>
      </w:r>
    </w:p>
    <w:tbl>
      <w:tblPr>
        <w:tblStyle w:val="TableGrid3"/>
        <w:tblW w:w="5000" w:type="pct"/>
        <w:shd w:val="clear" w:color="auto" w:fill="F2F2F2" w:themeFill="background1" w:themeFillShade="F2"/>
        <w:tblLook w:val="04A0" w:firstRow="1" w:lastRow="0" w:firstColumn="1" w:lastColumn="0" w:noHBand="0" w:noVBand="1"/>
      </w:tblPr>
      <w:tblGrid>
        <w:gridCol w:w="1616"/>
        <w:gridCol w:w="2158"/>
        <w:gridCol w:w="5242"/>
      </w:tblGrid>
      <w:tr w:rsidR="00B3406A" w:rsidRPr="00916516" w:rsidTr="00A82090">
        <w:trPr>
          <w:trHeight w:val="67"/>
        </w:trPr>
        <w:tc>
          <w:tcPr>
            <w:tcW w:w="896"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19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906"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068BC" w:rsidTr="00A82090">
        <w:trPr>
          <w:trHeight w:val="345"/>
        </w:trPr>
        <w:tc>
          <w:tcPr>
            <w:tcW w:w="896" w:type="pct"/>
            <w:shd w:val="clear" w:color="auto" w:fill="F2F2F2" w:themeFill="background1" w:themeFillShade="F2"/>
            <w:hideMark/>
          </w:tcPr>
          <w:p w:rsidR="00B3406A" w:rsidRPr="00237D04" w:rsidRDefault="00B3406A" w:rsidP="001E7257">
            <w:pPr>
              <w:tabs>
                <w:tab w:val="left" w:pos="986"/>
              </w:tabs>
              <w:rPr>
                <w:szCs w:val="18"/>
              </w:rPr>
            </w:pPr>
            <w:r w:rsidRPr="00A45B4B">
              <w:rPr>
                <w:szCs w:val="18"/>
              </w:rPr>
              <w:t>NRT nasal spray</w:t>
            </w:r>
            <w:r>
              <w:rPr>
                <w:szCs w:val="18"/>
              </w:rPr>
              <w:t xml:space="preserve"> vs p</w:t>
            </w:r>
            <w:r w:rsidRPr="00A45B4B">
              <w:rPr>
                <w:szCs w:val="18"/>
              </w:rPr>
              <w:t>lacebo</w:t>
            </w:r>
          </w:p>
        </w:tc>
        <w:tc>
          <w:tcPr>
            <w:tcW w:w="1197" w:type="pct"/>
            <w:shd w:val="clear" w:color="auto" w:fill="F2F2F2" w:themeFill="background1" w:themeFillShade="F2"/>
            <w:hideMark/>
          </w:tcPr>
          <w:p w:rsidR="00B3406A" w:rsidRPr="00614418"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tc>
        <w:tc>
          <w:tcPr>
            <w:tcW w:w="2906" w:type="pct"/>
            <w:shd w:val="clear" w:color="auto" w:fill="F2F2F2" w:themeFill="background1" w:themeFillShade="F2"/>
            <w:hideMark/>
          </w:tcPr>
          <w:p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Statistically significant</w:t>
            </w:r>
            <w:r>
              <w:rPr>
                <w:szCs w:val="18"/>
              </w:rPr>
              <w:t xml:space="preserve"> based on RR </w:t>
            </w:r>
            <w:r w:rsidRPr="00A45B4B">
              <w:rPr>
                <w:szCs w:val="18"/>
              </w:rPr>
              <w:t>(in favour of NRT nasal spray)</w:t>
            </w:r>
            <w:r>
              <w:rPr>
                <w:szCs w:val="18"/>
              </w:rPr>
              <w:t>.</w:t>
            </w:r>
          </w:p>
          <w:p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w:t>
            </w:r>
            <w:r w:rsidRPr="00A45B4B">
              <w:rPr>
                <w:szCs w:val="18"/>
              </w:rPr>
              <w:t>(palpitations/chest pains; higher in NRT nasal spray)</w:t>
            </w:r>
            <w:r>
              <w:rPr>
                <w:szCs w:val="18"/>
              </w:rPr>
              <w:t>.</w:t>
            </w:r>
          </w:p>
        </w:tc>
      </w:tr>
      <w:tr w:rsidR="00B3406A" w:rsidRPr="009068BC" w:rsidTr="00A82090">
        <w:trPr>
          <w:trHeight w:val="617"/>
        </w:trPr>
        <w:tc>
          <w:tcPr>
            <w:tcW w:w="896" w:type="pct"/>
            <w:shd w:val="clear" w:color="auto" w:fill="F2F2F2" w:themeFill="background1" w:themeFillShade="F2"/>
            <w:hideMark/>
          </w:tcPr>
          <w:p w:rsidR="00B3406A" w:rsidRPr="00581533" w:rsidRDefault="00B3406A" w:rsidP="001E7257">
            <w:pPr>
              <w:rPr>
                <w:szCs w:val="18"/>
              </w:rPr>
            </w:pPr>
            <w:r w:rsidRPr="00A45B4B">
              <w:rPr>
                <w:szCs w:val="18"/>
              </w:rPr>
              <w:t>NRT nasal spray</w:t>
            </w:r>
            <w:r>
              <w:rPr>
                <w:szCs w:val="18"/>
              </w:rPr>
              <w:t xml:space="preserve"> vs </w:t>
            </w:r>
            <w:r w:rsidRPr="00A45B4B">
              <w:rPr>
                <w:szCs w:val="18"/>
              </w:rPr>
              <w:t>NRT patch</w:t>
            </w:r>
          </w:p>
        </w:tc>
        <w:tc>
          <w:tcPr>
            <w:tcW w:w="1197" w:type="pct"/>
            <w:shd w:val="clear" w:color="auto" w:fill="F2F2F2" w:themeFill="background1" w:themeFillShade="F2"/>
            <w:hideMark/>
          </w:tcPr>
          <w:p w:rsidR="00B3406A" w:rsidRPr="002A5E9C" w:rsidRDefault="00B3406A" w:rsidP="00815A6D">
            <w:pPr>
              <w:pStyle w:val="ListParagraph"/>
              <w:numPr>
                <w:ilvl w:val="0"/>
                <w:numId w:val="44"/>
              </w:numPr>
              <w:rPr>
                <w:szCs w:val="18"/>
              </w:rPr>
            </w:pPr>
            <w:proofErr w:type="spellStart"/>
            <w:r>
              <w:t>Lindson</w:t>
            </w:r>
            <w:proofErr w:type="spellEnd"/>
            <w:r w:rsidRPr="00713891">
              <w:t xml:space="preserve"> (201</w:t>
            </w:r>
            <w:r>
              <w:t>9</w:t>
            </w:r>
            <w:r w:rsidRPr="00713891">
              <w:t>)</w:t>
            </w:r>
            <w:r w:rsidRPr="00CE108D">
              <w:rPr>
                <w:vertAlign w:val="superscript"/>
              </w:rPr>
              <w:t>1</w:t>
            </w:r>
          </w:p>
        </w:tc>
        <w:tc>
          <w:tcPr>
            <w:tcW w:w="2906" w:type="pct"/>
            <w:shd w:val="clear" w:color="auto" w:fill="F2F2F2" w:themeFill="background1" w:themeFillShade="F2"/>
            <w:hideMark/>
          </w:tcPr>
          <w:p w:rsidR="00B3406A" w:rsidRPr="00A45B4B"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A45B4B">
              <w:rPr>
                <w:szCs w:val="18"/>
              </w:rPr>
              <w:t>Not statistically significant</w:t>
            </w:r>
            <w:r>
              <w:rPr>
                <w:szCs w:val="18"/>
              </w:rPr>
              <w:t xml:space="preserve"> based on RR. </w:t>
            </w:r>
          </w:p>
          <w:p w:rsidR="00B3406A" w:rsidRPr="00A45B4B"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w:t>
            </w:r>
            <w:r w:rsidRPr="00A45B4B">
              <w:rPr>
                <w:szCs w:val="18"/>
              </w:rPr>
              <w:t>(treatment withdrawals; higher in NRT nasal spray)</w:t>
            </w:r>
            <w:r>
              <w:rPr>
                <w:szCs w:val="18"/>
              </w:rPr>
              <w:t xml:space="preserve">; </w:t>
            </w:r>
            <w:r w:rsidRPr="00A45B4B">
              <w:rPr>
                <w:szCs w:val="18"/>
              </w:rPr>
              <w:t xml:space="preserve">No </w:t>
            </w:r>
            <w:r>
              <w:rPr>
                <w:szCs w:val="18"/>
              </w:rPr>
              <w:t>S</w:t>
            </w:r>
            <w:r w:rsidRPr="00A45B4B">
              <w:rPr>
                <w:szCs w:val="18"/>
              </w:rPr>
              <w:t>AEs reported in either arm</w:t>
            </w:r>
            <w:r>
              <w:rPr>
                <w:szCs w:val="18"/>
              </w:rPr>
              <w:t>.</w:t>
            </w:r>
          </w:p>
        </w:tc>
      </w:tr>
    </w:tbl>
    <w:p w:rsidR="00B3406A" w:rsidRDefault="00B3406A" w:rsidP="001E7257">
      <w:pPr>
        <w:pStyle w:val="TableFooter"/>
        <w:keepNext/>
      </w:pPr>
      <w:r>
        <w:t>Abbreviations: NRT = nicotine replacement therapy; RR = risk ratio;</w:t>
      </w:r>
      <w:r w:rsidRPr="005C3486">
        <w:t xml:space="preserve"> </w:t>
      </w:r>
      <w:r>
        <w:t xml:space="preserve">SAEs = adverse events. </w:t>
      </w:r>
    </w:p>
    <w:p w:rsidR="00B3406A" w:rsidRDefault="00B3406A" w:rsidP="001E7257">
      <w:pPr>
        <w:pStyle w:val="TableFooter"/>
        <w:keepNext/>
      </w:pPr>
      <w:r w:rsidRPr="00BE36E8">
        <w:t xml:space="preserve">Notes: </w:t>
      </w:r>
    </w:p>
    <w:p w:rsidR="00B3406A" w:rsidRPr="00355B8A" w:rsidRDefault="00B3406A" w:rsidP="001E7257">
      <w:pPr>
        <w:pStyle w:val="TableFooter"/>
        <w:keepNext/>
      </w:pPr>
      <w:r>
        <w:t xml:space="preserve">1 </w:t>
      </w:r>
      <w:r w:rsidRPr="00BE36E8">
        <w:t>Cochrane Review</w:t>
      </w:r>
      <w:r>
        <w:t>.</w:t>
      </w:r>
    </w:p>
    <w:p w:rsidR="00B3406A" w:rsidRDefault="00B3406A" w:rsidP="001E7257">
      <w:r w:rsidRPr="00A25C81">
        <w:t>Oral spray</w:t>
      </w:r>
    </w:p>
    <w:p w:rsidR="00B23D0F" w:rsidRDefault="00B3406A" w:rsidP="00D25738">
      <w:pPr>
        <w:pStyle w:val="ListParagraph"/>
        <w:numPr>
          <w:ilvl w:val="0"/>
          <w:numId w:val="32"/>
        </w:numPr>
        <w:ind w:left="360"/>
        <w:jc w:val="both"/>
      </w:pPr>
      <w:r w:rsidRPr="00A25C81">
        <w:t xml:space="preserve">NRT oral spray </w:t>
      </w:r>
      <w:r>
        <w:t>was shown to be superior</w:t>
      </w:r>
      <w:r w:rsidRPr="00A25C81">
        <w:t xml:space="preserve"> to placebo</w:t>
      </w:r>
      <w:r>
        <w:t xml:space="preserve"> in terms of efficacy, </w:t>
      </w:r>
      <w:r w:rsidRPr="00A25C81">
        <w:t>not</w:t>
      </w:r>
      <w:r>
        <w:t>ing</w:t>
      </w:r>
      <w:r w:rsidRPr="00A25C81">
        <w:t xml:space="preserve"> that the results of the updated re-analysis were not statistically significant based on risk difference (absolute effect).</w:t>
      </w:r>
      <w:r>
        <w:t xml:space="preserve"> A </w:t>
      </w:r>
      <w:r w:rsidRPr="001B111D">
        <w:t xml:space="preserve">significantly higher proportion of patients in the oral spray arm experienced any adverse events and discontinuation due to adverse events compared with patients in the placebo arm. </w:t>
      </w:r>
      <w:r>
        <w:t>N</w:t>
      </w:r>
      <w:r w:rsidRPr="001B111D">
        <w:t>o patients in either arm experienc</w:t>
      </w:r>
      <w:r>
        <w:t>ed</w:t>
      </w:r>
      <w:r w:rsidRPr="001B111D">
        <w:t xml:space="preserve"> treatment-related serious adverse event</w:t>
      </w:r>
      <w:r>
        <w:t>s</w:t>
      </w:r>
      <w:r w:rsidRPr="001B111D">
        <w:t>.</w:t>
      </w:r>
    </w:p>
    <w:p w:rsidR="00B3406A" w:rsidRDefault="00B23D0F" w:rsidP="00B23D0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436"/>
        <w:gridCol w:w="2609"/>
        <w:gridCol w:w="4971"/>
      </w:tblGrid>
      <w:tr w:rsidR="00B3406A" w:rsidRPr="00916516" w:rsidTr="00A82090">
        <w:trPr>
          <w:trHeight w:val="67"/>
        </w:trPr>
        <w:tc>
          <w:tcPr>
            <w:tcW w:w="796"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44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7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068BC" w:rsidTr="00A82090">
        <w:trPr>
          <w:trHeight w:val="345"/>
        </w:trPr>
        <w:tc>
          <w:tcPr>
            <w:tcW w:w="796" w:type="pct"/>
            <w:shd w:val="clear" w:color="auto" w:fill="F2F2F2" w:themeFill="background1" w:themeFillShade="F2"/>
            <w:hideMark/>
          </w:tcPr>
          <w:p w:rsidR="00B3406A" w:rsidRPr="00237D04" w:rsidRDefault="00B3406A" w:rsidP="001E7257">
            <w:pPr>
              <w:tabs>
                <w:tab w:val="left" w:pos="1198"/>
              </w:tabs>
              <w:rPr>
                <w:szCs w:val="18"/>
              </w:rPr>
            </w:pPr>
            <w:r w:rsidRPr="00A45B4B">
              <w:rPr>
                <w:szCs w:val="18"/>
              </w:rPr>
              <w:t>NRT oral spray</w:t>
            </w:r>
            <w:r>
              <w:rPr>
                <w:szCs w:val="18"/>
              </w:rPr>
              <w:t xml:space="preserve"> vs placebo</w:t>
            </w:r>
          </w:p>
        </w:tc>
        <w:tc>
          <w:tcPr>
            <w:tcW w:w="1447" w:type="pct"/>
            <w:shd w:val="clear" w:color="auto" w:fill="F2F2F2" w:themeFill="background1" w:themeFillShade="F2"/>
            <w:hideMark/>
          </w:tcPr>
          <w:p w:rsidR="00B3406A" w:rsidRPr="00CE108D"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p w:rsidR="00B3406A" w:rsidRPr="00614418" w:rsidRDefault="00B3406A" w:rsidP="00815A6D">
            <w:pPr>
              <w:pStyle w:val="ListParagraph"/>
              <w:numPr>
                <w:ilvl w:val="0"/>
                <w:numId w:val="43"/>
              </w:numPr>
              <w:rPr>
                <w:szCs w:val="18"/>
              </w:rPr>
            </w:pPr>
            <w:proofErr w:type="spellStart"/>
            <w:r w:rsidRPr="00AA142B">
              <w:t>Nides</w:t>
            </w:r>
            <w:proofErr w:type="spellEnd"/>
            <w:r w:rsidRPr="00AA142B">
              <w:t xml:space="preserve"> (2020)</w:t>
            </w:r>
            <w:r w:rsidRPr="00CE108D">
              <w:rPr>
                <w:vertAlign w:val="superscript"/>
              </w:rPr>
              <w:t>2</w:t>
            </w:r>
          </w:p>
        </w:tc>
        <w:tc>
          <w:tcPr>
            <w:tcW w:w="2757" w:type="pct"/>
            <w:shd w:val="clear" w:color="auto" w:fill="F2F2F2" w:themeFill="background1" w:themeFillShade="F2"/>
            <w:hideMark/>
          </w:tcPr>
          <w:p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 xml:space="preserve">Statistically </w:t>
            </w:r>
            <w:r w:rsidR="007918CA" w:rsidRPr="00A45B4B">
              <w:rPr>
                <w:szCs w:val="18"/>
              </w:rPr>
              <w:t>significant</w:t>
            </w:r>
            <w:r w:rsidR="007918CA">
              <w:rPr>
                <w:szCs w:val="18"/>
              </w:rPr>
              <w:t xml:space="preserve"> </w:t>
            </w:r>
            <w:r w:rsidR="007918CA">
              <w:rPr>
                <w:szCs w:val="18"/>
                <w:vertAlign w:val="superscript"/>
              </w:rPr>
              <w:t>based</w:t>
            </w:r>
            <w:r>
              <w:rPr>
                <w:szCs w:val="18"/>
              </w:rPr>
              <w:t xml:space="preserve"> on RR </w:t>
            </w:r>
            <w:r w:rsidRPr="00A45B4B">
              <w:rPr>
                <w:szCs w:val="18"/>
              </w:rPr>
              <w:t>(in favour of NRT oral spray)</w:t>
            </w:r>
            <w:r>
              <w:rPr>
                <w:szCs w:val="18"/>
              </w:rPr>
              <w:t>, but not statistically significant for RD</w:t>
            </w:r>
            <w:r>
              <w:rPr>
                <w:szCs w:val="18"/>
                <w:vertAlign w:val="superscript"/>
              </w:rPr>
              <w:t>3</w:t>
            </w:r>
            <w:r>
              <w:rPr>
                <w:szCs w:val="18"/>
              </w:rPr>
              <w:t xml:space="preserve">. </w:t>
            </w:r>
          </w:p>
          <w:p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and RD </w:t>
            </w:r>
            <w:r w:rsidRPr="00A45B4B">
              <w:rPr>
                <w:szCs w:val="18"/>
              </w:rPr>
              <w:t>(any AEs, discontinuation due to AEs; higher in NRT oral spray)</w:t>
            </w:r>
            <w:r>
              <w:rPr>
                <w:szCs w:val="18"/>
              </w:rPr>
              <w:t xml:space="preserve">; </w:t>
            </w:r>
            <w:r w:rsidRPr="00A45B4B">
              <w:rPr>
                <w:szCs w:val="18"/>
              </w:rPr>
              <w:t xml:space="preserve">No </w:t>
            </w:r>
            <w:r>
              <w:rPr>
                <w:szCs w:val="18"/>
              </w:rPr>
              <w:t>S</w:t>
            </w:r>
            <w:r w:rsidRPr="00A45B4B">
              <w:rPr>
                <w:szCs w:val="18"/>
              </w:rPr>
              <w:t>AEs reported in either arm</w:t>
            </w:r>
            <w:r>
              <w:rPr>
                <w:szCs w:val="18"/>
              </w:rPr>
              <w:t>.</w:t>
            </w:r>
          </w:p>
        </w:tc>
      </w:tr>
    </w:tbl>
    <w:p w:rsidR="00B3406A" w:rsidRDefault="00B3406A" w:rsidP="001E7257">
      <w:pPr>
        <w:pStyle w:val="TableFooter"/>
        <w:keepNext/>
      </w:pPr>
      <w:r>
        <w:t>Abbreviations: AEs = adverse events; NRT = nicotine replacement therapy; RR = risk ratio, RD = risk difference; SAEs = serious adverse events.</w:t>
      </w:r>
    </w:p>
    <w:p w:rsidR="00B3406A" w:rsidRDefault="00B3406A" w:rsidP="001E7257">
      <w:pPr>
        <w:pStyle w:val="TableFooter"/>
        <w:keepNext/>
      </w:pPr>
      <w:r w:rsidRPr="00BE36E8">
        <w:t xml:space="preserve">Notes: </w:t>
      </w:r>
    </w:p>
    <w:p w:rsidR="00B3406A" w:rsidRDefault="00B3406A" w:rsidP="001E7257">
      <w:pPr>
        <w:pStyle w:val="TableFooter"/>
        <w:keepNext/>
      </w:pPr>
      <w:r>
        <w:t xml:space="preserve">1 </w:t>
      </w:r>
      <w:r w:rsidRPr="00BE36E8">
        <w:t>Cochrane Review</w:t>
      </w:r>
      <w:r>
        <w:t>.</w:t>
      </w:r>
    </w:p>
    <w:p w:rsidR="00B3406A" w:rsidRPr="00415419" w:rsidRDefault="00B3406A" w:rsidP="001E7257">
      <w:pPr>
        <w:pStyle w:val="TableFooter"/>
        <w:keepNext/>
      </w:pPr>
      <w:r>
        <w:t>2 Supplemental evidence (RCT).</w:t>
      </w:r>
    </w:p>
    <w:p w:rsidR="00B3406A" w:rsidRPr="00415419" w:rsidRDefault="00B3406A" w:rsidP="001E7257">
      <w:pPr>
        <w:pStyle w:val="TableFooter"/>
        <w:keepNext/>
      </w:pPr>
      <w:r>
        <w:t>3 Statistically significant based on risk ratio but not significant b</w:t>
      </w:r>
      <w:r w:rsidR="007918CA">
        <w:t>ased on risk difference (RR = 2.</w:t>
      </w:r>
      <w:r>
        <w:t>63, 95% CI: 1.54, 4.50; RD = 0.05, 95%CI: -0.02, 0.12).</w:t>
      </w:r>
    </w:p>
    <w:p w:rsidR="00B3406A" w:rsidRPr="001B111D" w:rsidRDefault="00B3406A" w:rsidP="001E7257">
      <w:r w:rsidRPr="001B111D">
        <w:t>Inhalator and patch</w:t>
      </w:r>
    </w:p>
    <w:p w:rsidR="00B3406A" w:rsidRPr="00AB6DA0" w:rsidRDefault="00B3406A" w:rsidP="00D25738">
      <w:pPr>
        <w:pStyle w:val="ListParagraph"/>
        <w:numPr>
          <w:ilvl w:val="0"/>
          <w:numId w:val="32"/>
        </w:numPr>
        <w:ind w:left="360"/>
        <w:jc w:val="both"/>
        <w:rPr>
          <w:rFonts w:eastAsiaTheme="minorEastAsia"/>
          <w:b/>
          <w:i/>
          <w:sz w:val="28"/>
          <w:szCs w:val="28"/>
        </w:rPr>
      </w:pPr>
      <w:r>
        <w:t>There were no statistically significant differences between i</w:t>
      </w:r>
      <w:r w:rsidRPr="001B111D">
        <w:t xml:space="preserve">nhalator </w:t>
      </w:r>
      <w:proofErr w:type="gramStart"/>
      <w:r w:rsidRPr="001B111D">
        <w:t>+</w:t>
      </w:r>
      <w:proofErr w:type="gramEnd"/>
      <w:r w:rsidRPr="001B111D">
        <w:t xml:space="preserve"> patch </w:t>
      </w:r>
      <w:r>
        <w:t xml:space="preserve">and placebo in terms of efficacy based on long-term smoking cessation rates. </w:t>
      </w:r>
      <w:r w:rsidRPr="007C0870">
        <w:t xml:space="preserve">The </w:t>
      </w:r>
      <w:r>
        <w:t>one study identified</w:t>
      </w:r>
      <w:r w:rsidRPr="007C0870">
        <w:t xml:space="preserve"> by Hartmann-Boyce et al. (2018)</w:t>
      </w:r>
      <w:r>
        <w:t xml:space="preserve"> did not assess the comparative</w:t>
      </w:r>
      <w:r w:rsidRPr="00121538">
        <w:t xml:space="preserve"> safety of </w:t>
      </w:r>
      <w:r>
        <w:t>NRT inhalator + patch versus placebo</w:t>
      </w:r>
      <w:r w:rsidRPr="007C0870">
        <w:t>.</w:t>
      </w:r>
    </w:p>
    <w:tbl>
      <w:tblPr>
        <w:tblStyle w:val="TableGrid3"/>
        <w:tblW w:w="5000" w:type="pct"/>
        <w:shd w:val="clear" w:color="auto" w:fill="F2F2F2" w:themeFill="background1" w:themeFillShade="F2"/>
        <w:tblLook w:val="04A0" w:firstRow="1" w:lastRow="0" w:firstColumn="1" w:lastColumn="0" w:noHBand="0" w:noVBand="1"/>
      </w:tblPr>
      <w:tblGrid>
        <w:gridCol w:w="1616"/>
        <w:gridCol w:w="2609"/>
        <w:gridCol w:w="4791"/>
      </w:tblGrid>
      <w:tr w:rsidR="00B3406A" w:rsidRPr="00916516" w:rsidTr="00A82090">
        <w:trPr>
          <w:trHeight w:val="67"/>
        </w:trPr>
        <w:tc>
          <w:tcPr>
            <w:tcW w:w="896"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44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2657"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068BC" w:rsidTr="00A82090">
        <w:trPr>
          <w:trHeight w:val="345"/>
        </w:trPr>
        <w:tc>
          <w:tcPr>
            <w:tcW w:w="896" w:type="pct"/>
            <w:shd w:val="clear" w:color="auto" w:fill="F2F2F2" w:themeFill="background1" w:themeFillShade="F2"/>
            <w:hideMark/>
          </w:tcPr>
          <w:p w:rsidR="00B3406A" w:rsidRPr="00237D04" w:rsidRDefault="00B3406A" w:rsidP="001E7257">
            <w:pPr>
              <w:tabs>
                <w:tab w:val="left" w:pos="1198"/>
              </w:tabs>
              <w:rPr>
                <w:szCs w:val="18"/>
              </w:rPr>
            </w:pPr>
            <w:r w:rsidRPr="00A45B4B">
              <w:rPr>
                <w:szCs w:val="18"/>
              </w:rPr>
              <w:t>NRT inhalator and patch</w:t>
            </w:r>
            <w:r>
              <w:rPr>
                <w:szCs w:val="18"/>
              </w:rPr>
              <w:t xml:space="preserve"> vs placebo</w:t>
            </w:r>
          </w:p>
        </w:tc>
        <w:tc>
          <w:tcPr>
            <w:tcW w:w="1447" w:type="pct"/>
            <w:shd w:val="clear" w:color="auto" w:fill="F2F2F2" w:themeFill="background1" w:themeFillShade="F2"/>
            <w:hideMark/>
          </w:tcPr>
          <w:p w:rsidR="00B3406A" w:rsidRPr="00614418"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tc>
        <w:tc>
          <w:tcPr>
            <w:tcW w:w="2657" w:type="pct"/>
            <w:shd w:val="clear" w:color="auto" w:fill="F2F2F2" w:themeFill="background1" w:themeFillShade="F2"/>
            <w:hideMark/>
          </w:tcPr>
          <w:p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Not statistically significant</w:t>
            </w:r>
            <w:r>
              <w:rPr>
                <w:szCs w:val="18"/>
              </w:rPr>
              <w:t xml:space="preserve"> based on RR. </w:t>
            </w:r>
          </w:p>
          <w:p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Safety outcomes were not assessed by the study</w:t>
            </w:r>
            <w:r>
              <w:rPr>
                <w:szCs w:val="18"/>
              </w:rPr>
              <w:t>.</w:t>
            </w:r>
          </w:p>
        </w:tc>
      </w:tr>
    </w:tbl>
    <w:p w:rsidR="00B3406A" w:rsidRDefault="00B3406A" w:rsidP="001E7257">
      <w:pPr>
        <w:pStyle w:val="TableFooter"/>
        <w:keepNext/>
      </w:pPr>
      <w:r>
        <w:t>Abbreviations: NRT = nicotine replacement therapy; RR = risk ratio.</w:t>
      </w:r>
    </w:p>
    <w:p w:rsidR="00B3406A" w:rsidRDefault="00B3406A" w:rsidP="001E7257">
      <w:pPr>
        <w:pStyle w:val="TableFooter"/>
        <w:keepNext/>
      </w:pPr>
      <w:r w:rsidRPr="00BE36E8">
        <w:t xml:space="preserve">Notes: </w:t>
      </w:r>
    </w:p>
    <w:p w:rsidR="00B3406A" w:rsidRPr="00AB6DA0" w:rsidRDefault="00B3406A" w:rsidP="00815A6D">
      <w:pPr>
        <w:pStyle w:val="TableFooter"/>
        <w:keepNext/>
        <w:numPr>
          <w:ilvl w:val="0"/>
          <w:numId w:val="72"/>
        </w:numPr>
      </w:pPr>
      <w:r w:rsidRPr="00BE36E8">
        <w:t>Cochrane Review</w:t>
      </w:r>
      <w:r>
        <w:t>.</w:t>
      </w:r>
    </w:p>
    <w:p w:rsidR="00B3406A" w:rsidRDefault="00E81CEC" w:rsidP="00E81CEC">
      <w:pPr>
        <w:pStyle w:val="Heading3"/>
        <w:spacing w:before="240" w:after="200"/>
      </w:pPr>
      <w:bookmarkStart w:id="49" w:name="_Toc63082732"/>
      <w:bookmarkStart w:id="50" w:name="_Toc72848462"/>
      <w:r>
        <w:t xml:space="preserve">3.4 </w:t>
      </w:r>
      <w:r w:rsidR="00B3406A">
        <w:t>Behavioural interventions in combination with pharmacotherapies</w:t>
      </w:r>
      <w:bookmarkEnd w:id="49"/>
      <w:bookmarkEnd w:id="50"/>
    </w:p>
    <w:p w:rsidR="00B3406A" w:rsidRDefault="00B3406A" w:rsidP="001E7257">
      <w:pPr>
        <w:rPr>
          <w:rFonts w:eastAsiaTheme="minorEastAsia"/>
          <w:b/>
          <w:i/>
          <w:sz w:val="28"/>
          <w:szCs w:val="28"/>
        </w:rPr>
      </w:pPr>
      <w:r w:rsidRPr="00F54DA7">
        <w:rPr>
          <w:rFonts w:eastAsiaTheme="minorEastAsia"/>
          <w:b/>
          <w:i/>
          <w:sz w:val="28"/>
          <w:szCs w:val="28"/>
        </w:rPr>
        <w:t>Examine the importance of comprehensive support and counselling in combination with pharmacotherapies</w:t>
      </w:r>
    </w:p>
    <w:p w:rsidR="00B3406A" w:rsidRDefault="00B3406A" w:rsidP="00D25738">
      <w:pPr>
        <w:pStyle w:val="ListParagraph"/>
        <w:numPr>
          <w:ilvl w:val="0"/>
          <w:numId w:val="32"/>
        </w:numPr>
        <w:ind w:left="360"/>
        <w:jc w:val="both"/>
      </w:pPr>
      <w:r w:rsidRPr="002A7DCF">
        <w:t xml:space="preserve">The evidence presented from six </w:t>
      </w:r>
      <w:r>
        <w:t>identified</w:t>
      </w:r>
      <w:r w:rsidRPr="002A7DCF">
        <w:t xml:space="preserve"> Cochrane Reviews comparing the efficacy of </w:t>
      </w:r>
      <w:r>
        <w:t xml:space="preserve">specific </w:t>
      </w:r>
      <w:r w:rsidRPr="002A7DCF">
        <w:t>behavioural support with minimal or no behavioural interventions (both in combination with pharmacotherapies) w</w:t>
      </w:r>
      <w:r>
        <w:t>as</w:t>
      </w:r>
      <w:r w:rsidRPr="002A7DCF">
        <w:t xml:space="preserve"> inconclusive</w:t>
      </w:r>
      <w:r>
        <w:t>. T</w:t>
      </w:r>
      <w:r w:rsidRPr="002A7DCF">
        <w:t xml:space="preserve">he type of behavioural interventions </w:t>
      </w:r>
      <w:r>
        <w:t>examined were different for each</w:t>
      </w:r>
      <w:r w:rsidRPr="002A7DCF">
        <w:t xml:space="preserve"> review. </w:t>
      </w:r>
    </w:p>
    <w:p w:rsidR="00B3406A" w:rsidRDefault="00B3406A" w:rsidP="00D25738">
      <w:pPr>
        <w:pStyle w:val="ListParagraph"/>
        <w:numPr>
          <w:ilvl w:val="0"/>
          <w:numId w:val="32"/>
        </w:numPr>
        <w:ind w:left="360"/>
        <w:jc w:val="both"/>
      </w:pPr>
      <w:r w:rsidRPr="005E3E2E">
        <w:t>The results of smoking cessation rates from three Cochrane Reviews (Lancaster 2017, Carson-</w:t>
      </w:r>
      <w:proofErr w:type="spellStart"/>
      <w:r w:rsidRPr="005E3E2E">
        <w:t>Chahhoud</w:t>
      </w:r>
      <w:proofErr w:type="spellEnd"/>
      <w:r w:rsidRPr="005E3E2E">
        <w:t xml:space="preserve"> 2019, </w:t>
      </w:r>
      <w:r w:rsidR="007918CA" w:rsidRPr="005E3E2E">
        <w:t xml:space="preserve">and </w:t>
      </w:r>
      <w:proofErr w:type="spellStart"/>
      <w:r w:rsidR="007918CA" w:rsidRPr="005E3E2E">
        <w:t>Matkin</w:t>
      </w:r>
      <w:proofErr w:type="spellEnd"/>
      <w:r w:rsidRPr="005E3E2E">
        <w:t xml:space="preserve"> 2019) were statistically significantly different, in favour of behavioural intervention when used in combination with pharmacotherapies. </w:t>
      </w:r>
      <w:r w:rsidRPr="00017CAF">
        <w:t xml:space="preserve">The behavioural interventions </w:t>
      </w:r>
      <w:r>
        <w:t xml:space="preserve">examined </w:t>
      </w:r>
      <w:r w:rsidRPr="00017CAF">
        <w:t>were proactive telephone counselling, more intensive face-to-face behavioural interventions delivered by community pharmacy personnel, and individual face-to-face counselling by a trained smoking cessation counsellor</w:t>
      </w:r>
      <w:r>
        <w:t xml:space="preserve">. </w:t>
      </w:r>
      <w:r w:rsidRPr="0074717F">
        <w:t>The primary evidence previously considered by the PBAC for bup</w:t>
      </w:r>
      <w:r>
        <w:t>ropion</w:t>
      </w:r>
      <w:r w:rsidRPr="0074717F">
        <w:t xml:space="preserve">, </w:t>
      </w:r>
      <w:proofErr w:type="spellStart"/>
      <w:r w:rsidRPr="0074717F">
        <w:t>var</w:t>
      </w:r>
      <w:r>
        <w:t>enicline</w:t>
      </w:r>
      <w:proofErr w:type="spellEnd"/>
      <w:r w:rsidRPr="0074717F">
        <w:t>, and NRT patches included the provision of individual counselling sessions in addition to pharmacotherapy</w:t>
      </w:r>
      <w:r>
        <w:t>.</w:t>
      </w:r>
    </w:p>
    <w:p w:rsidR="00B3406A" w:rsidRDefault="00B3406A" w:rsidP="00D25738">
      <w:pPr>
        <w:pStyle w:val="ListParagraph"/>
        <w:numPr>
          <w:ilvl w:val="0"/>
          <w:numId w:val="32"/>
        </w:numPr>
        <w:ind w:left="360"/>
        <w:jc w:val="both"/>
      </w:pPr>
      <w:r w:rsidRPr="005E3E2E">
        <w:t xml:space="preserve">In contrast, two of the Cochrane Reviews (Stead 2017, Livingstone-Banks 2019b) </w:t>
      </w:r>
      <w:r w:rsidRPr="00D85AB2">
        <w:t>that examined group therapy and print-based self-help materials respectively</w:t>
      </w:r>
      <w:r>
        <w:t xml:space="preserve"> </w:t>
      </w:r>
      <w:r w:rsidRPr="005E3E2E">
        <w:t xml:space="preserve">demonstrated no statistically significant difference in smoking cessation rates between the two treatment arms, noting that the results numerically favoured the behavioural intervention in combination with pharmacotherapy treatment arm. </w:t>
      </w:r>
    </w:p>
    <w:p w:rsidR="00B3406A" w:rsidRPr="003F01F5" w:rsidRDefault="00B3406A" w:rsidP="00D25738">
      <w:pPr>
        <w:pStyle w:val="ListParagraph"/>
        <w:numPr>
          <w:ilvl w:val="0"/>
          <w:numId w:val="32"/>
        </w:numPr>
        <w:ind w:left="360"/>
        <w:jc w:val="both"/>
      </w:pPr>
      <w:r w:rsidRPr="005E3E2E">
        <w:t xml:space="preserve">In Hartmann-Boyce et al. (2019), </w:t>
      </w:r>
      <w:r>
        <w:t xml:space="preserve">comparing more intensive with less intensive </w:t>
      </w:r>
      <w:r w:rsidR="005E2871">
        <w:t>behavioural</w:t>
      </w:r>
      <w:r>
        <w:t xml:space="preserve"> therapy,</w:t>
      </w:r>
      <w:r w:rsidRPr="005E3E2E">
        <w:t xml:space="preserve"> a statistically significant improvement in smoking cessation rates was observed in patients receiving more intensive behavioural intervention when used in combination with NRT or bupropion. There were no statistically significant differences in smoking cessation rates between the more intensive and the less intensive arms when used in combination with </w:t>
      </w:r>
      <w:proofErr w:type="spellStart"/>
      <w:r w:rsidRPr="005E3E2E">
        <w:t>varenicline</w:t>
      </w:r>
      <w:proofErr w:type="spellEnd"/>
      <w:r w:rsidRPr="005E3E2E">
        <w:t xml:space="preserve"> or NRT plus bupropion</w:t>
      </w:r>
      <w:r>
        <w:t>, which</w:t>
      </w:r>
      <w:r w:rsidRPr="00382159">
        <w:t xml:space="preserve"> was likely due to the smaller number of studies leading to lower precision rather than a true difference in effect</w:t>
      </w:r>
      <w:r w:rsidRPr="005E3E2E">
        <w:t>. The results of the overall estimated pooled risk ratio irrespective of the type of pharmacotherapy (PBS-listed and non-PBS listed) were statistically significantly different, in favour of the more intensive behavioural intervention.</w:t>
      </w:r>
    </w:p>
    <w:p w:rsidR="00B3406A" w:rsidRDefault="00E81CEC" w:rsidP="00815A6D">
      <w:pPr>
        <w:pStyle w:val="Heading3"/>
        <w:numPr>
          <w:ilvl w:val="1"/>
          <w:numId w:val="73"/>
        </w:numPr>
        <w:spacing w:before="240" w:after="200"/>
      </w:pPr>
      <w:bookmarkStart w:id="51" w:name="_Toc63082733"/>
      <w:r>
        <w:t xml:space="preserve"> </w:t>
      </w:r>
      <w:bookmarkStart w:id="52" w:name="_Toc72848463"/>
      <w:r w:rsidR="00B3406A">
        <w:t>Use in populations with specific needs</w:t>
      </w:r>
      <w:bookmarkEnd w:id="51"/>
      <w:bookmarkEnd w:id="52"/>
    </w:p>
    <w:p w:rsidR="00B3406A" w:rsidRPr="0067591A" w:rsidRDefault="00B3406A" w:rsidP="00D25738">
      <w:pPr>
        <w:jc w:val="both"/>
      </w:pPr>
      <w:r>
        <w:t>The evidence reviewed focused on populations in which the clinical guideline recommendations differed from the general population. Term of Reference 1 presents th</w:t>
      </w:r>
      <w:r w:rsidR="005E2871">
        <w:t>e review of clinical guidelines</w:t>
      </w:r>
      <w:r>
        <w:t xml:space="preserve"> and includes Aboriginal and Torres Strait Islander people and incarcerated persons amongst other </w:t>
      </w:r>
      <w:r w:rsidR="008B5A2D">
        <w:t>populations;</w:t>
      </w:r>
      <w:r>
        <w:t xml:space="preserve"> </w:t>
      </w:r>
      <w:r w:rsidR="008B5A2D">
        <w:t>however,</w:t>
      </w:r>
      <w:r>
        <w:t xml:space="preserve"> the guidelines did not recommend any differential use of smoking cessation therapies or indicate any differential effect of these therapies in any populations other than pregnancy and adolescents. This analysis excluded </w:t>
      </w:r>
      <w:r w:rsidRPr="004061C9">
        <w:t>prescribing contraindications</w:t>
      </w:r>
      <w:r>
        <w:t xml:space="preserve"> and </w:t>
      </w:r>
      <w:r w:rsidRPr="004773C9">
        <w:t>precautions,</w:t>
      </w:r>
      <w:r w:rsidRPr="004061C9">
        <w:t xml:space="preserve"> </w:t>
      </w:r>
      <w:r>
        <w:t>as they</w:t>
      </w:r>
      <w:r w:rsidRPr="004061C9">
        <w:t xml:space="preserve"> are not typically handled via a PBS restriction</w:t>
      </w:r>
      <w:r>
        <w:t>.</w:t>
      </w:r>
    </w:p>
    <w:p w:rsidR="00B3406A" w:rsidRPr="00893E06" w:rsidRDefault="00B3406A" w:rsidP="001E7257">
      <w:pPr>
        <w:rPr>
          <w:rFonts w:eastAsiaTheme="minorEastAsia"/>
          <w:b/>
          <w:i/>
          <w:szCs w:val="24"/>
        </w:rPr>
      </w:pPr>
      <w:r w:rsidRPr="00893E06">
        <w:rPr>
          <w:rFonts w:eastAsiaTheme="minorEastAsia"/>
          <w:b/>
          <w:i/>
          <w:sz w:val="28"/>
          <w:szCs w:val="28"/>
        </w:rPr>
        <w:t xml:space="preserve">Examine the evidence of efficacy and safety of smoking cessation medicines </w:t>
      </w:r>
      <w:r>
        <w:rPr>
          <w:rFonts w:eastAsiaTheme="minorEastAsia"/>
          <w:b/>
          <w:i/>
          <w:sz w:val="28"/>
          <w:szCs w:val="28"/>
        </w:rPr>
        <w:t xml:space="preserve">during pregnancy and </w:t>
      </w:r>
      <w:r w:rsidRPr="00893E06">
        <w:rPr>
          <w:rFonts w:eastAsiaTheme="minorEastAsia"/>
          <w:b/>
          <w:i/>
          <w:sz w:val="28"/>
          <w:szCs w:val="28"/>
        </w:rPr>
        <w:t xml:space="preserve">for </w:t>
      </w:r>
      <w:r>
        <w:rPr>
          <w:rFonts w:eastAsiaTheme="minorEastAsia"/>
          <w:b/>
          <w:i/>
          <w:sz w:val="28"/>
          <w:szCs w:val="28"/>
        </w:rPr>
        <w:t>adolescents.</w:t>
      </w:r>
    </w:p>
    <w:p w:rsidR="00B3406A" w:rsidRPr="00E81CEC" w:rsidRDefault="00B3406A" w:rsidP="002F3376">
      <w:pPr>
        <w:pStyle w:val="Heading6"/>
        <w:numPr>
          <w:ilvl w:val="2"/>
          <w:numId w:val="73"/>
        </w:numPr>
        <w:spacing w:after="240"/>
        <w:rPr>
          <w:rFonts w:asciiTheme="minorHAnsi" w:hAnsiTheme="minorHAnsi" w:cstheme="minorHAnsi"/>
          <w:b/>
          <w:i w:val="0"/>
          <w:color w:val="auto"/>
        </w:rPr>
      </w:pPr>
      <w:r w:rsidRPr="00E81CEC">
        <w:rPr>
          <w:rFonts w:asciiTheme="minorHAnsi" w:hAnsiTheme="minorHAnsi" w:cstheme="minorHAnsi"/>
          <w:b/>
          <w:i w:val="0"/>
          <w:color w:val="auto"/>
        </w:rPr>
        <w:t>Pregnancy and lactation</w:t>
      </w:r>
    </w:p>
    <w:p w:rsidR="00B3406A" w:rsidRDefault="00B3406A" w:rsidP="00D25738">
      <w:pPr>
        <w:pStyle w:val="ListParagraph"/>
        <w:numPr>
          <w:ilvl w:val="0"/>
          <w:numId w:val="33"/>
        </w:numPr>
        <w:ind w:left="360"/>
        <w:jc w:val="both"/>
      </w:pPr>
      <w:r w:rsidRPr="005E3E2E">
        <w:t xml:space="preserve">NRT was shown </w:t>
      </w:r>
      <w:r>
        <w:t>to be superior to</w:t>
      </w:r>
      <w:r w:rsidRPr="005E3E2E">
        <w:t xml:space="preserve"> placebo/control</w:t>
      </w:r>
      <w:r>
        <w:t xml:space="preserve"> in terms of efficacy based on </w:t>
      </w:r>
      <w:r w:rsidRPr="007C0434">
        <w:t>self-reported abstinence from smoking at the latest time point in pregnancy</w:t>
      </w:r>
      <w:r>
        <w:t xml:space="preserve"> (biochemically validated where available)</w:t>
      </w:r>
      <w:r w:rsidRPr="005E3E2E">
        <w:t>, noting the results were statistically significant in the long-acting NRT subgroup but not the fast-acting NRT subgroup. In terms of safety, there were no statistically significant differences in rates of preterm births, neonatal intensive care unit admissions, neonatal deaths, congenital abnormalities, caesarean birth, mean birthweight and risk of miscarriage/spontaneous abortion between the two treatment arms.</w:t>
      </w:r>
    </w:p>
    <w:p w:rsidR="00E81CEC" w:rsidRDefault="00B3406A" w:rsidP="00D25738">
      <w:pPr>
        <w:pStyle w:val="ListParagraph"/>
        <w:numPr>
          <w:ilvl w:val="0"/>
          <w:numId w:val="33"/>
        </w:numPr>
        <w:ind w:left="360"/>
        <w:jc w:val="both"/>
      </w:pPr>
      <w:r>
        <w:t>There were no statistically significant differences between b</w:t>
      </w:r>
      <w:r w:rsidRPr="005E3E2E">
        <w:t xml:space="preserve">upropion </w:t>
      </w:r>
      <w:r>
        <w:t>and placebo in terms of efficacy</w:t>
      </w:r>
      <w:r w:rsidRPr="00161E40">
        <w:t xml:space="preserve"> </w:t>
      </w:r>
      <w:r>
        <w:t xml:space="preserve">based on </w:t>
      </w:r>
      <w:r w:rsidRPr="00161E40">
        <w:t>self-reported abstinence from smoking at the latest time point in pregnancy (biochemically validated where available)</w:t>
      </w:r>
      <w:r w:rsidRPr="005E3E2E">
        <w:t>, noting the relatively small sample size</w:t>
      </w:r>
      <w:r>
        <w:t xml:space="preserve"> of the individual studies</w:t>
      </w:r>
      <w:r w:rsidRPr="005E3E2E">
        <w:t>. It was noted that women across all studies reported known adverse effects of bupropion (i.e. vomiting, headache, difficulty sleeping).</w:t>
      </w:r>
    </w:p>
    <w:p w:rsidR="00B3406A" w:rsidRDefault="00B3406A" w:rsidP="00E81CEC">
      <w:pPr>
        <w:spacing w:line="276" w:lineRule="auto"/>
      </w:pPr>
    </w:p>
    <w:p w:rsidR="00E81CEC" w:rsidRDefault="00E81CEC" w:rsidP="00E81CEC">
      <w:pPr>
        <w:spacing w:line="276" w:lineRule="auto"/>
      </w:pPr>
    </w:p>
    <w:p w:rsidR="00E81CEC" w:rsidRDefault="00E81CEC" w:rsidP="00E81CEC">
      <w:pPr>
        <w:spacing w:line="276" w:lineRule="auto"/>
      </w:pPr>
    </w:p>
    <w:tbl>
      <w:tblPr>
        <w:tblStyle w:val="TableGrid3"/>
        <w:tblW w:w="5000" w:type="pct"/>
        <w:shd w:val="clear" w:color="auto" w:fill="F2F2F2" w:themeFill="background1" w:themeFillShade="F2"/>
        <w:tblLook w:val="04A0" w:firstRow="1" w:lastRow="0" w:firstColumn="1" w:lastColumn="0" w:noHBand="0" w:noVBand="1"/>
      </w:tblPr>
      <w:tblGrid>
        <w:gridCol w:w="1526"/>
        <w:gridCol w:w="1978"/>
        <w:gridCol w:w="5512"/>
      </w:tblGrid>
      <w:tr w:rsidR="00B3406A" w:rsidRPr="00916516" w:rsidTr="00A82090">
        <w:trPr>
          <w:trHeight w:val="67"/>
        </w:trPr>
        <w:tc>
          <w:tcPr>
            <w:tcW w:w="846" w:type="pct"/>
            <w:shd w:val="clear" w:color="auto" w:fill="F2F2F2" w:themeFill="background1" w:themeFillShade="F2"/>
            <w:hideMark/>
          </w:tcPr>
          <w:p w:rsidR="00B3406A" w:rsidRPr="00916516" w:rsidRDefault="00B3406A" w:rsidP="001E7257">
            <w:pPr>
              <w:rPr>
                <w:szCs w:val="18"/>
              </w:rPr>
            </w:pPr>
            <w:r w:rsidRPr="00916516">
              <w:rPr>
                <w:b/>
                <w:bCs/>
                <w:szCs w:val="18"/>
              </w:rPr>
              <w:t>Compar</w:t>
            </w:r>
            <w:r>
              <w:rPr>
                <w:b/>
                <w:bCs/>
                <w:szCs w:val="18"/>
              </w:rPr>
              <w:t>ison</w:t>
            </w:r>
          </w:p>
        </w:tc>
        <w:tc>
          <w:tcPr>
            <w:tcW w:w="1097" w:type="pct"/>
            <w:shd w:val="clear" w:color="auto" w:fill="F2F2F2" w:themeFill="background1" w:themeFillShade="F2"/>
            <w:hideMark/>
          </w:tcPr>
          <w:p w:rsidR="00B3406A" w:rsidRPr="00916516" w:rsidRDefault="00B3406A" w:rsidP="001E7257">
            <w:pPr>
              <w:jc w:val="center"/>
              <w:rPr>
                <w:szCs w:val="18"/>
              </w:rPr>
            </w:pPr>
            <w:r>
              <w:rPr>
                <w:b/>
                <w:bCs/>
                <w:szCs w:val="18"/>
              </w:rPr>
              <w:t>Included studies</w:t>
            </w:r>
          </w:p>
        </w:tc>
        <w:tc>
          <w:tcPr>
            <w:tcW w:w="3056" w:type="pct"/>
            <w:shd w:val="clear" w:color="auto" w:fill="F2F2F2" w:themeFill="background1" w:themeFillShade="F2"/>
            <w:hideMark/>
          </w:tcPr>
          <w:p w:rsidR="00B3406A" w:rsidRPr="00916516" w:rsidRDefault="00B3406A" w:rsidP="001E7257">
            <w:pPr>
              <w:jc w:val="center"/>
              <w:rPr>
                <w:szCs w:val="18"/>
              </w:rPr>
            </w:pPr>
            <w:r>
              <w:rPr>
                <w:b/>
                <w:bCs/>
                <w:szCs w:val="18"/>
              </w:rPr>
              <w:t>Summary of evidence</w:t>
            </w:r>
          </w:p>
        </w:tc>
      </w:tr>
      <w:tr w:rsidR="00B3406A" w:rsidRPr="009068BC" w:rsidTr="00A82090">
        <w:trPr>
          <w:trHeight w:val="345"/>
        </w:trPr>
        <w:tc>
          <w:tcPr>
            <w:tcW w:w="846" w:type="pct"/>
            <w:shd w:val="clear" w:color="auto" w:fill="F2F2F2" w:themeFill="background1" w:themeFillShade="F2"/>
            <w:hideMark/>
          </w:tcPr>
          <w:p w:rsidR="00B3406A" w:rsidRPr="00237D04" w:rsidRDefault="00B3406A" w:rsidP="001E7257">
            <w:pPr>
              <w:tabs>
                <w:tab w:val="left" w:pos="1198"/>
              </w:tabs>
              <w:rPr>
                <w:szCs w:val="18"/>
              </w:rPr>
            </w:pPr>
            <w:r>
              <w:rPr>
                <w:szCs w:val="18"/>
              </w:rPr>
              <w:t>NRT vs placebo/control</w:t>
            </w:r>
          </w:p>
        </w:tc>
        <w:tc>
          <w:tcPr>
            <w:tcW w:w="1097" w:type="pct"/>
            <w:shd w:val="clear" w:color="auto" w:fill="F2F2F2" w:themeFill="background1" w:themeFillShade="F2"/>
            <w:hideMark/>
          </w:tcPr>
          <w:p w:rsidR="00B3406A" w:rsidRPr="00A5409B" w:rsidRDefault="00B3406A" w:rsidP="00815A6D">
            <w:pPr>
              <w:pStyle w:val="ListParagraph"/>
              <w:numPr>
                <w:ilvl w:val="0"/>
                <w:numId w:val="43"/>
              </w:numPr>
              <w:rPr>
                <w:szCs w:val="18"/>
              </w:rPr>
            </w:pPr>
            <w:r w:rsidRPr="00A5409B">
              <w:rPr>
                <w:szCs w:val="18"/>
              </w:rPr>
              <w:t>Claire (2020</w:t>
            </w:r>
            <w:r>
              <w:rPr>
                <w:szCs w:val="18"/>
              </w:rPr>
              <w:t>)</w:t>
            </w:r>
            <w:r>
              <w:rPr>
                <w:szCs w:val="18"/>
                <w:vertAlign w:val="superscript"/>
              </w:rPr>
              <w:t>1</w:t>
            </w:r>
          </w:p>
        </w:tc>
        <w:tc>
          <w:tcPr>
            <w:tcW w:w="3056" w:type="pct"/>
            <w:shd w:val="clear" w:color="auto" w:fill="F2F2F2" w:themeFill="background1" w:themeFillShade="F2"/>
            <w:hideMark/>
          </w:tcPr>
          <w:p w:rsidR="00B3406A" w:rsidRPr="00655AEE"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655AEE">
              <w:rPr>
                <w:szCs w:val="18"/>
              </w:rPr>
              <w:t>Statistically significant</w:t>
            </w:r>
            <w:r>
              <w:rPr>
                <w:szCs w:val="18"/>
                <w:vertAlign w:val="superscript"/>
              </w:rPr>
              <w:t>2</w:t>
            </w:r>
            <w:proofErr w:type="gramStart"/>
            <w:r w:rsidRPr="00655AEE">
              <w:rPr>
                <w:szCs w:val="18"/>
                <w:vertAlign w:val="superscript"/>
              </w:rPr>
              <w:t>,</w:t>
            </w:r>
            <w:r>
              <w:rPr>
                <w:szCs w:val="18"/>
                <w:vertAlign w:val="superscript"/>
              </w:rPr>
              <w:t>3</w:t>
            </w:r>
            <w:proofErr w:type="gramEnd"/>
            <w:r>
              <w:rPr>
                <w:szCs w:val="18"/>
                <w:vertAlign w:val="superscript"/>
              </w:rPr>
              <w:t xml:space="preserve"> </w:t>
            </w:r>
            <w:r>
              <w:rPr>
                <w:szCs w:val="18"/>
              </w:rPr>
              <w:t xml:space="preserve"> based on RR </w:t>
            </w:r>
            <w:r w:rsidRPr="00655AEE">
              <w:rPr>
                <w:szCs w:val="18"/>
              </w:rPr>
              <w:t>(in favour of NRT)</w:t>
            </w:r>
            <w:r>
              <w:rPr>
                <w:szCs w:val="18"/>
              </w:rPr>
              <w:t>.</w:t>
            </w:r>
          </w:p>
          <w:p w:rsidR="00B3406A" w:rsidRPr="00655AEE"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655AEE">
              <w:rPr>
                <w:szCs w:val="18"/>
              </w:rPr>
              <w:t>Not statistically significant</w:t>
            </w:r>
            <w:r>
              <w:rPr>
                <w:szCs w:val="18"/>
              </w:rPr>
              <w:t xml:space="preserve"> based on RR </w:t>
            </w:r>
            <w:r w:rsidRPr="00655AEE">
              <w:rPr>
                <w:szCs w:val="18"/>
              </w:rPr>
              <w:t>(</w:t>
            </w:r>
            <w:r w:rsidRPr="00655AEE">
              <w:rPr>
                <w:szCs w:val="18"/>
                <w:lang w:val="en-US"/>
              </w:rPr>
              <w:t>preterm births, neonatal intensive care unit admissions, neonatal deaths, congenital abnormalities, caesarean birth, mean birthweight, risk of miscarriage/spontaneous abortion</w:t>
            </w:r>
            <w:r w:rsidRPr="00655AEE">
              <w:rPr>
                <w:szCs w:val="18"/>
              </w:rPr>
              <w:t>).</w:t>
            </w:r>
          </w:p>
        </w:tc>
      </w:tr>
      <w:tr w:rsidR="00B3406A" w:rsidRPr="009068BC" w:rsidTr="00A82090">
        <w:trPr>
          <w:trHeight w:val="345"/>
        </w:trPr>
        <w:tc>
          <w:tcPr>
            <w:tcW w:w="846" w:type="pct"/>
            <w:shd w:val="clear" w:color="auto" w:fill="F2F2F2" w:themeFill="background1" w:themeFillShade="F2"/>
          </w:tcPr>
          <w:p w:rsidR="00B3406A" w:rsidRPr="00237D04" w:rsidRDefault="00B3406A" w:rsidP="001E7257">
            <w:pPr>
              <w:tabs>
                <w:tab w:val="left" w:pos="1198"/>
              </w:tabs>
              <w:rPr>
                <w:szCs w:val="18"/>
              </w:rPr>
            </w:pPr>
            <w:r>
              <w:rPr>
                <w:szCs w:val="18"/>
              </w:rPr>
              <w:t>Bupropion vs placebo</w:t>
            </w:r>
          </w:p>
        </w:tc>
        <w:tc>
          <w:tcPr>
            <w:tcW w:w="1097" w:type="pct"/>
            <w:shd w:val="clear" w:color="auto" w:fill="F2F2F2" w:themeFill="background1" w:themeFillShade="F2"/>
          </w:tcPr>
          <w:p w:rsidR="00B3406A" w:rsidRPr="004110FF" w:rsidRDefault="00B3406A" w:rsidP="00815A6D">
            <w:pPr>
              <w:pStyle w:val="ListParagraph"/>
              <w:numPr>
                <w:ilvl w:val="0"/>
                <w:numId w:val="43"/>
              </w:numPr>
            </w:pPr>
            <w:r w:rsidRPr="00A5409B">
              <w:rPr>
                <w:szCs w:val="18"/>
              </w:rPr>
              <w:t>Claire (2020</w:t>
            </w:r>
            <w:r>
              <w:rPr>
                <w:szCs w:val="18"/>
              </w:rPr>
              <w:t>)</w:t>
            </w:r>
            <w:r>
              <w:rPr>
                <w:szCs w:val="18"/>
                <w:vertAlign w:val="superscript"/>
              </w:rPr>
              <w:t>1</w:t>
            </w:r>
          </w:p>
        </w:tc>
        <w:tc>
          <w:tcPr>
            <w:tcW w:w="3056" w:type="pct"/>
            <w:shd w:val="clear" w:color="auto" w:fill="F2F2F2" w:themeFill="background1" w:themeFillShade="F2"/>
          </w:tcPr>
          <w:p w:rsidR="00B3406A" w:rsidRPr="00655AEE"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655AEE">
              <w:rPr>
                <w:szCs w:val="18"/>
              </w:rPr>
              <w:t>Not statistically significant</w:t>
            </w:r>
            <w:r>
              <w:rPr>
                <w:szCs w:val="18"/>
                <w:vertAlign w:val="superscript"/>
              </w:rPr>
              <w:t>3</w:t>
            </w:r>
            <w:r>
              <w:rPr>
                <w:szCs w:val="18"/>
              </w:rPr>
              <w:t xml:space="preserve"> based on RR.</w:t>
            </w:r>
          </w:p>
          <w:p w:rsidR="00B3406A" w:rsidRPr="00655AEE" w:rsidRDefault="00B3406A" w:rsidP="00815A6D">
            <w:pPr>
              <w:pStyle w:val="ListParagraph"/>
              <w:numPr>
                <w:ilvl w:val="0"/>
                <w:numId w:val="43"/>
              </w:numPr>
              <w:rPr>
                <w:szCs w:val="18"/>
              </w:rPr>
            </w:pPr>
            <w:r w:rsidRPr="00360862">
              <w:rPr>
                <w:szCs w:val="18"/>
                <w:u w:val="single"/>
              </w:rPr>
              <w:t>Safety:</w:t>
            </w:r>
            <w:r>
              <w:rPr>
                <w:szCs w:val="18"/>
                <w:u w:val="single"/>
              </w:rPr>
              <w:t xml:space="preserve"> </w:t>
            </w:r>
            <w:r w:rsidRPr="00655AEE">
              <w:rPr>
                <w:szCs w:val="18"/>
              </w:rPr>
              <w:t>Not statistically significant</w:t>
            </w:r>
            <w:r>
              <w:rPr>
                <w:szCs w:val="18"/>
              </w:rPr>
              <w:t xml:space="preserve"> </w:t>
            </w:r>
            <w:r w:rsidRPr="00655AEE">
              <w:rPr>
                <w:szCs w:val="18"/>
              </w:rPr>
              <w:t>(</w:t>
            </w:r>
            <w:r w:rsidRPr="00655AEE">
              <w:rPr>
                <w:szCs w:val="18"/>
                <w:lang w:val="en-US"/>
              </w:rPr>
              <w:t>mean birthweight, mean length of infants and systolic of diastolic blood pressure at the end of pregnancy</w:t>
            </w:r>
            <w:proofErr w:type="gramStart"/>
            <w:r w:rsidRPr="00655AEE">
              <w:rPr>
                <w:szCs w:val="18"/>
              </w:rPr>
              <w:t>)</w:t>
            </w:r>
            <w:r>
              <w:rPr>
                <w:szCs w:val="18"/>
                <w:vertAlign w:val="superscript"/>
              </w:rPr>
              <w:t>4</w:t>
            </w:r>
            <w:proofErr w:type="gramEnd"/>
            <w:r w:rsidRPr="00655AEE">
              <w:rPr>
                <w:szCs w:val="18"/>
              </w:rPr>
              <w:t>.</w:t>
            </w:r>
          </w:p>
        </w:tc>
      </w:tr>
    </w:tbl>
    <w:p w:rsidR="00B3406A" w:rsidRDefault="00B3406A" w:rsidP="001E7257">
      <w:pPr>
        <w:pStyle w:val="TableFooter"/>
        <w:keepNext/>
      </w:pPr>
      <w:r>
        <w:t>Abbreviations: NRT = nicotine replacement therapy; RR = risk ratio.</w:t>
      </w:r>
    </w:p>
    <w:p w:rsidR="00B3406A" w:rsidRDefault="00B3406A" w:rsidP="001E7257">
      <w:pPr>
        <w:pStyle w:val="TableFooter"/>
        <w:keepNext/>
      </w:pPr>
      <w:r w:rsidRPr="00BE36E8">
        <w:t xml:space="preserve">Notes: </w:t>
      </w:r>
    </w:p>
    <w:p w:rsidR="00B3406A" w:rsidRDefault="00B3406A" w:rsidP="001E7257">
      <w:pPr>
        <w:pStyle w:val="TableFooter"/>
        <w:keepNext/>
      </w:pPr>
      <w:r>
        <w:t xml:space="preserve">1 </w:t>
      </w:r>
      <w:r w:rsidRPr="00BE36E8">
        <w:t>Cochrane Review</w:t>
      </w:r>
      <w:r>
        <w:t>.</w:t>
      </w:r>
    </w:p>
    <w:p w:rsidR="00B3406A" w:rsidRPr="00655AEE" w:rsidRDefault="00B3406A" w:rsidP="001E7257">
      <w:pPr>
        <w:pStyle w:val="TableFooter"/>
        <w:keepNext/>
      </w:pPr>
      <w:r>
        <w:t xml:space="preserve">2 </w:t>
      </w:r>
      <w:r w:rsidRPr="00655AEE">
        <w:t>Statistically significant in overall pooled analysis (RR = 1.37, 95%CI: 1.08, 1.74). Statistically significant in the long-acting NRT subgroup (RR = 1.53, 95%CI: 1.16, 2.01) but not the fast-acting NRT subgroup (RR = 0.91, 95%CI: 0.55, 1.51).</w:t>
      </w:r>
    </w:p>
    <w:p w:rsidR="00B3406A" w:rsidRPr="000E4C3B" w:rsidRDefault="00B3406A" w:rsidP="001E7257">
      <w:pPr>
        <w:pStyle w:val="TableFooter"/>
        <w:keepNext/>
      </w:pPr>
      <w:r>
        <w:t xml:space="preserve">3 </w:t>
      </w:r>
      <w:r w:rsidRPr="00655AEE">
        <w:t>Based on self-reported abstinence from smoking at the latest time point in pregnancy (biochemically validated where available).</w:t>
      </w:r>
    </w:p>
    <w:p w:rsidR="00B3406A" w:rsidRPr="000E4C3B" w:rsidRDefault="00B3406A" w:rsidP="00815A6D">
      <w:pPr>
        <w:pStyle w:val="TableFooter"/>
        <w:keepNext/>
        <w:numPr>
          <w:ilvl w:val="0"/>
          <w:numId w:val="73"/>
        </w:numPr>
      </w:pPr>
      <w:r>
        <w:t>Qualitative synthesis.</w:t>
      </w:r>
    </w:p>
    <w:p w:rsidR="00B3406A" w:rsidRPr="00E81CEC" w:rsidRDefault="00E81CEC" w:rsidP="002F3376">
      <w:pPr>
        <w:pStyle w:val="Heading6"/>
        <w:numPr>
          <w:ilvl w:val="0"/>
          <w:numId w:val="0"/>
        </w:numPr>
        <w:spacing w:after="240"/>
        <w:ind w:left="1152" w:hanging="1152"/>
        <w:rPr>
          <w:rFonts w:asciiTheme="minorHAnsi" w:hAnsiTheme="minorHAnsi" w:cstheme="minorHAnsi"/>
          <w:b/>
          <w:i w:val="0"/>
          <w:color w:val="auto"/>
        </w:rPr>
      </w:pPr>
      <w:r w:rsidRPr="00E81CEC">
        <w:rPr>
          <w:rFonts w:asciiTheme="minorHAnsi" w:hAnsiTheme="minorHAnsi" w:cstheme="minorHAnsi"/>
          <w:b/>
          <w:i w:val="0"/>
          <w:color w:val="auto"/>
        </w:rPr>
        <w:t xml:space="preserve">3.5.2 </w:t>
      </w:r>
      <w:r w:rsidR="00B3406A" w:rsidRPr="00E81CEC">
        <w:rPr>
          <w:rFonts w:asciiTheme="minorHAnsi" w:hAnsiTheme="minorHAnsi" w:cstheme="minorHAnsi"/>
          <w:b/>
          <w:i w:val="0"/>
          <w:color w:val="auto"/>
        </w:rPr>
        <w:t>Adolescents</w:t>
      </w:r>
    </w:p>
    <w:p w:rsidR="00B3406A" w:rsidRDefault="00B3406A" w:rsidP="00D25738">
      <w:pPr>
        <w:pStyle w:val="ListParagraph"/>
        <w:numPr>
          <w:ilvl w:val="0"/>
          <w:numId w:val="34"/>
        </w:numPr>
        <w:ind w:left="360"/>
        <w:jc w:val="both"/>
      </w:pPr>
      <w:r>
        <w:t>S</w:t>
      </w:r>
      <w:r w:rsidRPr="00996101">
        <w:t xml:space="preserve">tudies which assessed the use of pharmacotherapy for smoking cessation in adolescents </w:t>
      </w:r>
      <w:r>
        <w:t>may be</w:t>
      </w:r>
      <w:r w:rsidRPr="00996101">
        <w:t xml:space="preserve"> underpowered given the small number of individuals in both the intervention </w:t>
      </w:r>
      <w:r w:rsidR="005E2871">
        <w:t>and</w:t>
      </w:r>
      <w:r w:rsidRPr="00996101">
        <w:t xml:space="preserve"> control groups who achieved smoking cessation at any point during follow-up. As such, the results from these studies should be interpreted with caution.</w:t>
      </w:r>
    </w:p>
    <w:p w:rsidR="00B3406A" w:rsidRDefault="00B3406A" w:rsidP="00D25738">
      <w:pPr>
        <w:pStyle w:val="ListParagraph"/>
        <w:numPr>
          <w:ilvl w:val="0"/>
          <w:numId w:val="34"/>
        </w:numPr>
        <w:ind w:left="360"/>
        <w:jc w:val="both"/>
      </w:pPr>
      <w:r>
        <w:t xml:space="preserve">There were no statistically significant differences between </w:t>
      </w:r>
      <w:r w:rsidRPr="0054787D">
        <w:t xml:space="preserve">NRT </w:t>
      </w:r>
      <w:r>
        <w:t>(either as patch, gum or nasal spray)</w:t>
      </w:r>
      <w:r w:rsidRPr="0054787D">
        <w:t xml:space="preserve"> </w:t>
      </w:r>
      <w:r>
        <w:t>and</w:t>
      </w:r>
      <w:r w:rsidRPr="0054787D">
        <w:t xml:space="preserve"> placebo in terms of ef</w:t>
      </w:r>
      <w:r>
        <w:t>f</w:t>
      </w:r>
      <w:r w:rsidRPr="0054787D">
        <w:t>icacy</w:t>
      </w:r>
      <w:r>
        <w:t xml:space="preserve"> based on smoking cessation rates (short-term and long-term)</w:t>
      </w:r>
      <w:r w:rsidRPr="0054787D">
        <w:t xml:space="preserve">. </w:t>
      </w:r>
      <w:r>
        <w:t>For</w:t>
      </w:r>
      <w:r w:rsidRPr="0054787D">
        <w:t xml:space="preserve"> safety, the studies reported a</w:t>
      </w:r>
      <w:r>
        <w:t xml:space="preserve"> significa</w:t>
      </w:r>
      <w:r w:rsidRPr="0054787D">
        <w:t>n</w:t>
      </w:r>
      <w:r>
        <w:t>tly</w:t>
      </w:r>
      <w:r w:rsidRPr="0054787D">
        <w:t xml:space="preserve"> </w:t>
      </w:r>
      <w:r>
        <w:t xml:space="preserve">higher </w:t>
      </w:r>
      <w:r w:rsidRPr="0054787D">
        <w:t>inc</w:t>
      </w:r>
      <w:r>
        <w:t>idence</w:t>
      </w:r>
      <w:r w:rsidRPr="0054787D">
        <w:t xml:space="preserve"> </w:t>
      </w:r>
      <w:r>
        <w:t>of</w:t>
      </w:r>
      <w:r w:rsidRPr="0054787D">
        <w:t xml:space="preserve"> adverse events in the NRT arm compared to placebo arm, specifically sore throat, hiccups, erythema, </w:t>
      </w:r>
      <w:r w:rsidR="007918CA" w:rsidRPr="0054787D">
        <w:t>pruritus</w:t>
      </w:r>
      <w:r>
        <w:t>,</w:t>
      </w:r>
      <w:r w:rsidRPr="0054787D">
        <w:t xml:space="preserve"> </w:t>
      </w:r>
      <w:r w:rsidRPr="008B7D58">
        <w:t xml:space="preserve">shoulder/arm pain, headache, cough, abnormal dreams </w:t>
      </w:r>
      <w:r w:rsidRPr="0054787D">
        <w:t>and muscle pain.</w:t>
      </w:r>
    </w:p>
    <w:p w:rsidR="00B3406A" w:rsidRDefault="00B3406A" w:rsidP="00D25738">
      <w:pPr>
        <w:pStyle w:val="ListParagraph"/>
        <w:numPr>
          <w:ilvl w:val="0"/>
          <w:numId w:val="34"/>
        </w:numPr>
        <w:ind w:left="360"/>
        <w:jc w:val="both"/>
      </w:pPr>
      <w:r>
        <w:t>There were no statistically significant differences between b</w:t>
      </w:r>
      <w:r w:rsidRPr="0054787D">
        <w:t xml:space="preserve">upropion </w:t>
      </w:r>
      <w:r>
        <w:t>and</w:t>
      </w:r>
      <w:r w:rsidRPr="0054787D">
        <w:t xml:space="preserve"> placebo in terms of </w:t>
      </w:r>
      <w:r>
        <w:t xml:space="preserve">long-term </w:t>
      </w:r>
      <w:r w:rsidRPr="0054787D">
        <w:t>efficacy</w:t>
      </w:r>
      <w:r w:rsidRPr="00414FAB">
        <w:t xml:space="preserve"> based on the one study</w:t>
      </w:r>
      <w:r>
        <w:t xml:space="preserve"> </w:t>
      </w:r>
      <w:r w:rsidRPr="00414FAB">
        <w:t xml:space="preserve">identified by </w:t>
      </w:r>
      <w:proofErr w:type="spellStart"/>
      <w:r w:rsidRPr="00414FAB">
        <w:t>Fanshawe</w:t>
      </w:r>
      <w:proofErr w:type="spellEnd"/>
      <w:r w:rsidRPr="00414FAB">
        <w:t xml:space="preserve"> et al. (2017). However, bupropion was shown to significantly improve smoking cessation rates compared with placebo based on the meta-analysis conducted by </w:t>
      </w:r>
      <w:proofErr w:type="spellStart"/>
      <w:r w:rsidRPr="00414FAB">
        <w:t>Myung</w:t>
      </w:r>
      <w:proofErr w:type="spellEnd"/>
      <w:r w:rsidRPr="00414FAB">
        <w:t xml:space="preserve"> et al. (2019), noting that the two additional studies included in the meta-analysis measured smoking cessation outcomes at </w:t>
      </w:r>
      <w:r>
        <w:t>three</w:t>
      </w:r>
      <w:r w:rsidRPr="00414FAB">
        <w:t xml:space="preserve"> months, had a relatively small sample size and wide confidence intervals</w:t>
      </w:r>
      <w:r>
        <w:t xml:space="preserve">. </w:t>
      </w:r>
      <w:r w:rsidRPr="0054787D">
        <w:t>For safety, the</w:t>
      </w:r>
      <w:r>
        <w:t>re were no significant differences between</w:t>
      </w:r>
      <w:r w:rsidRPr="0054787D">
        <w:t xml:space="preserve"> bupropion </w:t>
      </w:r>
      <w:r>
        <w:t>and placebo (i.e. headache, irritability, insomnia),</w:t>
      </w:r>
      <w:r w:rsidRPr="0054787D">
        <w:t xml:space="preserve"> </w:t>
      </w:r>
      <w:r>
        <w:t xml:space="preserve">except for </w:t>
      </w:r>
      <w:r w:rsidRPr="0054787D">
        <w:t>dream disturbances</w:t>
      </w:r>
      <w:r>
        <w:t xml:space="preserve"> which was significantly higher in the bupropion arm</w:t>
      </w:r>
      <w:r w:rsidRPr="0054787D">
        <w:t>.</w:t>
      </w:r>
    </w:p>
    <w:p w:rsidR="00E81CEC" w:rsidRDefault="00B3406A" w:rsidP="00D25738">
      <w:pPr>
        <w:pStyle w:val="ListParagraph"/>
        <w:numPr>
          <w:ilvl w:val="0"/>
          <w:numId w:val="34"/>
        </w:numPr>
        <w:ind w:left="360"/>
        <w:jc w:val="both"/>
      </w:pPr>
      <w:r>
        <w:t>There were no statistically significant differences between b</w:t>
      </w:r>
      <w:r w:rsidRPr="00996101">
        <w:t xml:space="preserve">upropion plus NRT patch </w:t>
      </w:r>
      <w:r>
        <w:t>and</w:t>
      </w:r>
      <w:r w:rsidRPr="00996101">
        <w:t xml:space="preserve"> placebo plus NRT patch in terms of efficacy</w:t>
      </w:r>
      <w:r>
        <w:t xml:space="preserve"> based on long-term smoking cessation rates</w:t>
      </w:r>
      <w:r w:rsidRPr="00996101">
        <w:t>. For safety, none of the 47 self-reported adverse events in the study (nausea being the most common) were classified as severe</w:t>
      </w:r>
      <w:r>
        <w:t>; no statistical comparison was conducted by the authors of the study</w:t>
      </w:r>
      <w:r w:rsidRPr="00996101">
        <w:t>.</w:t>
      </w:r>
    </w:p>
    <w:p w:rsidR="00B3406A" w:rsidRDefault="00E81CEC" w:rsidP="00E81CEC">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616"/>
        <w:gridCol w:w="2068"/>
        <w:gridCol w:w="5332"/>
      </w:tblGrid>
      <w:tr w:rsidR="00B3406A" w:rsidRPr="00916516" w:rsidTr="00A82090">
        <w:trPr>
          <w:trHeight w:val="67"/>
        </w:trPr>
        <w:tc>
          <w:tcPr>
            <w:tcW w:w="896" w:type="pct"/>
            <w:shd w:val="clear" w:color="auto" w:fill="F2F2F2" w:themeFill="background1" w:themeFillShade="F2"/>
            <w:hideMark/>
          </w:tcPr>
          <w:p w:rsidR="00B3406A" w:rsidRPr="00916516" w:rsidRDefault="00B3406A" w:rsidP="00A82090">
            <w:pPr>
              <w:shd w:val="clear" w:color="auto" w:fill="F2F2F2" w:themeFill="background1" w:themeFillShade="F2"/>
              <w:rPr>
                <w:szCs w:val="18"/>
              </w:rPr>
            </w:pPr>
            <w:r w:rsidRPr="00916516">
              <w:rPr>
                <w:b/>
                <w:bCs/>
                <w:szCs w:val="18"/>
              </w:rPr>
              <w:t>Compar</w:t>
            </w:r>
            <w:r>
              <w:rPr>
                <w:b/>
                <w:bCs/>
                <w:szCs w:val="18"/>
              </w:rPr>
              <w:t>ison</w:t>
            </w:r>
          </w:p>
        </w:tc>
        <w:tc>
          <w:tcPr>
            <w:tcW w:w="1147" w:type="pct"/>
            <w:shd w:val="clear" w:color="auto" w:fill="F2F2F2" w:themeFill="background1" w:themeFillShade="F2"/>
            <w:hideMark/>
          </w:tcPr>
          <w:p w:rsidR="00B3406A" w:rsidRPr="00916516" w:rsidRDefault="00B3406A" w:rsidP="00A82090">
            <w:pPr>
              <w:shd w:val="clear" w:color="auto" w:fill="F2F2F2" w:themeFill="background1" w:themeFillShade="F2"/>
              <w:jc w:val="center"/>
              <w:rPr>
                <w:szCs w:val="18"/>
              </w:rPr>
            </w:pPr>
            <w:r>
              <w:rPr>
                <w:b/>
                <w:bCs/>
                <w:szCs w:val="18"/>
              </w:rPr>
              <w:t>Included studies</w:t>
            </w:r>
          </w:p>
        </w:tc>
        <w:tc>
          <w:tcPr>
            <w:tcW w:w="2956" w:type="pct"/>
            <w:shd w:val="clear" w:color="auto" w:fill="F2F2F2" w:themeFill="background1" w:themeFillShade="F2"/>
            <w:hideMark/>
          </w:tcPr>
          <w:p w:rsidR="00B3406A" w:rsidRPr="00916516" w:rsidRDefault="00B3406A" w:rsidP="00A82090">
            <w:pPr>
              <w:shd w:val="clear" w:color="auto" w:fill="F2F2F2" w:themeFill="background1" w:themeFillShade="F2"/>
              <w:jc w:val="center"/>
              <w:rPr>
                <w:szCs w:val="18"/>
              </w:rPr>
            </w:pPr>
            <w:r>
              <w:rPr>
                <w:b/>
                <w:bCs/>
                <w:szCs w:val="18"/>
              </w:rPr>
              <w:t>Summary of evidence</w:t>
            </w:r>
          </w:p>
        </w:tc>
      </w:tr>
      <w:tr w:rsidR="00B3406A" w:rsidRPr="009068BC" w:rsidTr="00A82090">
        <w:trPr>
          <w:trHeight w:val="345"/>
        </w:trPr>
        <w:tc>
          <w:tcPr>
            <w:tcW w:w="896" w:type="pct"/>
            <w:shd w:val="clear" w:color="auto" w:fill="F2F2F2" w:themeFill="background1" w:themeFillShade="F2"/>
            <w:hideMark/>
          </w:tcPr>
          <w:p w:rsidR="00B3406A" w:rsidRPr="00237D04" w:rsidRDefault="00B3406A" w:rsidP="00A82090">
            <w:pPr>
              <w:shd w:val="clear" w:color="auto" w:fill="F2F2F2" w:themeFill="background1" w:themeFillShade="F2"/>
              <w:tabs>
                <w:tab w:val="left" w:pos="1198"/>
              </w:tabs>
              <w:rPr>
                <w:szCs w:val="18"/>
              </w:rPr>
            </w:pPr>
            <w:r>
              <w:rPr>
                <w:szCs w:val="18"/>
              </w:rPr>
              <w:t>NRT</w:t>
            </w:r>
            <w:r w:rsidRPr="0008458D">
              <w:rPr>
                <w:szCs w:val="18"/>
                <w:vertAlign w:val="superscript"/>
              </w:rPr>
              <w:t>1</w:t>
            </w:r>
            <w:r>
              <w:rPr>
                <w:szCs w:val="18"/>
              </w:rPr>
              <w:t xml:space="preserve"> vs placebo</w:t>
            </w:r>
          </w:p>
        </w:tc>
        <w:tc>
          <w:tcPr>
            <w:tcW w:w="1147" w:type="pct"/>
            <w:shd w:val="clear" w:color="auto" w:fill="F2F2F2" w:themeFill="background1" w:themeFillShade="F2"/>
            <w:hideMark/>
          </w:tcPr>
          <w:p w:rsidR="00B3406A" w:rsidRPr="006B31D6" w:rsidRDefault="00B3406A" w:rsidP="00815A6D">
            <w:pPr>
              <w:pStyle w:val="ListParagraph"/>
              <w:numPr>
                <w:ilvl w:val="0"/>
                <w:numId w:val="43"/>
              </w:numPr>
              <w:shd w:val="clear" w:color="auto" w:fill="F2F2F2" w:themeFill="background1" w:themeFillShade="F2"/>
              <w:rPr>
                <w:szCs w:val="18"/>
              </w:rPr>
            </w:pPr>
            <w:proofErr w:type="spellStart"/>
            <w:r w:rsidRPr="0008458D">
              <w:rPr>
                <w:szCs w:val="18"/>
              </w:rPr>
              <w:t>Fanshawe</w:t>
            </w:r>
            <w:proofErr w:type="spellEnd"/>
            <w:r w:rsidRPr="0008458D">
              <w:rPr>
                <w:szCs w:val="18"/>
              </w:rPr>
              <w:t xml:space="preserve"> (2017)</w:t>
            </w:r>
            <w:r>
              <w:rPr>
                <w:szCs w:val="18"/>
                <w:vertAlign w:val="superscript"/>
              </w:rPr>
              <w:t>2</w:t>
            </w:r>
          </w:p>
          <w:p w:rsidR="00B3406A" w:rsidRDefault="00B3406A" w:rsidP="00815A6D">
            <w:pPr>
              <w:pStyle w:val="ListParagraph"/>
              <w:numPr>
                <w:ilvl w:val="0"/>
                <w:numId w:val="43"/>
              </w:numPr>
              <w:shd w:val="clear" w:color="auto" w:fill="F2F2F2" w:themeFill="background1" w:themeFillShade="F2"/>
              <w:rPr>
                <w:szCs w:val="18"/>
              </w:rPr>
            </w:pPr>
            <w:proofErr w:type="spellStart"/>
            <w:r w:rsidRPr="006B31D6">
              <w:rPr>
                <w:szCs w:val="18"/>
              </w:rPr>
              <w:t>Myung</w:t>
            </w:r>
            <w:proofErr w:type="spellEnd"/>
            <w:r w:rsidRPr="006B31D6">
              <w:rPr>
                <w:szCs w:val="18"/>
              </w:rPr>
              <w:t xml:space="preserve"> (2019)</w:t>
            </w:r>
            <w:r>
              <w:rPr>
                <w:szCs w:val="18"/>
                <w:vertAlign w:val="superscript"/>
              </w:rPr>
              <w:t>3</w:t>
            </w:r>
          </w:p>
          <w:p w:rsidR="00B3406A" w:rsidRPr="006B31D6" w:rsidRDefault="00B3406A" w:rsidP="00815A6D">
            <w:pPr>
              <w:pStyle w:val="ListParagraph"/>
              <w:numPr>
                <w:ilvl w:val="0"/>
                <w:numId w:val="43"/>
              </w:numPr>
              <w:shd w:val="clear" w:color="auto" w:fill="F2F2F2" w:themeFill="background1" w:themeFillShade="F2"/>
              <w:rPr>
                <w:szCs w:val="18"/>
              </w:rPr>
            </w:pPr>
            <w:proofErr w:type="spellStart"/>
            <w:r w:rsidRPr="006B31D6">
              <w:rPr>
                <w:szCs w:val="18"/>
              </w:rPr>
              <w:t>Selph</w:t>
            </w:r>
            <w:proofErr w:type="spellEnd"/>
            <w:r w:rsidRPr="006B31D6">
              <w:rPr>
                <w:szCs w:val="18"/>
              </w:rPr>
              <w:t xml:space="preserve"> (2020)</w:t>
            </w:r>
            <w:r>
              <w:rPr>
                <w:szCs w:val="18"/>
                <w:vertAlign w:val="superscript"/>
              </w:rPr>
              <w:t>3</w:t>
            </w:r>
          </w:p>
        </w:tc>
        <w:tc>
          <w:tcPr>
            <w:tcW w:w="2956" w:type="pct"/>
            <w:shd w:val="clear" w:color="auto" w:fill="F2F2F2" w:themeFill="background1" w:themeFillShade="F2"/>
            <w:hideMark/>
          </w:tcPr>
          <w:p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vertAlign w:val="superscript"/>
              </w:rPr>
              <w:t>4</w:t>
            </w:r>
            <w:r>
              <w:rPr>
                <w:szCs w:val="18"/>
              </w:rPr>
              <w:t xml:space="preserve"> based on RR. </w:t>
            </w:r>
          </w:p>
          <w:p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Safety:</w:t>
            </w:r>
            <w:r w:rsidRPr="00360862">
              <w:rPr>
                <w:szCs w:val="18"/>
              </w:rPr>
              <w:t xml:space="preserve"> </w:t>
            </w:r>
            <w:r w:rsidRPr="001213A4">
              <w:rPr>
                <w:szCs w:val="18"/>
              </w:rPr>
              <w:t>Statistically significant</w:t>
            </w:r>
            <w:r>
              <w:rPr>
                <w:szCs w:val="18"/>
              </w:rPr>
              <w:t xml:space="preserve"> </w:t>
            </w:r>
            <w:r w:rsidRPr="001213A4">
              <w:rPr>
                <w:szCs w:val="18"/>
              </w:rPr>
              <w:t>(</w:t>
            </w:r>
            <w:r w:rsidRPr="001213A4">
              <w:rPr>
                <w:szCs w:val="18"/>
                <w:lang w:val="en-US"/>
              </w:rPr>
              <w:t>sore th</w:t>
            </w:r>
            <w:r w:rsidR="007918CA">
              <w:rPr>
                <w:szCs w:val="18"/>
                <w:lang w:val="en-US"/>
              </w:rPr>
              <w:t>roat, hiccups, erythema, pruritu</w:t>
            </w:r>
            <w:r w:rsidRPr="001213A4">
              <w:rPr>
                <w:szCs w:val="18"/>
                <w:lang w:val="en-US"/>
              </w:rPr>
              <w:t>s, shoulder/arm pain, headache, cough, abnormal dreams and muscle pain; higher in NRT</w:t>
            </w:r>
            <w:proofErr w:type="gramStart"/>
            <w:r w:rsidRPr="001213A4">
              <w:rPr>
                <w:szCs w:val="18"/>
              </w:rPr>
              <w:t>)</w:t>
            </w:r>
            <w:r>
              <w:rPr>
                <w:szCs w:val="18"/>
                <w:vertAlign w:val="superscript"/>
              </w:rPr>
              <w:t>5</w:t>
            </w:r>
            <w:proofErr w:type="gramEnd"/>
            <w:r>
              <w:rPr>
                <w:szCs w:val="18"/>
              </w:rPr>
              <w:t>.</w:t>
            </w:r>
          </w:p>
        </w:tc>
      </w:tr>
      <w:tr w:rsidR="00B3406A" w:rsidRPr="009068BC" w:rsidTr="00A82090">
        <w:trPr>
          <w:trHeight w:val="345"/>
        </w:trPr>
        <w:tc>
          <w:tcPr>
            <w:tcW w:w="896" w:type="pct"/>
            <w:shd w:val="clear" w:color="auto" w:fill="F2F2F2" w:themeFill="background1" w:themeFillShade="F2"/>
          </w:tcPr>
          <w:p w:rsidR="00B3406A" w:rsidRPr="00237D04" w:rsidRDefault="00B3406A" w:rsidP="00A82090">
            <w:pPr>
              <w:shd w:val="clear" w:color="auto" w:fill="F2F2F2" w:themeFill="background1" w:themeFillShade="F2"/>
              <w:tabs>
                <w:tab w:val="left" w:pos="1198"/>
              </w:tabs>
              <w:rPr>
                <w:szCs w:val="18"/>
              </w:rPr>
            </w:pPr>
            <w:r>
              <w:rPr>
                <w:szCs w:val="18"/>
              </w:rPr>
              <w:t>Bupropion vs placebo</w:t>
            </w:r>
          </w:p>
        </w:tc>
        <w:tc>
          <w:tcPr>
            <w:tcW w:w="1147" w:type="pct"/>
            <w:shd w:val="clear" w:color="auto" w:fill="F2F2F2" w:themeFill="background1" w:themeFillShade="F2"/>
          </w:tcPr>
          <w:p w:rsidR="00B3406A" w:rsidRPr="00253376" w:rsidRDefault="00B3406A" w:rsidP="00815A6D">
            <w:pPr>
              <w:pStyle w:val="ListParagraph"/>
              <w:numPr>
                <w:ilvl w:val="0"/>
                <w:numId w:val="43"/>
              </w:numPr>
              <w:shd w:val="clear" w:color="auto" w:fill="F2F2F2" w:themeFill="background1" w:themeFillShade="F2"/>
              <w:rPr>
                <w:szCs w:val="18"/>
              </w:rPr>
            </w:pPr>
            <w:proofErr w:type="spellStart"/>
            <w:r w:rsidRPr="0008458D">
              <w:rPr>
                <w:szCs w:val="18"/>
              </w:rPr>
              <w:t>Fanshawe</w:t>
            </w:r>
            <w:proofErr w:type="spellEnd"/>
            <w:r w:rsidRPr="0008458D">
              <w:rPr>
                <w:szCs w:val="18"/>
              </w:rPr>
              <w:t xml:space="preserve"> (2017)</w:t>
            </w:r>
            <w:r>
              <w:rPr>
                <w:szCs w:val="18"/>
                <w:vertAlign w:val="superscript"/>
              </w:rPr>
              <w:t>2</w:t>
            </w:r>
          </w:p>
          <w:p w:rsidR="00B3406A" w:rsidRDefault="00B3406A" w:rsidP="00815A6D">
            <w:pPr>
              <w:pStyle w:val="ListParagraph"/>
              <w:numPr>
                <w:ilvl w:val="0"/>
                <w:numId w:val="43"/>
              </w:numPr>
              <w:shd w:val="clear" w:color="auto" w:fill="F2F2F2" w:themeFill="background1" w:themeFillShade="F2"/>
              <w:rPr>
                <w:szCs w:val="18"/>
              </w:rPr>
            </w:pPr>
            <w:proofErr w:type="spellStart"/>
            <w:r w:rsidRPr="006B31D6">
              <w:rPr>
                <w:szCs w:val="18"/>
              </w:rPr>
              <w:t>Myung</w:t>
            </w:r>
            <w:proofErr w:type="spellEnd"/>
            <w:r w:rsidRPr="006B31D6">
              <w:rPr>
                <w:szCs w:val="18"/>
              </w:rPr>
              <w:t xml:space="preserve"> (2019)</w:t>
            </w:r>
            <w:r>
              <w:rPr>
                <w:szCs w:val="18"/>
                <w:vertAlign w:val="superscript"/>
              </w:rPr>
              <w:t>3</w:t>
            </w:r>
          </w:p>
          <w:p w:rsidR="00B3406A" w:rsidRPr="00614418" w:rsidRDefault="00B3406A" w:rsidP="00815A6D">
            <w:pPr>
              <w:pStyle w:val="ListParagraph"/>
              <w:numPr>
                <w:ilvl w:val="0"/>
                <w:numId w:val="43"/>
              </w:numPr>
              <w:shd w:val="clear" w:color="auto" w:fill="F2F2F2" w:themeFill="background1" w:themeFillShade="F2"/>
              <w:rPr>
                <w:szCs w:val="18"/>
              </w:rPr>
            </w:pPr>
            <w:proofErr w:type="spellStart"/>
            <w:r w:rsidRPr="006B31D6">
              <w:rPr>
                <w:szCs w:val="18"/>
              </w:rPr>
              <w:t>Selph</w:t>
            </w:r>
            <w:proofErr w:type="spellEnd"/>
            <w:r w:rsidRPr="006B31D6">
              <w:rPr>
                <w:szCs w:val="18"/>
              </w:rPr>
              <w:t xml:space="preserve"> (2020)</w:t>
            </w:r>
            <w:r>
              <w:rPr>
                <w:szCs w:val="18"/>
                <w:vertAlign w:val="superscript"/>
              </w:rPr>
              <w:t>3</w:t>
            </w:r>
          </w:p>
        </w:tc>
        <w:tc>
          <w:tcPr>
            <w:tcW w:w="2956" w:type="pct"/>
            <w:shd w:val="clear" w:color="auto" w:fill="F2F2F2" w:themeFill="background1" w:themeFillShade="F2"/>
          </w:tcPr>
          <w:p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vertAlign w:val="superscript"/>
              </w:rPr>
              <w:t>6</w:t>
            </w:r>
            <w:r>
              <w:rPr>
                <w:szCs w:val="18"/>
              </w:rPr>
              <w:t xml:space="preserve"> based on RR. </w:t>
            </w:r>
          </w:p>
          <w:p w:rsidR="00B3406A" w:rsidRPr="001213A4" w:rsidRDefault="00B3406A" w:rsidP="00815A6D">
            <w:pPr>
              <w:pStyle w:val="ListParagraph"/>
              <w:numPr>
                <w:ilvl w:val="0"/>
                <w:numId w:val="43"/>
              </w:numPr>
              <w:shd w:val="clear" w:color="auto" w:fill="F2F2F2" w:themeFill="background1" w:themeFillShade="F2"/>
              <w:rPr>
                <w:szCs w:val="18"/>
              </w:rPr>
            </w:pPr>
            <w:r w:rsidRPr="00A867C4">
              <w:rPr>
                <w:szCs w:val="18"/>
                <w:u w:val="single"/>
              </w:rPr>
              <w:t>Safety:</w:t>
            </w:r>
            <w:r w:rsidRPr="002A2981">
              <w:rPr>
                <w:szCs w:val="18"/>
              </w:rPr>
              <w:t xml:space="preserve"> </w:t>
            </w:r>
            <w:r w:rsidRPr="00382159">
              <w:rPr>
                <w:szCs w:val="18"/>
              </w:rPr>
              <w:t xml:space="preserve">Statistically significant </w:t>
            </w:r>
            <w:r w:rsidRPr="00A867C4">
              <w:rPr>
                <w:szCs w:val="18"/>
              </w:rPr>
              <w:t>(</w:t>
            </w:r>
            <w:r w:rsidRPr="002A2981">
              <w:rPr>
                <w:szCs w:val="18"/>
                <w:lang w:val="en-US"/>
              </w:rPr>
              <w:t xml:space="preserve">dream </w:t>
            </w:r>
            <w:r w:rsidRPr="00382159">
              <w:rPr>
                <w:szCs w:val="18"/>
                <w:lang w:val="en-US"/>
              </w:rPr>
              <w:t>disturbances; higher in bupropion);</w:t>
            </w:r>
            <w:r>
              <w:rPr>
                <w:szCs w:val="18"/>
              </w:rPr>
              <w:t xml:space="preserve"> </w:t>
            </w:r>
            <w:r w:rsidRPr="00A867C4">
              <w:rPr>
                <w:szCs w:val="18"/>
              </w:rPr>
              <w:t>Not statistically significant</w:t>
            </w:r>
            <w:r>
              <w:rPr>
                <w:szCs w:val="18"/>
              </w:rPr>
              <w:t xml:space="preserve"> </w:t>
            </w:r>
            <w:r w:rsidRPr="001213A4">
              <w:rPr>
                <w:szCs w:val="18"/>
              </w:rPr>
              <w:t>(headache, irritability, insomnia</w:t>
            </w:r>
            <w:proofErr w:type="gramStart"/>
            <w:r w:rsidRPr="001213A4">
              <w:rPr>
                <w:szCs w:val="18"/>
              </w:rPr>
              <w:t>)</w:t>
            </w:r>
            <w:r>
              <w:rPr>
                <w:szCs w:val="18"/>
                <w:vertAlign w:val="superscript"/>
              </w:rPr>
              <w:t>5</w:t>
            </w:r>
            <w:proofErr w:type="gramEnd"/>
            <w:r>
              <w:rPr>
                <w:szCs w:val="18"/>
              </w:rPr>
              <w:t>.</w:t>
            </w:r>
          </w:p>
        </w:tc>
      </w:tr>
      <w:tr w:rsidR="00B3406A" w:rsidRPr="009068BC" w:rsidTr="00A82090">
        <w:trPr>
          <w:trHeight w:val="345"/>
        </w:trPr>
        <w:tc>
          <w:tcPr>
            <w:tcW w:w="896" w:type="pct"/>
            <w:shd w:val="clear" w:color="auto" w:fill="F2F2F2" w:themeFill="background1" w:themeFillShade="F2"/>
          </w:tcPr>
          <w:p w:rsidR="00B3406A" w:rsidRPr="00237D04" w:rsidRDefault="00B3406A" w:rsidP="00A82090">
            <w:pPr>
              <w:shd w:val="clear" w:color="auto" w:fill="F2F2F2" w:themeFill="background1" w:themeFillShade="F2"/>
              <w:tabs>
                <w:tab w:val="left" w:pos="1198"/>
              </w:tabs>
              <w:rPr>
                <w:szCs w:val="18"/>
              </w:rPr>
            </w:pPr>
            <w:r>
              <w:rPr>
                <w:szCs w:val="18"/>
              </w:rPr>
              <w:t>Bupropion+ NRT patch vs placebo + NRT patch</w:t>
            </w:r>
          </w:p>
        </w:tc>
        <w:tc>
          <w:tcPr>
            <w:tcW w:w="1147" w:type="pct"/>
            <w:shd w:val="clear" w:color="auto" w:fill="F2F2F2" w:themeFill="background1" w:themeFillShade="F2"/>
          </w:tcPr>
          <w:p w:rsidR="00B3406A" w:rsidRPr="00614418" w:rsidRDefault="00B3406A" w:rsidP="00815A6D">
            <w:pPr>
              <w:pStyle w:val="ListParagraph"/>
              <w:numPr>
                <w:ilvl w:val="0"/>
                <w:numId w:val="43"/>
              </w:numPr>
              <w:shd w:val="clear" w:color="auto" w:fill="F2F2F2" w:themeFill="background1" w:themeFillShade="F2"/>
              <w:rPr>
                <w:szCs w:val="18"/>
              </w:rPr>
            </w:pPr>
            <w:proofErr w:type="spellStart"/>
            <w:r w:rsidRPr="0008458D">
              <w:rPr>
                <w:szCs w:val="18"/>
              </w:rPr>
              <w:t>Fanshawe</w:t>
            </w:r>
            <w:proofErr w:type="spellEnd"/>
            <w:r w:rsidRPr="0008458D">
              <w:rPr>
                <w:szCs w:val="18"/>
              </w:rPr>
              <w:t xml:space="preserve"> (2017)</w:t>
            </w:r>
            <w:r>
              <w:rPr>
                <w:szCs w:val="18"/>
                <w:vertAlign w:val="superscript"/>
              </w:rPr>
              <w:t>2</w:t>
            </w:r>
          </w:p>
        </w:tc>
        <w:tc>
          <w:tcPr>
            <w:tcW w:w="2956" w:type="pct"/>
            <w:shd w:val="clear" w:color="auto" w:fill="F2F2F2" w:themeFill="background1" w:themeFillShade="F2"/>
          </w:tcPr>
          <w:p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rPr>
              <w:t xml:space="preserve"> based on RR.</w:t>
            </w:r>
          </w:p>
          <w:p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Safety:</w:t>
            </w:r>
            <w:r w:rsidRPr="00360862">
              <w:rPr>
                <w:szCs w:val="18"/>
              </w:rPr>
              <w:t xml:space="preserve"> </w:t>
            </w:r>
            <w:r w:rsidRPr="001213A4">
              <w:rPr>
                <w:szCs w:val="18"/>
              </w:rPr>
              <w:t>No statistical comparison was conducted by the authors</w:t>
            </w:r>
            <w:r>
              <w:rPr>
                <w:szCs w:val="18"/>
              </w:rPr>
              <w:t xml:space="preserve">. </w:t>
            </w:r>
          </w:p>
        </w:tc>
      </w:tr>
    </w:tbl>
    <w:p w:rsidR="00B3406A" w:rsidRDefault="00B3406A" w:rsidP="00B3406A">
      <w:pPr>
        <w:pStyle w:val="TableFooter"/>
        <w:keepNext/>
      </w:pPr>
      <w:r>
        <w:t>Abbreviations: NRT = nicotine replacement therapy; RR = risk ratio.</w:t>
      </w:r>
    </w:p>
    <w:p w:rsidR="00B3406A" w:rsidRDefault="00B3406A" w:rsidP="00B3406A">
      <w:pPr>
        <w:pStyle w:val="TableFooter"/>
        <w:keepNext/>
      </w:pPr>
      <w:r w:rsidRPr="00BE36E8">
        <w:t xml:space="preserve">Notes: </w:t>
      </w:r>
    </w:p>
    <w:p w:rsidR="00B3406A" w:rsidRPr="00C85BD4" w:rsidRDefault="00B3406A" w:rsidP="00B3406A">
      <w:pPr>
        <w:pStyle w:val="TableFooter"/>
        <w:keepNext/>
      </w:pPr>
      <w:r>
        <w:t xml:space="preserve">1 </w:t>
      </w:r>
      <w:r w:rsidRPr="00C85BD4">
        <w:t>NRT administered either as patch, gum or nasal spray.</w:t>
      </w:r>
    </w:p>
    <w:p w:rsidR="00B3406A" w:rsidRDefault="00B3406A" w:rsidP="00B3406A">
      <w:pPr>
        <w:pStyle w:val="TableFooter"/>
        <w:keepNext/>
      </w:pPr>
      <w:r>
        <w:t xml:space="preserve">2 Cochrane Review. </w:t>
      </w:r>
    </w:p>
    <w:p w:rsidR="00B3406A" w:rsidRDefault="00B3406A" w:rsidP="00B3406A">
      <w:pPr>
        <w:pStyle w:val="TableFooter"/>
        <w:keepNext/>
      </w:pPr>
      <w:r>
        <w:t xml:space="preserve">3 Non-Cochrane systematic review. </w:t>
      </w:r>
    </w:p>
    <w:p w:rsidR="00B3406A" w:rsidRPr="00C85BD4" w:rsidRDefault="00B3406A" w:rsidP="00B3406A">
      <w:pPr>
        <w:pStyle w:val="TableFooter"/>
        <w:keepNext/>
      </w:pPr>
      <w:r>
        <w:t xml:space="preserve">4 </w:t>
      </w:r>
      <w:r w:rsidRPr="00C85BD4">
        <w:t xml:space="preserve">Based on short-term and long-term smoking cessation rates. </w:t>
      </w:r>
    </w:p>
    <w:p w:rsidR="00B3406A" w:rsidRDefault="00B3406A" w:rsidP="00B3406A">
      <w:pPr>
        <w:pStyle w:val="TableFooter"/>
        <w:keepNext/>
      </w:pPr>
      <w:r>
        <w:t>5 Qualitative synthesis.</w:t>
      </w:r>
    </w:p>
    <w:p w:rsidR="00B3406A" w:rsidRPr="004A0622" w:rsidRDefault="00B3406A" w:rsidP="00B3406A">
      <w:pPr>
        <w:pStyle w:val="TableFooter"/>
        <w:keepNext/>
      </w:pPr>
      <w:r>
        <w:t xml:space="preserve">6 </w:t>
      </w:r>
      <w:r w:rsidRPr="00C85BD4">
        <w:t xml:space="preserve">Based on long-term smoking cessation rates. In </w:t>
      </w:r>
      <w:proofErr w:type="spellStart"/>
      <w:r w:rsidRPr="00C85BD4">
        <w:t>Myung</w:t>
      </w:r>
      <w:proofErr w:type="spellEnd"/>
      <w:r w:rsidRPr="00C85BD4">
        <w:t xml:space="preserve"> et al. (2019), the results were statistically significant based on a meta-analysis which included two additional studies, noting these studies measured smoking cessation outcomes at three months, had a relatively small sample size and wide confidence intervals.</w:t>
      </w:r>
    </w:p>
    <w:p w:rsidR="00B3406A" w:rsidRPr="004960F6" w:rsidRDefault="00E81CEC" w:rsidP="00815A6D">
      <w:pPr>
        <w:pStyle w:val="Heading3"/>
        <w:numPr>
          <w:ilvl w:val="1"/>
          <w:numId w:val="74"/>
        </w:numPr>
        <w:spacing w:before="240" w:after="200"/>
      </w:pPr>
      <w:bookmarkStart w:id="53" w:name="_Toc63082734"/>
      <w:r>
        <w:t xml:space="preserve"> </w:t>
      </w:r>
      <w:bookmarkStart w:id="54" w:name="_Toc72848464"/>
      <w:r w:rsidR="00B3406A">
        <w:t>Stakeholder views (Forum and public consultations</w:t>
      </w:r>
      <w:r w:rsidR="00B3406A" w:rsidRPr="000711C1">
        <w:t>)</w:t>
      </w:r>
      <w:bookmarkEnd w:id="53"/>
      <w:bookmarkEnd w:id="54"/>
    </w:p>
    <w:p w:rsidR="00B3406A" w:rsidRDefault="00B3406A" w:rsidP="00B3406A">
      <w:r w:rsidRPr="00E06C2B">
        <w:t>Clinicians indicated that they rout</w:t>
      </w:r>
      <w:r>
        <w:t xml:space="preserve">inely prescribe combination NRT. </w:t>
      </w:r>
    </w:p>
    <w:p w:rsidR="00B3406A" w:rsidRPr="00E06C2B" w:rsidRDefault="00B3406A" w:rsidP="00B3406A">
      <w:r w:rsidRPr="00E06C2B">
        <w:t xml:space="preserve">Stakeholders considered that the effectiveness of PBS-listed smoking cessation medicines could be improved by allowing: </w:t>
      </w:r>
    </w:p>
    <w:p w:rsidR="00B3406A" w:rsidRPr="00E06C2B" w:rsidRDefault="00B3406A" w:rsidP="00A13556">
      <w:pPr>
        <w:numPr>
          <w:ilvl w:val="0"/>
          <w:numId w:val="34"/>
        </w:numPr>
        <w:ind w:left="360"/>
      </w:pPr>
      <w:r w:rsidRPr="00E06C2B">
        <w:t>Combination therapy</w:t>
      </w:r>
      <w:r>
        <w:t>;</w:t>
      </w:r>
      <w:r w:rsidRPr="00E06C2B">
        <w:t xml:space="preserve"> </w:t>
      </w:r>
    </w:p>
    <w:p w:rsidR="00B3406A" w:rsidRPr="00E06C2B" w:rsidRDefault="00B3406A" w:rsidP="00A13556">
      <w:pPr>
        <w:numPr>
          <w:ilvl w:val="0"/>
          <w:numId w:val="34"/>
        </w:numPr>
        <w:ind w:left="360"/>
      </w:pPr>
      <w:r w:rsidRPr="00E06C2B">
        <w:t>Longer durations of nicotine replacement therapy (NRT)</w:t>
      </w:r>
      <w:r>
        <w:t>;</w:t>
      </w:r>
    </w:p>
    <w:p w:rsidR="00B3406A" w:rsidRPr="00E06C2B" w:rsidRDefault="00B3406A" w:rsidP="00A13556">
      <w:pPr>
        <w:numPr>
          <w:ilvl w:val="0"/>
          <w:numId w:val="34"/>
        </w:numPr>
        <w:ind w:left="360"/>
      </w:pPr>
      <w:r w:rsidRPr="00E06C2B">
        <w:t>Multiple courses per year</w:t>
      </w:r>
      <w:r>
        <w:t>; and</w:t>
      </w:r>
    </w:p>
    <w:p w:rsidR="00B3406A" w:rsidRPr="00E06C2B" w:rsidRDefault="00B3406A" w:rsidP="00A13556">
      <w:pPr>
        <w:numPr>
          <w:ilvl w:val="0"/>
          <w:numId w:val="34"/>
        </w:numPr>
        <w:ind w:left="360"/>
      </w:pPr>
      <w:r w:rsidRPr="00E06C2B">
        <w:t>Higher doses (increased quantities) of NRT.</w:t>
      </w:r>
    </w:p>
    <w:p w:rsidR="00B3406A" w:rsidRPr="00E06C2B" w:rsidRDefault="00B3406A" w:rsidP="00D25738">
      <w:pPr>
        <w:jc w:val="both"/>
      </w:pPr>
      <w:r w:rsidRPr="00E06C2B">
        <w:t>Stakeholders also considered that Smoking cessation medicines combined with behavioural intervention is the most effective way to quit.</w:t>
      </w:r>
    </w:p>
    <w:p w:rsidR="00B3406A" w:rsidRPr="00E06C2B" w:rsidRDefault="00B3406A" w:rsidP="00D25738">
      <w:pPr>
        <w:jc w:val="both"/>
      </w:pPr>
      <w:r w:rsidRPr="00E06C2B">
        <w:t>Stakeholders identified common causes of treatment failures as:</w:t>
      </w:r>
    </w:p>
    <w:p w:rsidR="00B3406A" w:rsidRPr="00E06C2B" w:rsidRDefault="00B3406A" w:rsidP="00D25738">
      <w:pPr>
        <w:numPr>
          <w:ilvl w:val="0"/>
          <w:numId w:val="34"/>
        </w:numPr>
        <w:ind w:left="360"/>
        <w:jc w:val="both"/>
      </w:pPr>
      <w:r w:rsidRPr="00E06C2B">
        <w:t>under dosing (dose and/or duration) of NRT</w:t>
      </w:r>
    </w:p>
    <w:p w:rsidR="00B3406A" w:rsidRPr="00E06C2B" w:rsidRDefault="00B3406A" w:rsidP="00D25738">
      <w:pPr>
        <w:numPr>
          <w:ilvl w:val="0"/>
          <w:numId w:val="34"/>
        </w:numPr>
        <w:ind w:left="360"/>
        <w:jc w:val="both"/>
      </w:pPr>
      <w:r w:rsidRPr="00E06C2B">
        <w:t>insufficient management, follow-up and support</w:t>
      </w:r>
    </w:p>
    <w:p w:rsidR="00B3406A" w:rsidRPr="00E06C2B" w:rsidRDefault="00B3406A" w:rsidP="00D25738">
      <w:pPr>
        <w:numPr>
          <w:ilvl w:val="0"/>
          <w:numId w:val="34"/>
        </w:numPr>
        <w:ind w:left="360"/>
        <w:jc w:val="both"/>
      </w:pPr>
      <w:r w:rsidRPr="00E06C2B">
        <w:t>access issues, especially for people in rural and remote areas</w:t>
      </w:r>
    </w:p>
    <w:p w:rsidR="00B3406A" w:rsidRPr="00E06C2B" w:rsidRDefault="00B3406A" w:rsidP="00D25738">
      <w:pPr>
        <w:jc w:val="both"/>
      </w:pPr>
      <w:r w:rsidRPr="00E06C2B">
        <w:t>Stakeholders noted several issues with study populations, including:</w:t>
      </w:r>
    </w:p>
    <w:p w:rsidR="00B3406A" w:rsidRPr="00E06C2B" w:rsidRDefault="00B3406A" w:rsidP="00D25738">
      <w:pPr>
        <w:numPr>
          <w:ilvl w:val="0"/>
          <w:numId w:val="34"/>
        </w:numPr>
        <w:ind w:left="360"/>
        <w:jc w:val="both"/>
      </w:pPr>
      <w:r w:rsidRPr="00E06C2B">
        <w:t xml:space="preserve">Priority populations (such as people with mental illness and pregnant women) are usually excluded from studies, which may bias results in favour of the smoking cessation medicine. </w:t>
      </w:r>
    </w:p>
    <w:p w:rsidR="00B3406A" w:rsidRPr="00E06C2B" w:rsidRDefault="00B3406A" w:rsidP="00D25738">
      <w:pPr>
        <w:numPr>
          <w:ilvl w:val="0"/>
          <w:numId w:val="34"/>
        </w:numPr>
        <w:ind w:left="360"/>
        <w:jc w:val="both"/>
      </w:pPr>
      <w:r w:rsidRPr="00E06C2B">
        <w:t xml:space="preserve">Study participants may not represent the broader community of smokers in terms of health literacy and willingness to engage in treatment, and the monitoring and follow-up built into the trial may serve as motivation. </w:t>
      </w:r>
    </w:p>
    <w:p w:rsidR="00B3406A" w:rsidRDefault="00B3406A" w:rsidP="00D25738">
      <w:pPr>
        <w:numPr>
          <w:ilvl w:val="0"/>
          <w:numId w:val="34"/>
        </w:numPr>
        <w:ind w:left="360"/>
        <w:jc w:val="both"/>
      </w:pPr>
      <w:r w:rsidRPr="00E06C2B">
        <w:t>Health benefits are not usually a primary or secondary outcome that is measured in clinical studies, and studies focus on quit attempts.</w:t>
      </w:r>
    </w:p>
    <w:p w:rsidR="003C102F" w:rsidRDefault="00B3406A" w:rsidP="00D25738">
      <w:pPr>
        <w:numPr>
          <w:ilvl w:val="0"/>
          <w:numId w:val="34"/>
        </w:numPr>
        <w:ind w:left="360"/>
        <w:jc w:val="both"/>
      </w:pPr>
      <w:r w:rsidRPr="00E06C2B">
        <w:t xml:space="preserve">The time frame for </w:t>
      </w:r>
      <w:r>
        <w:t xml:space="preserve">study </w:t>
      </w:r>
      <w:r w:rsidRPr="00E06C2B">
        <w:t>follow-up does not allow long-term monitoring of abstinence or subsequent relapse treatment, and does not allow long-term health benefits (such as cardiovascular benefits) to be captured.</w:t>
      </w:r>
    </w:p>
    <w:p w:rsidR="00E81CEC" w:rsidRPr="002F3376" w:rsidRDefault="003C102F" w:rsidP="002F3376">
      <w:pPr>
        <w:pStyle w:val="Heading2"/>
        <w:spacing w:after="240"/>
        <w:rPr>
          <w:rFonts w:asciiTheme="minorHAnsi" w:hAnsiTheme="minorHAnsi" w:cstheme="minorHAnsi"/>
          <w:sz w:val="32"/>
          <w:szCs w:val="32"/>
        </w:rPr>
      </w:pPr>
      <w:bookmarkStart w:id="55" w:name="_Toc72848465"/>
      <w:proofErr w:type="spellStart"/>
      <w:r w:rsidRPr="00E81CEC">
        <w:rPr>
          <w:rFonts w:asciiTheme="minorHAnsi" w:hAnsiTheme="minorHAnsi" w:cstheme="minorHAnsi"/>
          <w:sz w:val="32"/>
          <w:szCs w:val="32"/>
        </w:rPr>
        <w:t>ToR</w:t>
      </w:r>
      <w:proofErr w:type="spellEnd"/>
      <w:r w:rsidRPr="00E81CEC">
        <w:rPr>
          <w:rFonts w:asciiTheme="minorHAnsi" w:hAnsiTheme="minorHAnsi" w:cstheme="minorHAnsi"/>
          <w:sz w:val="32"/>
          <w:szCs w:val="32"/>
        </w:rPr>
        <w:t xml:space="preserve"> 4: Subject to the findings of Terms of Reference 1, 2 and 3, review the cost-effectiveness of medicines for smoking cessation.</w:t>
      </w:r>
      <w:bookmarkEnd w:id="55"/>
    </w:p>
    <w:p w:rsidR="003C102F" w:rsidRDefault="00311A42" w:rsidP="00D25738">
      <w:pPr>
        <w:pStyle w:val="BodyText"/>
        <w:jc w:val="both"/>
      </w:pPr>
      <w:r w:rsidRPr="00311A42">
        <w:t>The need for a CER will be determined by the PBAC, following consideration of the findings for TOR 1, 2 and 3. In particular, if the Committee considers th</w:t>
      </w:r>
      <w:r w:rsidR="005E2871">
        <w:t xml:space="preserve">ere is evidence and a clinical </w:t>
      </w:r>
      <w:r w:rsidRPr="00311A42">
        <w:t xml:space="preserve">need for a new or revised PBS indication (e.g. combination therapy) that requires additional cost effectiveness modelling to support a recommendation to government.  </w:t>
      </w:r>
    </w:p>
    <w:p w:rsidR="00815A6D" w:rsidRPr="00815A6D" w:rsidRDefault="00DE31A5" w:rsidP="00DE31A5">
      <w:pPr>
        <w:pStyle w:val="Heading3"/>
        <w:numPr>
          <w:ilvl w:val="1"/>
          <w:numId w:val="76"/>
        </w:numPr>
        <w:spacing w:after="240"/>
      </w:pPr>
      <w:r>
        <w:t xml:space="preserve"> </w:t>
      </w:r>
      <w:bookmarkStart w:id="56" w:name="_Toc72848466"/>
      <w:r w:rsidR="003C102F">
        <w:t>Stakeholder views (Public consultation and stakeholder forum)</w:t>
      </w:r>
      <w:bookmarkEnd w:id="56"/>
      <w:r w:rsidR="003C102F">
        <w:t xml:space="preserve"> </w:t>
      </w:r>
    </w:p>
    <w:p w:rsidR="00F31D41" w:rsidRDefault="00F31D41" w:rsidP="00D25738">
      <w:pPr>
        <w:jc w:val="both"/>
      </w:pPr>
      <w:r>
        <w:t xml:space="preserve">Stakeholders considered that optimising the use of smoking cessation therapies on the PBS (such as allowing combination therapy, or allowing dosage or length of treatment to </w:t>
      </w:r>
      <w:r w:rsidR="00E0101E">
        <w:t xml:space="preserve">be tailored to </w:t>
      </w:r>
      <w:r>
        <w:t xml:space="preserve">the individual) </w:t>
      </w:r>
      <w:r w:rsidR="00E0101E">
        <w:t xml:space="preserve">would lead to more successful quit attempts and </w:t>
      </w:r>
      <w:r w:rsidR="00A356C1">
        <w:t xml:space="preserve">therefore </w:t>
      </w:r>
      <w:r>
        <w:t>cost-effectiveness would be improved.</w:t>
      </w:r>
      <w:r w:rsidR="005E2871">
        <w:t xml:space="preserve"> </w:t>
      </w:r>
    </w:p>
    <w:p w:rsidR="00F31D41" w:rsidRDefault="00F31D41" w:rsidP="00D25738">
      <w:pPr>
        <w:jc w:val="both"/>
      </w:pPr>
      <w:r>
        <w:t>Stakeholders noted the significant</w:t>
      </w:r>
      <w:r w:rsidR="00E53807">
        <w:t xml:space="preserve"> quality of life and</w:t>
      </w:r>
      <w:r>
        <w:t xml:space="preserve"> financial burden the health consequences of smoking have on individuals and on society. Stakeholders considered that </w:t>
      </w:r>
      <w:r w:rsidR="004C3633">
        <w:t xml:space="preserve">any </w:t>
      </w:r>
      <w:r>
        <w:t>additional costs to the PBS for optimising smoking cessation therapy would be outweighed by savings in treating smoking related diseases, such as hypertension.</w:t>
      </w:r>
    </w:p>
    <w:p w:rsidR="003C102F" w:rsidRDefault="00140915" w:rsidP="00D25738">
      <w:pPr>
        <w:jc w:val="both"/>
      </w:pPr>
      <w:r>
        <w:t>Some stakeholders recommended a possible future cost-effectiveness review should include the following:</w:t>
      </w:r>
    </w:p>
    <w:p w:rsidR="00140915" w:rsidRDefault="00B30467" w:rsidP="00A13556">
      <w:pPr>
        <w:pStyle w:val="ListParagraph"/>
        <w:numPr>
          <w:ilvl w:val="0"/>
          <w:numId w:val="34"/>
        </w:numPr>
      </w:pPr>
      <w:r>
        <w:t>C</w:t>
      </w:r>
      <w:r w:rsidR="00140915">
        <w:t xml:space="preserve">ombination NRT </w:t>
      </w:r>
    </w:p>
    <w:p w:rsidR="00140915" w:rsidRDefault="00B30467" w:rsidP="00A13556">
      <w:pPr>
        <w:pStyle w:val="ListParagraph"/>
        <w:numPr>
          <w:ilvl w:val="0"/>
          <w:numId w:val="34"/>
        </w:numPr>
      </w:pPr>
      <w:r>
        <w:t>The</w:t>
      </w:r>
      <w:r w:rsidR="00140915">
        <w:t xml:space="preserve"> addition of the nicotine mouth spray and nicotine inhalator to the PBS.</w:t>
      </w:r>
    </w:p>
    <w:p w:rsidR="007E2DFC" w:rsidRPr="001E7257" w:rsidRDefault="008A4CC3" w:rsidP="008428E1">
      <w:pPr>
        <w:pStyle w:val="Heading1"/>
        <w:jc w:val="left"/>
      </w:pPr>
      <w:bookmarkStart w:id="57" w:name="_Toc72848467"/>
      <w:r w:rsidRPr="001E7257">
        <w:t>Review Options</w:t>
      </w:r>
      <w:bookmarkEnd w:id="57"/>
    </w:p>
    <w:p w:rsidR="00A13556" w:rsidRPr="00A13556" w:rsidRDefault="00217F24" w:rsidP="00D25738">
      <w:pPr>
        <w:jc w:val="both"/>
        <w:rPr>
          <w:highlight w:val="yellow"/>
        </w:rPr>
      </w:pPr>
      <w:r w:rsidRPr="00A13556">
        <w:rPr>
          <w:szCs w:val="24"/>
        </w:rPr>
        <w:t xml:space="preserve">The following options were raised by the </w:t>
      </w:r>
      <w:r w:rsidR="00A13556" w:rsidRPr="00A13556">
        <w:rPr>
          <w:szCs w:val="24"/>
        </w:rPr>
        <w:t>Reference Group for the Post-market Review</w:t>
      </w:r>
      <w:r w:rsidRPr="00A13556">
        <w:rPr>
          <w:szCs w:val="24"/>
        </w:rPr>
        <w:t xml:space="preserve"> of medicines for smoking cessation, in considering the available evidence.</w:t>
      </w:r>
      <w:r w:rsidR="00A13556">
        <w:rPr>
          <w:szCs w:val="24"/>
        </w:rPr>
        <w:t xml:space="preserve"> </w:t>
      </w:r>
      <w:r w:rsidR="00A13556" w:rsidRPr="001E7257">
        <w:t xml:space="preserve">The Drug Utilisation Sub Committee (DUSC) and the Economics Sub Committee (ESC) will also provide advice on the following review options. </w:t>
      </w:r>
      <w:r w:rsidRPr="00A13556">
        <w:rPr>
          <w:szCs w:val="24"/>
        </w:rPr>
        <w:t>These options are provided to the Pharmaceutic</w:t>
      </w:r>
      <w:r w:rsidR="00A13556">
        <w:rPr>
          <w:szCs w:val="24"/>
        </w:rPr>
        <w:t>al Benefits Advisory Committee</w:t>
      </w:r>
      <w:r w:rsidRPr="00A13556">
        <w:rPr>
          <w:szCs w:val="24"/>
        </w:rPr>
        <w:t xml:space="preserve"> to assist in their consideration and formulation of recommendations and advice to government. </w:t>
      </w:r>
    </w:p>
    <w:p w:rsidR="00217F24" w:rsidRDefault="00217F24" w:rsidP="00D25738">
      <w:pPr>
        <w:jc w:val="both"/>
        <w:rPr>
          <w:szCs w:val="24"/>
        </w:rPr>
      </w:pPr>
      <w:r w:rsidRPr="00A13556">
        <w:rPr>
          <w:szCs w:val="24"/>
        </w:rPr>
        <w:t xml:space="preserve">Any alteration to the restrictions surrounding the </w:t>
      </w:r>
      <w:r w:rsidR="00A13556">
        <w:rPr>
          <w:szCs w:val="24"/>
        </w:rPr>
        <w:t>Pharmaceutical Benefits Scheme</w:t>
      </w:r>
      <w:r w:rsidRPr="00A13556">
        <w:rPr>
          <w:szCs w:val="24"/>
        </w:rPr>
        <w:t xml:space="preserve"> listing of medicines for smoking cessation would need to consider any impact on the cost-effectiveness of these medicines and the net cost to the PBS.</w:t>
      </w:r>
    </w:p>
    <w:p w:rsidR="008F5852" w:rsidRPr="00A13556" w:rsidRDefault="008F5852" w:rsidP="00815A6D">
      <w:pPr>
        <w:pStyle w:val="Heading3"/>
      </w:pPr>
      <w:bookmarkStart w:id="58" w:name="_Toc72848468"/>
      <w:r>
        <w:t>5.1 Option 1</w:t>
      </w:r>
      <w:bookmarkEnd w:id="58"/>
    </w:p>
    <w:p w:rsidR="0004193F" w:rsidRDefault="0004193F" w:rsidP="00217F24">
      <w:pPr>
        <w:spacing w:after="120" w:line="276" w:lineRule="auto"/>
        <w:rPr>
          <w:b/>
          <w:szCs w:val="24"/>
        </w:rPr>
      </w:pPr>
    </w:p>
    <w:p w:rsidR="00217F24" w:rsidRPr="00A13556" w:rsidRDefault="00217F24" w:rsidP="00217F24">
      <w:pPr>
        <w:spacing w:after="120" w:line="276" w:lineRule="auto"/>
        <w:rPr>
          <w:b/>
          <w:szCs w:val="24"/>
        </w:rPr>
      </w:pPr>
      <w:r w:rsidRPr="00A13556">
        <w:rPr>
          <w:b/>
          <w:szCs w:val="24"/>
        </w:rPr>
        <w:t>Option 1a</w:t>
      </w:r>
    </w:p>
    <w:p w:rsidR="00217F24" w:rsidRPr="00A13556" w:rsidRDefault="00217F24" w:rsidP="00D25738">
      <w:pPr>
        <w:pStyle w:val="ListParagraph"/>
        <w:numPr>
          <w:ilvl w:val="0"/>
          <w:numId w:val="56"/>
        </w:numPr>
        <w:spacing w:after="120"/>
        <w:jc w:val="both"/>
        <w:rPr>
          <w:b/>
          <w:szCs w:val="24"/>
        </w:rPr>
      </w:pPr>
      <w:r w:rsidRPr="00A13556">
        <w:rPr>
          <w:szCs w:val="24"/>
        </w:rPr>
        <w:t>Allow an additional 12 weeks of PBS subsidised NRT</w:t>
      </w:r>
      <w:r w:rsidRPr="00A13556">
        <w:rPr>
          <w:b/>
          <w:szCs w:val="24"/>
        </w:rPr>
        <w:t xml:space="preserve"> </w:t>
      </w:r>
      <w:r w:rsidRPr="00A13556">
        <w:rPr>
          <w:szCs w:val="24"/>
        </w:rPr>
        <w:t>therap</w:t>
      </w:r>
      <w:r w:rsidR="002A4642">
        <w:rPr>
          <w:szCs w:val="24"/>
        </w:rPr>
        <w:t>y in a 12-month period for non-I</w:t>
      </w:r>
      <w:r w:rsidRPr="00A13556">
        <w:rPr>
          <w:szCs w:val="24"/>
        </w:rPr>
        <w:t>ndigenous patients, for re-treatment of patients who have failed a quit attempt.</w:t>
      </w:r>
    </w:p>
    <w:p w:rsidR="00217F24" w:rsidRPr="00A13556" w:rsidRDefault="00217F24" w:rsidP="00D25738">
      <w:pPr>
        <w:spacing w:after="120" w:line="276" w:lineRule="auto"/>
        <w:ind w:left="720"/>
        <w:jc w:val="both"/>
        <w:rPr>
          <w:b/>
          <w:szCs w:val="24"/>
        </w:rPr>
      </w:pPr>
      <w:r w:rsidRPr="00A13556">
        <w:rPr>
          <w:b/>
          <w:szCs w:val="24"/>
        </w:rPr>
        <w:t>AND</w:t>
      </w:r>
    </w:p>
    <w:p w:rsidR="00217F24" w:rsidRPr="00A13556" w:rsidRDefault="00217F24" w:rsidP="00D25738">
      <w:pPr>
        <w:spacing w:after="120" w:line="276" w:lineRule="auto"/>
        <w:jc w:val="both"/>
        <w:rPr>
          <w:b/>
          <w:szCs w:val="24"/>
        </w:rPr>
      </w:pPr>
      <w:r w:rsidRPr="00A13556">
        <w:rPr>
          <w:b/>
          <w:szCs w:val="24"/>
        </w:rPr>
        <w:t>Option 1b</w:t>
      </w:r>
    </w:p>
    <w:p w:rsidR="00217F24" w:rsidRPr="00A13556" w:rsidRDefault="00217F24" w:rsidP="00D25738">
      <w:pPr>
        <w:pStyle w:val="ListParagraph"/>
        <w:numPr>
          <w:ilvl w:val="0"/>
          <w:numId w:val="56"/>
        </w:numPr>
        <w:spacing w:after="120"/>
        <w:jc w:val="both"/>
        <w:rPr>
          <w:b/>
          <w:szCs w:val="24"/>
        </w:rPr>
      </w:pPr>
      <w:r w:rsidRPr="00A13556">
        <w:rPr>
          <w:szCs w:val="24"/>
        </w:rPr>
        <w:t>Allow an additional 12 weeks of PBS subsidised NRT therap</w:t>
      </w:r>
      <w:r w:rsidR="002A4642">
        <w:rPr>
          <w:szCs w:val="24"/>
        </w:rPr>
        <w:t>y in a 12-month period for non-I</w:t>
      </w:r>
      <w:r w:rsidRPr="00A13556">
        <w:rPr>
          <w:szCs w:val="24"/>
        </w:rPr>
        <w:t>ndigenous patients, who have ceased smoking during the initial 12 weeks of therapy to prevent relapse.</w:t>
      </w:r>
    </w:p>
    <w:p w:rsidR="00217F24" w:rsidRPr="00A13556" w:rsidRDefault="00217F24" w:rsidP="00D25738">
      <w:pPr>
        <w:spacing w:after="120"/>
        <w:jc w:val="both"/>
        <w:rPr>
          <w:szCs w:val="24"/>
        </w:rPr>
      </w:pPr>
      <w:r w:rsidRPr="00A13556">
        <w:rPr>
          <w:szCs w:val="24"/>
        </w:rPr>
        <w:t>Note: Aboriginal and Torres Strait Islander persons already have access to 24 weeks of PBS subsidised NRT in a 12 month period.</w:t>
      </w:r>
    </w:p>
    <w:p w:rsidR="00217F24" w:rsidRPr="00A13556" w:rsidRDefault="00217F24" w:rsidP="00217F24">
      <w:pPr>
        <w:spacing w:after="120" w:line="276" w:lineRule="auto"/>
        <w:rPr>
          <w:b/>
          <w:szCs w:val="24"/>
        </w:rPr>
      </w:pPr>
      <w:r w:rsidRPr="00A13556">
        <w:rPr>
          <w:b/>
          <w:szCs w:val="24"/>
        </w:rPr>
        <w:t>Rationale</w:t>
      </w:r>
    </w:p>
    <w:p w:rsidR="00217F24" w:rsidRPr="00A13556" w:rsidRDefault="00217F24" w:rsidP="00D25738">
      <w:pPr>
        <w:pStyle w:val="ListParagraph"/>
        <w:numPr>
          <w:ilvl w:val="0"/>
          <w:numId w:val="57"/>
        </w:numPr>
        <w:spacing w:after="120"/>
        <w:jc w:val="both"/>
        <w:rPr>
          <w:szCs w:val="24"/>
        </w:rPr>
      </w:pPr>
      <w:r w:rsidRPr="00A13556">
        <w:rPr>
          <w:szCs w:val="24"/>
        </w:rPr>
        <w:t>Stakeholder feedback supported extending the length of NRT therapy available on the PBS to increase the treatment options available for prescribers and consumers.</w:t>
      </w:r>
    </w:p>
    <w:p w:rsidR="00217F24" w:rsidRPr="00A13556" w:rsidRDefault="00217F24" w:rsidP="00D25738">
      <w:pPr>
        <w:pStyle w:val="ListParagraph"/>
        <w:numPr>
          <w:ilvl w:val="0"/>
          <w:numId w:val="57"/>
        </w:numPr>
        <w:spacing w:after="120"/>
        <w:jc w:val="both"/>
        <w:rPr>
          <w:szCs w:val="24"/>
        </w:rPr>
      </w:pPr>
      <w:r w:rsidRPr="00A13556">
        <w:rPr>
          <w:szCs w:val="24"/>
        </w:rPr>
        <w:t xml:space="preserve">The Reference Group noted that there was a lack of evidence from </w:t>
      </w:r>
      <w:proofErr w:type="spellStart"/>
      <w:r w:rsidRPr="00A13556">
        <w:rPr>
          <w:szCs w:val="24"/>
        </w:rPr>
        <w:t>ToR</w:t>
      </w:r>
      <w:proofErr w:type="spellEnd"/>
      <w:r w:rsidRPr="00A13556">
        <w:rPr>
          <w:szCs w:val="24"/>
        </w:rPr>
        <w:t xml:space="preserve"> 3 to support longer durations of treatment with NRT, however it supported removing barriers to people accessing smoking cessation products and greater flexibility for clinicians by allowing longer durations or multiple attempts at stopping within the same year, as this is consistent with public health messaging.</w:t>
      </w:r>
    </w:p>
    <w:p w:rsidR="00217F24" w:rsidRPr="00A13556" w:rsidRDefault="00217F24" w:rsidP="00D25738">
      <w:pPr>
        <w:pStyle w:val="ListParagraph"/>
        <w:numPr>
          <w:ilvl w:val="0"/>
          <w:numId w:val="57"/>
        </w:numPr>
        <w:spacing w:after="120"/>
        <w:jc w:val="both"/>
        <w:rPr>
          <w:szCs w:val="24"/>
        </w:rPr>
      </w:pPr>
      <w:r w:rsidRPr="00A13556">
        <w:rPr>
          <w:szCs w:val="24"/>
        </w:rPr>
        <w:t>The utilisation review of PBS medicines for smoking cessation (</w:t>
      </w:r>
      <w:proofErr w:type="spellStart"/>
      <w:r w:rsidRPr="00A13556">
        <w:rPr>
          <w:szCs w:val="24"/>
        </w:rPr>
        <w:t>ToR</w:t>
      </w:r>
      <w:proofErr w:type="spellEnd"/>
      <w:r w:rsidRPr="00A13556">
        <w:rPr>
          <w:szCs w:val="24"/>
        </w:rPr>
        <w:t xml:space="preserve"> 2) found only 12% of consumers prescribed NRT fill prescriptions for the full 12 weeks duration of therapy, suggesting that uptake (via the PBS) of longer durations of therapy will be low. Additionally, there was no significant difference in the median duration of NRT use between the general population and Aboriginal and Torres Strait Islander population who currently have access to 24 weeks of PBS subsidised NRT.</w:t>
      </w:r>
    </w:p>
    <w:p w:rsidR="00217F24" w:rsidRPr="00A13556" w:rsidRDefault="00217F24" w:rsidP="00D25738">
      <w:pPr>
        <w:spacing w:after="120"/>
        <w:jc w:val="both"/>
        <w:rPr>
          <w:b/>
          <w:color w:val="222222"/>
          <w:szCs w:val="24"/>
        </w:rPr>
      </w:pPr>
      <w:r w:rsidRPr="00A13556">
        <w:rPr>
          <w:b/>
          <w:i/>
          <w:color w:val="222222"/>
          <w:szCs w:val="24"/>
        </w:rPr>
        <w:t>Background and evidence considered by the Reference Group:</w:t>
      </w:r>
      <w:r w:rsidRPr="00A13556">
        <w:rPr>
          <w:b/>
          <w:color w:val="222222"/>
          <w:szCs w:val="24"/>
        </w:rPr>
        <w:t xml:space="preserve"> </w:t>
      </w:r>
      <w:r w:rsidRPr="00A13556">
        <w:rPr>
          <w:color w:val="222222"/>
          <w:szCs w:val="24"/>
        </w:rPr>
        <w:t>The current PBS restrictions state that “</w:t>
      </w:r>
      <w:r w:rsidRPr="00A13556">
        <w:rPr>
          <w:i/>
          <w:szCs w:val="24"/>
        </w:rPr>
        <w:t>Patient must not receive more than 12 weeks</w:t>
      </w:r>
      <w:r w:rsidRPr="00A13556">
        <w:rPr>
          <w:b/>
          <w:i/>
          <w:szCs w:val="24"/>
        </w:rPr>
        <w:t xml:space="preserve"> </w:t>
      </w:r>
      <w:r w:rsidRPr="00A13556">
        <w:rPr>
          <w:i/>
          <w:szCs w:val="24"/>
        </w:rPr>
        <w:t>(or 24 weeks for Aboriginal and Torres Strait Islander people) of PBS-subsidised nicotine replacement therapy per 12-month period”</w:t>
      </w:r>
      <w:r w:rsidRPr="00A13556">
        <w:rPr>
          <w:szCs w:val="24"/>
        </w:rPr>
        <w:t xml:space="preserve">. </w:t>
      </w:r>
      <w:r w:rsidRPr="00A13556">
        <w:rPr>
          <w:color w:val="222222"/>
          <w:szCs w:val="24"/>
        </w:rPr>
        <w:t>A course of NRT refers to 12 weeks of therapy available on the PBS. This may be prescribed as one original script and 2 repeats. Consumers do not need to return to the prescriber to complete the 12 weeks of therapy. The PBS does not allow for an increase in quantity or repeats.</w:t>
      </w:r>
    </w:p>
    <w:p w:rsidR="00217F24" w:rsidRPr="00A13556" w:rsidRDefault="00217F24" w:rsidP="00D25738">
      <w:pPr>
        <w:spacing w:after="120"/>
        <w:jc w:val="both"/>
        <w:rPr>
          <w:color w:val="222222"/>
          <w:szCs w:val="24"/>
        </w:rPr>
      </w:pPr>
      <w:r w:rsidRPr="00A13556">
        <w:rPr>
          <w:color w:val="222222"/>
          <w:szCs w:val="24"/>
        </w:rPr>
        <w:t xml:space="preserve">Restrictions for Aboriginal and Torres Strait Islander persons currently allow for 24 weeks of therapy in a </w:t>
      </w:r>
      <w:r w:rsidR="008B5A2D" w:rsidRPr="00A13556">
        <w:rPr>
          <w:color w:val="222222"/>
          <w:szCs w:val="24"/>
        </w:rPr>
        <w:t>12-month</w:t>
      </w:r>
      <w:r w:rsidRPr="00A13556">
        <w:rPr>
          <w:color w:val="222222"/>
          <w:szCs w:val="24"/>
        </w:rPr>
        <w:t xml:space="preserve"> period. The wording of the restriction allows Aboriginal and Torres Strait Islander persons to access the additional course of NRT beyond 12 weeks, or to use it for a subsequent quit attempt within the </w:t>
      </w:r>
      <w:r w:rsidR="008B5A2D" w:rsidRPr="00A13556">
        <w:rPr>
          <w:color w:val="222222"/>
          <w:szCs w:val="24"/>
        </w:rPr>
        <w:t>12-month</w:t>
      </w:r>
      <w:r w:rsidRPr="00A13556">
        <w:rPr>
          <w:color w:val="222222"/>
          <w:szCs w:val="24"/>
        </w:rPr>
        <w:t xml:space="preserve"> period. To gain access to the additional course of therapy consumers would be required to return to the prescriber to access additional prescriptions. Howev</w:t>
      </w:r>
      <w:r w:rsidR="000C75E6">
        <w:rPr>
          <w:color w:val="222222"/>
          <w:szCs w:val="24"/>
        </w:rPr>
        <w:t xml:space="preserve">er, for consumers accessing </w:t>
      </w:r>
      <w:r w:rsidRPr="00A13556">
        <w:rPr>
          <w:color w:val="222222"/>
          <w:szCs w:val="24"/>
        </w:rPr>
        <w:t>NRT through the s100 Remote Area Access Scheme (RAAS) a prescription is not required.</w:t>
      </w:r>
    </w:p>
    <w:p w:rsidR="00217F24" w:rsidRPr="00A13556" w:rsidRDefault="00217F24" w:rsidP="00D25738">
      <w:pPr>
        <w:spacing w:after="120"/>
        <w:rPr>
          <w:color w:val="222222"/>
          <w:szCs w:val="24"/>
        </w:rPr>
      </w:pPr>
      <w:r w:rsidRPr="00A13556">
        <w:rPr>
          <w:color w:val="222222"/>
          <w:szCs w:val="24"/>
        </w:rPr>
        <w:t xml:space="preserve">The Review Report for </w:t>
      </w:r>
      <w:proofErr w:type="spellStart"/>
      <w:r w:rsidRPr="00A13556">
        <w:rPr>
          <w:color w:val="222222"/>
          <w:szCs w:val="24"/>
        </w:rPr>
        <w:t>ToR</w:t>
      </w:r>
      <w:proofErr w:type="spellEnd"/>
      <w:r w:rsidRPr="00A13556">
        <w:rPr>
          <w:color w:val="222222"/>
          <w:szCs w:val="24"/>
        </w:rPr>
        <w:t xml:space="preserve"> 3 found the following in respect to treatment experienced consumers:</w:t>
      </w:r>
    </w:p>
    <w:p w:rsidR="00217F24" w:rsidRPr="00A13556" w:rsidRDefault="00217F24" w:rsidP="00D25738">
      <w:pPr>
        <w:pStyle w:val="ListParagraph"/>
        <w:keepNext/>
        <w:keepLines/>
        <w:numPr>
          <w:ilvl w:val="0"/>
          <w:numId w:val="54"/>
        </w:numPr>
        <w:spacing w:after="0"/>
        <w:ind w:right="-766"/>
        <w:jc w:val="both"/>
        <w:rPr>
          <w:color w:val="222222"/>
          <w:szCs w:val="24"/>
        </w:rPr>
      </w:pPr>
      <w:r w:rsidRPr="00A13556">
        <w:rPr>
          <w:color w:val="222222"/>
          <w:szCs w:val="24"/>
        </w:rPr>
        <w:t>NRT has not previously been considered by the PBAC for treatment-experienced patients.</w:t>
      </w:r>
    </w:p>
    <w:p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There were no statistically significant differences between NRT (either as gum or inhaler) and placebo in terms of efficacy as a relapse prevention treatment in abstainers. The adverse events reported were consistent with those expected of NRT.</w:t>
      </w:r>
    </w:p>
    <w:p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 xml:space="preserve">The results of </w:t>
      </w:r>
      <w:proofErr w:type="spellStart"/>
      <w:r w:rsidRPr="00A13556">
        <w:rPr>
          <w:color w:val="222222"/>
          <w:szCs w:val="24"/>
        </w:rPr>
        <w:t>Gourlay</w:t>
      </w:r>
      <w:proofErr w:type="spellEnd"/>
      <w:r w:rsidRPr="00A13556">
        <w:rPr>
          <w:color w:val="222222"/>
          <w:szCs w:val="24"/>
        </w:rPr>
        <w:t xml:space="preserve"> et al. (1995), based on continuous abstinence rate, demonstrated no statistically significant difference between NRT patches and placebo in non-abstainers as retreatment at 6 months. However, there was a statistically significant improvement in smoking cessation rates using NRT patches based on 28-day point prevalence abstinence (RR: 2.49; 95% CI: 1.11, 5.57) at this point in the study by </w:t>
      </w:r>
      <w:proofErr w:type="spellStart"/>
      <w:r w:rsidRPr="00A13556">
        <w:rPr>
          <w:color w:val="222222"/>
          <w:szCs w:val="24"/>
        </w:rPr>
        <w:t>Gourlay</w:t>
      </w:r>
      <w:proofErr w:type="spellEnd"/>
      <w:r w:rsidRPr="00A13556">
        <w:rPr>
          <w:color w:val="222222"/>
          <w:szCs w:val="24"/>
        </w:rPr>
        <w:t xml:space="preserve"> et al. (1995) only. In terms of safety, there were no statistically significant differences between the two treatment arms for palpitations, tachycardia or chest pains. </w:t>
      </w:r>
    </w:p>
    <w:p w:rsidR="00217F24" w:rsidRPr="00A13556" w:rsidRDefault="00217F24" w:rsidP="00D25738">
      <w:pPr>
        <w:rPr>
          <w:color w:val="222222"/>
          <w:szCs w:val="24"/>
        </w:rPr>
      </w:pPr>
      <w:r w:rsidRPr="00A13556">
        <w:rPr>
          <w:color w:val="222222"/>
          <w:szCs w:val="24"/>
        </w:rPr>
        <w:t xml:space="preserve">The Review Report for </w:t>
      </w:r>
      <w:proofErr w:type="spellStart"/>
      <w:r w:rsidRPr="00A13556">
        <w:rPr>
          <w:color w:val="222222"/>
          <w:szCs w:val="24"/>
        </w:rPr>
        <w:t>ToR</w:t>
      </w:r>
      <w:proofErr w:type="spellEnd"/>
      <w:r w:rsidRPr="00A13556">
        <w:rPr>
          <w:color w:val="222222"/>
          <w:szCs w:val="24"/>
        </w:rPr>
        <w:t xml:space="preserve"> 3 also found the following in respect to length of treatment for NRT: </w:t>
      </w:r>
    </w:p>
    <w:p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There were no statistically significant differences between longer duration NRT and shorter duration NRT in terms of efficacy and safety (serious adverse events and treatment withdrawals).</w:t>
      </w:r>
    </w:p>
    <w:p w:rsidR="00217F24" w:rsidRPr="00A13556" w:rsidRDefault="00217F24" w:rsidP="00D25738">
      <w:pPr>
        <w:pStyle w:val="ListParagraph"/>
        <w:spacing w:after="120"/>
        <w:ind w:left="360"/>
        <w:rPr>
          <w:color w:val="222222"/>
          <w:szCs w:val="24"/>
        </w:rPr>
      </w:pPr>
      <w:r w:rsidRPr="00A13556">
        <w:rPr>
          <w:color w:val="222222"/>
          <w:szCs w:val="24"/>
        </w:rPr>
        <w:t>For this comparison, NRT was administered either as monotherapy (patch or gum) or combination therapy.</w:t>
      </w:r>
    </w:p>
    <w:p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 xml:space="preserve">For other variations in NRT use (24-hour versus 16-hour patches, continue versus stop patch use on relapse, and 22 weeks of a combination of 35 mg patches and fast-acting NRT versus 10 weeks of 21 mg patches), there were no statistically significant differences in smoking cessation rates, serious adverse events, treatment withdrawals and cardiac events in all comparisons.    </w:t>
      </w:r>
    </w:p>
    <w:p w:rsidR="008F5852" w:rsidRDefault="008F5852" w:rsidP="00815A6D">
      <w:pPr>
        <w:pStyle w:val="Heading3"/>
      </w:pPr>
      <w:bookmarkStart w:id="59" w:name="_Toc72848469"/>
      <w:r>
        <w:t xml:space="preserve">5.2 Option </w:t>
      </w:r>
      <w:r w:rsidR="002F3376">
        <w:t>2</w:t>
      </w:r>
      <w:bookmarkEnd w:id="59"/>
    </w:p>
    <w:p w:rsidR="0004193F" w:rsidRDefault="0004193F" w:rsidP="00217F24">
      <w:pPr>
        <w:spacing w:after="120" w:line="276" w:lineRule="auto"/>
        <w:rPr>
          <w:b/>
          <w:szCs w:val="24"/>
        </w:rPr>
      </w:pPr>
    </w:p>
    <w:p w:rsidR="00217F24" w:rsidRPr="00A13556" w:rsidRDefault="00217F24" w:rsidP="00217F24">
      <w:pPr>
        <w:spacing w:after="120" w:line="276" w:lineRule="auto"/>
        <w:rPr>
          <w:b/>
          <w:szCs w:val="24"/>
        </w:rPr>
      </w:pPr>
      <w:r w:rsidRPr="00A13556">
        <w:rPr>
          <w:b/>
          <w:szCs w:val="24"/>
        </w:rPr>
        <w:t>Option 2a</w:t>
      </w:r>
    </w:p>
    <w:p w:rsidR="00217F24" w:rsidRPr="00A13556" w:rsidRDefault="00217F24" w:rsidP="00D25738">
      <w:pPr>
        <w:pStyle w:val="ListParagraph"/>
        <w:numPr>
          <w:ilvl w:val="0"/>
          <w:numId w:val="51"/>
        </w:numPr>
        <w:spacing w:after="120"/>
        <w:jc w:val="both"/>
        <w:rPr>
          <w:szCs w:val="24"/>
        </w:rPr>
      </w:pPr>
      <w:r w:rsidRPr="00A13556">
        <w:rPr>
          <w:szCs w:val="24"/>
        </w:rPr>
        <w:t>Remove the requirement for nicotine patch, lozenge or gum to be used as monotherapy to allow for combinations of NRT patch + short acting formulations to be used concomitantly on the PBS.</w:t>
      </w:r>
    </w:p>
    <w:p w:rsidR="00217F24" w:rsidRPr="00A13556" w:rsidRDefault="00217F24" w:rsidP="00D25738">
      <w:pPr>
        <w:pStyle w:val="ListParagraph"/>
        <w:spacing w:after="120"/>
        <w:rPr>
          <w:b/>
          <w:szCs w:val="24"/>
        </w:rPr>
      </w:pPr>
    </w:p>
    <w:p w:rsidR="00217F24" w:rsidRPr="00A13556" w:rsidRDefault="00217F24" w:rsidP="00D25738">
      <w:pPr>
        <w:pStyle w:val="ListParagraph"/>
        <w:spacing w:after="120"/>
        <w:rPr>
          <w:szCs w:val="24"/>
        </w:rPr>
      </w:pPr>
      <w:r w:rsidRPr="00A13556">
        <w:rPr>
          <w:b/>
          <w:szCs w:val="24"/>
        </w:rPr>
        <w:t>AND</w:t>
      </w:r>
    </w:p>
    <w:p w:rsidR="00217F24" w:rsidRPr="00A13556" w:rsidRDefault="00217F24" w:rsidP="00D25738">
      <w:pPr>
        <w:spacing w:after="120"/>
        <w:rPr>
          <w:b/>
          <w:szCs w:val="24"/>
        </w:rPr>
      </w:pPr>
      <w:r w:rsidRPr="00A13556">
        <w:rPr>
          <w:b/>
          <w:szCs w:val="24"/>
        </w:rPr>
        <w:t>Option 2b</w:t>
      </w:r>
    </w:p>
    <w:p w:rsidR="00217F24" w:rsidRPr="00A13556" w:rsidRDefault="00217F24" w:rsidP="00D25738">
      <w:pPr>
        <w:pStyle w:val="ListParagraph"/>
        <w:numPr>
          <w:ilvl w:val="0"/>
          <w:numId w:val="51"/>
        </w:numPr>
        <w:spacing w:after="120"/>
        <w:jc w:val="both"/>
        <w:rPr>
          <w:szCs w:val="24"/>
        </w:rPr>
      </w:pPr>
      <w:r w:rsidRPr="00A13556">
        <w:rPr>
          <w:szCs w:val="24"/>
        </w:rPr>
        <w:t>Remove the requirement for nicotine patch, to be used as monotherapy to allow for combinations of NRT patch formulations to be used on the PBS, to allow for double patching (e.g. two 21 mg/24 hours patches daily, 21mg + 14mg/24 hour patches daily) as second line therapy under an authority required restriction. Alternatively, double patching could be achieved by allowing increased quantities to be approved via a phone or online authority.</w:t>
      </w:r>
    </w:p>
    <w:p w:rsidR="00217F24" w:rsidRPr="00A13556" w:rsidRDefault="00217F24" w:rsidP="00217F24">
      <w:pPr>
        <w:pStyle w:val="ListParagraph"/>
        <w:spacing w:after="120" w:line="276" w:lineRule="auto"/>
        <w:rPr>
          <w:szCs w:val="24"/>
        </w:rPr>
      </w:pPr>
    </w:p>
    <w:p w:rsidR="00217F24" w:rsidRPr="00A13556" w:rsidRDefault="00217F24" w:rsidP="00217F24">
      <w:pPr>
        <w:spacing w:line="276" w:lineRule="auto"/>
        <w:rPr>
          <w:b/>
          <w:szCs w:val="24"/>
        </w:rPr>
      </w:pPr>
      <w:r w:rsidRPr="00A13556" w:rsidDel="00832D75">
        <w:rPr>
          <w:szCs w:val="24"/>
        </w:rPr>
        <w:t xml:space="preserve"> </w:t>
      </w:r>
      <w:r w:rsidRPr="00A13556">
        <w:rPr>
          <w:b/>
          <w:szCs w:val="24"/>
        </w:rPr>
        <w:t>Rationale 2a</w:t>
      </w:r>
    </w:p>
    <w:p w:rsidR="00217F24" w:rsidRPr="00A13556" w:rsidRDefault="00217F24" w:rsidP="00D25738">
      <w:pPr>
        <w:pStyle w:val="ListParagraph"/>
        <w:numPr>
          <w:ilvl w:val="0"/>
          <w:numId w:val="57"/>
        </w:numPr>
        <w:spacing w:after="120"/>
        <w:jc w:val="both"/>
        <w:rPr>
          <w:szCs w:val="24"/>
        </w:rPr>
      </w:pPr>
      <w:r w:rsidRPr="00A13556">
        <w:rPr>
          <w:szCs w:val="24"/>
        </w:rPr>
        <w:t>In the Review report, combination NRT was shown to be superior to NRT monotherapy (patch or fast-acting -including gum and lozenge) in terms of efficacy. In terms of safety, there were no statistically significant differences in cardiac adverse events, serious adverse events or withdrawals due to treatment.</w:t>
      </w:r>
      <w:r w:rsidRPr="00A13556" w:rsidDel="00A620B1">
        <w:rPr>
          <w:szCs w:val="24"/>
        </w:rPr>
        <w:t xml:space="preserve"> </w:t>
      </w:r>
    </w:p>
    <w:p w:rsidR="00217F24" w:rsidRPr="00A13556" w:rsidRDefault="00154AAA" w:rsidP="00D25738">
      <w:pPr>
        <w:pStyle w:val="ListParagraph"/>
        <w:numPr>
          <w:ilvl w:val="0"/>
          <w:numId w:val="57"/>
        </w:numPr>
        <w:spacing w:after="120"/>
        <w:jc w:val="both"/>
        <w:rPr>
          <w:szCs w:val="24"/>
        </w:rPr>
      </w:pPr>
      <w:r>
        <w:rPr>
          <w:szCs w:val="24"/>
        </w:rPr>
        <w:t>T</w:t>
      </w:r>
      <w:r w:rsidR="00217F24" w:rsidRPr="00A13556">
        <w:rPr>
          <w:szCs w:val="24"/>
        </w:rPr>
        <w:t xml:space="preserve">he use of two forms of NRT at the same </w:t>
      </w:r>
      <w:r w:rsidR="002F3376" w:rsidRPr="00A13556">
        <w:rPr>
          <w:szCs w:val="24"/>
        </w:rPr>
        <w:t>time is</w:t>
      </w:r>
      <w:r w:rsidR="00217F24" w:rsidRPr="00A13556">
        <w:rPr>
          <w:szCs w:val="24"/>
        </w:rPr>
        <w:t xml:space="preserve"> inconsistent with all guidelines reviewed in </w:t>
      </w:r>
      <w:proofErr w:type="spellStart"/>
      <w:r w:rsidR="00217F24" w:rsidRPr="00A13556">
        <w:rPr>
          <w:szCs w:val="24"/>
        </w:rPr>
        <w:t>ToR</w:t>
      </w:r>
      <w:proofErr w:type="spellEnd"/>
      <w:r w:rsidR="00217F24" w:rsidRPr="00A13556">
        <w:rPr>
          <w:szCs w:val="24"/>
        </w:rPr>
        <w:t xml:space="preserve"> 1 and TGA-approved dosing of NRT.</w:t>
      </w:r>
    </w:p>
    <w:p w:rsidR="00217F24" w:rsidRPr="00A13556" w:rsidRDefault="00217F24" w:rsidP="00D25738">
      <w:pPr>
        <w:pStyle w:val="ListParagraph"/>
        <w:numPr>
          <w:ilvl w:val="0"/>
          <w:numId w:val="57"/>
        </w:numPr>
        <w:spacing w:after="120"/>
        <w:jc w:val="both"/>
        <w:rPr>
          <w:szCs w:val="24"/>
        </w:rPr>
      </w:pPr>
      <w:r w:rsidRPr="00A13556">
        <w:rPr>
          <w:szCs w:val="24"/>
        </w:rPr>
        <w:t>Stakeholders strongly supported allowing combination NRT use on the PBS.</w:t>
      </w:r>
    </w:p>
    <w:p w:rsidR="00217F24" w:rsidRPr="00A13556" w:rsidRDefault="00217F24" w:rsidP="00D25738">
      <w:pPr>
        <w:pStyle w:val="ListParagraph"/>
        <w:numPr>
          <w:ilvl w:val="0"/>
          <w:numId w:val="57"/>
        </w:numPr>
        <w:spacing w:after="120"/>
        <w:jc w:val="both"/>
        <w:rPr>
          <w:szCs w:val="24"/>
        </w:rPr>
      </w:pPr>
      <w:r w:rsidRPr="00A13556">
        <w:rPr>
          <w:szCs w:val="24"/>
        </w:rPr>
        <w:t>The reference group acknowledged that if the PBAC was of a mind to support combination therapy with NRT products listed on the PBS, it would need to consider the cost-effectiveness and net cost to government as part of any final recommendation.</w:t>
      </w:r>
    </w:p>
    <w:p w:rsidR="00217F24" w:rsidRPr="00A13556" w:rsidRDefault="00217F24" w:rsidP="00D25738">
      <w:pPr>
        <w:pStyle w:val="ListParagraph"/>
        <w:numPr>
          <w:ilvl w:val="0"/>
          <w:numId w:val="57"/>
        </w:numPr>
        <w:spacing w:after="120"/>
        <w:jc w:val="both"/>
        <w:rPr>
          <w:szCs w:val="24"/>
        </w:rPr>
      </w:pPr>
      <w:r w:rsidRPr="00A13556">
        <w:rPr>
          <w:szCs w:val="24"/>
        </w:rPr>
        <w:t>Based on the Cochrane Review by Hartmann-Boyce (2018) and one RCT (Chen 2020), combination NRT (patch + lozenge, patch + lozenge and gum) was shown to be superior to placebo in terms of efficacy. There were no statistically significant differences between NRT patch + lozenge and placebo in terms of any adverse events and serious adverse events.</w:t>
      </w:r>
    </w:p>
    <w:p w:rsidR="00217F24" w:rsidRPr="00A13556" w:rsidRDefault="00217F24" w:rsidP="00D25738">
      <w:pPr>
        <w:pStyle w:val="ListParagraph"/>
        <w:numPr>
          <w:ilvl w:val="0"/>
          <w:numId w:val="57"/>
        </w:numPr>
        <w:spacing w:after="120"/>
        <w:jc w:val="both"/>
        <w:rPr>
          <w:szCs w:val="24"/>
        </w:rPr>
      </w:pPr>
      <w:r w:rsidRPr="00A13556">
        <w:rPr>
          <w:szCs w:val="24"/>
        </w:rPr>
        <w:t xml:space="preserve">For the comparison of NRT patch + gum versus placebo, there were no statistically significant differences between the two treatment arms based on the meta-analysis of two studies conducted by Hartmann-Boyce et al. (2019), although the results numerically favoured NRT patch + gum. The non-significant result of NRT patch + gum was likely due to the study design issues, such as small sample size, leading to insufficient power to detect a modest treatment effect with reasonable certainty. </w:t>
      </w:r>
    </w:p>
    <w:p w:rsidR="002F3376" w:rsidRPr="00FC7DC2" w:rsidRDefault="00217F24" w:rsidP="00FC7DC2">
      <w:pPr>
        <w:pStyle w:val="ListParagraph"/>
        <w:numPr>
          <w:ilvl w:val="0"/>
          <w:numId w:val="57"/>
        </w:numPr>
        <w:spacing w:after="120"/>
        <w:jc w:val="both"/>
        <w:rPr>
          <w:szCs w:val="24"/>
        </w:rPr>
      </w:pPr>
      <w:r w:rsidRPr="00A13556">
        <w:rPr>
          <w:szCs w:val="24"/>
        </w:rPr>
        <w:t xml:space="preserve">Based on one direct RCT (Chen 2020), combination NRT (patch + lozenge) was shown to be inferior to </w:t>
      </w:r>
      <w:proofErr w:type="spellStart"/>
      <w:r w:rsidRPr="00A13556">
        <w:rPr>
          <w:szCs w:val="24"/>
        </w:rPr>
        <w:t>varenicline</w:t>
      </w:r>
      <w:proofErr w:type="spellEnd"/>
      <w:r w:rsidRPr="00A13556">
        <w:rPr>
          <w:szCs w:val="24"/>
        </w:rPr>
        <w:t xml:space="preserve"> in terms of efficacy with no statistically significant differences in terms of safety. However, based on the results of the network meta-analysis by Cahill et al. (2013), there was no statistically significant difference in smoking cessation rates between combination NRT and </w:t>
      </w:r>
      <w:proofErr w:type="spellStart"/>
      <w:r w:rsidRPr="00A13556">
        <w:rPr>
          <w:szCs w:val="24"/>
        </w:rPr>
        <w:t>varenicline</w:t>
      </w:r>
      <w:proofErr w:type="spellEnd"/>
      <w:r w:rsidRPr="00A13556">
        <w:rPr>
          <w:szCs w:val="24"/>
        </w:rPr>
        <w:t xml:space="preserve">, although the results numerically favoured </w:t>
      </w:r>
      <w:proofErr w:type="spellStart"/>
      <w:r w:rsidRPr="00A13556">
        <w:rPr>
          <w:szCs w:val="24"/>
        </w:rPr>
        <w:t>varenicline</w:t>
      </w:r>
      <w:proofErr w:type="spellEnd"/>
      <w:r w:rsidRPr="00A13556">
        <w:rPr>
          <w:szCs w:val="24"/>
        </w:rPr>
        <w:t>. The results of the network meta-analysis should be interpreted with caution due to potential biases and uncertainties arising from heterogeneity and inconsistent outcomes between studies.</w:t>
      </w:r>
    </w:p>
    <w:p w:rsidR="00217F24" w:rsidRPr="00A13556" w:rsidRDefault="00217F24" w:rsidP="00217F24">
      <w:pPr>
        <w:spacing w:after="120" w:line="276" w:lineRule="auto"/>
        <w:rPr>
          <w:b/>
          <w:szCs w:val="24"/>
        </w:rPr>
      </w:pPr>
      <w:r w:rsidRPr="00A13556">
        <w:rPr>
          <w:b/>
          <w:szCs w:val="24"/>
        </w:rPr>
        <w:t>Rational 2b</w:t>
      </w:r>
    </w:p>
    <w:p w:rsidR="00217F24" w:rsidRPr="00A13556" w:rsidRDefault="00217F24" w:rsidP="00D25738">
      <w:pPr>
        <w:pStyle w:val="ListParagraph"/>
        <w:numPr>
          <w:ilvl w:val="0"/>
          <w:numId w:val="58"/>
        </w:numPr>
        <w:spacing w:after="120"/>
        <w:jc w:val="both"/>
        <w:rPr>
          <w:szCs w:val="24"/>
        </w:rPr>
      </w:pPr>
      <w:r w:rsidRPr="00A13556">
        <w:rPr>
          <w:szCs w:val="24"/>
        </w:rPr>
        <w:t xml:space="preserve">The reference group considered that high dose NRT was a useful treatment option for some patients who are highly nicotine dependent. However, they considered PBS restrictions should not allow higher doses (higher than 21mg/hr) first line and clinicians should first trial standard dose NRT to avoid unnecessary treatment withdrawal and wastage. The reference group supported allowing high dose NRT under the PBS with an authority required level of restriction or increased quantities via authority approval. </w:t>
      </w:r>
    </w:p>
    <w:p w:rsidR="00217F24" w:rsidRPr="00A13556" w:rsidRDefault="00217F24" w:rsidP="00D25738">
      <w:pPr>
        <w:pStyle w:val="ListParagraph"/>
        <w:numPr>
          <w:ilvl w:val="0"/>
          <w:numId w:val="58"/>
        </w:numPr>
        <w:spacing w:after="120"/>
        <w:jc w:val="both"/>
        <w:rPr>
          <w:szCs w:val="24"/>
        </w:rPr>
      </w:pPr>
      <w:r w:rsidRPr="00A13556">
        <w:rPr>
          <w:szCs w:val="24"/>
        </w:rPr>
        <w:t xml:space="preserve">The reference group also noted that higher doses of NRT can be achieved by allowing combination NRT to be subsidised under the PBS. </w:t>
      </w:r>
    </w:p>
    <w:p w:rsidR="00217F24" w:rsidRPr="00A13556" w:rsidRDefault="00217F24" w:rsidP="00D25738">
      <w:pPr>
        <w:pStyle w:val="ListParagraph"/>
        <w:numPr>
          <w:ilvl w:val="0"/>
          <w:numId w:val="58"/>
        </w:numPr>
        <w:spacing w:after="120"/>
        <w:jc w:val="both"/>
        <w:rPr>
          <w:szCs w:val="24"/>
        </w:rPr>
      </w:pPr>
      <w:r w:rsidRPr="00A13556">
        <w:rPr>
          <w:szCs w:val="24"/>
        </w:rPr>
        <w:t>Stakeholders considered that the effectiveness of PBS-listed smoking cessation medicines could be improved by allowing higher doses (i.e. increased quantities) of currently listed NRT patches.</w:t>
      </w:r>
    </w:p>
    <w:p w:rsidR="00217F24" w:rsidRPr="00A13556" w:rsidRDefault="00217F24" w:rsidP="00D25738">
      <w:pPr>
        <w:pStyle w:val="ListParagraph"/>
        <w:numPr>
          <w:ilvl w:val="0"/>
          <w:numId w:val="58"/>
        </w:numPr>
        <w:spacing w:after="120"/>
        <w:jc w:val="both"/>
        <w:rPr>
          <w:szCs w:val="24"/>
        </w:rPr>
      </w:pPr>
      <w:r w:rsidRPr="00A13556">
        <w:rPr>
          <w:szCs w:val="24"/>
        </w:rPr>
        <w:t xml:space="preserve">In the Cochrane Review by </w:t>
      </w:r>
      <w:proofErr w:type="spellStart"/>
      <w:r w:rsidRPr="00A13556">
        <w:rPr>
          <w:szCs w:val="24"/>
        </w:rPr>
        <w:t>Lindson</w:t>
      </w:r>
      <w:proofErr w:type="spellEnd"/>
      <w:r w:rsidRPr="00A13556">
        <w:rPr>
          <w:szCs w:val="24"/>
        </w:rPr>
        <w:t xml:space="preserve"> (2019), higher strength NRT patches (21 mg/24-hour) were shown to be superior to lower strength patches (14 mg/24-hour) in terms of efficacy. However, there were no statistically significant differences in smoking cessation rates reported for the other comparisons (25 mg/16-hour versus 15 mg/16-hour patches; 42/44 mg/24-hour versus 21/22 mg/24-hour patches). The majority of trials included in the Cochrane Review involved participants with a high level of dependence, who smoked 20 or more cigarettes a day.</w:t>
      </w:r>
    </w:p>
    <w:p w:rsidR="00217F24" w:rsidRPr="00A13556" w:rsidRDefault="00217F24" w:rsidP="00D25738">
      <w:pPr>
        <w:pStyle w:val="ListParagraph"/>
        <w:numPr>
          <w:ilvl w:val="0"/>
          <w:numId w:val="58"/>
        </w:numPr>
        <w:spacing w:after="120"/>
        <w:jc w:val="both"/>
        <w:rPr>
          <w:szCs w:val="24"/>
        </w:rPr>
      </w:pPr>
      <w:r w:rsidRPr="00A13556">
        <w:rPr>
          <w:szCs w:val="24"/>
        </w:rPr>
        <w:t>For the assessment of safety, there were no statistically significant differences in the key adverse event rates between higher strength and lower strength NRT patches, except for treatment withdrawals. The comparison between the 42/44 mg and 21/22 mg (24-hour) patches reported a significantly higher treatment withdrawal rate in patients treated with 42/44 mg (24-hour) patches.</w:t>
      </w:r>
    </w:p>
    <w:p w:rsidR="00217F24" w:rsidRPr="00A13556" w:rsidRDefault="00217F24" w:rsidP="00D25738">
      <w:pPr>
        <w:pStyle w:val="ListParagraph"/>
        <w:numPr>
          <w:ilvl w:val="0"/>
          <w:numId w:val="58"/>
        </w:numPr>
        <w:spacing w:after="120"/>
        <w:jc w:val="both"/>
        <w:rPr>
          <w:szCs w:val="24"/>
        </w:rPr>
      </w:pPr>
      <w:r w:rsidRPr="00A13556">
        <w:rPr>
          <w:szCs w:val="24"/>
        </w:rPr>
        <w:t>The allowable quantities for NRT patches in the current PBS restrictions do not account for ‘double-patching’ although several guidelines suggested that this may be useful for heavily dependent smokers.</w:t>
      </w:r>
    </w:p>
    <w:p w:rsidR="00217F24" w:rsidRPr="00A13556" w:rsidRDefault="00217F24" w:rsidP="00217F24">
      <w:pPr>
        <w:spacing w:after="120" w:line="276" w:lineRule="auto"/>
        <w:rPr>
          <w:b/>
          <w:color w:val="222222"/>
          <w:szCs w:val="24"/>
        </w:rPr>
      </w:pPr>
      <w:r w:rsidRPr="00A13556">
        <w:rPr>
          <w:b/>
          <w:i/>
          <w:color w:val="222222"/>
          <w:szCs w:val="24"/>
        </w:rPr>
        <w:t xml:space="preserve">Background </w:t>
      </w:r>
    </w:p>
    <w:p w:rsidR="00217F24" w:rsidRPr="00A13556" w:rsidRDefault="00217F24" w:rsidP="00D25738">
      <w:pPr>
        <w:spacing w:after="120"/>
        <w:rPr>
          <w:b/>
          <w:color w:val="222222"/>
          <w:szCs w:val="24"/>
        </w:rPr>
      </w:pPr>
      <w:r w:rsidRPr="00A13556">
        <w:rPr>
          <w:szCs w:val="24"/>
        </w:rPr>
        <w:t>The current PBS restrictions for NRT state “</w:t>
      </w:r>
      <w:r w:rsidRPr="00A13556">
        <w:rPr>
          <w:i/>
          <w:szCs w:val="24"/>
        </w:rPr>
        <w:t>the treatment must be the sole PBS-subsidised therapy for this condition”.</w:t>
      </w:r>
    </w:p>
    <w:p w:rsidR="00217F24" w:rsidRPr="00A13556" w:rsidRDefault="00217F24" w:rsidP="00D25738">
      <w:pPr>
        <w:spacing w:after="120"/>
        <w:rPr>
          <w:szCs w:val="24"/>
        </w:rPr>
      </w:pPr>
      <w:r w:rsidRPr="00A13556">
        <w:rPr>
          <w:szCs w:val="24"/>
        </w:rPr>
        <w:t>Combinations of NRT for smoking cessation have not been previously considered by the PBAC. In March 2018, the PBAC noted that the latest clinical guidelines encouraged health professionals to consider recommending the use of combination NRT (e.g. NRT patch with NRT gum or lozenges).</w:t>
      </w:r>
    </w:p>
    <w:p w:rsidR="00217F24" w:rsidRPr="00A13556" w:rsidRDefault="008F5852" w:rsidP="002F3376">
      <w:pPr>
        <w:pStyle w:val="Heading3"/>
        <w:spacing w:after="240"/>
      </w:pPr>
      <w:bookmarkStart w:id="60" w:name="_Toc72848470"/>
      <w:r>
        <w:t xml:space="preserve">5.3 </w:t>
      </w:r>
      <w:r w:rsidR="00217F24" w:rsidRPr="00A13556">
        <w:t>Option 3</w:t>
      </w:r>
      <w:bookmarkEnd w:id="60"/>
      <w:r w:rsidR="00154AAA">
        <w:t xml:space="preserve"> </w:t>
      </w:r>
    </w:p>
    <w:p w:rsidR="00217F24" w:rsidRPr="00A13556" w:rsidRDefault="00217F24" w:rsidP="00D25738">
      <w:pPr>
        <w:pStyle w:val="ListParagraph"/>
        <w:numPr>
          <w:ilvl w:val="0"/>
          <w:numId w:val="51"/>
        </w:numPr>
        <w:spacing w:after="120"/>
        <w:jc w:val="both"/>
        <w:rPr>
          <w:szCs w:val="24"/>
        </w:rPr>
      </w:pPr>
      <w:r w:rsidRPr="00A13556">
        <w:rPr>
          <w:b/>
          <w:szCs w:val="24"/>
        </w:rPr>
        <w:t xml:space="preserve"> </w:t>
      </w:r>
      <w:r w:rsidRPr="00A13556">
        <w:rPr>
          <w:szCs w:val="24"/>
        </w:rPr>
        <w:t xml:space="preserve">Remove the requirement for </w:t>
      </w:r>
      <w:proofErr w:type="spellStart"/>
      <w:r w:rsidRPr="00A13556">
        <w:rPr>
          <w:szCs w:val="24"/>
        </w:rPr>
        <w:t>varenicline</w:t>
      </w:r>
      <w:proofErr w:type="spellEnd"/>
      <w:r w:rsidRPr="00A13556">
        <w:rPr>
          <w:szCs w:val="24"/>
        </w:rPr>
        <w:t xml:space="preserve"> to be used as monotherapy, to allow for use in combination with NRT on the PBS.</w:t>
      </w:r>
    </w:p>
    <w:p w:rsidR="00217F24" w:rsidRPr="00A13556" w:rsidRDefault="00217F24" w:rsidP="00D25738">
      <w:pPr>
        <w:spacing w:after="120"/>
        <w:rPr>
          <w:szCs w:val="24"/>
        </w:rPr>
      </w:pPr>
      <w:r w:rsidRPr="00A13556">
        <w:rPr>
          <w:b/>
          <w:szCs w:val="24"/>
        </w:rPr>
        <w:t>Rationale</w:t>
      </w:r>
    </w:p>
    <w:p w:rsidR="00217F24" w:rsidRPr="00A13556" w:rsidRDefault="00217F24" w:rsidP="00D25738">
      <w:pPr>
        <w:pStyle w:val="ListParagraph"/>
        <w:numPr>
          <w:ilvl w:val="0"/>
          <w:numId w:val="60"/>
        </w:numPr>
        <w:spacing w:after="120"/>
        <w:jc w:val="both"/>
        <w:rPr>
          <w:szCs w:val="24"/>
        </w:rPr>
      </w:pPr>
      <w:r w:rsidRPr="00A13556">
        <w:rPr>
          <w:szCs w:val="24"/>
        </w:rPr>
        <w:t xml:space="preserve">The Review Report found that </w:t>
      </w:r>
      <w:proofErr w:type="spellStart"/>
      <w:r w:rsidRPr="00A13556">
        <w:rPr>
          <w:szCs w:val="24"/>
        </w:rPr>
        <w:t>varenicline</w:t>
      </w:r>
      <w:proofErr w:type="spellEnd"/>
      <w:r w:rsidRPr="00A13556">
        <w:rPr>
          <w:szCs w:val="24"/>
        </w:rPr>
        <w:t xml:space="preserve"> in combination with NRT patch was shown to be superior to </w:t>
      </w:r>
      <w:proofErr w:type="spellStart"/>
      <w:r w:rsidRPr="00A13556">
        <w:rPr>
          <w:szCs w:val="24"/>
        </w:rPr>
        <w:t>varenicline</w:t>
      </w:r>
      <w:proofErr w:type="spellEnd"/>
      <w:r w:rsidRPr="00A13556">
        <w:rPr>
          <w:szCs w:val="24"/>
        </w:rPr>
        <w:t xml:space="preserve"> alone in terms of efficacy, but the results were no longer significant after excluding one RCT identified that had a  different study design and participant characteristics. There were no statistically significant differences between </w:t>
      </w:r>
      <w:proofErr w:type="spellStart"/>
      <w:r w:rsidRPr="00A13556">
        <w:rPr>
          <w:szCs w:val="24"/>
        </w:rPr>
        <w:t>varenicline</w:t>
      </w:r>
      <w:proofErr w:type="spellEnd"/>
      <w:r w:rsidRPr="00A13556">
        <w:rPr>
          <w:szCs w:val="24"/>
        </w:rPr>
        <w:t xml:space="preserve"> plus NRT patch and </w:t>
      </w:r>
      <w:proofErr w:type="spellStart"/>
      <w:r w:rsidRPr="00A13556">
        <w:rPr>
          <w:szCs w:val="24"/>
        </w:rPr>
        <w:t>varenicline</w:t>
      </w:r>
      <w:proofErr w:type="spellEnd"/>
      <w:r w:rsidRPr="00A13556">
        <w:rPr>
          <w:szCs w:val="24"/>
        </w:rPr>
        <w:t xml:space="preserve"> alone in terms of nausea, insomnia, abnormal dreams or headache.</w:t>
      </w:r>
    </w:p>
    <w:p w:rsidR="00217F24" w:rsidRPr="00A13556" w:rsidRDefault="00217F24" w:rsidP="00D25738">
      <w:pPr>
        <w:pStyle w:val="ListParagraph"/>
        <w:numPr>
          <w:ilvl w:val="0"/>
          <w:numId w:val="60"/>
        </w:numPr>
        <w:spacing w:after="120"/>
        <w:jc w:val="both"/>
        <w:rPr>
          <w:b/>
          <w:i/>
          <w:szCs w:val="24"/>
        </w:rPr>
      </w:pPr>
      <w:r w:rsidRPr="00A13556">
        <w:rPr>
          <w:szCs w:val="24"/>
        </w:rPr>
        <w:t xml:space="preserve">The Reference Group acknowledged that cost-effectiveness modelling for </w:t>
      </w:r>
      <w:proofErr w:type="spellStart"/>
      <w:r w:rsidRPr="00A13556">
        <w:rPr>
          <w:szCs w:val="24"/>
        </w:rPr>
        <w:t>varenicline</w:t>
      </w:r>
      <w:proofErr w:type="spellEnd"/>
      <w:r w:rsidRPr="00A13556">
        <w:rPr>
          <w:szCs w:val="24"/>
        </w:rPr>
        <w:t xml:space="preserve"> + NRT versus </w:t>
      </w:r>
      <w:proofErr w:type="spellStart"/>
      <w:r w:rsidRPr="00A13556">
        <w:rPr>
          <w:szCs w:val="24"/>
        </w:rPr>
        <w:t>varenicline</w:t>
      </w:r>
      <w:proofErr w:type="spellEnd"/>
      <w:r w:rsidRPr="00A13556">
        <w:rPr>
          <w:szCs w:val="24"/>
        </w:rPr>
        <w:t xml:space="preserve"> would be </w:t>
      </w:r>
      <w:proofErr w:type="gramStart"/>
      <w:r w:rsidRPr="00A13556">
        <w:rPr>
          <w:szCs w:val="24"/>
        </w:rPr>
        <w:t>informative  if</w:t>
      </w:r>
      <w:proofErr w:type="gramEnd"/>
      <w:r w:rsidRPr="00A13556">
        <w:rPr>
          <w:szCs w:val="24"/>
        </w:rPr>
        <w:t xml:space="preserve"> the PBAC  consider combination </w:t>
      </w:r>
      <w:proofErr w:type="spellStart"/>
      <w:r w:rsidRPr="00A13556">
        <w:rPr>
          <w:szCs w:val="24"/>
        </w:rPr>
        <w:t>varenicline</w:t>
      </w:r>
      <w:proofErr w:type="spellEnd"/>
      <w:r w:rsidRPr="00A13556">
        <w:rPr>
          <w:szCs w:val="24"/>
        </w:rPr>
        <w:t xml:space="preserve"> + NRT </w:t>
      </w:r>
      <w:r w:rsidR="008531D1">
        <w:rPr>
          <w:szCs w:val="24"/>
        </w:rPr>
        <w:t>a clinically effective treatment.</w:t>
      </w:r>
      <w:r w:rsidRPr="00A13556">
        <w:rPr>
          <w:szCs w:val="24"/>
        </w:rPr>
        <w:t xml:space="preserve"> </w:t>
      </w:r>
    </w:p>
    <w:p w:rsidR="00217F24" w:rsidRPr="00A13556" w:rsidRDefault="00217F24" w:rsidP="00D25738">
      <w:pPr>
        <w:pStyle w:val="ListParagraph"/>
        <w:numPr>
          <w:ilvl w:val="0"/>
          <w:numId w:val="60"/>
        </w:numPr>
        <w:spacing w:after="120"/>
        <w:jc w:val="both"/>
        <w:rPr>
          <w:b/>
          <w:i/>
          <w:szCs w:val="24"/>
        </w:rPr>
      </w:pPr>
      <w:r w:rsidRPr="00A13556">
        <w:rPr>
          <w:szCs w:val="24"/>
        </w:rPr>
        <w:t xml:space="preserve">Two national guidelines (RACGP and Cancer Council Victoria) and one international guideline (Canada) recommended the use of </w:t>
      </w:r>
      <w:proofErr w:type="spellStart"/>
      <w:r w:rsidRPr="00A13556">
        <w:rPr>
          <w:szCs w:val="24"/>
        </w:rPr>
        <w:t>varenicline</w:t>
      </w:r>
      <w:proofErr w:type="spellEnd"/>
      <w:r w:rsidRPr="00A13556">
        <w:rPr>
          <w:szCs w:val="24"/>
        </w:rPr>
        <w:t xml:space="preserve"> in combination with NRT as an alternative to </w:t>
      </w:r>
      <w:proofErr w:type="spellStart"/>
      <w:r w:rsidRPr="00A13556">
        <w:rPr>
          <w:szCs w:val="24"/>
        </w:rPr>
        <w:t>varenicline</w:t>
      </w:r>
      <w:proofErr w:type="spellEnd"/>
      <w:r w:rsidRPr="00A13556">
        <w:rPr>
          <w:szCs w:val="24"/>
        </w:rPr>
        <w:t xml:space="preserve"> alone.</w:t>
      </w:r>
    </w:p>
    <w:p w:rsidR="00EC6AB5" w:rsidRPr="002F3376" w:rsidRDefault="00217F24" w:rsidP="00D25738">
      <w:pPr>
        <w:pStyle w:val="ListParagraph"/>
        <w:numPr>
          <w:ilvl w:val="0"/>
          <w:numId w:val="60"/>
        </w:numPr>
        <w:spacing w:after="120"/>
        <w:jc w:val="both"/>
        <w:rPr>
          <w:szCs w:val="24"/>
        </w:rPr>
      </w:pPr>
      <w:r w:rsidRPr="00A13556">
        <w:rPr>
          <w:szCs w:val="24"/>
        </w:rPr>
        <w:t xml:space="preserve">There were no statistically significant differences between </w:t>
      </w:r>
      <w:proofErr w:type="spellStart"/>
      <w:r w:rsidRPr="00A13556">
        <w:rPr>
          <w:szCs w:val="24"/>
        </w:rPr>
        <w:t>varenicline</w:t>
      </w:r>
      <w:proofErr w:type="spellEnd"/>
      <w:r w:rsidRPr="00A13556">
        <w:rPr>
          <w:szCs w:val="24"/>
        </w:rPr>
        <w:t xml:space="preserve"> </w:t>
      </w:r>
      <w:proofErr w:type="gramStart"/>
      <w:r w:rsidRPr="00A13556">
        <w:rPr>
          <w:szCs w:val="24"/>
        </w:rPr>
        <w:t>plus</w:t>
      </w:r>
      <w:proofErr w:type="gramEnd"/>
      <w:r w:rsidRPr="00A13556">
        <w:rPr>
          <w:szCs w:val="24"/>
        </w:rPr>
        <w:t xml:space="preserve"> bupropion compared to </w:t>
      </w:r>
      <w:proofErr w:type="spellStart"/>
      <w:r w:rsidRPr="00A13556">
        <w:rPr>
          <w:szCs w:val="24"/>
        </w:rPr>
        <w:t>varenicline</w:t>
      </w:r>
      <w:proofErr w:type="spellEnd"/>
      <w:r w:rsidRPr="00A13556">
        <w:rPr>
          <w:szCs w:val="24"/>
        </w:rPr>
        <w:t xml:space="preserve"> alone in terms of efficacy. While a significantly higher proportion of patients in the </w:t>
      </w:r>
      <w:proofErr w:type="spellStart"/>
      <w:r w:rsidRPr="00A13556">
        <w:rPr>
          <w:szCs w:val="24"/>
        </w:rPr>
        <w:t>varenicline</w:t>
      </w:r>
      <w:proofErr w:type="spellEnd"/>
      <w:r w:rsidRPr="00A13556">
        <w:rPr>
          <w:szCs w:val="24"/>
        </w:rPr>
        <w:t xml:space="preserve"> plus bupropion arm experienced any adverse events and psychiatric adverse events compared with patients in the </w:t>
      </w:r>
      <w:proofErr w:type="spellStart"/>
      <w:r w:rsidRPr="00A13556">
        <w:rPr>
          <w:szCs w:val="24"/>
        </w:rPr>
        <w:t>varenicline</w:t>
      </w:r>
      <w:proofErr w:type="spellEnd"/>
      <w:r w:rsidRPr="00A13556">
        <w:rPr>
          <w:szCs w:val="24"/>
        </w:rPr>
        <w:t xml:space="preserve"> alone arm, there were no statistically significant differences in serious adverse events and discontinuation due to adverse events.</w:t>
      </w:r>
    </w:p>
    <w:p w:rsidR="00217F24" w:rsidRPr="00A13556" w:rsidRDefault="00217F24" w:rsidP="00217F24">
      <w:pPr>
        <w:spacing w:after="120" w:line="276" w:lineRule="auto"/>
        <w:rPr>
          <w:b/>
          <w:szCs w:val="24"/>
        </w:rPr>
      </w:pPr>
      <w:r w:rsidRPr="00A13556">
        <w:rPr>
          <w:b/>
          <w:i/>
          <w:szCs w:val="24"/>
        </w:rPr>
        <w:t xml:space="preserve">Background </w:t>
      </w:r>
    </w:p>
    <w:p w:rsidR="00217F24" w:rsidRPr="00A13556" w:rsidRDefault="00217F24" w:rsidP="00D25738">
      <w:pPr>
        <w:spacing w:after="120"/>
        <w:jc w:val="both"/>
        <w:rPr>
          <w:b/>
          <w:szCs w:val="24"/>
        </w:rPr>
      </w:pPr>
      <w:r w:rsidRPr="00A13556">
        <w:rPr>
          <w:szCs w:val="24"/>
        </w:rPr>
        <w:t xml:space="preserve">The current PBS restrictions for </w:t>
      </w:r>
      <w:proofErr w:type="spellStart"/>
      <w:r w:rsidRPr="00A13556">
        <w:rPr>
          <w:szCs w:val="24"/>
        </w:rPr>
        <w:t>varenicline</w:t>
      </w:r>
      <w:proofErr w:type="spellEnd"/>
      <w:r w:rsidRPr="00A13556">
        <w:rPr>
          <w:szCs w:val="24"/>
        </w:rPr>
        <w:t xml:space="preserve"> state, </w:t>
      </w:r>
      <w:r w:rsidRPr="00A13556">
        <w:rPr>
          <w:i/>
          <w:szCs w:val="24"/>
        </w:rPr>
        <w:t>“</w:t>
      </w:r>
      <w:proofErr w:type="gramStart"/>
      <w:r w:rsidRPr="00A13556">
        <w:rPr>
          <w:i/>
          <w:szCs w:val="24"/>
        </w:rPr>
        <w:t>the</w:t>
      </w:r>
      <w:proofErr w:type="gramEnd"/>
      <w:r w:rsidRPr="00A13556">
        <w:rPr>
          <w:i/>
          <w:szCs w:val="24"/>
        </w:rPr>
        <w:t xml:space="preserve"> treatment must be the sole PBS-subsidised therapy for this condition”. </w:t>
      </w:r>
      <w:r w:rsidRPr="00A13556">
        <w:rPr>
          <w:szCs w:val="24"/>
        </w:rPr>
        <w:t xml:space="preserve">The PBAC has not previously considered a submission for the listing of </w:t>
      </w:r>
      <w:proofErr w:type="spellStart"/>
      <w:r w:rsidRPr="00A13556">
        <w:rPr>
          <w:szCs w:val="24"/>
        </w:rPr>
        <w:t>varenicline</w:t>
      </w:r>
      <w:proofErr w:type="spellEnd"/>
      <w:r w:rsidRPr="00A13556">
        <w:rPr>
          <w:szCs w:val="24"/>
        </w:rPr>
        <w:t xml:space="preserve"> in combination with NRT of bupropion.</w:t>
      </w:r>
    </w:p>
    <w:p w:rsidR="00217F24" w:rsidRPr="00A13556" w:rsidRDefault="008F382B" w:rsidP="002F3376">
      <w:pPr>
        <w:pStyle w:val="Heading3"/>
        <w:spacing w:after="240"/>
      </w:pPr>
      <w:bookmarkStart w:id="61" w:name="_Toc72848471"/>
      <w:r>
        <w:t xml:space="preserve">5.4 </w:t>
      </w:r>
      <w:r w:rsidR="00217F24" w:rsidRPr="00A13556">
        <w:t>Option 4</w:t>
      </w:r>
      <w:bookmarkEnd w:id="61"/>
    </w:p>
    <w:p w:rsidR="00217F24" w:rsidRPr="00A13556" w:rsidRDefault="00217F24" w:rsidP="00D25738">
      <w:pPr>
        <w:pStyle w:val="ListParagraph"/>
        <w:numPr>
          <w:ilvl w:val="0"/>
          <w:numId w:val="51"/>
        </w:numPr>
        <w:spacing w:after="120"/>
        <w:jc w:val="both"/>
        <w:rPr>
          <w:b/>
          <w:szCs w:val="24"/>
        </w:rPr>
      </w:pPr>
      <w:r w:rsidRPr="00A13556">
        <w:rPr>
          <w:szCs w:val="24"/>
        </w:rPr>
        <w:t>Recommend an education campaign targeting prescribers to raise awareness of the improved effectiveness of smoking cessation pharmacotherapies when provided in combination with comprehensive support and counselling, and enable prescribers to support best practice in recommending or providing comprehensive support and counselling services.</w:t>
      </w:r>
    </w:p>
    <w:p w:rsidR="00217F24" w:rsidRPr="00A13556" w:rsidRDefault="00217F24" w:rsidP="00217F24">
      <w:pPr>
        <w:spacing w:after="120" w:line="276" w:lineRule="auto"/>
        <w:rPr>
          <w:b/>
          <w:szCs w:val="24"/>
        </w:rPr>
      </w:pPr>
      <w:r w:rsidRPr="00A13556">
        <w:rPr>
          <w:b/>
          <w:szCs w:val="24"/>
        </w:rPr>
        <w:t>Rationale</w:t>
      </w:r>
    </w:p>
    <w:p w:rsidR="00217F24" w:rsidRPr="00A13556" w:rsidRDefault="00217F24" w:rsidP="00D25738">
      <w:pPr>
        <w:pStyle w:val="ListParagraph"/>
        <w:numPr>
          <w:ilvl w:val="0"/>
          <w:numId w:val="61"/>
        </w:numPr>
        <w:spacing w:after="120"/>
        <w:jc w:val="both"/>
        <w:rPr>
          <w:szCs w:val="24"/>
        </w:rPr>
      </w:pPr>
      <w:r w:rsidRPr="00A13556">
        <w:rPr>
          <w:szCs w:val="24"/>
        </w:rPr>
        <w:t>The evidence considered in the Review Report found that smoking cessation rates improved when the following forms or counselling were used:</w:t>
      </w:r>
    </w:p>
    <w:p w:rsidR="00217F24" w:rsidRPr="00A13556" w:rsidRDefault="00217F24" w:rsidP="00D25738">
      <w:pPr>
        <w:pStyle w:val="ListParagraph"/>
        <w:numPr>
          <w:ilvl w:val="1"/>
          <w:numId w:val="61"/>
        </w:numPr>
        <w:spacing w:after="120"/>
        <w:jc w:val="both"/>
        <w:rPr>
          <w:szCs w:val="24"/>
        </w:rPr>
      </w:pPr>
      <w:r w:rsidRPr="00A13556">
        <w:rPr>
          <w:szCs w:val="24"/>
        </w:rPr>
        <w:t xml:space="preserve">proactive telephone counselling, </w:t>
      </w:r>
    </w:p>
    <w:p w:rsidR="00217F24" w:rsidRPr="00A13556" w:rsidRDefault="00217F24" w:rsidP="00D25738">
      <w:pPr>
        <w:pStyle w:val="ListParagraph"/>
        <w:numPr>
          <w:ilvl w:val="1"/>
          <w:numId w:val="61"/>
        </w:numPr>
        <w:spacing w:after="120"/>
        <w:jc w:val="both"/>
        <w:rPr>
          <w:szCs w:val="24"/>
        </w:rPr>
      </w:pPr>
      <w:r w:rsidRPr="00A13556">
        <w:rPr>
          <w:szCs w:val="24"/>
        </w:rPr>
        <w:t xml:space="preserve">more intensive face-to-face behavioural interventions delivered by community pharmacy personnel, and </w:t>
      </w:r>
    </w:p>
    <w:p w:rsidR="00217F24" w:rsidRPr="00A13556" w:rsidRDefault="00217F24" w:rsidP="00D25738">
      <w:pPr>
        <w:pStyle w:val="ListParagraph"/>
        <w:numPr>
          <w:ilvl w:val="1"/>
          <w:numId w:val="61"/>
        </w:numPr>
        <w:spacing w:after="120"/>
        <w:jc w:val="both"/>
        <w:rPr>
          <w:szCs w:val="24"/>
        </w:rPr>
      </w:pPr>
      <w:r w:rsidRPr="00A13556">
        <w:rPr>
          <w:szCs w:val="24"/>
        </w:rPr>
        <w:t xml:space="preserve">individual face-to-face counselling by a trained smoking cessation counsellor </w:t>
      </w:r>
    </w:p>
    <w:p w:rsidR="00217F24" w:rsidRPr="00A13556" w:rsidRDefault="00217F24" w:rsidP="00D25738">
      <w:pPr>
        <w:pStyle w:val="ListParagraph"/>
        <w:numPr>
          <w:ilvl w:val="0"/>
          <w:numId w:val="61"/>
        </w:numPr>
        <w:spacing w:after="120"/>
        <w:jc w:val="both"/>
        <w:rPr>
          <w:szCs w:val="24"/>
        </w:rPr>
      </w:pPr>
      <w:r w:rsidRPr="00A13556">
        <w:rPr>
          <w:szCs w:val="24"/>
        </w:rPr>
        <w:t xml:space="preserve">There was no difference in smoking cessation rates when using group therapy and print-based self-help materials. </w:t>
      </w:r>
    </w:p>
    <w:p w:rsidR="00217F24" w:rsidRPr="00A13556" w:rsidRDefault="00217F24" w:rsidP="00D25738">
      <w:pPr>
        <w:pStyle w:val="ListParagraph"/>
        <w:numPr>
          <w:ilvl w:val="0"/>
          <w:numId w:val="62"/>
        </w:numPr>
        <w:spacing w:after="240"/>
        <w:jc w:val="both"/>
        <w:rPr>
          <w:szCs w:val="24"/>
        </w:rPr>
      </w:pPr>
      <w:r w:rsidRPr="00A13556">
        <w:rPr>
          <w:szCs w:val="24"/>
        </w:rPr>
        <w:t>Hartmann-Boyce et al. (2019) compared more intensive forms of behavioural therapy with less intensive forms. The analysis found a statistically significant improvement in smoking cessation rates for more intensive pharmacotherapy, irrespective of the type of pharmacotherapy. For specific pharmacotherapies the results found:</w:t>
      </w:r>
    </w:p>
    <w:p w:rsidR="00217F24" w:rsidRPr="00A13556" w:rsidRDefault="00217F24" w:rsidP="00D25738">
      <w:pPr>
        <w:pStyle w:val="ListParagraph"/>
        <w:numPr>
          <w:ilvl w:val="1"/>
          <w:numId w:val="62"/>
        </w:numPr>
        <w:spacing w:after="240"/>
        <w:jc w:val="both"/>
        <w:rPr>
          <w:szCs w:val="24"/>
        </w:rPr>
      </w:pPr>
      <w:r w:rsidRPr="00A13556">
        <w:rPr>
          <w:szCs w:val="24"/>
        </w:rPr>
        <w:t xml:space="preserve">A statistically significant improvement in smoking cessation rates in patients receiving more intensive behavioural intervention when used in combination with NRT or bupropion. </w:t>
      </w:r>
    </w:p>
    <w:p w:rsidR="00217F24" w:rsidRPr="00A13556" w:rsidRDefault="00217F24" w:rsidP="00D25738">
      <w:pPr>
        <w:pStyle w:val="ListParagraph"/>
        <w:numPr>
          <w:ilvl w:val="1"/>
          <w:numId w:val="62"/>
        </w:numPr>
        <w:spacing w:after="240"/>
        <w:jc w:val="both"/>
        <w:rPr>
          <w:szCs w:val="24"/>
        </w:rPr>
      </w:pPr>
      <w:r w:rsidRPr="00A13556">
        <w:rPr>
          <w:szCs w:val="24"/>
        </w:rPr>
        <w:t xml:space="preserve">No statistically significant differences in smoking cessation rates between the more intensive and the less intensive arms when used in combination with </w:t>
      </w:r>
      <w:proofErr w:type="spellStart"/>
      <w:r w:rsidRPr="00A13556">
        <w:rPr>
          <w:szCs w:val="24"/>
        </w:rPr>
        <w:t>varenicline</w:t>
      </w:r>
      <w:proofErr w:type="spellEnd"/>
      <w:r w:rsidRPr="00A13556">
        <w:rPr>
          <w:szCs w:val="24"/>
        </w:rPr>
        <w:t xml:space="preserve"> or NRT plus bupropion, which was likely due to the smaller number of studies leading to lower precision rather than a true difference in effect. </w:t>
      </w:r>
    </w:p>
    <w:p w:rsidR="00217F24" w:rsidRPr="00A13556" w:rsidRDefault="00217F24" w:rsidP="00D25738">
      <w:pPr>
        <w:pStyle w:val="ListParagraph"/>
        <w:numPr>
          <w:ilvl w:val="0"/>
          <w:numId w:val="62"/>
        </w:numPr>
        <w:spacing w:after="120"/>
        <w:jc w:val="both"/>
        <w:rPr>
          <w:szCs w:val="24"/>
        </w:rPr>
      </w:pPr>
      <w:r w:rsidRPr="00A13556">
        <w:rPr>
          <w:szCs w:val="24"/>
        </w:rPr>
        <w:t xml:space="preserve">The findings from </w:t>
      </w:r>
      <w:proofErr w:type="spellStart"/>
      <w:r w:rsidRPr="00A13556">
        <w:rPr>
          <w:szCs w:val="24"/>
        </w:rPr>
        <w:t>ToR</w:t>
      </w:r>
      <w:proofErr w:type="spellEnd"/>
      <w:r w:rsidRPr="00A13556">
        <w:rPr>
          <w:szCs w:val="24"/>
        </w:rPr>
        <w:t xml:space="preserve"> 2 suggest the number of calls/contacts with </w:t>
      </w:r>
      <w:proofErr w:type="spellStart"/>
      <w:r w:rsidRPr="00A13556">
        <w:rPr>
          <w:szCs w:val="24"/>
        </w:rPr>
        <w:t>Quitline</w:t>
      </w:r>
      <w:proofErr w:type="spellEnd"/>
      <w:r w:rsidRPr="00A13556">
        <w:rPr>
          <w:szCs w:val="24"/>
        </w:rPr>
        <w:t xml:space="preserve"> were significantly less than the number of people dispensed smoking cessation medicines under the PBS. The Reference Group noted that consumers may receive counselling through other means, such as through a GP.</w:t>
      </w:r>
    </w:p>
    <w:p w:rsidR="00A13556" w:rsidRPr="002F3376" w:rsidRDefault="00217F24" w:rsidP="00D25738">
      <w:pPr>
        <w:pStyle w:val="ListParagraph"/>
        <w:numPr>
          <w:ilvl w:val="0"/>
          <w:numId w:val="62"/>
        </w:numPr>
        <w:spacing w:after="120"/>
        <w:jc w:val="both"/>
        <w:rPr>
          <w:szCs w:val="24"/>
        </w:rPr>
      </w:pPr>
      <w:r w:rsidRPr="00A13556">
        <w:rPr>
          <w:szCs w:val="24"/>
        </w:rPr>
        <w:t xml:space="preserve">The Reference Group considered that changes to the PBS restriction criteria for counselling would be difficult to enforce and would not improve counselling received by patients. </w:t>
      </w:r>
    </w:p>
    <w:p w:rsidR="00D25738" w:rsidRDefault="00D25738" w:rsidP="00D25738">
      <w:pPr>
        <w:spacing w:after="120"/>
        <w:rPr>
          <w:b/>
          <w:i/>
          <w:color w:val="222222"/>
          <w:szCs w:val="24"/>
        </w:rPr>
      </w:pPr>
    </w:p>
    <w:p w:rsidR="00217F24" w:rsidRPr="00A13556" w:rsidRDefault="00217F24" w:rsidP="00D25738">
      <w:pPr>
        <w:spacing w:after="120"/>
        <w:rPr>
          <w:b/>
          <w:i/>
          <w:color w:val="222222"/>
          <w:szCs w:val="24"/>
        </w:rPr>
      </w:pPr>
      <w:r w:rsidRPr="00A13556">
        <w:rPr>
          <w:b/>
          <w:i/>
          <w:color w:val="222222"/>
          <w:szCs w:val="24"/>
        </w:rPr>
        <w:t xml:space="preserve">Background </w:t>
      </w:r>
    </w:p>
    <w:p w:rsidR="00217F24" w:rsidRPr="00A13556" w:rsidRDefault="00217F24" w:rsidP="00D25738">
      <w:pPr>
        <w:spacing w:after="120"/>
        <w:jc w:val="both"/>
        <w:rPr>
          <w:b/>
          <w:i/>
          <w:color w:val="222222"/>
          <w:szCs w:val="24"/>
        </w:rPr>
      </w:pPr>
      <w:r w:rsidRPr="00A13556">
        <w:rPr>
          <w:szCs w:val="24"/>
        </w:rPr>
        <w:t>PBS restrictions for smoking cessation therapy state that ‘</w:t>
      </w:r>
      <w:r w:rsidRPr="00A13556">
        <w:rPr>
          <w:i/>
          <w:szCs w:val="24"/>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217F24" w:rsidRPr="00A13556" w:rsidRDefault="00217F24" w:rsidP="00D25738">
      <w:pPr>
        <w:spacing w:after="120"/>
        <w:jc w:val="both"/>
        <w:rPr>
          <w:szCs w:val="24"/>
        </w:rPr>
      </w:pPr>
      <w:r w:rsidRPr="00A13556">
        <w:rPr>
          <w:szCs w:val="24"/>
        </w:rPr>
        <w:t xml:space="preserve">The exception is the current PBS restrictions for Aboriginal and Torres Strait Islander </w:t>
      </w:r>
      <w:r w:rsidR="008B5A2D" w:rsidRPr="00A13556">
        <w:rPr>
          <w:szCs w:val="24"/>
        </w:rPr>
        <w:t>people, which</w:t>
      </w:r>
      <w:r w:rsidRPr="00A13556">
        <w:rPr>
          <w:szCs w:val="24"/>
        </w:rPr>
        <w:t xml:space="preserve"> recommend comprehensive support and counselling, but do not require it for PBS subsidy.</w:t>
      </w:r>
    </w:p>
    <w:p w:rsidR="00217F24" w:rsidRPr="00A13556" w:rsidRDefault="00815A6D" w:rsidP="002F3376">
      <w:pPr>
        <w:pStyle w:val="Heading3"/>
        <w:spacing w:after="240"/>
      </w:pPr>
      <w:bookmarkStart w:id="62" w:name="_Toc72848472"/>
      <w:r>
        <w:t xml:space="preserve">5.5 </w:t>
      </w:r>
      <w:r w:rsidR="00217F24" w:rsidRPr="00A13556">
        <w:t>Option 5</w:t>
      </w:r>
      <w:bookmarkEnd w:id="62"/>
    </w:p>
    <w:p w:rsidR="00217F24" w:rsidRPr="00A13556" w:rsidRDefault="00217F24" w:rsidP="00D25738">
      <w:pPr>
        <w:pStyle w:val="ListParagraph"/>
        <w:numPr>
          <w:ilvl w:val="0"/>
          <w:numId w:val="51"/>
        </w:numPr>
        <w:spacing w:after="120"/>
        <w:jc w:val="both"/>
        <w:rPr>
          <w:szCs w:val="24"/>
        </w:rPr>
      </w:pPr>
      <w:r w:rsidRPr="00A13556">
        <w:rPr>
          <w:szCs w:val="24"/>
        </w:rPr>
        <w:t>Consider the PBS listing of nicotine inhaler* and/or nicotine mouth spray.</w:t>
      </w:r>
    </w:p>
    <w:p w:rsidR="00217F24" w:rsidRPr="00A13556" w:rsidRDefault="00217F24" w:rsidP="00D25738">
      <w:pPr>
        <w:spacing w:after="120"/>
        <w:ind w:left="360"/>
        <w:jc w:val="both"/>
        <w:rPr>
          <w:szCs w:val="24"/>
        </w:rPr>
      </w:pPr>
      <w:r w:rsidRPr="00A13556">
        <w:rPr>
          <w:szCs w:val="24"/>
        </w:rPr>
        <w:t>*Nicotine inhaler products do not include electronic cigarettes or e-liquids which were excluded from the PMR of medicines for smoking cessation.</w:t>
      </w:r>
    </w:p>
    <w:p w:rsidR="00217F24" w:rsidRPr="00A13556" w:rsidRDefault="00217F24" w:rsidP="00D25738">
      <w:pPr>
        <w:spacing w:after="120"/>
        <w:rPr>
          <w:b/>
          <w:szCs w:val="24"/>
        </w:rPr>
      </w:pPr>
      <w:r w:rsidRPr="00A13556">
        <w:rPr>
          <w:b/>
          <w:szCs w:val="24"/>
        </w:rPr>
        <w:t>Rationale</w:t>
      </w:r>
    </w:p>
    <w:p w:rsidR="00217F24" w:rsidRPr="00A13556" w:rsidRDefault="00217F24" w:rsidP="00D25738">
      <w:pPr>
        <w:pStyle w:val="ListParagraph"/>
        <w:numPr>
          <w:ilvl w:val="0"/>
          <w:numId w:val="63"/>
        </w:numPr>
        <w:spacing w:after="240"/>
        <w:jc w:val="both"/>
        <w:rPr>
          <w:szCs w:val="24"/>
        </w:rPr>
      </w:pPr>
      <w:r w:rsidRPr="00A13556">
        <w:rPr>
          <w:szCs w:val="24"/>
        </w:rPr>
        <w:t>Stakeholders felt that all forms of NRT should be subsidised under the PBS because various formulations may not be clinically appropriate for certain patients. This includes nicotine inhalers and mouth spray.</w:t>
      </w:r>
    </w:p>
    <w:p w:rsidR="00217F24" w:rsidRPr="00A13556" w:rsidRDefault="00217F24" w:rsidP="00D25738">
      <w:pPr>
        <w:pStyle w:val="ListParagraph"/>
        <w:numPr>
          <w:ilvl w:val="0"/>
          <w:numId w:val="63"/>
        </w:numPr>
        <w:spacing w:after="240"/>
        <w:jc w:val="both"/>
        <w:rPr>
          <w:szCs w:val="24"/>
        </w:rPr>
      </w:pPr>
      <w:r w:rsidRPr="00A13556">
        <w:rPr>
          <w:szCs w:val="24"/>
        </w:rPr>
        <w:t>The reference group acknowledged that the PBAC would require a sponsor or other entity to make a submission requesting the PBS listing of these products demonstrating efficacy, safety and cost-effectiveness before a recommendation can be made.</w:t>
      </w:r>
    </w:p>
    <w:p w:rsidR="00217F24" w:rsidRPr="00A13556" w:rsidRDefault="00217F24" w:rsidP="00D25738">
      <w:pPr>
        <w:pStyle w:val="ListParagraph"/>
        <w:numPr>
          <w:ilvl w:val="0"/>
          <w:numId w:val="63"/>
        </w:numPr>
        <w:spacing w:after="120"/>
        <w:jc w:val="both"/>
        <w:rPr>
          <w:szCs w:val="24"/>
        </w:rPr>
      </w:pPr>
      <w:r w:rsidRPr="00A13556">
        <w:rPr>
          <w:szCs w:val="24"/>
        </w:rPr>
        <w:t xml:space="preserve">The Review Report for </w:t>
      </w:r>
      <w:proofErr w:type="spellStart"/>
      <w:r w:rsidRPr="00A13556">
        <w:rPr>
          <w:szCs w:val="24"/>
        </w:rPr>
        <w:t>ToR</w:t>
      </w:r>
      <w:proofErr w:type="spellEnd"/>
      <w:r w:rsidRPr="00A13556">
        <w:rPr>
          <w:szCs w:val="24"/>
        </w:rPr>
        <w:t xml:space="preserve"> 3 found that </w:t>
      </w:r>
    </w:p>
    <w:p w:rsidR="00217F24" w:rsidRPr="00A13556" w:rsidRDefault="00217F24" w:rsidP="00D25738">
      <w:pPr>
        <w:pStyle w:val="ListParagraph"/>
        <w:numPr>
          <w:ilvl w:val="0"/>
          <w:numId w:val="64"/>
        </w:numPr>
        <w:spacing w:after="120"/>
        <w:jc w:val="both"/>
        <w:rPr>
          <w:szCs w:val="24"/>
        </w:rPr>
      </w:pPr>
      <w:r w:rsidRPr="00A13556">
        <w:rPr>
          <w:szCs w:val="24"/>
        </w:rPr>
        <w:t xml:space="preserve">There were no statistically significant differences between NRT inhalers compared to patches in terms of efficacy in </w:t>
      </w:r>
      <w:proofErr w:type="spellStart"/>
      <w:r w:rsidRPr="00A13556">
        <w:rPr>
          <w:szCs w:val="24"/>
        </w:rPr>
        <w:t>Lindson</w:t>
      </w:r>
      <w:proofErr w:type="spellEnd"/>
      <w:r w:rsidRPr="00A13556">
        <w:rPr>
          <w:szCs w:val="24"/>
        </w:rPr>
        <w:t xml:space="preserve"> (2019). A statistically significant difference was found between NRT inhalers and placebo in Hartmann-Boyce et al. (2018), however no statistically significant differences were found based on the results of the updated re-analysis after including the study identified in the supplemental literature search (</w:t>
      </w:r>
      <w:proofErr w:type="spellStart"/>
      <w:r w:rsidRPr="00A13556">
        <w:rPr>
          <w:szCs w:val="24"/>
        </w:rPr>
        <w:t>Oncken</w:t>
      </w:r>
      <w:proofErr w:type="spellEnd"/>
      <w:r w:rsidRPr="00A13556">
        <w:rPr>
          <w:szCs w:val="24"/>
        </w:rPr>
        <w:t xml:space="preserve"> et al. 2019).</w:t>
      </w:r>
    </w:p>
    <w:p w:rsidR="00217F24" w:rsidRPr="00A13556" w:rsidRDefault="00217F24" w:rsidP="00D25738">
      <w:pPr>
        <w:pStyle w:val="ListParagraph"/>
        <w:numPr>
          <w:ilvl w:val="0"/>
          <w:numId w:val="64"/>
        </w:numPr>
        <w:spacing w:after="120"/>
        <w:jc w:val="both"/>
        <w:rPr>
          <w:szCs w:val="24"/>
        </w:rPr>
      </w:pPr>
      <w:r w:rsidRPr="00A13556">
        <w:rPr>
          <w:szCs w:val="24"/>
        </w:rPr>
        <w:t>NRT oral spray was shown to be superior to placebo in terms of efficacy.</w:t>
      </w:r>
    </w:p>
    <w:p w:rsidR="00217F24" w:rsidRPr="00A13556" w:rsidRDefault="00217F24" w:rsidP="00D25738">
      <w:pPr>
        <w:spacing w:after="120"/>
        <w:rPr>
          <w:b/>
          <w:color w:val="222222"/>
          <w:szCs w:val="24"/>
        </w:rPr>
      </w:pPr>
      <w:r w:rsidRPr="00A13556">
        <w:rPr>
          <w:b/>
          <w:color w:val="222222"/>
          <w:szCs w:val="24"/>
        </w:rPr>
        <w:t xml:space="preserve">Background and evidence: </w:t>
      </w:r>
      <w:r w:rsidRPr="00A13556">
        <w:rPr>
          <w:szCs w:val="24"/>
        </w:rPr>
        <w:t>The forms of NRT available on the R/PBS are:</w:t>
      </w:r>
    </w:p>
    <w:p w:rsidR="00217F24" w:rsidRPr="00A13556" w:rsidRDefault="00217F24" w:rsidP="00D25738">
      <w:pPr>
        <w:pStyle w:val="ListParagraph"/>
        <w:numPr>
          <w:ilvl w:val="0"/>
          <w:numId w:val="55"/>
        </w:numPr>
        <w:spacing w:after="120"/>
        <w:jc w:val="both"/>
        <w:rPr>
          <w:szCs w:val="24"/>
        </w:rPr>
      </w:pPr>
      <w:r w:rsidRPr="00A13556">
        <w:rPr>
          <w:szCs w:val="24"/>
        </w:rPr>
        <w:t>Nicotine patches (21mg/24hrs, 14mg/24hrs, 7mg/24hrs and 25mg/16hrs)</w:t>
      </w:r>
    </w:p>
    <w:p w:rsidR="00217F24" w:rsidRPr="00A13556" w:rsidRDefault="00217F24" w:rsidP="00D25738">
      <w:pPr>
        <w:pStyle w:val="ListParagraph"/>
        <w:numPr>
          <w:ilvl w:val="0"/>
          <w:numId w:val="55"/>
        </w:numPr>
        <w:spacing w:after="120"/>
        <w:jc w:val="both"/>
        <w:rPr>
          <w:szCs w:val="24"/>
        </w:rPr>
      </w:pPr>
      <w:r w:rsidRPr="00A13556">
        <w:rPr>
          <w:szCs w:val="24"/>
        </w:rPr>
        <w:t>Nicotine Gum 2mg and 4mg</w:t>
      </w:r>
    </w:p>
    <w:p w:rsidR="00217F24" w:rsidRPr="00A13556" w:rsidRDefault="00217F24" w:rsidP="00D25738">
      <w:pPr>
        <w:pStyle w:val="ListParagraph"/>
        <w:numPr>
          <w:ilvl w:val="0"/>
          <w:numId w:val="55"/>
        </w:numPr>
        <w:spacing w:after="120"/>
        <w:jc w:val="both"/>
        <w:rPr>
          <w:szCs w:val="24"/>
        </w:rPr>
      </w:pPr>
      <w:r w:rsidRPr="00A13556">
        <w:rPr>
          <w:szCs w:val="24"/>
        </w:rPr>
        <w:t>Nicotine Lozenge 2mg and 4mg</w:t>
      </w:r>
    </w:p>
    <w:p w:rsidR="00217F24" w:rsidRDefault="00217F24" w:rsidP="00D25738">
      <w:pPr>
        <w:spacing w:after="120"/>
        <w:rPr>
          <w:szCs w:val="24"/>
        </w:rPr>
      </w:pPr>
      <w:r w:rsidRPr="00A13556">
        <w:rPr>
          <w:szCs w:val="24"/>
        </w:rPr>
        <w:t>The PBAC has not previously considered a submission for either nicotine inhaler or nicotine spray formulations.</w:t>
      </w:r>
    </w:p>
    <w:p w:rsidR="00217F24" w:rsidRPr="00A13556" w:rsidRDefault="00217F24" w:rsidP="00D25738">
      <w:pPr>
        <w:spacing w:after="120"/>
        <w:rPr>
          <w:b/>
          <w:i/>
          <w:szCs w:val="24"/>
        </w:rPr>
      </w:pPr>
      <w:r w:rsidRPr="00A13556">
        <w:rPr>
          <w:b/>
          <w:i/>
          <w:szCs w:val="24"/>
        </w:rPr>
        <w:t>Other Advice the PBAC may wish to consider providing to Government</w:t>
      </w:r>
    </w:p>
    <w:p w:rsidR="00217F24" w:rsidRPr="00A13556" w:rsidRDefault="00815A6D" w:rsidP="00D25738">
      <w:pPr>
        <w:pStyle w:val="Heading3"/>
        <w:spacing w:after="240"/>
      </w:pPr>
      <w:bookmarkStart w:id="63" w:name="_Toc72848473"/>
      <w:r>
        <w:t xml:space="preserve">5.6 </w:t>
      </w:r>
      <w:r w:rsidR="00217F24" w:rsidRPr="00A13556">
        <w:t>Option 6</w:t>
      </w:r>
      <w:bookmarkEnd w:id="63"/>
    </w:p>
    <w:p w:rsidR="00217F24" w:rsidRPr="00A13556" w:rsidRDefault="00217F24" w:rsidP="00D25738">
      <w:pPr>
        <w:pStyle w:val="ListParagraph"/>
        <w:numPr>
          <w:ilvl w:val="0"/>
          <w:numId w:val="51"/>
        </w:numPr>
        <w:spacing w:after="120"/>
        <w:jc w:val="both"/>
        <w:rPr>
          <w:szCs w:val="24"/>
        </w:rPr>
      </w:pPr>
      <w:r w:rsidRPr="00A13556">
        <w:rPr>
          <w:szCs w:val="24"/>
        </w:rPr>
        <w:t xml:space="preserve">That the Department follow-up with Queensland </w:t>
      </w:r>
      <w:proofErr w:type="spellStart"/>
      <w:r w:rsidRPr="00A13556">
        <w:rPr>
          <w:szCs w:val="24"/>
        </w:rPr>
        <w:t>Quitline</w:t>
      </w:r>
      <w:proofErr w:type="spellEnd"/>
      <w:r w:rsidRPr="00A13556">
        <w:rPr>
          <w:szCs w:val="24"/>
        </w:rPr>
        <w:t xml:space="preserve"> following its evaluation of the ‘Intensive Quit Support Program’ and to explore if there are other effective ways of providing access to government funded NRT in addition to the current PBS and section 100 arrangements. </w:t>
      </w:r>
    </w:p>
    <w:p w:rsidR="00217F24" w:rsidRPr="00A13556" w:rsidRDefault="00217F24" w:rsidP="00217F24">
      <w:pPr>
        <w:spacing w:after="120" w:line="276" w:lineRule="auto"/>
        <w:rPr>
          <w:b/>
          <w:szCs w:val="24"/>
        </w:rPr>
      </w:pPr>
      <w:r w:rsidRPr="00A13556">
        <w:rPr>
          <w:b/>
          <w:szCs w:val="24"/>
        </w:rPr>
        <w:t>Rationale</w:t>
      </w:r>
    </w:p>
    <w:p w:rsidR="00217F24" w:rsidRPr="00A13556" w:rsidRDefault="00217F24" w:rsidP="00D25738">
      <w:pPr>
        <w:pStyle w:val="ListParagraph"/>
        <w:numPr>
          <w:ilvl w:val="0"/>
          <w:numId w:val="59"/>
        </w:numPr>
        <w:spacing w:after="240"/>
        <w:jc w:val="both"/>
        <w:rPr>
          <w:szCs w:val="24"/>
        </w:rPr>
      </w:pPr>
      <w:r w:rsidRPr="00A13556">
        <w:rPr>
          <w:szCs w:val="24"/>
        </w:rPr>
        <w:t xml:space="preserve">The Reference group noted evidence from the Review report suggesting that the majority of NRT products are obtained over-the counter. The Review Report for </w:t>
      </w:r>
      <w:proofErr w:type="spellStart"/>
      <w:r w:rsidRPr="00A13556">
        <w:rPr>
          <w:szCs w:val="24"/>
        </w:rPr>
        <w:t>ToR</w:t>
      </w:r>
      <w:proofErr w:type="spellEnd"/>
      <w:r w:rsidRPr="00A13556">
        <w:rPr>
          <w:szCs w:val="24"/>
        </w:rPr>
        <w:t xml:space="preserve"> 2 found:</w:t>
      </w:r>
    </w:p>
    <w:p w:rsidR="00217F24" w:rsidRPr="00A13556" w:rsidRDefault="00217F24" w:rsidP="00D25738">
      <w:pPr>
        <w:pStyle w:val="ListParagraph"/>
        <w:numPr>
          <w:ilvl w:val="1"/>
          <w:numId w:val="59"/>
        </w:numPr>
        <w:spacing w:after="240"/>
        <w:jc w:val="both"/>
        <w:rPr>
          <w:szCs w:val="24"/>
        </w:rPr>
      </w:pPr>
      <w:r w:rsidRPr="00A13556">
        <w:rPr>
          <w:szCs w:val="24"/>
        </w:rPr>
        <w:t xml:space="preserve">PBS use of NRT in 2019 represented 7% of all NRT use in Australia. In the financial year 2019-20 NRT patches accounted for 94% of all NRT products subsidised under the PBS, while the majority of NRT products sold over the counter were nicotine gums. However, nicotine gum and lozenge were only PBS listed in February 2019 and therefore uptake of these forms of NRT may not have been fully realised   </w:t>
      </w:r>
    </w:p>
    <w:p w:rsidR="00217F24" w:rsidRPr="00A13556" w:rsidRDefault="00217F24" w:rsidP="00D25738">
      <w:pPr>
        <w:pStyle w:val="ListParagraph"/>
        <w:numPr>
          <w:ilvl w:val="1"/>
          <w:numId w:val="59"/>
        </w:numPr>
        <w:spacing w:after="240"/>
        <w:jc w:val="both"/>
        <w:rPr>
          <w:szCs w:val="24"/>
        </w:rPr>
      </w:pPr>
      <w:r w:rsidRPr="00A13556">
        <w:rPr>
          <w:szCs w:val="24"/>
        </w:rPr>
        <w:t>There were 257.4 million NRT smoking cessation aids sold over the counter in 2019. The most commonly sold aid was NRT gum (194 million units in 2019), followed by NRT Lozenges (43.2 million units in 2019) and NRT patches.</w:t>
      </w:r>
    </w:p>
    <w:p w:rsidR="00217F24" w:rsidRPr="00A13556" w:rsidRDefault="00217F24" w:rsidP="00D25738">
      <w:pPr>
        <w:pStyle w:val="ListParagraph"/>
        <w:numPr>
          <w:ilvl w:val="0"/>
          <w:numId w:val="59"/>
        </w:numPr>
        <w:spacing w:after="240"/>
        <w:jc w:val="both"/>
        <w:rPr>
          <w:szCs w:val="24"/>
        </w:rPr>
      </w:pPr>
      <w:r w:rsidRPr="00A13556">
        <w:rPr>
          <w:szCs w:val="24"/>
        </w:rPr>
        <w:t xml:space="preserve">General patients are required to pay 3 co-payments for a 12 week course of NRT under the PBS, which amounts to $123.90, which may be a barrier to some patients. Further information on the costs of NRT products is provided in table B.2, p12. </w:t>
      </w:r>
      <w:proofErr w:type="gramStart"/>
      <w:r w:rsidRPr="00A13556">
        <w:rPr>
          <w:szCs w:val="24"/>
        </w:rPr>
        <w:t>of</w:t>
      </w:r>
      <w:proofErr w:type="gramEnd"/>
      <w:r w:rsidRPr="00A13556">
        <w:rPr>
          <w:szCs w:val="24"/>
        </w:rPr>
        <w:t xml:space="preserve"> the Review Report background. </w:t>
      </w:r>
    </w:p>
    <w:p w:rsidR="00217F24" w:rsidRPr="00A13556" w:rsidRDefault="00217F24" w:rsidP="00D25738">
      <w:pPr>
        <w:pStyle w:val="ListParagraph"/>
        <w:numPr>
          <w:ilvl w:val="0"/>
          <w:numId w:val="59"/>
        </w:numPr>
        <w:spacing w:after="240"/>
        <w:jc w:val="both"/>
        <w:rPr>
          <w:szCs w:val="24"/>
        </w:rPr>
      </w:pPr>
      <w:r w:rsidRPr="00A13556">
        <w:rPr>
          <w:szCs w:val="24"/>
        </w:rPr>
        <w:t>Stakeholders considered the cost of over-the-counter NRT can be a significant barrier for many people, particularly those from populations with higher rates of smoking such as lower socioeconomic groups, Aboriginal and Torres Strait Islander people, and people with a mental illness. Stakeholders considered that financial cost was an important factor in treatment failures.</w:t>
      </w:r>
    </w:p>
    <w:p w:rsidR="00217F24" w:rsidRPr="00A13556" w:rsidRDefault="00217F24" w:rsidP="00D25738">
      <w:pPr>
        <w:pStyle w:val="ListParagraph"/>
        <w:numPr>
          <w:ilvl w:val="0"/>
          <w:numId w:val="59"/>
        </w:numPr>
        <w:spacing w:after="240"/>
        <w:jc w:val="both"/>
        <w:rPr>
          <w:szCs w:val="24"/>
        </w:rPr>
      </w:pPr>
      <w:r w:rsidRPr="00A13556">
        <w:rPr>
          <w:szCs w:val="24"/>
        </w:rPr>
        <w:t xml:space="preserve">The Reference Group did not recommend specific alternative arrangements (in addition to the current PBS arrangements) </w:t>
      </w:r>
      <w:r w:rsidR="005E6ED3">
        <w:rPr>
          <w:szCs w:val="24"/>
        </w:rPr>
        <w:t>for the subsidised supply of</w:t>
      </w:r>
      <w:r w:rsidRPr="00A13556">
        <w:rPr>
          <w:szCs w:val="24"/>
        </w:rPr>
        <w:t xml:space="preserve"> NRT, but recommended that the Department follow up with Queensland </w:t>
      </w:r>
      <w:proofErr w:type="spellStart"/>
      <w:r w:rsidRPr="00A13556">
        <w:rPr>
          <w:szCs w:val="24"/>
        </w:rPr>
        <w:t>Quitline</w:t>
      </w:r>
      <w:proofErr w:type="spellEnd"/>
      <w:r w:rsidRPr="00A13556">
        <w:rPr>
          <w:szCs w:val="24"/>
        </w:rPr>
        <w:t xml:space="preserve"> following its evaluation of the ‘Intensive Quit Support Program’ to explore if there are other ways of providing access to government funded NRT. </w:t>
      </w:r>
    </w:p>
    <w:p w:rsidR="006504DF" w:rsidRPr="00FE1642" w:rsidRDefault="006504DF" w:rsidP="00C60303">
      <w:pPr>
        <w:sectPr w:rsidR="006504DF" w:rsidRPr="00FE1642" w:rsidSect="00433EF0">
          <w:pgSz w:w="11906" w:h="16838"/>
          <w:pgMar w:top="1440" w:right="1440" w:bottom="1440" w:left="1440" w:header="708" w:footer="708" w:gutter="0"/>
          <w:cols w:space="708"/>
          <w:titlePg/>
          <w:docGrid w:linePitch="360"/>
        </w:sectPr>
      </w:pPr>
    </w:p>
    <w:p w:rsidR="00923556" w:rsidRPr="00FE1642" w:rsidRDefault="00923556" w:rsidP="00A77877">
      <w:pPr>
        <w:pStyle w:val="Heading1"/>
      </w:pPr>
      <w:bookmarkStart w:id="64" w:name="_Toc72848474"/>
      <w:r w:rsidRPr="00FE1642">
        <w:t>References</w:t>
      </w:r>
      <w:bookmarkEnd w:id="64"/>
    </w:p>
    <w:p w:rsidR="00F608CD" w:rsidRPr="00F608CD" w:rsidRDefault="00F608CD" w:rsidP="00797212">
      <w:pPr>
        <w:pStyle w:val="EndNoteBibliography"/>
        <w:spacing w:after="0"/>
      </w:pPr>
    </w:p>
    <w:p w:rsidR="00974807" w:rsidRPr="009E179C" w:rsidRDefault="00974807" w:rsidP="009E179C">
      <w:pPr>
        <w:pStyle w:val="EndNoteBibliography"/>
        <w:numPr>
          <w:ilvl w:val="0"/>
          <w:numId w:val="53"/>
        </w:numPr>
        <w:spacing w:after="0"/>
        <w:jc w:val="both"/>
        <w:rPr>
          <w:rFonts w:asciiTheme="minorHAnsi" w:hAnsiTheme="minorHAnsi" w:cstheme="minorHAnsi"/>
        </w:rPr>
      </w:pPr>
      <w:bookmarkStart w:id="65" w:name="_ENREF_1"/>
      <w:r w:rsidRPr="009E179C">
        <w:rPr>
          <w:rFonts w:asciiTheme="minorHAnsi" w:hAnsiTheme="minorHAnsi" w:cstheme="minorHAnsi"/>
        </w:rPr>
        <w:t>McDonough M. Update on Medicines for Smoking C</w:t>
      </w:r>
      <w:r w:rsidR="007174F9" w:rsidRPr="009E179C">
        <w:rPr>
          <w:rFonts w:asciiTheme="minorHAnsi" w:hAnsiTheme="minorHAnsi" w:cstheme="minorHAnsi"/>
        </w:rPr>
        <w:t>essatio</w:t>
      </w:r>
      <w:r w:rsidR="009E179C" w:rsidRPr="009E179C">
        <w:rPr>
          <w:rFonts w:asciiTheme="minorHAnsi" w:hAnsiTheme="minorHAnsi" w:cstheme="minorHAnsi"/>
        </w:rPr>
        <w:t xml:space="preserve">n. Aust Prescr 2015;38:106-11. </w:t>
      </w:r>
      <w:r w:rsidR="007174F9" w:rsidRPr="009E179C">
        <w:rPr>
          <w:rFonts w:asciiTheme="minorHAnsi" w:hAnsiTheme="minorHAnsi" w:cstheme="minorHAnsi"/>
        </w:rPr>
        <w:t xml:space="preserve">Available from: </w:t>
      </w:r>
      <w:bookmarkEnd w:id="65"/>
      <w:r w:rsidR="004A0A14" w:rsidRPr="005C09E7">
        <w:rPr>
          <w:rFonts w:asciiTheme="minorHAnsi" w:hAnsiTheme="minorHAnsi" w:cstheme="minorHAnsi"/>
        </w:rPr>
        <w:t>https://www.nps.org.au/australian-prescriber/articles/update-on-medicines-for-smoking-cessation</w:t>
      </w:r>
      <w:r w:rsidR="00466EDF" w:rsidRPr="009E179C">
        <w:rPr>
          <w:rFonts w:asciiTheme="minorHAnsi" w:hAnsiTheme="minorHAnsi" w:cstheme="minorHAnsi"/>
        </w:rPr>
        <w:t>]</w:t>
      </w:r>
    </w:p>
    <w:p w:rsidR="00974807" w:rsidRPr="009E179C" w:rsidRDefault="00974807" w:rsidP="009E179C">
      <w:pPr>
        <w:pStyle w:val="EndNoteBibliography"/>
        <w:numPr>
          <w:ilvl w:val="0"/>
          <w:numId w:val="53"/>
        </w:numPr>
        <w:spacing w:after="0"/>
        <w:jc w:val="both"/>
        <w:rPr>
          <w:rFonts w:asciiTheme="minorHAnsi" w:hAnsiTheme="minorHAnsi" w:cstheme="minorHAnsi"/>
        </w:rPr>
      </w:pPr>
      <w:r w:rsidRPr="009E179C">
        <w:rPr>
          <w:rFonts w:asciiTheme="minorHAnsi" w:hAnsiTheme="minorHAnsi" w:cstheme="minorHAnsi"/>
        </w:rPr>
        <w:t>Preventing Tobacco Use Among Youth and Young Adults: A Report of the Surgeon General [Internet]. National Center for Chronic Disease Prevention and Health Promotion (US) Office on Smoking and Health.</w:t>
      </w:r>
      <w:r w:rsidR="009E179C" w:rsidRPr="009E179C">
        <w:rPr>
          <w:rFonts w:asciiTheme="minorHAnsi" w:hAnsiTheme="minorHAnsi" w:cstheme="minorHAnsi"/>
        </w:rPr>
        <w:t xml:space="preserve"> </w:t>
      </w:r>
      <w:r w:rsidRPr="009E179C">
        <w:rPr>
          <w:rFonts w:asciiTheme="minorHAnsi" w:hAnsiTheme="minorHAnsi" w:cstheme="minorHAnsi"/>
        </w:rPr>
        <w:t xml:space="preserve">2012. Available from: </w:t>
      </w:r>
      <w:r w:rsidR="009E179C" w:rsidRPr="005C09E7">
        <w:rPr>
          <w:rFonts w:asciiTheme="minorHAnsi" w:hAnsiTheme="minorHAnsi" w:cstheme="minorHAnsi"/>
        </w:rPr>
        <w:t>https://www.hhs.gov/surgeongeneral/reports-and-publications/tobacco/index.html</w:t>
      </w:r>
    </w:p>
    <w:p w:rsidR="00974807" w:rsidRDefault="009E179C" w:rsidP="009E179C">
      <w:pPr>
        <w:pStyle w:val="EndNoteBibliography"/>
        <w:numPr>
          <w:ilvl w:val="0"/>
          <w:numId w:val="53"/>
        </w:numPr>
        <w:spacing w:after="0"/>
        <w:jc w:val="both"/>
        <w:rPr>
          <w:rFonts w:asciiTheme="minorHAnsi" w:hAnsiTheme="minorHAnsi" w:cstheme="minorHAnsi"/>
        </w:rPr>
      </w:pPr>
      <w:r w:rsidRPr="009E179C">
        <w:rPr>
          <w:rFonts w:asciiTheme="minorHAnsi" w:hAnsiTheme="minorHAnsi" w:cstheme="minorHAnsi"/>
        </w:rPr>
        <w:t>The Path to Smoking Addiction Starts at Very Young Ages</w:t>
      </w:r>
      <w:r>
        <w:rPr>
          <w:rFonts w:asciiTheme="minorHAnsi" w:hAnsiTheme="minorHAnsi" w:cstheme="minorHAnsi"/>
        </w:rPr>
        <w:t xml:space="preserve"> [Internet]. </w:t>
      </w:r>
      <w:r w:rsidRPr="009E179C">
        <w:rPr>
          <w:rFonts w:asciiTheme="minorHAnsi" w:hAnsiTheme="minorHAnsi" w:cstheme="minorHAnsi"/>
        </w:rPr>
        <w:t>Campaign for Tobacco-Free Kids</w:t>
      </w:r>
      <w:r>
        <w:rPr>
          <w:rFonts w:asciiTheme="minorHAnsi" w:hAnsiTheme="minorHAnsi" w:cstheme="minorHAnsi"/>
        </w:rPr>
        <w:t xml:space="preserve">. 2020. Available from: </w:t>
      </w:r>
      <w:r w:rsidRPr="005C09E7">
        <w:rPr>
          <w:rFonts w:asciiTheme="minorHAnsi" w:hAnsiTheme="minorHAnsi" w:cstheme="minorHAnsi"/>
        </w:rPr>
        <w:t>https://www.tobaccofreekids.org/assets/factsheets/0127.pdf</w:t>
      </w:r>
    </w:p>
    <w:p w:rsidR="00201C11" w:rsidRPr="00201C11" w:rsidRDefault="00201C11" w:rsidP="00201C11">
      <w:pPr>
        <w:pStyle w:val="EndNoteBibliography"/>
        <w:numPr>
          <w:ilvl w:val="0"/>
          <w:numId w:val="53"/>
        </w:numPr>
        <w:spacing w:after="0"/>
        <w:jc w:val="both"/>
        <w:rPr>
          <w:rFonts w:asciiTheme="minorHAnsi" w:hAnsiTheme="minorHAnsi" w:cstheme="minorHAnsi"/>
        </w:rPr>
      </w:pPr>
      <w:r w:rsidRPr="00201C11">
        <w:rPr>
          <w:rFonts w:asciiTheme="minorHAnsi" w:hAnsiTheme="minorHAnsi" w:cstheme="minorHAnsi"/>
        </w:rPr>
        <w:t>Australian Institute of Health and Welfare. Burden of tobacco use in Australia:</w:t>
      </w:r>
    </w:p>
    <w:p w:rsidR="00201C11" w:rsidRPr="00201C11" w:rsidRDefault="00201C11" w:rsidP="00201C11">
      <w:pPr>
        <w:pStyle w:val="EndNoteBibliography"/>
        <w:spacing w:after="0"/>
        <w:ind w:left="720"/>
        <w:jc w:val="both"/>
        <w:rPr>
          <w:rFonts w:asciiTheme="minorHAnsi" w:hAnsiTheme="minorHAnsi" w:cstheme="minorHAnsi"/>
        </w:rPr>
      </w:pPr>
      <w:r w:rsidRPr="00201C11">
        <w:rPr>
          <w:rFonts w:asciiTheme="minorHAnsi" w:hAnsiTheme="minorHAnsi" w:cstheme="minorHAnsi"/>
        </w:rPr>
        <w:t>Australian Burden of Disease Study 2015. Australian Burden of Disease series no. 21.</w:t>
      </w:r>
    </w:p>
    <w:p w:rsidR="00201C11" w:rsidRPr="00201C11" w:rsidRDefault="00201C11" w:rsidP="00201C11">
      <w:pPr>
        <w:pStyle w:val="EndNoteBibliography"/>
        <w:spacing w:after="0"/>
        <w:ind w:left="720"/>
        <w:jc w:val="both"/>
        <w:rPr>
          <w:rFonts w:asciiTheme="minorHAnsi" w:hAnsiTheme="minorHAnsi" w:cstheme="minorHAnsi"/>
        </w:rPr>
      </w:pPr>
      <w:r w:rsidRPr="00201C11">
        <w:rPr>
          <w:rFonts w:asciiTheme="minorHAnsi" w:hAnsiTheme="minorHAnsi" w:cstheme="minorHAnsi"/>
        </w:rPr>
        <w:t>Cat. no. BOD 20. Canberra: AIHW; 2019. Available from:</w:t>
      </w:r>
    </w:p>
    <w:p w:rsidR="00201C11" w:rsidRDefault="00201C11" w:rsidP="00201C11">
      <w:pPr>
        <w:pStyle w:val="EndNoteBibliography"/>
        <w:spacing w:after="0"/>
        <w:ind w:left="720"/>
        <w:jc w:val="both"/>
        <w:rPr>
          <w:rFonts w:asciiTheme="minorHAnsi" w:hAnsiTheme="minorHAnsi" w:cstheme="minorHAnsi"/>
        </w:rPr>
      </w:pPr>
      <w:r w:rsidRPr="005C09E7">
        <w:rPr>
          <w:rFonts w:asciiTheme="minorHAnsi" w:hAnsiTheme="minorHAnsi" w:cstheme="minorHAnsi"/>
        </w:rPr>
        <w:t>https://www.aihw.gov.au/getmedia/953dcb20-b369-4c6b-b20f-526bdead14cb/aihwbod-20.pdf.aspx?inline=true</w:t>
      </w:r>
      <w:r w:rsidRPr="00201C11">
        <w:rPr>
          <w:rFonts w:asciiTheme="minorHAnsi" w:hAnsiTheme="minorHAnsi" w:cstheme="minorHAnsi"/>
        </w:rPr>
        <w:t>.</w:t>
      </w:r>
    </w:p>
    <w:p w:rsidR="00201C11" w:rsidRPr="00201C11" w:rsidRDefault="00201C11" w:rsidP="00201C11">
      <w:pPr>
        <w:pStyle w:val="EndNoteBibliography"/>
        <w:numPr>
          <w:ilvl w:val="0"/>
          <w:numId w:val="53"/>
        </w:numPr>
        <w:spacing w:after="0"/>
        <w:jc w:val="both"/>
        <w:rPr>
          <w:rFonts w:asciiTheme="minorHAnsi" w:hAnsiTheme="minorHAnsi" w:cstheme="minorHAnsi"/>
        </w:rPr>
      </w:pPr>
      <w:r w:rsidRPr="00201C11">
        <w:rPr>
          <w:rFonts w:asciiTheme="minorHAnsi" w:hAnsiTheme="minorHAnsi" w:cstheme="minorHAnsi"/>
        </w:rPr>
        <w:t>Tait R, Whetton S and Alsop S. Identifying the social costs of tobacco use in A</w:t>
      </w:r>
      <w:r>
        <w:rPr>
          <w:rFonts w:asciiTheme="minorHAnsi" w:hAnsiTheme="minorHAnsi" w:cstheme="minorHAnsi"/>
        </w:rPr>
        <w:t xml:space="preserve">ustralia </w:t>
      </w:r>
      <w:r w:rsidRPr="00201C11">
        <w:rPr>
          <w:rFonts w:asciiTheme="minorHAnsi" w:hAnsiTheme="minorHAnsi" w:cstheme="minorHAnsi"/>
        </w:rPr>
        <w:t>in</w:t>
      </w:r>
      <w:r>
        <w:rPr>
          <w:rFonts w:asciiTheme="minorHAnsi" w:hAnsiTheme="minorHAnsi" w:cstheme="minorHAnsi"/>
        </w:rPr>
        <w:t xml:space="preserve"> </w:t>
      </w:r>
      <w:r w:rsidRPr="00201C11">
        <w:rPr>
          <w:rFonts w:asciiTheme="minorHAnsi" w:hAnsiTheme="minorHAnsi" w:cstheme="minorHAnsi"/>
        </w:rPr>
        <w:t>2015/16. Perth: National Drug Research Institute, Curtin University; October 2019.</w:t>
      </w:r>
      <w:r>
        <w:rPr>
          <w:rFonts w:asciiTheme="minorHAnsi" w:hAnsiTheme="minorHAnsi" w:cstheme="minorHAnsi"/>
        </w:rPr>
        <w:t xml:space="preserve"> </w:t>
      </w:r>
      <w:r w:rsidRPr="00201C11">
        <w:rPr>
          <w:rFonts w:asciiTheme="minorHAnsi" w:hAnsiTheme="minorHAnsi" w:cstheme="minorHAnsi"/>
        </w:rPr>
        <w:t>Available from:</w:t>
      </w:r>
      <w:r>
        <w:rPr>
          <w:rFonts w:asciiTheme="minorHAnsi" w:hAnsiTheme="minorHAnsi" w:cstheme="minorHAnsi"/>
        </w:rPr>
        <w:t xml:space="preserve"> </w:t>
      </w:r>
      <w:r w:rsidRPr="005C09E7">
        <w:rPr>
          <w:rFonts w:asciiTheme="minorHAnsi" w:hAnsiTheme="minorHAnsi" w:cstheme="minorHAnsi"/>
        </w:rPr>
        <w:t>https://ndri.curtin.edu.au/ndri/media/documents/publications/T273.pdf</w:t>
      </w:r>
      <w:r w:rsidRPr="00201C11">
        <w:rPr>
          <w:rFonts w:asciiTheme="minorHAnsi" w:hAnsiTheme="minorHAnsi" w:cstheme="minorHAnsi"/>
        </w:rPr>
        <w:t>.</w:t>
      </w:r>
    </w:p>
    <w:p w:rsidR="00466EDF" w:rsidRPr="00D25738" w:rsidRDefault="00466EDF" w:rsidP="00974807">
      <w:pPr>
        <w:pStyle w:val="EndNoteBibliography"/>
        <w:spacing w:after="0"/>
        <w:jc w:val="both"/>
        <w:rPr>
          <w:rFonts w:asciiTheme="minorHAnsi" w:hAnsiTheme="minorHAnsi" w:cstheme="minorHAnsi"/>
        </w:rPr>
      </w:pPr>
      <w:r w:rsidRPr="00D25738">
        <w:rPr>
          <w:rFonts w:asciiTheme="minorHAnsi" w:hAnsiTheme="minorHAnsi" w:cstheme="minorHAnsi"/>
        </w:rPr>
        <w:tab/>
      </w:r>
    </w:p>
    <w:p w:rsidR="00466EDF" w:rsidRDefault="00466EDF">
      <w:pPr>
        <w:spacing w:line="276" w:lineRule="auto"/>
        <w:rPr>
          <w:rFonts w:ascii="Cambria" w:eastAsiaTheme="minorEastAsia" w:hAnsi="Cambria" w:cs="Calibri"/>
          <w:noProof/>
          <w:szCs w:val="20"/>
          <w:lang w:val="en-US"/>
        </w:rPr>
      </w:pPr>
      <w:r>
        <w:br w:type="page"/>
      </w:r>
    </w:p>
    <w:p w:rsidR="00466EDF" w:rsidRPr="00A41970" w:rsidRDefault="00466EDF" w:rsidP="00466EDF">
      <w:pPr>
        <w:pStyle w:val="Heading1"/>
      </w:pPr>
      <w:bookmarkStart w:id="66" w:name="_Ref493242406"/>
      <w:bookmarkStart w:id="67" w:name="_Toc503771667"/>
      <w:bookmarkStart w:id="68" w:name="_Toc64558276"/>
      <w:bookmarkStart w:id="69" w:name="_Toc72848475"/>
      <w:r w:rsidRPr="00A41970">
        <w:t xml:space="preserve">Appendix </w:t>
      </w:r>
      <w:r>
        <w:t>A</w:t>
      </w:r>
      <w:r w:rsidRPr="00A41970">
        <w:t xml:space="preserve"> – Reference Group Members</w:t>
      </w:r>
      <w:bookmarkEnd w:id="66"/>
      <w:bookmarkEnd w:id="67"/>
      <w:bookmarkEnd w:id="68"/>
      <w:bookmarkEnd w:id="69"/>
    </w:p>
    <w:tbl>
      <w:tblPr>
        <w:tblpPr w:leftFromText="180" w:rightFromText="180" w:vertAnchor="page" w:horzAnchor="margin" w:tblpY="2208"/>
        <w:tblW w:w="5000" w:type="pct"/>
        <w:tblLook w:val="04A0" w:firstRow="1" w:lastRow="0" w:firstColumn="1" w:lastColumn="0" w:noHBand="0" w:noVBand="1"/>
      </w:tblPr>
      <w:tblGrid>
        <w:gridCol w:w="3498"/>
        <w:gridCol w:w="2543"/>
        <w:gridCol w:w="2975"/>
      </w:tblGrid>
      <w:tr w:rsidR="002F3376" w:rsidRPr="003A42E4" w:rsidTr="002F3376">
        <w:trPr>
          <w:trHeight w:val="421"/>
        </w:trPr>
        <w:tc>
          <w:tcPr>
            <w:tcW w:w="1940" w:type="pct"/>
            <w:tcBorders>
              <w:top w:val="single" w:sz="4" w:space="0" w:color="auto"/>
              <w:left w:val="single" w:sz="4" w:space="0" w:color="auto"/>
              <w:bottom w:val="single" w:sz="4" w:space="0" w:color="auto"/>
              <w:right w:val="single" w:sz="4" w:space="0" w:color="auto"/>
            </w:tcBorders>
            <w:shd w:val="clear" w:color="auto" w:fill="auto"/>
            <w:hideMark/>
          </w:tcPr>
          <w:p w:rsidR="002F3376" w:rsidRPr="003A42E4" w:rsidRDefault="002F3376" w:rsidP="002F3376">
            <w:pPr>
              <w:rPr>
                <w:b/>
                <w:bCs/>
                <w:color w:val="000000"/>
                <w:sz w:val="20"/>
                <w:szCs w:val="20"/>
              </w:rPr>
            </w:pPr>
            <w:r w:rsidRPr="003A42E4">
              <w:rPr>
                <w:b/>
                <w:bCs/>
                <w:color w:val="000000"/>
                <w:sz w:val="20"/>
                <w:szCs w:val="20"/>
              </w:rPr>
              <w:t>Name</w:t>
            </w:r>
          </w:p>
        </w:tc>
        <w:tc>
          <w:tcPr>
            <w:tcW w:w="1410" w:type="pct"/>
            <w:tcBorders>
              <w:top w:val="single" w:sz="4" w:space="0" w:color="auto"/>
              <w:left w:val="nil"/>
              <w:bottom w:val="single" w:sz="4" w:space="0" w:color="auto"/>
              <w:right w:val="single" w:sz="4" w:space="0" w:color="auto"/>
            </w:tcBorders>
            <w:shd w:val="clear" w:color="auto" w:fill="auto"/>
            <w:hideMark/>
          </w:tcPr>
          <w:p w:rsidR="002F3376" w:rsidRPr="003A42E4" w:rsidRDefault="002F3376" w:rsidP="002F3376">
            <w:pPr>
              <w:rPr>
                <w:b/>
                <w:bCs/>
                <w:color w:val="000000"/>
                <w:sz w:val="20"/>
                <w:szCs w:val="20"/>
              </w:rPr>
            </w:pPr>
            <w:r w:rsidRPr="003A42E4">
              <w:rPr>
                <w:b/>
                <w:bCs/>
                <w:color w:val="000000"/>
                <w:sz w:val="20"/>
                <w:szCs w:val="20"/>
              </w:rPr>
              <w:t xml:space="preserve">Nominated By </w:t>
            </w:r>
          </w:p>
        </w:tc>
        <w:tc>
          <w:tcPr>
            <w:tcW w:w="1650" w:type="pct"/>
            <w:tcBorders>
              <w:top w:val="single" w:sz="4" w:space="0" w:color="auto"/>
              <w:left w:val="nil"/>
              <w:bottom w:val="single" w:sz="4" w:space="0" w:color="auto"/>
              <w:right w:val="single" w:sz="4" w:space="0" w:color="auto"/>
            </w:tcBorders>
            <w:shd w:val="clear" w:color="auto" w:fill="auto"/>
            <w:noWrap/>
            <w:hideMark/>
          </w:tcPr>
          <w:p w:rsidR="002F3376" w:rsidRPr="003A42E4" w:rsidRDefault="002F3376" w:rsidP="002F3376">
            <w:pPr>
              <w:rPr>
                <w:b/>
                <w:bCs/>
                <w:color w:val="000000"/>
                <w:sz w:val="20"/>
                <w:szCs w:val="20"/>
              </w:rPr>
            </w:pPr>
            <w:r w:rsidRPr="003A42E4">
              <w:rPr>
                <w:b/>
                <w:bCs/>
                <w:color w:val="000000"/>
                <w:sz w:val="20"/>
                <w:szCs w:val="20"/>
              </w:rPr>
              <w:t>Capacity of Appointment</w:t>
            </w:r>
          </w:p>
        </w:tc>
      </w:tr>
      <w:tr w:rsidR="002F3376" w:rsidRPr="003A42E4" w:rsidTr="002F3376">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color w:val="000000"/>
                <w:sz w:val="20"/>
                <w:szCs w:val="20"/>
              </w:rPr>
            </w:pPr>
            <w:r w:rsidRPr="00527D15">
              <w:rPr>
                <w:color w:val="000000"/>
                <w:sz w:val="20"/>
                <w:szCs w:val="20"/>
              </w:rPr>
              <w:t>Department of Health</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Chair</w:t>
            </w:r>
          </w:p>
        </w:tc>
      </w:tr>
      <w:tr w:rsidR="002F3376" w:rsidRPr="003A42E4" w:rsidTr="002F3376">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color w:val="000000"/>
                <w:sz w:val="20"/>
                <w:szCs w:val="20"/>
              </w:rPr>
            </w:pPr>
            <w:r w:rsidRPr="00527D15">
              <w:rPr>
                <w:color w:val="000000"/>
                <w:sz w:val="20"/>
                <w:szCs w:val="20"/>
              </w:rPr>
              <w:t>DUSC</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Technical Expert</w:t>
            </w:r>
          </w:p>
        </w:tc>
      </w:tr>
      <w:tr w:rsidR="002F3376" w:rsidRPr="003A42E4" w:rsidTr="002F3376">
        <w:trPr>
          <w:trHeight w:val="337"/>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tcPr>
          <w:p w:rsidR="002F3376" w:rsidRPr="00527D15" w:rsidRDefault="002F3376" w:rsidP="002F3376">
            <w:pPr>
              <w:rPr>
                <w:color w:val="000000"/>
                <w:sz w:val="20"/>
                <w:szCs w:val="20"/>
              </w:rPr>
            </w:pPr>
            <w:r w:rsidRPr="00527D15">
              <w:rPr>
                <w:color w:val="000000"/>
                <w:sz w:val="20"/>
                <w:szCs w:val="20"/>
              </w:rPr>
              <w:t>Department of Health</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Technical Expert</w:t>
            </w:r>
          </w:p>
        </w:tc>
      </w:tr>
      <w:tr w:rsidR="002F3376" w:rsidRPr="003A42E4" w:rsidTr="002F3376">
        <w:trPr>
          <w:trHeight w:val="281"/>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color w:val="000000"/>
                <w:sz w:val="20"/>
                <w:szCs w:val="20"/>
              </w:rPr>
            </w:pPr>
            <w:r w:rsidRPr="00527D15">
              <w:rPr>
                <w:color w:val="000000"/>
                <w:sz w:val="20"/>
                <w:szCs w:val="20"/>
              </w:rPr>
              <w:t>Royal Australian College of General Practitioners</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Technical Expert</w:t>
            </w:r>
          </w:p>
        </w:tc>
      </w:tr>
      <w:tr w:rsidR="002F3376" w:rsidRPr="003A42E4" w:rsidTr="002F3376">
        <w:trPr>
          <w:trHeight w:val="249"/>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color w:val="000000"/>
                <w:sz w:val="20"/>
                <w:szCs w:val="20"/>
              </w:rPr>
            </w:pPr>
            <w:r w:rsidRPr="00527D15">
              <w:rPr>
                <w:color w:val="000000"/>
                <w:sz w:val="20"/>
                <w:szCs w:val="20"/>
              </w:rPr>
              <w:t>Australian Health Economics Society</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Technical Expert</w:t>
            </w:r>
          </w:p>
        </w:tc>
      </w:tr>
      <w:tr w:rsidR="002F3376" w:rsidRPr="003A42E4" w:rsidTr="002F3376">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color w:val="000000"/>
                <w:sz w:val="20"/>
                <w:szCs w:val="20"/>
              </w:rPr>
            </w:pPr>
            <w:r w:rsidRPr="00527D15">
              <w:rPr>
                <w:color w:val="000000"/>
                <w:sz w:val="20"/>
                <w:szCs w:val="20"/>
              </w:rPr>
              <w:t>Therapeutic Goods Administration</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color w:val="000000"/>
                <w:sz w:val="20"/>
                <w:szCs w:val="20"/>
              </w:rPr>
            </w:pPr>
            <w:r w:rsidRPr="00527D15">
              <w:rPr>
                <w:color w:val="000000"/>
                <w:sz w:val="20"/>
                <w:szCs w:val="20"/>
              </w:rPr>
              <w:t>Organisational Nominee</w:t>
            </w:r>
          </w:p>
        </w:tc>
      </w:tr>
      <w:tr w:rsidR="002F3376" w:rsidRPr="003A42E4" w:rsidTr="002F3376">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2F3376" w:rsidRPr="005C09E7" w:rsidRDefault="005C09E7" w:rsidP="002F3376">
            <w:pPr>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2F3376" w:rsidRPr="00527D15" w:rsidRDefault="002F3376" w:rsidP="002F3376">
            <w:pPr>
              <w:rPr>
                <w:sz w:val="20"/>
                <w:szCs w:val="20"/>
              </w:rPr>
            </w:pPr>
            <w:r w:rsidRPr="00527D15">
              <w:rPr>
                <w:sz w:val="20"/>
                <w:szCs w:val="20"/>
              </w:rPr>
              <w:t>Consumers Health Forum of Australia</w:t>
            </w:r>
          </w:p>
        </w:tc>
        <w:tc>
          <w:tcPr>
            <w:tcW w:w="1650" w:type="pct"/>
            <w:tcBorders>
              <w:top w:val="nil"/>
              <w:left w:val="nil"/>
              <w:bottom w:val="single" w:sz="4" w:space="0" w:color="auto"/>
              <w:right w:val="single" w:sz="4" w:space="0" w:color="auto"/>
            </w:tcBorders>
            <w:shd w:val="clear" w:color="auto" w:fill="auto"/>
            <w:noWrap/>
            <w:hideMark/>
          </w:tcPr>
          <w:p w:rsidR="002F3376" w:rsidRPr="00527D15" w:rsidRDefault="002F3376" w:rsidP="002F3376">
            <w:pPr>
              <w:rPr>
                <w:sz w:val="20"/>
                <w:szCs w:val="20"/>
              </w:rPr>
            </w:pPr>
            <w:r w:rsidRPr="00527D15">
              <w:rPr>
                <w:sz w:val="20"/>
                <w:szCs w:val="20"/>
              </w:rPr>
              <w:t>Consumer Advocate</w:t>
            </w:r>
          </w:p>
        </w:tc>
      </w:tr>
      <w:tr w:rsidR="002F3376" w:rsidRPr="003A42E4" w:rsidTr="002F3376">
        <w:trPr>
          <w:trHeight w:val="60"/>
        </w:trPr>
        <w:tc>
          <w:tcPr>
            <w:tcW w:w="1940" w:type="pct"/>
            <w:tcBorders>
              <w:top w:val="nil"/>
              <w:left w:val="single" w:sz="4" w:space="0" w:color="auto"/>
              <w:bottom w:val="single" w:sz="4" w:space="0" w:color="auto"/>
              <w:right w:val="single" w:sz="4" w:space="0" w:color="auto"/>
            </w:tcBorders>
            <w:shd w:val="clear" w:color="auto" w:fill="auto"/>
            <w:noWrap/>
          </w:tcPr>
          <w:p w:rsidR="002F3376" w:rsidRPr="005C09E7" w:rsidRDefault="005C09E7" w:rsidP="002F3376">
            <w:pPr>
              <w:rPr>
                <w:sz w:val="20"/>
                <w:szCs w:val="20"/>
                <w:highlight w:val="black"/>
              </w:rPr>
            </w:pPr>
            <w:r>
              <w:rPr>
                <w:noProof/>
                <w:color w:val="000000"/>
                <w:sz w:val="20"/>
                <w:szCs w:val="20"/>
                <w:highlight w:val="black"/>
              </w:rPr>
              <w:t>'''''''''''' ''''' ' '''''''''''''''' '''''''''''''''''''''</w:t>
            </w:r>
          </w:p>
        </w:tc>
        <w:tc>
          <w:tcPr>
            <w:tcW w:w="1410" w:type="pct"/>
            <w:tcBorders>
              <w:top w:val="nil"/>
              <w:left w:val="nil"/>
              <w:bottom w:val="single" w:sz="4" w:space="0" w:color="auto"/>
              <w:right w:val="single" w:sz="4" w:space="0" w:color="auto"/>
            </w:tcBorders>
            <w:shd w:val="clear" w:color="auto" w:fill="auto"/>
          </w:tcPr>
          <w:p w:rsidR="002F3376" w:rsidRPr="00527D15" w:rsidRDefault="002F3376" w:rsidP="002F3376">
            <w:pPr>
              <w:rPr>
                <w:color w:val="000000"/>
                <w:sz w:val="20"/>
                <w:szCs w:val="20"/>
              </w:rPr>
            </w:pPr>
            <w:r w:rsidRPr="008B0DA3">
              <w:rPr>
                <w:color w:val="000000"/>
                <w:sz w:val="20"/>
                <w:szCs w:val="20"/>
              </w:rPr>
              <w:t>Medicines Australia</w:t>
            </w:r>
          </w:p>
        </w:tc>
        <w:tc>
          <w:tcPr>
            <w:tcW w:w="1650" w:type="pct"/>
            <w:tcBorders>
              <w:top w:val="nil"/>
              <w:left w:val="nil"/>
              <w:bottom w:val="single" w:sz="4" w:space="0" w:color="auto"/>
              <w:right w:val="single" w:sz="4" w:space="0" w:color="auto"/>
            </w:tcBorders>
            <w:shd w:val="clear" w:color="auto" w:fill="auto"/>
            <w:noWrap/>
          </w:tcPr>
          <w:p w:rsidR="002F3376" w:rsidRPr="00527D15" w:rsidRDefault="002F3376" w:rsidP="002F3376">
            <w:pPr>
              <w:rPr>
                <w:color w:val="000000"/>
                <w:sz w:val="20"/>
                <w:szCs w:val="20"/>
              </w:rPr>
            </w:pPr>
            <w:r w:rsidRPr="008B0DA3">
              <w:rPr>
                <w:color w:val="000000"/>
                <w:sz w:val="20"/>
                <w:szCs w:val="20"/>
              </w:rPr>
              <w:t>Organisational Nominee</w:t>
            </w:r>
          </w:p>
        </w:tc>
      </w:tr>
    </w:tbl>
    <w:p w:rsidR="00466EDF" w:rsidRPr="002F3376" w:rsidRDefault="00466EDF" w:rsidP="002F3376"/>
    <w:sectPr w:rsidR="00466EDF" w:rsidRPr="002F3376" w:rsidSect="00433EF0">
      <w:headerReference w:type="even" r:id="rId13"/>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9E7" w:rsidRDefault="005C09E7" w:rsidP="00A77877">
      <w:r>
        <w:separator/>
      </w:r>
    </w:p>
    <w:p w:rsidR="005C09E7" w:rsidRDefault="005C09E7" w:rsidP="00A77877"/>
    <w:p w:rsidR="005C09E7" w:rsidRDefault="005C09E7" w:rsidP="00A77877"/>
  </w:endnote>
  <w:endnote w:type="continuationSeparator" w:id="0">
    <w:p w:rsidR="005C09E7" w:rsidRDefault="005C09E7" w:rsidP="00A77877">
      <w:r>
        <w:continuationSeparator/>
      </w:r>
    </w:p>
    <w:p w:rsidR="005C09E7" w:rsidRDefault="005C09E7" w:rsidP="00A77877"/>
    <w:p w:rsidR="005C09E7" w:rsidRDefault="005C09E7" w:rsidP="00A77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E7" w:rsidRDefault="005C0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369686"/>
      <w:docPartObj>
        <w:docPartGallery w:val="Page Numbers (Bottom of Page)"/>
        <w:docPartUnique/>
      </w:docPartObj>
    </w:sdtPr>
    <w:sdtEndPr>
      <w:rPr>
        <w:noProof/>
      </w:rPr>
    </w:sdtEndPr>
    <w:sdtContent>
      <w:p w:rsidR="004A0A14" w:rsidRDefault="004A0A14">
        <w:pPr>
          <w:pStyle w:val="Footer"/>
          <w:jc w:val="right"/>
        </w:pPr>
        <w:r>
          <w:fldChar w:fldCharType="begin"/>
        </w:r>
        <w:r>
          <w:instrText xml:space="preserve"> PAGE   \* MERGEFORMAT </w:instrText>
        </w:r>
        <w:r>
          <w:fldChar w:fldCharType="separate"/>
        </w:r>
        <w:r w:rsidR="00414EF8">
          <w:rPr>
            <w:noProof/>
          </w:rPr>
          <w:t>9</w:t>
        </w:r>
        <w:r>
          <w:rPr>
            <w:noProof/>
          </w:rPr>
          <w:fldChar w:fldCharType="end"/>
        </w:r>
      </w:p>
    </w:sdtContent>
  </w:sdt>
  <w:p w:rsidR="004A0A14" w:rsidRPr="00212FCE" w:rsidRDefault="004A0A14" w:rsidP="00A77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rsidP="00CC2D13">
    <w:pPr>
      <w:pStyle w:val="Footer"/>
      <w:jc w:val="right"/>
      <w:rPr>
        <w:noProof/>
      </w:rPr>
    </w:pPr>
    <w:sdt>
      <w:sdtPr>
        <w:id w:val="867647723"/>
        <w:docPartObj>
          <w:docPartGallery w:val="Page Numbers (Bottom of Page)"/>
          <w:docPartUnique/>
        </w:docPartObj>
      </w:sdtPr>
      <w:sdtEndPr>
        <w:rPr>
          <w:noProof/>
        </w:rPr>
      </w:sdtEndPr>
      <w:sdtContent>
        <w:r w:rsidR="004A0A14">
          <w:fldChar w:fldCharType="begin"/>
        </w:r>
        <w:r w:rsidR="004A0A14">
          <w:instrText xml:space="preserve"> PAGE   \* MERGEFORMAT </w:instrText>
        </w:r>
        <w:r w:rsidR="004A0A14">
          <w:fldChar w:fldCharType="separate"/>
        </w:r>
        <w:r>
          <w:rPr>
            <w:noProof/>
          </w:rPr>
          <w:t>8</w:t>
        </w:r>
        <w:r w:rsidR="004A0A14">
          <w:rPr>
            <w:noProof/>
          </w:rPr>
          <w:fldChar w:fldCharType="end"/>
        </w:r>
        <w:r w:rsidR="004A0A14">
          <w:rPr>
            <w:noProof/>
          </w:rPr>
          <w:t xml:space="preserve"> </w:t>
        </w:r>
      </w:sdtContent>
    </w:sdt>
  </w:p>
  <w:p w:rsidR="004A0A14" w:rsidRDefault="004A0A14" w:rsidP="00A77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rsidP="00C227A4">
    <w:pPr>
      <w:pStyle w:val="Footer"/>
      <w:tabs>
        <w:tab w:val="clear" w:pos="4513"/>
        <w:tab w:val="clear" w:pos="9026"/>
        <w:tab w:val="left" w:pos="7560"/>
      </w:tabs>
    </w:pPr>
    <w:sdt>
      <w:sdtPr>
        <w:id w:val="636145619"/>
        <w:docPartObj>
          <w:docPartGallery w:val="Page Numbers (Bottom of Page)"/>
          <w:docPartUnique/>
        </w:docPartObj>
      </w:sdtPr>
      <w:sdtEndPr>
        <w:rPr>
          <w:noProof/>
        </w:rPr>
      </w:sdtEndPr>
      <w:sdtContent>
        <w:r w:rsidR="004A0A14">
          <w:fldChar w:fldCharType="begin"/>
        </w:r>
        <w:r w:rsidR="004A0A14">
          <w:instrText xml:space="preserve"> PAGE   \* MERGEFORMAT </w:instrText>
        </w:r>
        <w:r w:rsidR="004A0A14">
          <w:fldChar w:fldCharType="separate"/>
        </w:r>
        <w:r>
          <w:rPr>
            <w:noProof/>
          </w:rPr>
          <w:t>44</w:t>
        </w:r>
        <w:r w:rsidR="004A0A14">
          <w:rPr>
            <w:noProof/>
          </w:rPr>
          <w:fldChar w:fldCharType="end"/>
        </w:r>
      </w:sdtContent>
    </w:sdt>
    <w:r w:rsidR="004A0A14">
      <w:rPr>
        <w:noProof/>
      </w:rPr>
      <w:tab/>
    </w:r>
  </w:p>
  <w:p w:rsidR="004A0A14" w:rsidRDefault="004A0A14" w:rsidP="00A778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9E7" w:rsidRDefault="005C09E7" w:rsidP="00A77877">
      <w:r>
        <w:separator/>
      </w:r>
    </w:p>
    <w:p w:rsidR="005C09E7" w:rsidRDefault="005C09E7" w:rsidP="00A77877"/>
    <w:p w:rsidR="005C09E7" w:rsidRDefault="005C09E7" w:rsidP="00A77877"/>
  </w:footnote>
  <w:footnote w:type="continuationSeparator" w:id="0">
    <w:p w:rsidR="005C09E7" w:rsidRDefault="005C09E7" w:rsidP="00A77877">
      <w:r>
        <w:continuationSeparator/>
      </w:r>
    </w:p>
    <w:p w:rsidR="005C09E7" w:rsidRDefault="005C09E7" w:rsidP="00A77877"/>
    <w:p w:rsidR="005C09E7" w:rsidRDefault="005C09E7" w:rsidP="00A778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0FBBE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8"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7B1F3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9"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14FD0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87"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5CAB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1" o:spid="_x0000_s2053" type="#_x0000_t136" style="position:absolute;margin-left:0;margin-top:0;width:397.65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4C71B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2" o:spid="_x0000_s2054" type="#_x0000_t136" style="position:absolute;margin-left:0;margin-top:0;width:397.65pt;height:238.6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14" w:rsidRDefault="00414EF8">
    <w:pPr>
      <w:pStyle w:val="Header"/>
    </w:pPr>
    <w:r>
      <w:rPr>
        <w:noProof/>
      </w:rPr>
      <w:pict w14:anchorId="5C31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8190" o:spid="_x0000_s2052"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7C9"/>
    <w:multiLevelType w:val="hybridMultilevel"/>
    <w:tmpl w:val="17766D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C3523E"/>
    <w:multiLevelType w:val="multilevel"/>
    <w:tmpl w:val="A76691B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4FF612A"/>
    <w:multiLevelType w:val="hybridMultilevel"/>
    <w:tmpl w:val="A512269E"/>
    <w:lvl w:ilvl="0" w:tplc="30E65B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280574"/>
    <w:multiLevelType w:val="hybridMultilevel"/>
    <w:tmpl w:val="D02E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E73BEF"/>
    <w:multiLevelType w:val="hybridMultilevel"/>
    <w:tmpl w:val="7DC6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B474D7"/>
    <w:multiLevelType w:val="hybridMultilevel"/>
    <w:tmpl w:val="AAF0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3406E"/>
    <w:multiLevelType w:val="hybridMultilevel"/>
    <w:tmpl w:val="D56A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44078F"/>
    <w:multiLevelType w:val="hybridMultilevel"/>
    <w:tmpl w:val="E6A8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E945E5"/>
    <w:multiLevelType w:val="hybridMultilevel"/>
    <w:tmpl w:val="26D63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1A34CC2"/>
    <w:multiLevelType w:val="hybridMultilevel"/>
    <w:tmpl w:val="FC8C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C11A7"/>
    <w:multiLevelType w:val="hybridMultilevel"/>
    <w:tmpl w:val="17D8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2411D"/>
    <w:multiLevelType w:val="hybridMultilevel"/>
    <w:tmpl w:val="D450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C105DA"/>
    <w:multiLevelType w:val="hybridMultilevel"/>
    <w:tmpl w:val="BE766B44"/>
    <w:lvl w:ilvl="0" w:tplc="B310F748">
      <w:start w:val="12"/>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6" w15:restartNumberingAfterBreak="0">
    <w:nsid w:val="1B165081"/>
    <w:multiLevelType w:val="hybridMultilevel"/>
    <w:tmpl w:val="BEC054D6"/>
    <w:lvl w:ilvl="0" w:tplc="6A64ED6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146F06"/>
    <w:multiLevelType w:val="hybridMultilevel"/>
    <w:tmpl w:val="0720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CD25B78"/>
    <w:multiLevelType w:val="hybridMultilevel"/>
    <w:tmpl w:val="763EC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D27223"/>
    <w:multiLevelType w:val="hybridMultilevel"/>
    <w:tmpl w:val="0D5618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2FC44EE"/>
    <w:multiLevelType w:val="hybridMultilevel"/>
    <w:tmpl w:val="49F6F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53606"/>
    <w:multiLevelType w:val="hybridMultilevel"/>
    <w:tmpl w:val="85A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7619B2"/>
    <w:multiLevelType w:val="hybridMultilevel"/>
    <w:tmpl w:val="E9448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AA4ECA"/>
    <w:multiLevelType w:val="multilevel"/>
    <w:tmpl w:val="C32CF7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5AF7401"/>
    <w:multiLevelType w:val="hybridMultilevel"/>
    <w:tmpl w:val="1E84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5B37554"/>
    <w:multiLevelType w:val="hybridMultilevel"/>
    <w:tmpl w:val="2D9AF246"/>
    <w:lvl w:ilvl="0" w:tplc="4F4A59EC">
      <w:start w:val="9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8226532"/>
    <w:multiLevelType w:val="hybridMultilevel"/>
    <w:tmpl w:val="E2C2E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3E7C07"/>
    <w:multiLevelType w:val="hybridMultilevel"/>
    <w:tmpl w:val="F356E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291670A5"/>
    <w:multiLevelType w:val="hybridMultilevel"/>
    <w:tmpl w:val="94F2B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345882"/>
    <w:multiLevelType w:val="hybridMultilevel"/>
    <w:tmpl w:val="D6308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4864F8"/>
    <w:multiLevelType w:val="multilevel"/>
    <w:tmpl w:val="828A45A4"/>
    <w:lvl w:ilvl="0">
      <w:start w:val="2"/>
      <w:numFmt w:val="decimal"/>
      <w:lvlText w:val="%1"/>
      <w:lvlJc w:val="left"/>
      <w:pPr>
        <w:ind w:left="360" w:hanging="360"/>
      </w:pPr>
      <w:rPr>
        <w:rFonts w:hint="default"/>
        <w:b/>
        <w:i/>
      </w:rPr>
    </w:lvl>
    <w:lvl w:ilvl="1">
      <w:start w:val="5"/>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2" w15:restartNumberingAfterBreak="0">
    <w:nsid w:val="33B31FEC"/>
    <w:multiLevelType w:val="hybridMultilevel"/>
    <w:tmpl w:val="98BE4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BA2508"/>
    <w:multiLevelType w:val="hybridMultilevel"/>
    <w:tmpl w:val="C1C2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B8107D"/>
    <w:multiLevelType w:val="hybridMultilevel"/>
    <w:tmpl w:val="C7BAA0C2"/>
    <w:lvl w:ilvl="0" w:tplc="BEBA8FFE">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BE5E52"/>
    <w:multiLevelType w:val="hybridMultilevel"/>
    <w:tmpl w:val="83E08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742449"/>
    <w:multiLevelType w:val="hybridMultilevel"/>
    <w:tmpl w:val="99000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3BA02B17"/>
    <w:multiLevelType w:val="hybridMultilevel"/>
    <w:tmpl w:val="6E4CF9E8"/>
    <w:lvl w:ilvl="0" w:tplc="FE2EC4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DB3DDF"/>
    <w:multiLevelType w:val="hybridMultilevel"/>
    <w:tmpl w:val="9D182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E050D2D"/>
    <w:multiLevelType w:val="hybridMultilevel"/>
    <w:tmpl w:val="33D6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BA2374"/>
    <w:multiLevelType w:val="hybridMultilevel"/>
    <w:tmpl w:val="7FECD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01E7AAA"/>
    <w:multiLevelType w:val="hybridMultilevel"/>
    <w:tmpl w:val="3ECA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05368B7"/>
    <w:multiLevelType w:val="hybridMultilevel"/>
    <w:tmpl w:val="062E8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350178"/>
    <w:multiLevelType w:val="hybridMultilevel"/>
    <w:tmpl w:val="BC44F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3A666A3"/>
    <w:multiLevelType w:val="hybridMultilevel"/>
    <w:tmpl w:val="EA069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1B74FF"/>
    <w:multiLevelType w:val="multilevel"/>
    <w:tmpl w:val="346469B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02052A"/>
    <w:multiLevelType w:val="multilevel"/>
    <w:tmpl w:val="7534DE1C"/>
    <w:lvl w:ilvl="0">
      <w:start w:val="3"/>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93F95"/>
    <w:multiLevelType w:val="hybridMultilevel"/>
    <w:tmpl w:val="7B805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E94447A"/>
    <w:multiLevelType w:val="hybridMultilevel"/>
    <w:tmpl w:val="C31CBFF0"/>
    <w:lvl w:ilvl="0" w:tplc="0C090001">
      <w:start w:val="1"/>
      <w:numFmt w:val="bullet"/>
      <w:lvlText w:val=""/>
      <w:lvlJc w:val="left"/>
      <w:pPr>
        <w:ind w:left="764" w:hanging="360"/>
      </w:pPr>
      <w:rPr>
        <w:rFonts w:ascii="Symbol" w:hAnsi="Symbo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52" w15:restartNumberingAfterBreak="0">
    <w:nsid w:val="51D64CBC"/>
    <w:multiLevelType w:val="hybridMultilevel"/>
    <w:tmpl w:val="36EC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09132E"/>
    <w:multiLevelType w:val="hybridMultilevel"/>
    <w:tmpl w:val="194E1F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5352A97"/>
    <w:multiLevelType w:val="hybridMultilevel"/>
    <w:tmpl w:val="5C08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6C80617"/>
    <w:multiLevelType w:val="hybridMultilevel"/>
    <w:tmpl w:val="996AD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907D40"/>
    <w:multiLevelType w:val="multilevel"/>
    <w:tmpl w:val="B82602D8"/>
    <w:lvl w:ilvl="0">
      <w:start w:val="2"/>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7" w15:restartNumberingAfterBreak="0">
    <w:nsid w:val="5C7E25CE"/>
    <w:multiLevelType w:val="hybridMultilevel"/>
    <w:tmpl w:val="384E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173227"/>
    <w:multiLevelType w:val="hybridMultilevel"/>
    <w:tmpl w:val="931E7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FC37E1C"/>
    <w:multiLevelType w:val="hybridMultilevel"/>
    <w:tmpl w:val="92CC1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5B4645D"/>
    <w:multiLevelType w:val="multilevel"/>
    <w:tmpl w:val="FFB6A7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6B91D85"/>
    <w:multiLevelType w:val="hybridMultilevel"/>
    <w:tmpl w:val="533C9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5B311A"/>
    <w:multiLevelType w:val="hybridMultilevel"/>
    <w:tmpl w:val="0442BDA0"/>
    <w:lvl w:ilvl="0" w:tplc="AAD08FB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69B223AF"/>
    <w:multiLevelType w:val="hybridMultilevel"/>
    <w:tmpl w:val="745C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C55AD3"/>
    <w:multiLevelType w:val="multilevel"/>
    <w:tmpl w:val="31A4BC0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1A7029"/>
    <w:multiLevelType w:val="hybridMultilevel"/>
    <w:tmpl w:val="6A5E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2880EB7"/>
    <w:multiLevelType w:val="hybridMultilevel"/>
    <w:tmpl w:val="E3BC4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3777105"/>
    <w:multiLevelType w:val="multilevel"/>
    <w:tmpl w:val="2048CF6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8305C9"/>
    <w:multiLevelType w:val="multilevel"/>
    <w:tmpl w:val="5A9EF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8B80614"/>
    <w:multiLevelType w:val="hybridMultilevel"/>
    <w:tmpl w:val="CC3E0A9C"/>
    <w:lvl w:ilvl="0" w:tplc="FC0054E8">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90D4A06"/>
    <w:multiLevelType w:val="hybridMultilevel"/>
    <w:tmpl w:val="D6B09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9C243C"/>
    <w:multiLevelType w:val="multilevel"/>
    <w:tmpl w:val="7A44F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E277AD5"/>
    <w:multiLevelType w:val="hybridMultilevel"/>
    <w:tmpl w:val="05DE8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92042A"/>
    <w:multiLevelType w:val="hybridMultilevel"/>
    <w:tmpl w:val="0114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ED033C5"/>
    <w:multiLevelType w:val="hybridMultilevel"/>
    <w:tmpl w:val="90E8A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7"/>
  </w:num>
  <w:num w:numId="4">
    <w:abstractNumId w:val="10"/>
  </w:num>
  <w:num w:numId="5">
    <w:abstractNumId w:val="34"/>
  </w:num>
  <w:num w:numId="6">
    <w:abstractNumId w:val="50"/>
  </w:num>
  <w:num w:numId="7">
    <w:abstractNumId w:val="26"/>
  </w:num>
  <w:num w:numId="8">
    <w:abstractNumId w:val="13"/>
  </w:num>
  <w:num w:numId="9">
    <w:abstractNumId w:val="21"/>
  </w:num>
  <w:num w:numId="10">
    <w:abstractNumId w:val="52"/>
  </w:num>
  <w:num w:numId="11">
    <w:abstractNumId w:val="2"/>
  </w:num>
  <w:num w:numId="12">
    <w:abstractNumId w:val="72"/>
  </w:num>
  <w:num w:numId="13">
    <w:abstractNumId w:val="58"/>
  </w:num>
  <w:num w:numId="14">
    <w:abstractNumId w:val="18"/>
  </w:num>
  <w:num w:numId="15">
    <w:abstractNumId w:val="66"/>
  </w:num>
  <w:num w:numId="16">
    <w:abstractNumId w:val="38"/>
  </w:num>
  <w:num w:numId="17">
    <w:abstractNumId w:val="54"/>
  </w:num>
  <w:num w:numId="18">
    <w:abstractNumId w:val="57"/>
  </w:num>
  <w:num w:numId="19">
    <w:abstractNumId w:val="63"/>
  </w:num>
  <w:num w:numId="20">
    <w:abstractNumId w:val="41"/>
  </w:num>
  <w:num w:numId="21">
    <w:abstractNumId w:val="11"/>
  </w:num>
  <w:num w:numId="22">
    <w:abstractNumId w:val="42"/>
  </w:num>
  <w:num w:numId="23">
    <w:abstractNumId w:val="33"/>
  </w:num>
  <w:num w:numId="24">
    <w:abstractNumId w:val="0"/>
  </w:num>
  <w:num w:numId="25">
    <w:abstractNumId w:val="73"/>
  </w:num>
  <w:num w:numId="26">
    <w:abstractNumId w:val="74"/>
  </w:num>
  <w:num w:numId="27">
    <w:abstractNumId w:val="30"/>
  </w:num>
  <w:num w:numId="28">
    <w:abstractNumId w:val="7"/>
  </w:num>
  <w:num w:numId="29">
    <w:abstractNumId w:val="22"/>
  </w:num>
  <w:num w:numId="30">
    <w:abstractNumId w:val="29"/>
  </w:num>
  <w:num w:numId="31">
    <w:abstractNumId w:val="40"/>
  </w:num>
  <w:num w:numId="32">
    <w:abstractNumId w:val="8"/>
  </w:num>
  <w:num w:numId="33">
    <w:abstractNumId w:val="27"/>
  </w:num>
  <w:num w:numId="34">
    <w:abstractNumId w:val="43"/>
  </w:num>
  <w:num w:numId="35">
    <w:abstractNumId w:val="55"/>
  </w:num>
  <w:num w:numId="36">
    <w:abstractNumId w:val="39"/>
  </w:num>
  <w:num w:numId="37">
    <w:abstractNumId w:val="5"/>
  </w:num>
  <w:num w:numId="38">
    <w:abstractNumId w:val="6"/>
  </w:num>
  <w:num w:numId="39">
    <w:abstractNumId w:val="20"/>
  </w:num>
  <w:num w:numId="40">
    <w:abstractNumId w:val="12"/>
  </w:num>
  <w:num w:numId="41">
    <w:abstractNumId w:val="4"/>
  </w:num>
  <w:num w:numId="42">
    <w:abstractNumId w:val="44"/>
  </w:num>
  <w:num w:numId="43">
    <w:abstractNumId w:val="45"/>
  </w:num>
  <w:num w:numId="44">
    <w:abstractNumId w:val="65"/>
  </w:num>
  <w:num w:numId="45">
    <w:abstractNumId w:val="32"/>
  </w:num>
  <w:num w:numId="46">
    <w:abstractNumId w:val="14"/>
  </w:num>
  <w:num w:numId="47">
    <w:abstractNumId w:val="70"/>
  </w:num>
  <w:num w:numId="48">
    <w:abstractNumId w:val="24"/>
  </w:num>
  <w:num w:numId="49">
    <w:abstractNumId w:val="9"/>
  </w:num>
  <w:num w:numId="50">
    <w:abstractNumId w:val="60"/>
  </w:num>
  <w:num w:numId="51">
    <w:abstractNumId w:val="25"/>
  </w:num>
  <w:num w:numId="52">
    <w:abstractNumId w:val="59"/>
  </w:num>
  <w:num w:numId="53">
    <w:abstractNumId w:val="62"/>
  </w:num>
  <w:num w:numId="54">
    <w:abstractNumId w:val="15"/>
  </w:num>
  <w:num w:numId="55">
    <w:abstractNumId w:val="28"/>
  </w:num>
  <w:num w:numId="56">
    <w:abstractNumId w:val="16"/>
  </w:num>
  <w:num w:numId="57">
    <w:abstractNumId w:val="35"/>
  </w:num>
  <w:num w:numId="58">
    <w:abstractNumId w:val="51"/>
  </w:num>
  <w:num w:numId="59">
    <w:abstractNumId w:val="61"/>
  </w:num>
  <w:num w:numId="60">
    <w:abstractNumId w:val="37"/>
  </w:num>
  <w:num w:numId="61">
    <w:abstractNumId w:val="53"/>
  </w:num>
  <w:num w:numId="62">
    <w:abstractNumId w:val="49"/>
  </w:num>
  <w:num w:numId="63">
    <w:abstractNumId w:val="36"/>
  </w:num>
  <w:num w:numId="64">
    <w:abstractNumId w:val="19"/>
  </w:num>
  <w:num w:numId="65">
    <w:abstractNumId w:val="17"/>
  </w:num>
  <w:num w:numId="66">
    <w:abstractNumId w:val="56"/>
  </w:num>
  <w:num w:numId="67">
    <w:abstractNumId w:val="31"/>
  </w:num>
  <w:num w:numId="68">
    <w:abstractNumId w:val="71"/>
  </w:num>
  <w:num w:numId="69">
    <w:abstractNumId w:val="48"/>
  </w:num>
  <w:num w:numId="70">
    <w:abstractNumId w:val="64"/>
  </w:num>
  <w:num w:numId="71">
    <w:abstractNumId w:val="46"/>
  </w:num>
  <w:num w:numId="72">
    <w:abstractNumId w:val="3"/>
  </w:num>
  <w:num w:numId="73">
    <w:abstractNumId w:val="23"/>
  </w:num>
  <w:num w:numId="74">
    <w:abstractNumId w:val="67"/>
  </w:num>
  <w:num w:numId="75">
    <w:abstractNumId w:val="69"/>
  </w:num>
  <w:num w:numId="76">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3NDAzMrQ0MTIwMTVW0lEKTi0uzszPAykwrAUAwdHD3i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szattv0zdvrheapxdpap58rz20pxt90xwz&quot;&gt;Report&lt;record-ids&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244&lt;/item&gt;&lt;item&gt;245&lt;/item&gt;&lt;item&gt;246&lt;/item&gt;&lt;item&gt;249&lt;/item&gt;&lt;/record-ids&gt;&lt;/item&gt;&lt;/Libraries&gt;"/>
  </w:docVars>
  <w:rsids>
    <w:rsidRoot w:val="008D0D0C"/>
    <w:rsid w:val="00000E81"/>
    <w:rsid w:val="0000233F"/>
    <w:rsid w:val="000048D1"/>
    <w:rsid w:val="0000568D"/>
    <w:rsid w:val="000059E2"/>
    <w:rsid w:val="00005B32"/>
    <w:rsid w:val="00005CD4"/>
    <w:rsid w:val="000064E0"/>
    <w:rsid w:val="000122DB"/>
    <w:rsid w:val="00012651"/>
    <w:rsid w:val="0001388A"/>
    <w:rsid w:val="00015414"/>
    <w:rsid w:val="0001631C"/>
    <w:rsid w:val="0002056E"/>
    <w:rsid w:val="0002154C"/>
    <w:rsid w:val="0002201F"/>
    <w:rsid w:val="000223C1"/>
    <w:rsid w:val="000223D2"/>
    <w:rsid w:val="00022ED8"/>
    <w:rsid w:val="000230A6"/>
    <w:rsid w:val="000235A6"/>
    <w:rsid w:val="000265EC"/>
    <w:rsid w:val="000273CD"/>
    <w:rsid w:val="000276EC"/>
    <w:rsid w:val="00027CA6"/>
    <w:rsid w:val="00027E8D"/>
    <w:rsid w:val="00027F22"/>
    <w:rsid w:val="00030D5A"/>
    <w:rsid w:val="0003141C"/>
    <w:rsid w:val="00031935"/>
    <w:rsid w:val="00031F5D"/>
    <w:rsid w:val="000328B5"/>
    <w:rsid w:val="00033B67"/>
    <w:rsid w:val="00034B71"/>
    <w:rsid w:val="000358F7"/>
    <w:rsid w:val="000366AD"/>
    <w:rsid w:val="00040C93"/>
    <w:rsid w:val="00041577"/>
    <w:rsid w:val="0004193F"/>
    <w:rsid w:val="00041E94"/>
    <w:rsid w:val="00041FD3"/>
    <w:rsid w:val="0004288C"/>
    <w:rsid w:val="00042C1D"/>
    <w:rsid w:val="00044561"/>
    <w:rsid w:val="000454A2"/>
    <w:rsid w:val="00045726"/>
    <w:rsid w:val="00045E05"/>
    <w:rsid w:val="0004624B"/>
    <w:rsid w:val="00046E01"/>
    <w:rsid w:val="000506CB"/>
    <w:rsid w:val="0005072C"/>
    <w:rsid w:val="000523FD"/>
    <w:rsid w:val="000539F9"/>
    <w:rsid w:val="00054219"/>
    <w:rsid w:val="00055439"/>
    <w:rsid w:val="00057CC1"/>
    <w:rsid w:val="000603FB"/>
    <w:rsid w:val="0006290E"/>
    <w:rsid w:val="00063C4E"/>
    <w:rsid w:val="0006497A"/>
    <w:rsid w:val="0006501B"/>
    <w:rsid w:val="00065555"/>
    <w:rsid w:val="00065764"/>
    <w:rsid w:val="00065C00"/>
    <w:rsid w:val="00066EB2"/>
    <w:rsid w:val="00067C30"/>
    <w:rsid w:val="0007148C"/>
    <w:rsid w:val="00071984"/>
    <w:rsid w:val="00071F2B"/>
    <w:rsid w:val="00072409"/>
    <w:rsid w:val="00073BF6"/>
    <w:rsid w:val="00075189"/>
    <w:rsid w:val="000755B3"/>
    <w:rsid w:val="0007635D"/>
    <w:rsid w:val="00077455"/>
    <w:rsid w:val="00080BEA"/>
    <w:rsid w:val="00081C7D"/>
    <w:rsid w:val="00081DCB"/>
    <w:rsid w:val="00082A22"/>
    <w:rsid w:val="00082F8F"/>
    <w:rsid w:val="00083616"/>
    <w:rsid w:val="000865C3"/>
    <w:rsid w:val="000869D0"/>
    <w:rsid w:val="00087D22"/>
    <w:rsid w:val="000904D7"/>
    <w:rsid w:val="00090524"/>
    <w:rsid w:val="00091BAF"/>
    <w:rsid w:val="00091FDD"/>
    <w:rsid w:val="0009206C"/>
    <w:rsid w:val="000920C9"/>
    <w:rsid w:val="000935DE"/>
    <w:rsid w:val="000944DB"/>
    <w:rsid w:val="00094B05"/>
    <w:rsid w:val="00094B19"/>
    <w:rsid w:val="00094F48"/>
    <w:rsid w:val="0009560F"/>
    <w:rsid w:val="00095EFB"/>
    <w:rsid w:val="0009621D"/>
    <w:rsid w:val="000963F0"/>
    <w:rsid w:val="00096511"/>
    <w:rsid w:val="000A14D8"/>
    <w:rsid w:val="000A1734"/>
    <w:rsid w:val="000A2E84"/>
    <w:rsid w:val="000A43C2"/>
    <w:rsid w:val="000A4B4F"/>
    <w:rsid w:val="000A4BF1"/>
    <w:rsid w:val="000A4FA9"/>
    <w:rsid w:val="000A5656"/>
    <w:rsid w:val="000A5AD0"/>
    <w:rsid w:val="000A7005"/>
    <w:rsid w:val="000A7064"/>
    <w:rsid w:val="000A74CF"/>
    <w:rsid w:val="000A7EA3"/>
    <w:rsid w:val="000B08B7"/>
    <w:rsid w:val="000B1445"/>
    <w:rsid w:val="000B1785"/>
    <w:rsid w:val="000B320D"/>
    <w:rsid w:val="000B3355"/>
    <w:rsid w:val="000B397E"/>
    <w:rsid w:val="000B4669"/>
    <w:rsid w:val="000B4D83"/>
    <w:rsid w:val="000B59A9"/>
    <w:rsid w:val="000B612B"/>
    <w:rsid w:val="000B6876"/>
    <w:rsid w:val="000C0B54"/>
    <w:rsid w:val="000C2807"/>
    <w:rsid w:val="000C2E58"/>
    <w:rsid w:val="000C3409"/>
    <w:rsid w:val="000C5294"/>
    <w:rsid w:val="000C7056"/>
    <w:rsid w:val="000C75E6"/>
    <w:rsid w:val="000C7B1E"/>
    <w:rsid w:val="000D1542"/>
    <w:rsid w:val="000D21FC"/>
    <w:rsid w:val="000D4D14"/>
    <w:rsid w:val="000D568E"/>
    <w:rsid w:val="000D5744"/>
    <w:rsid w:val="000D6085"/>
    <w:rsid w:val="000D750E"/>
    <w:rsid w:val="000E2AB4"/>
    <w:rsid w:val="000E524B"/>
    <w:rsid w:val="000E5495"/>
    <w:rsid w:val="000E642B"/>
    <w:rsid w:val="000F0529"/>
    <w:rsid w:val="000F1D60"/>
    <w:rsid w:val="000F2556"/>
    <w:rsid w:val="000F3BC0"/>
    <w:rsid w:val="000F482F"/>
    <w:rsid w:val="000F72BC"/>
    <w:rsid w:val="000F76B1"/>
    <w:rsid w:val="001021C8"/>
    <w:rsid w:val="001031FF"/>
    <w:rsid w:val="001043D7"/>
    <w:rsid w:val="00104A6D"/>
    <w:rsid w:val="00105664"/>
    <w:rsid w:val="00105D06"/>
    <w:rsid w:val="001101C2"/>
    <w:rsid w:val="00110BAF"/>
    <w:rsid w:val="00110C23"/>
    <w:rsid w:val="00113BBC"/>
    <w:rsid w:val="001142CF"/>
    <w:rsid w:val="001145D2"/>
    <w:rsid w:val="00115A41"/>
    <w:rsid w:val="001161F9"/>
    <w:rsid w:val="00117B58"/>
    <w:rsid w:val="00121BD5"/>
    <w:rsid w:val="00122FC6"/>
    <w:rsid w:val="0012304D"/>
    <w:rsid w:val="001234CB"/>
    <w:rsid w:val="00123BF4"/>
    <w:rsid w:val="001259DE"/>
    <w:rsid w:val="001268FF"/>
    <w:rsid w:val="001278F8"/>
    <w:rsid w:val="00131A64"/>
    <w:rsid w:val="00131C7E"/>
    <w:rsid w:val="00133745"/>
    <w:rsid w:val="00134680"/>
    <w:rsid w:val="00134E08"/>
    <w:rsid w:val="001351AC"/>
    <w:rsid w:val="001379D4"/>
    <w:rsid w:val="00137D8F"/>
    <w:rsid w:val="0014080B"/>
    <w:rsid w:val="00140915"/>
    <w:rsid w:val="00140A2B"/>
    <w:rsid w:val="0014316A"/>
    <w:rsid w:val="00143204"/>
    <w:rsid w:val="001443F2"/>
    <w:rsid w:val="00145F88"/>
    <w:rsid w:val="001476DD"/>
    <w:rsid w:val="00147F07"/>
    <w:rsid w:val="00150633"/>
    <w:rsid w:val="00150DD1"/>
    <w:rsid w:val="00152166"/>
    <w:rsid w:val="00152289"/>
    <w:rsid w:val="00152390"/>
    <w:rsid w:val="001529FF"/>
    <w:rsid w:val="00152D47"/>
    <w:rsid w:val="00153744"/>
    <w:rsid w:val="00153E2A"/>
    <w:rsid w:val="00154AAA"/>
    <w:rsid w:val="00155A47"/>
    <w:rsid w:val="001571D9"/>
    <w:rsid w:val="00157DCB"/>
    <w:rsid w:val="0016128B"/>
    <w:rsid w:val="00163BDB"/>
    <w:rsid w:val="00163E29"/>
    <w:rsid w:val="00163F63"/>
    <w:rsid w:val="00165056"/>
    <w:rsid w:val="0016544B"/>
    <w:rsid w:val="00165C8D"/>
    <w:rsid w:val="00165D31"/>
    <w:rsid w:val="00165EF0"/>
    <w:rsid w:val="0016740F"/>
    <w:rsid w:val="00170585"/>
    <w:rsid w:val="00172E4C"/>
    <w:rsid w:val="001735E0"/>
    <w:rsid w:val="00177619"/>
    <w:rsid w:val="001809AC"/>
    <w:rsid w:val="00180D54"/>
    <w:rsid w:val="00183170"/>
    <w:rsid w:val="00183A07"/>
    <w:rsid w:val="00184491"/>
    <w:rsid w:val="0018489E"/>
    <w:rsid w:val="00186514"/>
    <w:rsid w:val="001869BF"/>
    <w:rsid w:val="00186F85"/>
    <w:rsid w:val="001875B5"/>
    <w:rsid w:val="00187AB4"/>
    <w:rsid w:val="001939EA"/>
    <w:rsid w:val="00193CE6"/>
    <w:rsid w:val="00196629"/>
    <w:rsid w:val="00197098"/>
    <w:rsid w:val="001A1AD7"/>
    <w:rsid w:val="001A1E58"/>
    <w:rsid w:val="001A2F37"/>
    <w:rsid w:val="001A35B9"/>
    <w:rsid w:val="001A384F"/>
    <w:rsid w:val="001A3CAE"/>
    <w:rsid w:val="001A491F"/>
    <w:rsid w:val="001A4F17"/>
    <w:rsid w:val="001A5398"/>
    <w:rsid w:val="001A5416"/>
    <w:rsid w:val="001A63CD"/>
    <w:rsid w:val="001A7729"/>
    <w:rsid w:val="001B0373"/>
    <w:rsid w:val="001B1577"/>
    <w:rsid w:val="001B2868"/>
    <w:rsid w:val="001B381E"/>
    <w:rsid w:val="001B3EE3"/>
    <w:rsid w:val="001B48DC"/>
    <w:rsid w:val="001B5845"/>
    <w:rsid w:val="001C0980"/>
    <w:rsid w:val="001C1C3E"/>
    <w:rsid w:val="001C35C9"/>
    <w:rsid w:val="001C4051"/>
    <w:rsid w:val="001C4EE1"/>
    <w:rsid w:val="001C6C64"/>
    <w:rsid w:val="001C74EB"/>
    <w:rsid w:val="001D0E78"/>
    <w:rsid w:val="001D255D"/>
    <w:rsid w:val="001D2DF0"/>
    <w:rsid w:val="001D320C"/>
    <w:rsid w:val="001D3573"/>
    <w:rsid w:val="001D5AF3"/>
    <w:rsid w:val="001D64F7"/>
    <w:rsid w:val="001D687C"/>
    <w:rsid w:val="001E04F1"/>
    <w:rsid w:val="001E19BF"/>
    <w:rsid w:val="001E35BC"/>
    <w:rsid w:val="001E4A4C"/>
    <w:rsid w:val="001E5510"/>
    <w:rsid w:val="001E5D4C"/>
    <w:rsid w:val="001E63E5"/>
    <w:rsid w:val="001E70B0"/>
    <w:rsid w:val="001E7257"/>
    <w:rsid w:val="001E7750"/>
    <w:rsid w:val="001E7D7B"/>
    <w:rsid w:val="001F165E"/>
    <w:rsid w:val="001F1CD5"/>
    <w:rsid w:val="001F23B4"/>
    <w:rsid w:val="001F27B0"/>
    <w:rsid w:val="001F326A"/>
    <w:rsid w:val="001F39F6"/>
    <w:rsid w:val="001F4BBA"/>
    <w:rsid w:val="001F62B5"/>
    <w:rsid w:val="001F63ED"/>
    <w:rsid w:val="001F6826"/>
    <w:rsid w:val="001F750F"/>
    <w:rsid w:val="002001E6"/>
    <w:rsid w:val="002012C2"/>
    <w:rsid w:val="00201C11"/>
    <w:rsid w:val="0020300A"/>
    <w:rsid w:val="00203083"/>
    <w:rsid w:val="00203BFB"/>
    <w:rsid w:val="00203DAB"/>
    <w:rsid w:val="00204D93"/>
    <w:rsid w:val="00205C1C"/>
    <w:rsid w:val="0021091E"/>
    <w:rsid w:val="00211130"/>
    <w:rsid w:val="00211DE6"/>
    <w:rsid w:val="002128D6"/>
    <w:rsid w:val="00212FCE"/>
    <w:rsid w:val="00213139"/>
    <w:rsid w:val="00213F09"/>
    <w:rsid w:val="00214BCF"/>
    <w:rsid w:val="00216527"/>
    <w:rsid w:val="00217C3D"/>
    <w:rsid w:val="00217F24"/>
    <w:rsid w:val="00220104"/>
    <w:rsid w:val="0022146D"/>
    <w:rsid w:val="00224A73"/>
    <w:rsid w:val="002256C3"/>
    <w:rsid w:val="00227620"/>
    <w:rsid w:val="00230127"/>
    <w:rsid w:val="002305BA"/>
    <w:rsid w:val="00230B8A"/>
    <w:rsid w:val="00230FBB"/>
    <w:rsid w:val="002317FC"/>
    <w:rsid w:val="00231C65"/>
    <w:rsid w:val="00232251"/>
    <w:rsid w:val="002327D9"/>
    <w:rsid w:val="002337AB"/>
    <w:rsid w:val="0023483F"/>
    <w:rsid w:val="00234C33"/>
    <w:rsid w:val="00234E75"/>
    <w:rsid w:val="00235E0A"/>
    <w:rsid w:val="00236763"/>
    <w:rsid w:val="00237A26"/>
    <w:rsid w:val="002415C6"/>
    <w:rsid w:val="00241B75"/>
    <w:rsid w:val="00242062"/>
    <w:rsid w:val="002428A6"/>
    <w:rsid w:val="00243AD5"/>
    <w:rsid w:val="00243F48"/>
    <w:rsid w:val="00243FA1"/>
    <w:rsid w:val="00243FBF"/>
    <w:rsid w:val="00246CDF"/>
    <w:rsid w:val="00247F11"/>
    <w:rsid w:val="002500A6"/>
    <w:rsid w:val="00251678"/>
    <w:rsid w:val="00253ABB"/>
    <w:rsid w:val="00255DA3"/>
    <w:rsid w:val="0025608C"/>
    <w:rsid w:val="00257D4E"/>
    <w:rsid w:val="00261A56"/>
    <w:rsid w:val="00261A7D"/>
    <w:rsid w:val="002629CB"/>
    <w:rsid w:val="00262BCC"/>
    <w:rsid w:val="00262CA5"/>
    <w:rsid w:val="00263780"/>
    <w:rsid w:val="00263FE1"/>
    <w:rsid w:val="0026530E"/>
    <w:rsid w:val="00265C2E"/>
    <w:rsid w:val="00266E02"/>
    <w:rsid w:val="00267C57"/>
    <w:rsid w:val="00270470"/>
    <w:rsid w:val="00270D86"/>
    <w:rsid w:val="002717D1"/>
    <w:rsid w:val="00271DE2"/>
    <w:rsid w:val="00272185"/>
    <w:rsid w:val="00272D19"/>
    <w:rsid w:val="002738EF"/>
    <w:rsid w:val="00275FBC"/>
    <w:rsid w:val="002760FA"/>
    <w:rsid w:val="00277BAE"/>
    <w:rsid w:val="0028010B"/>
    <w:rsid w:val="00280A7C"/>
    <w:rsid w:val="002824AA"/>
    <w:rsid w:val="0028271B"/>
    <w:rsid w:val="00282DE6"/>
    <w:rsid w:val="00283857"/>
    <w:rsid w:val="00284512"/>
    <w:rsid w:val="00285854"/>
    <w:rsid w:val="00285C95"/>
    <w:rsid w:val="002868EB"/>
    <w:rsid w:val="00287013"/>
    <w:rsid w:val="002873B8"/>
    <w:rsid w:val="002878E7"/>
    <w:rsid w:val="00287BED"/>
    <w:rsid w:val="00291605"/>
    <w:rsid w:val="00291DFF"/>
    <w:rsid w:val="00293E81"/>
    <w:rsid w:val="00294174"/>
    <w:rsid w:val="002941E4"/>
    <w:rsid w:val="00295B7D"/>
    <w:rsid w:val="002971B9"/>
    <w:rsid w:val="00297B37"/>
    <w:rsid w:val="002A0772"/>
    <w:rsid w:val="002A07AF"/>
    <w:rsid w:val="002A0833"/>
    <w:rsid w:val="002A25CD"/>
    <w:rsid w:val="002A27F1"/>
    <w:rsid w:val="002A4642"/>
    <w:rsid w:val="002A470A"/>
    <w:rsid w:val="002A49C0"/>
    <w:rsid w:val="002A6B78"/>
    <w:rsid w:val="002A7E2D"/>
    <w:rsid w:val="002B1CA8"/>
    <w:rsid w:val="002B2080"/>
    <w:rsid w:val="002B299E"/>
    <w:rsid w:val="002B2C1A"/>
    <w:rsid w:val="002B2F80"/>
    <w:rsid w:val="002B3E04"/>
    <w:rsid w:val="002B453F"/>
    <w:rsid w:val="002B4E50"/>
    <w:rsid w:val="002B621A"/>
    <w:rsid w:val="002B649F"/>
    <w:rsid w:val="002B6569"/>
    <w:rsid w:val="002C082C"/>
    <w:rsid w:val="002C1299"/>
    <w:rsid w:val="002C1F79"/>
    <w:rsid w:val="002C27E0"/>
    <w:rsid w:val="002C3109"/>
    <w:rsid w:val="002C4D7E"/>
    <w:rsid w:val="002C7876"/>
    <w:rsid w:val="002C7ABB"/>
    <w:rsid w:val="002D2CBD"/>
    <w:rsid w:val="002D3EA5"/>
    <w:rsid w:val="002D4202"/>
    <w:rsid w:val="002D4283"/>
    <w:rsid w:val="002D48E6"/>
    <w:rsid w:val="002D4C49"/>
    <w:rsid w:val="002D5645"/>
    <w:rsid w:val="002D7187"/>
    <w:rsid w:val="002E1D76"/>
    <w:rsid w:val="002E1F65"/>
    <w:rsid w:val="002E28EC"/>
    <w:rsid w:val="002E3D7E"/>
    <w:rsid w:val="002E41E6"/>
    <w:rsid w:val="002E47C6"/>
    <w:rsid w:val="002E4935"/>
    <w:rsid w:val="002E57C2"/>
    <w:rsid w:val="002E61EB"/>
    <w:rsid w:val="002F13BF"/>
    <w:rsid w:val="002F19C2"/>
    <w:rsid w:val="002F1CBE"/>
    <w:rsid w:val="002F3376"/>
    <w:rsid w:val="002F3862"/>
    <w:rsid w:val="002F3DA1"/>
    <w:rsid w:val="002F40FE"/>
    <w:rsid w:val="002F7DDA"/>
    <w:rsid w:val="00301063"/>
    <w:rsid w:val="003013BC"/>
    <w:rsid w:val="00301A17"/>
    <w:rsid w:val="00302DF8"/>
    <w:rsid w:val="0030305C"/>
    <w:rsid w:val="00304DFF"/>
    <w:rsid w:val="00304F8D"/>
    <w:rsid w:val="003056DF"/>
    <w:rsid w:val="003060AD"/>
    <w:rsid w:val="0030695F"/>
    <w:rsid w:val="003072C9"/>
    <w:rsid w:val="0030771F"/>
    <w:rsid w:val="00310196"/>
    <w:rsid w:val="00311566"/>
    <w:rsid w:val="00311A42"/>
    <w:rsid w:val="00313367"/>
    <w:rsid w:val="00313FD6"/>
    <w:rsid w:val="003146F2"/>
    <w:rsid w:val="00314958"/>
    <w:rsid w:val="00316A02"/>
    <w:rsid w:val="00317129"/>
    <w:rsid w:val="00317D31"/>
    <w:rsid w:val="003210FB"/>
    <w:rsid w:val="003218AB"/>
    <w:rsid w:val="00323A47"/>
    <w:rsid w:val="00323A92"/>
    <w:rsid w:val="0032418B"/>
    <w:rsid w:val="003244A1"/>
    <w:rsid w:val="00324EEC"/>
    <w:rsid w:val="00325490"/>
    <w:rsid w:val="00325CA6"/>
    <w:rsid w:val="00327CAD"/>
    <w:rsid w:val="00327DB0"/>
    <w:rsid w:val="00330D1C"/>
    <w:rsid w:val="0033250D"/>
    <w:rsid w:val="003326B2"/>
    <w:rsid w:val="00333F46"/>
    <w:rsid w:val="003340FB"/>
    <w:rsid w:val="00340B90"/>
    <w:rsid w:val="00343A91"/>
    <w:rsid w:val="00343DBD"/>
    <w:rsid w:val="00343E8B"/>
    <w:rsid w:val="003445DF"/>
    <w:rsid w:val="00344C9B"/>
    <w:rsid w:val="00346BA3"/>
    <w:rsid w:val="00346DC8"/>
    <w:rsid w:val="00350990"/>
    <w:rsid w:val="00351C05"/>
    <w:rsid w:val="00352C61"/>
    <w:rsid w:val="00352D4A"/>
    <w:rsid w:val="00353B9F"/>
    <w:rsid w:val="003544D6"/>
    <w:rsid w:val="00354AEA"/>
    <w:rsid w:val="0035556F"/>
    <w:rsid w:val="00355E49"/>
    <w:rsid w:val="003568F3"/>
    <w:rsid w:val="00356F55"/>
    <w:rsid w:val="003573AD"/>
    <w:rsid w:val="003600D5"/>
    <w:rsid w:val="00360774"/>
    <w:rsid w:val="00361602"/>
    <w:rsid w:val="00361C0B"/>
    <w:rsid w:val="00364192"/>
    <w:rsid w:val="00365072"/>
    <w:rsid w:val="00365216"/>
    <w:rsid w:val="003656BB"/>
    <w:rsid w:val="00366226"/>
    <w:rsid w:val="0036779C"/>
    <w:rsid w:val="003711D4"/>
    <w:rsid w:val="003714D0"/>
    <w:rsid w:val="00373FE0"/>
    <w:rsid w:val="0037685D"/>
    <w:rsid w:val="00376C8B"/>
    <w:rsid w:val="00376FDE"/>
    <w:rsid w:val="0037787F"/>
    <w:rsid w:val="00377CA1"/>
    <w:rsid w:val="00380FE0"/>
    <w:rsid w:val="00381131"/>
    <w:rsid w:val="00382266"/>
    <w:rsid w:val="00383388"/>
    <w:rsid w:val="00386438"/>
    <w:rsid w:val="00386E0E"/>
    <w:rsid w:val="003905C0"/>
    <w:rsid w:val="003926CA"/>
    <w:rsid w:val="00393D24"/>
    <w:rsid w:val="00394233"/>
    <w:rsid w:val="00394F56"/>
    <w:rsid w:val="00396365"/>
    <w:rsid w:val="003A1768"/>
    <w:rsid w:val="003B15E2"/>
    <w:rsid w:val="003B2C19"/>
    <w:rsid w:val="003B4C11"/>
    <w:rsid w:val="003B69D9"/>
    <w:rsid w:val="003B773A"/>
    <w:rsid w:val="003B7D87"/>
    <w:rsid w:val="003C0114"/>
    <w:rsid w:val="003C102F"/>
    <w:rsid w:val="003C2D08"/>
    <w:rsid w:val="003C329C"/>
    <w:rsid w:val="003C4AFD"/>
    <w:rsid w:val="003C4B35"/>
    <w:rsid w:val="003C54DB"/>
    <w:rsid w:val="003D0BBD"/>
    <w:rsid w:val="003D1F1C"/>
    <w:rsid w:val="003D2261"/>
    <w:rsid w:val="003D39A9"/>
    <w:rsid w:val="003D4B4D"/>
    <w:rsid w:val="003E02AD"/>
    <w:rsid w:val="003E2602"/>
    <w:rsid w:val="003E3132"/>
    <w:rsid w:val="003E338B"/>
    <w:rsid w:val="003E3641"/>
    <w:rsid w:val="003E3EB3"/>
    <w:rsid w:val="003E44A8"/>
    <w:rsid w:val="003E46B3"/>
    <w:rsid w:val="003E6E50"/>
    <w:rsid w:val="003E716F"/>
    <w:rsid w:val="003F0123"/>
    <w:rsid w:val="003F2EB2"/>
    <w:rsid w:val="003F49EF"/>
    <w:rsid w:val="003F5FBC"/>
    <w:rsid w:val="003F5FE6"/>
    <w:rsid w:val="003F6147"/>
    <w:rsid w:val="003F74EE"/>
    <w:rsid w:val="0040091F"/>
    <w:rsid w:val="00402B39"/>
    <w:rsid w:val="00402EDF"/>
    <w:rsid w:val="0040606D"/>
    <w:rsid w:val="00406B68"/>
    <w:rsid w:val="004079FE"/>
    <w:rsid w:val="004112F3"/>
    <w:rsid w:val="004130C4"/>
    <w:rsid w:val="0041360B"/>
    <w:rsid w:val="0041405D"/>
    <w:rsid w:val="00414537"/>
    <w:rsid w:val="00414DBB"/>
    <w:rsid w:val="00414EF8"/>
    <w:rsid w:val="00416F59"/>
    <w:rsid w:val="00417E4C"/>
    <w:rsid w:val="00421BA6"/>
    <w:rsid w:val="00422086"/>
    <w:rsid w:val="0042224C"/>
    <w:rsid w:val="00423A6F"/>
    <w:rsid w:val="004249B8"/>
    <w:rsid w:val="00427FF4"/>
    <w:rsid w:val="0043006E"/>
    <w:rsid w:val="00430AA7"/>
    <w:rsid w:val="0043146C"/>
    <w:rsid w:val="00433EF0"/>
    <w:rsid w:val="0043400B"/>
    <w:rsid w:val="00434DA6"/>
    <w:rsid w:val="00435C7C"/>
    <w:rsid w:val="00436ED6"/>
    <w:rsid w:val="00436FE7"/>
    <w:rsid w:val="004409AA"/>
    <w:rsid w:val="00441F01"/>
    <w:rsid w:val="00442CB3"/>
    <w:rsid w:val="00443645"/>
    <w:rsid w:val="0044469B"/>
    <w:rsid w:val="004446DD"/>
    <w:rsid w:val="00444DF2"/>
    <w:rsid w:val="00446E80"/>
    <w:rsid w:val="00447443"/>
    <w:rsid w:val="00447A78"/>
    <w:rsid w:val="00450E54"/>
    <w:rsid w:val="00451306"/>
    <w:rsid w:val="00451F0E"/>
    <w:rsid w:val="004526CB"/>
    <w:rsid w:val="00454793"/>
    <w:rsid w:val="00454E5A"/>
    <w:rsid w:val="00455F4A"/>
    <w:rsid w:val="0045619D"/>
    <w:rsid w:val="00456D24"/>
    <w:rsid w:val="00457E7E"/>
    <w:rsid w:val="00461BC4"/>
    <w:rsid w:val="004635D5"/>
    <w:rsid w:val="00463760"/>
    <w:rsid w:val="004640B5"/>
    <w:rsid w:val="0046458B"/>
    <w:rsid w:val="00464857"/>
    <w:rsid w:val="004652A1"/>
    <w:rsid w:val="00466C51"/>
    <w:rsid w:val="00466EDF"/>
    <w:rsid w:val="00467AE7"/>
    <w:rsid w:val="00467C38"/>
    <w:rsid w:val="004703C0"/>
    <w:rsid w:val="00470C5B"/>
    <w:rsid w:val="00470DD3"/>
    <w:rsid w:val="004733E1"/>
    <w:rsid w:val="0047342A"/>
    <w:rsid w:val="0047458A"/>
    <w:rsid w:val="00475058"/>
    <w:rsid w:val="00475508"/>
    <w:rsid w:val="004755F1"/>
    <w:rsid w:val="00475FAF"/>
    <w:rsid w:val="0047606B"/>
    <w:rsid w:val="00476E22"/>
    <w:rsid w:val="00477B5B"/>
    <w:rsid w:val="00477C4F"/>
    <w:rsid w:val="00477ECC"/>
    <w:rsid w:val="00480124"/>
    <w:rsid w:val="00480450"/>
    <w:rsid w:val="00485A1B"/>
    <w:rsid w:val="0048707C"/>
    <w:rsid w:val="0048720C"/>
    <w:rsid w:val="004878EA"/>
    <w:rsid w:val="00490FBE"/>
    <w:rsid w:val="0049125A"/>
    <w:rsid w:val="0049591C"/>
    <w:rsid w:val="00496BE4"/>
    <w:rsid w:val="004A0228"/>
    <w:rsid w:val="004A0A14"/>
    <w:rsid w:val="004A141D"/>
    <w:rsid w:val="004A2446"/>
    <w:rsid w:val="004A27D0"/>
    <w:rsid w:val="004A3239"/>
    <w:rsid w:val="004A36FF"/>
    <w:rsid w:val="004A374B"/>
    <w:rsid w:val="004A42B5"/>
    <w:rsid w:val="004A4A37"/>
    <w:rsid w:val="004A4D62"/>
    <w:rsid w:val="004A6147"/>
    <w:rsid w:val="004A7A02"/>
    <w:rsid w:val="004B11B2"/>
    <w:rsid w:val="004B35EB"/>
    <w:rsid w:val="004B43EC"/>
    <w:rsid w:val="004B4E2E"/>
    <w:rsid w:val="004B5553"/>
    <w:rsid w:val="004B6621"/>
    <w:rsid w:val="004B6997"/>
    <w:rsid w:val="004B6F8E"/>
    <w:rsid w:val="004C0069"/>
    <w:rsid w:val="004C215E"/>
    <w:rsid w:val="004C28F7"/>
    <w:rsid w:val="004C2C8F"/>
    <w:rsid w:val="004C3633"/>
    <w:rsid w:val="004C3737"/>
    <w:rsid w:val="004C3F6A"/>
    <w:rsid w:val="004C5556"/>
    <w:rsid w:val="004C7FEF"/>
    <w:rsid w:val="004D11B7"/>
    <w:rsid w:val="004D1978"/>
    <w:rsid w:val="004D2160"/>
    <w:rsid w:val="004D3651"/>
    <w:rsid w:val="004D4765"/>
    <w:rsid w:val="004D4EF8"/>
    <w:rsid w:val="004D548D"/>
    <w:rsid w:val="004D5E71"/>
    <w:rsid w:val="004D61D9"/>
    <w:rsid w:val="004D69D6"/>
    <w:rsid w:val="004D6B71"/>
    <w:rsid w:val="004E064D"/>
    <w:rsid w:val="004E1B15"/>
    <w:rsid w:val="004E2E82"/>
    <w:rsid w:val="004E33B9"/>
    <w:rsid w:val="004E6FB0"/>
    <w:rsid w:val="004F0C9D"/>
    <w:rsid w:val="004F24D3"/>
    <w:rsid w:val="004F2DFA"/>
    <w:rsid w:val="004F48FB"/>
    <w:rsid w:val="004F4DAC"/>
    <w:rsid w:val="004F5DAB"/>
    <w:rsid w:val="004F6747"/>
    <w:rsid w:val="004F7393"/>
    <w:rsid w:val="00500D74"/>
    <w:rsid w:val="00501D43"/>
    <w:rsid w:val="00502329"/>
    <w:rsid w:val="00502DD7"/>
    <w:rsid w:val="00504042"/>
    <w:rsid w:val="005113A5"/>
    <w:rsid w:val="00512841"/>
    <w:rsid w:val="00512DDB"/>
    <w:rsid w:val="00512FB7"/>
    <w:rsid w:val="00513518"/>
    <w:rsid w:val="00513966"/>
    <w:rsid w:val="00514529"/>
    <w:rsid w:val="0051596E"/>
    <w:rsid w:val="00516017"/>
    <w:rsid w:val="00516142"/>
    <w:rsid w:val="00516647"/>
    <w:rsid w:val="00516893"/>
    <w:rsid w:val="00516F59"/>
    <w:rsid w:val="00521A74"/>
    <w:rsid w:val="00522337"/>
    <w:rsid w:val="00522795"/>
    <w:rsid w:val="00524169"/>
    <w:rsid w:val="00524821"/>
    <w:rsid w:val="00525C0D"/>
    <w:rsid w:val="00527D15"/>
    <w:rsid w:val="00530052"/>
    <w:rsid w:val="00530EE8"/>
    <w:rsid w:val="00531122"/>
    <w:rsid w:val="00531892"/>
    <w:rsid w:val="00533501"/>
    <w:rsid w:val="00534537"/>
    <w:rsid w:val="00534A78"/>
    <w:rsid w:val="00536057"/>
    <w:rsid w:val="00536BAA"/>
    <w:rsid w:val="005370E4"/>
    <w:rsid w:val="00537833"/>
    <w:rsid w:val="00540A51"/>
    <w:rsid w:val="00540D49"/>
    <w:rsid w:val="00540ECE"/>
    <w:rsid w:val="005413D8"/>
    <w:rsid w:val="00542003"/>
    <w:rsid w:val="005432CE"/>
    <w:rsid w:val="00543DA7"/>
    <w:rsid w:val="00544FEB"/>
    <w:rsid w:val="0054650B"/>
    <w:rsid w:val="00550D93"/>
    <w:rsid w:val="005513B7"/>
    <w:rsid w:val="00552D07"/>
    <w:rsid w:val="005538AB"/>
    <w:rsid w:val="00553ED8"/>
    <w:rsid w:val="00554736"/>
    <w:rsid w:val="005552B7"/>
    <w:rsid w:val="00556E9A"/>
    <w:rsid w:val="005616D3"/>
    <w:rsid w:val="005626A2"/>
    <w:rsid w:val="005629ED"/>
    <w:rsid w:val="00565915"/>
    <w:rsid w:val="00566544"/>
    <w:rsid w:val="005670D9"/>
    <w:rsid w:val="00567E71"/>
    <w:rsid w:val="00567FF4"/>
    <w:rsid w:val="00570836"/>
    <w:rsid w:val="00570896"/>
    <w:rsid w:val="00570E82"/>
    <w:rsid w:val="005715B3"/>
    <w:rsid w:val="0057184A"/>
    <w:rsid w:val="005718EB"/>
    <w:rsid w:val="00572D6A"/>
    <w:rsid w:val="0057325D"/>
    <w:rsid w:val="005735CE"/>
    <w:rsid w:val="005743AF"/>
    <w:rsid w:val="005743E3"/>
    <w:rsid w:val="00574616"/>
    <w:rsid w:val="00582341"/>
    <w:rsid w:val="00583CEA"/>
    <w:rsid w:val="0058420A"/>
    <w:rsid w:val="0058467E"/>
    <w:rsid w:val="0058687C"/>
    <w:rsid w:val="0059122B"/>
    <w:rsid w:val="00592BA4"/>
    <w:rsid w:val="00594BE2"/>
    <w:rsid w:val="00595A84"/>
    <w:rsid w:val="0059639B"/>
    <w:rsid w:val="00596630"/>
    <w:rsid w:val="0059710C"/>
    <w:rsid w:val="005A0B8F"/>
    <w:rsid w:val="005A1799"/>
    <w:rsid w:val="005A179F"/>
    <w:rsid w:val="005A237B"/>
    <w:rsid w:val="005A3035"/>
    <w:rsid w:val="005A4EE4"/>
    <w:rsid w:val="005A708C"/>
    <w:rsid w:val="005A7BB7"/>
    <w:rsid w:val="005B122A"/>
    <w:rsid w:val="005B1FB7"/>
    <w:rsid w:val="005B2EA3"/>
    <w:rsid w:val="005B3C03"/>
    <w:rsid w:val="005B7347"/>
    <w:rsid w:val="005B7BDC"/>
    <w:rsid w:val="005C09E7"/>
    <w:rsid w:val="005C0A8C"/>
    <w:rsid w:val="005C1427"/>
    <w:rsid w:val="005C55C2"/>
    <w:rsid w:val="005C76B2"/>
    <w:rsid w:val="005D008B"/>
    <w:rsid w:val="005D22B6"/>
    <w:rsid w:val="005D3592"/>
    <w:rsid w:val="005D3C3E"/>
    <w:rsid w:val="005D440B"/>
    <w:rsid w:val="005D5F56"/>
    <w:rsid w:val="005D5FF0"/>
    <w:rsid w:val="005D6165"/>
    <w:rsid w:val="005D642F"/>
    <w:rsid w:val="005E0C7B"/>
    <w:rsid w:val="005E2478"/>
    <w:rsid w:val="005E26CE"/>
    <w:rsid w:val="005E27BC"/>
    <w:rsid w:val="005E2871"/>
    <w:rsid w:val="005E46D4"/>
    <w:rsid w:val="005E4BE5"/>
    <w:rsid w:val="005E5658"/>
    <w:rsid w:val="005E626F"/>
    <w:rsid w:val="005E661E"/>
    <w:rsid w:val="005E6ED3"/>
    <w:rsid w:val="005E7214"/>
    <w:rsid w:val="005E7771"/>
    <w:rsid w:val="005F0672"/>
    <w:rsid w:val="005F0E32"/>
    <w:rsid w:val="005F16EA"/>
    <w:rsid w:val="005F4471"/>
    <w:rsid w:val="005F6D51"/>
    <w:rsid w:val="005F7E69"/>
    <w:rsid w:val="00601F48"/>
    <w:rsid w:val="006025F0"/>
    <w:rsid w:val="00602D43"/>
    <w:rsid w:val="00602FE0"/>
    <w:rsid w:val="00603F20"/>
    <w:rsid w:val="006042D8"/>
    <w:rsid w:val="006049D3"/>
    <w:rsid w:val="00605787"/>
    <w:rsid w:val="00610233"/>
    <w:rsid w:val="00610555"/>
    <w:rsid w:val="006127CC"/>
    <w:rsid w:val="00613AE4"/>
    <w:rsid w:val="00613C16"/>
    <w:rsid w:val="00614D7D"/>
    <w:rsid w:val="00614DF8"/>
    <w:rsid w:val="00615320"/>
    <w:rsid w:val="006218F0"/>
    <w:rsid w:val="006228E6"/>
    <w:rsid w:val="00624C49"/>
    <w:rsid w:val="006250FB"/>
    <w:rsid w:val="006253E3"/>
    <w:rsid w:val="006253FA"/>
    <w:rsid w:val="006263CD"/>
    <w:rsid w:val="0062662F"/>
    <w:rsid w:val="00631602"/>
    <w:rsid w:val="006316E9"/>
    <w:rsid w:val="00631814"/>
    <w:rsid w:val="006338F1"/>
    <w:rsid w:val="00633BEC"/>
    <w:rsid w:val="00633C6D"/>
    <w:rsid w:val="00634F2D"/>
    <w:rsid w:val="006356D2"/>
    <w:rsid w:val="00636A14"/>
    <w:rsid w:val="00637445"/>
    <w:rsid w:val="0063760E"/>
    <w:rsid w:val="00637ED7"/>
    <w:rsid w:val="0064001D"/>
    <w:rsid w:val="00643B2A"/>
    <w:rsid w:val="00643B8E"/>
    <w:rsid w:val="00644FE8"/>
    <w:rsid w:val="0064535D"/>
    <w:rsid w:val="006456CD"/>
    <w:rsid w:val="00646884"/>
    <w:rsid w:val="00646E12"/>
    <w:rsid w:val="00646FA5"/>
    <w:rsid w:val="006504DF"/>
    <w:rsid w:val="006505A7"/>
    <w:rsid w:val="00651360"/>
    <w:rsid w:val="00651E2E"/>
    <w:rsid w:val="006521F6"/>
    <w:rsid w:val="006531FE"/>
    <w:rsid w:val="00653AF4"/>
    <w:rsid w:val="00654D25"/>
    <w:rsid w:val="00654F2F"/>
    <w:rsid w:val="006571DB"/>
    <w:rsid w:val="00657AD1"/>
    <w:rsid w:val="0066141C"/>
    <w:rsid w:val="006614B8"/>
    <w:rsid w:val="006632BE"/>
    <w:rsid w:val="00664470"/>
    <w:rsid w:val="00664B01"/>
    <w:rsid w:val="006651FC"/>
    <w:rsid w:val="00667C30"/>
    <w:rsid w:val="00667E64"/>
    <w:rsid w:val="006730D1"/>
    <w:rsid w:val="006731E3"/>
    <w:rsid w:val="006749D7"/>
    <w:rsid w:val="006750D0"/>
    <w:rsid w:val="00675614"/>
    <w:rsid w:val="006764CD"/>
    <w:rsid w:val="006778C1"/>
    <w:rsid w:val="00677E52"/>
    <w:rsid w:val="00681E74"/>
    <w:rsid w:val="00682AEB"/>
    <w:rsid w:val="0068307C"/>
    <w:rsid w:val="006836E2"/>
    <w:rsid w:val="00684849"/>
    <w:rsid w:val="006856E8"/>
    <w:rsid w:val="00690BCF"/>
    <w:rsid w:val="00693062"/>
    <w:rsid w:val="00695CA8"/>
    <w:rsid w:val="00697213"/>
    <w:rsid w:val="00697D76"/>
    <w:rsid w:val="006A1E3E"/>
    <w:rsid w:val="006A351B"/>
    <w:rsid w:val="006A44B7"/>
    <w:rsid w:val="006A469A"/>
    <w:rsid w:val="006A4973"/>
    <w:rsid w:val="006A510D"/>
    <w:rsid w:val="006A6428"/>
    <w:rsid w:val="006A7BA6"/>
    <w:rsid w:val="006A7FF3"/>
    <w:rsid w:val="006B04FE"/>
    <w:rsid w:val="006B0F37"/>
    <w:rsid w:val="006B32B9"/>
    <w:rsid w:val="006B390B"/>
    <w:rsid w:val="006B3B35"/>
    <w:rsid w:val="006B4531"/>
    <w:rsid w:val="006B562B"/>
    <w:rsid w:val="006B59AF"/>
    <w:rsid w:val="006B67E2"/>
    <w:rsid w:val="006B6C2B"/>
    <w:rsid w:val="006C14D5"/>
    <w:rsid w:val="006C480E"/>
    <w:rsid w:val="006C5BB9"/>
    <w:rsid w:val="006C66D1"/>
    <w:rsid w:val="006C7EC2"/>
    <w:rsid w:val="006D060E"/>
    <w:rsid w:val="006D0740"/>
    <w:rsid w:val="006D0DD7"/>
    <w:rsid w:val="006D1006"/>
    <w:rsid w:val="006D1E73"/>
    <w:rsid w:val="006D200B"/>
    <w:rsid w:val="006D2A85"/>
    <w:rsid w:val="006D3399"/>
    <w:rsid w:val="006D4049"/>
    <w:rsid w:val="006D4837"/>
    <w:rsid w:val="006D6E84"/>
    <w:rsid w:val="006E05AF"/>
    <w:rsid w:val="006E0A1C"/>
    <w:rsid w:val="006E0C88"/>
    <w:rsid w:val="006E16D9"/>
    <w:rsid w:val="006E3A29"/>
    <w:rsid w:val="006E4B79"/>
    <w:rsid w:val="006E5079"/>
    <w:rsid w:val="006E5E5B"/>
    <w:rsid w:val="006E6626"/>
    <w:rsid w:val="006E6F1B"/>
    <w:rsid w:val="006F01BA"/>
    <w:rsid w:val="006F115F"/>
    <w:rsid w:val="006F2F6A"/>
    <w:rsid w:val="006F74BB"/>
    <w:rsid w:val="007026C5"/>
    <w:rsid w:val="00703ED1"/>
    <w:rsid w:val="007042EC"/>
    <w:rsid w:val="007048F9"/>
    <w:rsid w:val="0070495F"/>
    <w:rsid w:val="00705FAF"/>
    <w:rsid w:val="007069EE"/>
    <w:rsid w:val="00710DD3"/>
    <w:rsid w:val="0071128F"/>
    <w:rsid w:val="0071163E"/>
    <w:rsid w:val="00713303"/>
    <w:rsid w:val="00713895"/>
    <w:rsid w:val="007141EB"/>
    <w:rsid w:val="00714DEB"/>
    <w:rsid w:val="007174F9"/>
    <w:rsid w:val="00720F68"/>
    <w:rsid w:val="007210D1"/>
    <w:rsid w:val="00721C7A"/>
    <w:rsid w:val="007238B8"/>
    <w:rsid w:val="0072460E"/>
    <w:rsid w:val="0072506F"/>
    <w:rsid w:val="007279EF"/>
    <w:rsid w:val="00727D0D"/>
    <w:rsid w:val="00727F87"/>
    <w:rsid w:val="007304DD"/>
    <w:rsid w:val="007339E1"/>
    <w:rsid w:val="0073538D"/>
    <w:rsid w:val="00737C4B"/>
    <w:rsid w:val="00741407"/>
    <w:rsid w:val="0074192E"/>
    <w:rsid w:val="00745461"/>
    <w:rsid w:val="00745C4F"/>
    <w:rsid w:val="0074603A"/>
    <w:rsid w:val="007470CB"/>
    <w:rsid w:val="0075069C"/>
    <w:rsid w:val="00750CFE"/>
    <w:rsid w:val="00751E0E"/>
    <w:rsid w:val="0075670E"/>
    <w:rsid w:val="00756CF0"/>
    <w:rsid w:val="00756DAD"/>
    <w:rsid w:val="0075720A"/>
    <w:rsid w:val="00761486"/>
    <w:rsid w:val="00761522"/>
    <w:rsid w:val="00761639"/>
    <w:rsid w:val="0076179A"/>
    <w:rsid w:val="007624B1"/>
    <w:rsid w:val="00763CE3"/>
    <w:rsid w:val="00763D40"/>
    <w:rsid w:val="00766AC8"/>
    <w:rsid w:val="00766BD8"/>
    <w:rsid w:val="00766E47"/>
    <w:rsid w:val="007731BE"/>
    <w:rsid w:val="00774D4F"/>
    <w:rsid w:val="00776CFE"/>
    <w:rsid w:val="00777386"/>
    <w:rsid w:val="00780583"/>
    <w:rsid w:val="00782661"/>
    <w:rsid w:val="00782D15"/>
    <w:rsid w:val="00783172"/>
    <w:rsid w:val="00783BF7"/>
    <w:rsid w:val="00784291"/>
    <w:rsid w:val="00786A01"/>
    <w:rsid w:val="00787723"/>
    <w:rsid w:val="00787960"/>
    <w:rsid w:val="007907AF"/>
    <w:rsid w:val="00790FD4"/>
    <w:rsid w:val="007918CA"/>
    <w:rsid w:val="00791CED"/>
    <w:rsid w:val="00792C64"/>
    <w:rsid w:val="00793D4E"/>
    <w:rsid w:val="00794D79"/>
    <w:rsid w:val="00795D8D"/>
    <w:rsid w:val="00796197"/>
    <w:rsid w:val="00797212"/>
    <w:rsid w:val="007A163A"/>
    <w:rsid w:val="007A38D4"/>
    <w:rsid w:val="007A7D3B"/>
    <w:rsid w:val="007B2AA4"/>
    <w:rsid w:val="007B35E8"/>
    <w:rsid w:val="007B4746"/>
    <w:rsid w:val="007B4F23"/>
    <w:rsid w:val="007B54FD"/>
    <w:rsid w:val="007B7007"/>
    <w:rsid w:val="007B7EE5"/>
    <w:rsid w:val="007C08FB"/>
    <w:rsid w:val="007C0BB3"/>
    <w:rsid w:val="007C209D"/>
    <w:rsid w:val="007C3257"/>
    <w:rsid w:val="007C3363"/>
    <w:rsid w:val="007C5F8B"/>
    <w:rsid w:val="007C6664"/>
    <w:rsid w:val="007C6C91"/>
    <w:rsid w:val="007D01B8"/>
    <w:rsid w:val="007D1349"/>
    <w:rsid w:val="007D170B"/>
    <w:rsid w:val="007D1934"/>
    <w:rsid w:val="007D30C5"/>
    <w:rsid w:val="007D4961"/>
    <w:rsid w:val="007D4AC4"/>
    <w:rsid w:val="007D6E70"/>
    <w:rsid w:val="007D7B36"/>
    <w:rsid w:val="007D7CA7"/>
    <w:rsid w:val="007E04EC"/>
    <w:rsid w:val="007E0732"/>
    <w:rsid w:val="007E1C8A"/>
    <w:rsid w:val="007E2DFC"/>
    <w:rsid w:val="007E5938"/>
    <w:rsid w:val="007E63DF"/>
    <w:rsid w:val="007E7937"/>
    <w:rsid w:val="007F2C49"/>
    <w:rsid w:val="007F2CE4"/>
    <w:rsid w:val="007F42C9"/>
    <w:rsid w:val="007F4E20"/>
    <w:rsid w:val="007F5423"/>
    <w:rsid w:val="007F6ACD"/>
    <w:rsid w:val="007F73C7"/>
    <w:rsid w:val="00800984"/>
    <w:rsid w:val="00802358"/>
    <w:rsid w:val="008039B7"/>
    <w:rsid w:val="00804405"/>
    <w:rsid w:val="00806DA1"/>
    <w:rsid w:val="00807AB5"/>
    <w:rsid w:val="008101C8"/>
    <w:rsid w:val="0081058F"/>
    <w:rsid w:val="00811484"/>
    <w:rsid w:val="0081166E"/>
    <w:rsid w:val="00812A99"/>
    <w:rsid w:val="00813452"/>
    <w:rsid w:val="00814C1B"/>
    <w:rsid w:val="00815A6D"/>
    <w:rsid w:val="00815B96"/>
    <w:rsid w:val="008166C2"/>
    <w:rsid w:val="00817892"/>
    <w:rsid w:val="00817899"/>
    <w:rsid w:val="00820063"/>
    <w:rsid w:val="008204BC"/>
    <w:rsid w:val="00822099"/>
    <w:rsid w:val="008239A6"/>
    <w:rsid w:val="00825845"/>
    <w:rsid w:val="00825D96"/>
    <w:rsid w:val="0083018F"/>
    <w:rsid w:val="0083256E"/>
    <w:rsid w:val="00834C95"/>
    <w:rsid w:val="00836F4E"/>
    <w:rsid w:val="008370B4"/>
    <w:rsid w:val="0083794D"/>
    <w:rsid w:val="008421D5"/>
    <w:rsid w:val="008428E1"/>
    <w:rsid w:val="00843965"/>
    <w:rsid w:val="00850A5B"/>
    <w:rsid w:val="00851105"/>
    <w:rsid w:val="00851F04"/>
    <w:rsid w:val="00852208"/>
    <w:rsid w:val="00852488"/>
    <w:rsid w:val="008531D1"/>
    <w:rsid w:val="00855E11"/>
    <w:rsid w:val="008567AC"/>
    <w:rsid w:val="00862248"/>
    <w:rsid w:val="0086324F"/>
    <w:rsid w:val="00864509"/>
    <w:rsid w:val="00864DBF"/>
    <w:rsid w:val="00865674"/>
    <w:rsid w:val="00865713"/>
    <w:rsid w:val="008663C1"/>
    <w:rsid w:val="00867B4B"/>
    <w:rsid w:val="00870C6F"/>
    <w:rsid w:val="008715B5"/>
    <w:rsid w:val="0087339D"/>
    <w:rsid w:val="0087438E"/>
    <w:rsid w:val="00876B6E"/>
    <w:rsid w:val="008804D4"/>
    <w:rsid w:val="00881C7E"/>
    <w:rsid w:val="00882A61"/>
    <w:rsid w:val="00891C3B"/>
    <w:rsid w:val="00892191"/>
    <w:rsid w:val="00892EB8"/>
    <w:rsid w:val="00894F2A"/>
    <w:rsid w:val="008967A2"/>
    <w:rsid w:val="00897B47"/>
    <w:rsid w:val="008A0533"/>
    <w:rsid w:val="008A4CC3"/>
    <w:rsid w:val="008A51B4"/>
    <w:rsid w:val="008A6F9C"/>
    <w:rsid w:val="008B0C33"/>
    <w:rsid w:val="008B0DA3"/>
    <w:rsid w:val="008B2137"/>
    <w:rsid w:val="008B2702"/>
    <w:rsid w:val="008B31BB"/>
    <w:rsid w:val="008B3A48"/>
    <w:rsid w:val="008B4058"/>
    <w:rsid w:val="008B4061"/>
    <w:rsid w:val="008B5A16"/>
    <w:rsid w:val="008B5A2D"/>
    <w:rsid w:val="008B687F"/>
    <w:rsid w:val="008B7D16"/>
    <w:rsid w:val="008B7DBF"/>
    <w:rsid w:val="008C0597"/>
    <w:rsid w:val="008C18C0"/>
    <w:rsid w:val="008C20D1"/>
    <w:rsid w:val="008C2D37"/>
    <w:rsid w:val="008C5503"/>
    <w:rsid w:val="008D0682"/>
    <w:rsid w:val="008D0D0C"/>
    <w:rsid w:val="008D3A74"/>
    <w:rsid w:val="008D4D9D"/>
    <w:rsid w:val="008D5BD1"/>
    <w:rsid w:val="008D5E09"/>
    <w:rsid w:val="008D64DD"/>
    <w:rsid w:val="008D7D48"/>
    <w:rsid w:val="008E0677"/>
    <w:rsid w:val="008E0CDD"/>
    <w:rsid w:val="008E2196"/>
    <w:rsid w:val="008E5939"/>
    <w:rsid w:val="008E5952"/>
    <w:rsid w:val="008E7ED3"/>
    <w:rsid w:val="008F364F"/>
    <w:rsid w:val="008F382B"/>
    <w:rsid w:val="008F506E"/>
    <w:rsid w:val="008F5852"/>
    <w:rsid w:val="008F5D2C"/>
    <w:rsid w:val="008F6891"/>
    <w:rsid w:val="0090072F"/>
    <w:rsid w:val="00900BA5"/>
    <w:rsid w:val="009020A4"/>
    <w:rsid w:val="00902CB7"/>
    <w:rsid w:val="00902FF4"/>
    <w:rsid w:val="00903B03"/>
    <w:rsid w:val="00904208"/>
    <w:rsid w:val="00904D22"/>
    <w:rsid w:val="00904FDA"/>
    <w:rsid w:val="00905CE9"/>
    <w:rsid w:val="00906554"/>
    <w:rsid w:val="00906A22"/>
    <w:rsid w:val="00907A2C"/>
    <w:rsid w:val="009113D1"/>
    <w:rsid w:val="00911EC6"/>
    <w:rsid w:val="009124A3"/>
    <w:rsid w:val="00914776"/>
    <w:rsid w:val="009152D4"/>
    <w:rsid w:val="00917336"/>
    <w:rsid w:val="00917C06"/>
    <w:rsid w:val="00921A20"/>
    <w:rsid w:val="0092287C"/>
    <w:rsid w:val="00922FA9"/>
    <w:rsid w:val="00923556"/>
    <w:rsid w:val="0092417E"/>
    <w:rsid w:val="00924307"/>
    <w:rsid w:val="00925FEC"/>
    <w:rsid w:val="00926B51"/>
    <w:rsid w:val="00927C5B"/>
    <w:rsid w:val="0093028B"/>
    <w:rsid w:val="00930C4A"/>
    <w:rsid w:val="00931B5A"/>
    <w:rsid w:val="00931F14"/>
    <w:rsid w:val="00932CB4"/>
    <w:rsid w:val="00933218"/>
    <w:rsid w:val="0093379B"/>
    <w:rsid w:val="00933BCB"/>
    <w:rsid w:val="00940373"/>
    <w:rsid w:val="00940AA8"/>
    <w:rsid w:val="00941EE2"/>
    <w:rsid w:val="00943F49"/>
    <w:rsid w:val="00944DAB"/>
    <w:rsid w:val="00946BEA"/>
    <w:rsid w:val="009479DC"/>
    <w:rsid w:val="00950788"/>
    <w:rsid w:val="00950B3E"/>
    <w:rsid w:val="00950F99"/>
    <w:rsid w:val="00951466"/>
    <w:rsid w:val="009516BF"/>
    <w:rsid w:val="009522D7"/>
    <w:rsid w:val="009549E5"/>
    <w:rsid w:val="0095566B"/>
    <w:rsid w:val="00957EDC"/>
    <w:rsid w:val="009621F1"/>
    <w:rsid w:val="00963B62"/>
    <w:rsid w:val="00963DDD"/>
    <w:rsid w:val="009650E0"/>
    <w:rsid w:val="00965260"/>
    <w:rsid w:val="00966CD3"/>
    <w:rsid w:val="00967644"/>
    <w:rsid w:val="00967674"/>
    <w:rsid w:val="0097023A"/>
    <w:rsid w:val="00970E95"/>
    <w:rsid w:val="0097161D"/>
    <w:rsid w:val="00971BFC"/>
    <w:rsid w:val="00972FFA"/>
    <w:rsid w:val="00974807"/>
    <w:rsid w:val="009763DA"/>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3B55"/>
    <w:rsid w:val="00995627"/>
    <w:rsid w:val="009977A6"/>
    <w:rsid w:val="00997F3E"/>
    <w:rsid w:val="009A0599"/>
    <w:rsid w:val="009A1A5C"/>
    <w:rsid w:val="009A1E28"/>
    <w:rsid w:val="009A1FDE"/>
    <w:rsid w:val="009A2210"/>
    <w:rsid w:val="009A2D56"/>
    <w:rsid w:val="009A3116"/>
    <w:rsid w:val="009A439E"/>
    <w:rsid w:val="009A4C0C"/>
    <w:rsid w:val="009A52BE"/>
    <w:rsid w:val="009A595F"/>
    <w:rsid w:val="009A5A24"/>
    <w:rsid w:val="009A5E20"/>
    <w:rsid w:val="009A5EA7"/>
    <w:rsid w:val="009A7307"/>
    <w:rsid w:val="009B1ED8"/>
    <w:rsid w:val="009B206D"/>
    <w:rsid w:val="009B27AC"/>
    <w:rsid w:val="009B2D65"/>
    <w:rsid w:val="009B2F8C"/>
    <w:rsid w:val="009B346E"/>
    <w:rsid w:val="009B3BE1"/>
    <w:rsid w:val="009B404A"/>
    <w:rsid w:val="009B56EE"/>
    <w:rsid w:val="009B58B2"/>
    <w:rsid w:val="009B66F1"/>
    <w:rsid w:val="009C002E"/>
    <w:rsid w:val="009C06A2"/>
    <w:rsid w:val="009C392A"/>
    <w:rsid w:val="009C7563"/>
    <w:rsid w:val="009C77C1"/>
    <w:rsid w:val="009C7E9D"/>
    <w:rsid w:val="009D0372"/>
    <w:rsid w:val="009D0B97"/>
    <w:rsid w:val="009D2908"/>
    <w:rsid w:val="009D5D82"/>
    <w:rsid w:val="009D69FF"/>
    <w:rsid w:val="009D6BFE"/>
    <w:rsid w:val="009E0923"/>
    <w:rsid w:val="009E0A88"/>
    <w:rsid w:val="009E179C"/>
    <w:rsid w:val="009E202F"/>
    <w:rsid w:val="009E2F0F"/>
    <w:rsid w:val="009E3EBD"/>
    <w:rsid w:val="009E413A"/>
    <w:rsid w:val="009E44E8"/>
    <w:rsid w:val="009E4833"/>
    <w:rsid w:val="009E4AD9"/>
    <w:rsid w:val="009E543A"/>
    <w:rsid w:val="009E5BC9"/>
    <w:rsid w:val="009E61C2"/>
    <w:rsid w:val="009E6459"/>
    <w:rsid w:val="009E7818"/>
    <w:rsid w:val="009F459F"/>
    <w:rsid w:val="009F701B"/>
    <w:rsid w:val="00A01918"/>
    <w:rsid w:val="00A03A49"/>
    <w:rsid w:val="00A04A60"/>
    <w:rsid w:val="00A04FA0"/>
    <w:rsid w:val="00A05AEE"/>
    <w:rsid w:val="00A11D21"/>
    <w:rsid w:val="00A1231E"/>
    <w:rsid w:val="00A1339D"/>
    <w:rsid w:val="00A13556"/>
    <w:rsid w:val="00A15C57"/>
    <w:rsid w:val="00A20F3A"/>
    <w:rsid w:val="00A22B8D"/>
    <w:rsid w:val="00A23653"/>
    <w:rsid w:val="00A24754"/>
    <w:rsid w:val="00A24CD3"/>
    <w:rsid w:val="00A25A93"/>
    <w:rsid w:val="00A3085A"/>
    <w:rsid w:val="00A31B33"/>
    <w:rsid w:val="00A32555"/>
    <w:rsid w:val="00A3327B"/>
    <w:rsid w:val="00A356C1"/>
    <w:rsid w:val="00A35925"/>
    <w:rsid w:val="00A35B1A"/>
    <w:rsid w:val="00A40021"/>
    <w:rsid w:val="00A41970"/>
    <w:rsid w:val="00A4322A"/>
    <w:rsid w:val="00A43797"/>
    <w:rsid w:val="00A43C34"/>
    <w:rsid w:val="00A507AE"/>
    <w:rsid w:val="00A50EFF"/>
    <w:rsid w:val="00A520CD"/>
    <w:rsid w:val="00A523E3"/>
    <w:rsid w:val="00A53D2E"/>
    <w:rsid w:val="00A56281"/>
    <w:rsid w:val="00A601FC"/>
    <w:rsid w:val="00A60F05"/>
    <w:rsid w:val="00A6202F"/>
    <w:rsid w:val="00A63A95"/>
    <w:rsid w:val="00A6464F"/>
    <w:rsid w:val="00A65365"/>
    <w:rsid w:val="00A65BA4"/>
    <w:rsid w:val="00A66C9D"/>
    <w:rsid w:val="00A7144F"/>
    <w:rsid w:val="00A72F8D"/>
    <w:rsid w:val="00A73033"/>
    <w:rsid w:val="00A7323A"/>
    <w:rsid w:val="00A73804"/>
    <w:rsid w:val="00A73C6F"/>
    <w:rsid w:val="00A75F73"/>
    <w:rsid w:val="00A77450"/>
    <w:rsid w:val="00A77877"/>
    <w:rsid w:val="00A8016D"/>
    <w:rsid w:val="00A80560"/>
    <w:rsid w:val="00A80ACF"/>
    <w:rsid w:val="00A82090"/>
    <w:rsid w:val="00A837B8"/>
    <w:rsid w:val="00A83EC5"/>
    <w:rsid w:val="00A85D52"/>
    <w:rsid w:val="00A86053"/>
    <w:rsid w:val="00A861FE"/>
    <w:rsid w:val="00A86E3F"/>
    <w:rsid w:val="00A87CE0"/>
    <w:rsid w:val="00A90D85"/>
    <w:rsid w:val="00A91AF5"/>
    <w:rsid w:val="00A928C9"/>
    <w:rsid w:val="00A92F9E"/>
    <w:rsid w:val="00A930EC"/>
    <w:rsid w:val="00A94BB8"/>
    <w:rsid w:val="00A959D5"/>
    <w:rsid w:val="00A95E28"/>
    <w:rsid w:val="00A961BF"/>
    <w:rsid w:val="00A97D8D"/>
    <w:rsid w:val="00AA3DF7"/>
    <w:rsid w:val="00AA4EDC"/>
    <w:rsid w:val="00AA5086"/>
    <w:rsid w:val="00AA61D7"/>
    <w:rsid w:val="00AA7A1C"/>
    <w:rsid w:val="00AB0E5F"/>
    <w:rsid w:val="00AB2499"/>
    <w:rsid w:val="00AB25E0"/>
    <w:rsid w:val="00AB2680"/>
    <w:rsid w:val="00AB620D"/>
    <w:rsid w:val="00AB6DA9"/>
    <w:rsid w:val="00AB766A"/>
    <w:rsid w:val="00AB785A"/>
    <w:rsid w:val="00AC04A9"/>
    <w:rsid w:val="00AC12F8"/>
    <w:rsid w:val="00AC15E3"/>
    <w:rsid w:val="00AC205D"/>
    <w:rsid w:val="00AC3BE3"/>
    <w:rsid w:val="00AC44AE"/>
    <w:rsid w:val="00AC4A52"/>
    <w:rsid w:val="00AC6E1E"/>
    <w:rsid w:val="00AD0BF8"/>
    <w:rsid w:val="00AD0CC4"/>
    <w:rsid w:val="00AD0F78"/>
    <w:rsid w:val="00AD187B"/>
    <w:rsid w:val="00AD1E80"/>
    <w:rsid w:val="00AD2D9E"/>
    <w:rsid w:val="00AD328E"/>
    <w:rsid w:val="00AD3C30"/>
    <w:rsid w:val="00AD6E28"/>
    <w:rsid w:val="00AD7B43"/>
    <w:rsid w:val="00AE0045"/>
    <w:rsid w:val="00AE025C"/>
    <w:rsid w:val="00AE0DA7"/>
    <w:rsid w:val="00AE0EF3"/>
    <w:rsid w:val="00AE1036"/>
    <w:rsid w:val="00AE162A"/>
    <w:rsid w:val="00AE4E0C"/>
    <w:rsid w:val="00AE5728"/>
    <w:rsid w:val="00AE5E84"/>
    <w:rsid w:val="00AE6136"/>
    <w:rsid w:val="00AE6E77"/>
    <w:rsid w:val="00AE72B7"/>
    <w:rsid w:val="00AE7563"/>
    <w:rsid w:val="00AE7D00"/>
    <w:rsid w:val="00AF0471"/>
    <w:rsid w:val="00AF13DB"/>
    <w:rsid w:val="00AF2DF6"/>
    <w:rsid w:val="00AF2F4B"/>
    <w:rsid w:val="00AF4E18"/>
    <w:rsid w:val="00AF5FFC"/>
    <w:rsid w:val="00AF6714"/>
    <w:rsid w:val="00B018D3"/>
    <w:rsid w:val="00B01A20"/>
    <w:rsid w:val="00B031BD"/>
    <w:rsid w:val="00B03487"/>
    <w:rsid w:val="00B050AB"/>
    <w:rsid w:val="00B05DE9"/>
    <w:rsid w:val="00B06F17"/>
    <w:rsid w:val="00B06F97"/>
    <w:rsid w:val="00B10347"/>
    <w:rsid w:val="00B115A2"/>
    <w:rsid w:val="00B12CCC"/>
    <w:rsid w:val="00B1352C"/>
    <w:rsid w:val="00B13F28"/>
    <w:rsid w:val="00B14CBF"/>
    <w:rsid w:val="00B1528E"/>
    <w:rsid w:val="00B1590A"/>
    <w:rsid w:val="00B15E45"/>
    <w:rsid w:val="00B2035E"/>
    <w:rsid w:val="00B20628"/>
    <w:rsid w:val="00B20722"/>
    <w:rsid w:val="00B20752"/>
    <w:rsid w:val="00B224F3"/>
    <w:rsid w:val="00B22759"/>
    <w:rsid w:val="00B22FB6"/>
    <w:rsid w:val="00B236CB"/>
    <w:rsid w:val="00B23B2F"/>
    <w:rsid w:val="00B23D0F"/>
    <w:rsid w:val="00B24C18"/>
    <w:rsid w:val="00B2653C"/>
    <w:rsid w:val="00B30467"/>
    <w:rsid w:val="00B306D6"/>
    <w:rsid w:val="00B32132"/>
    <w:rsid w:val="00B33812"/>
    <w:rsid w:val="00B3406A"/>
    <w:rsid w:val="00B3464C"/>
    <w:rsid w:val="00B359C5"/>
    <w:rsid w:val="00B36D30"/>
    <w:rsid w:val="00B409CF"/>
    <w:rsid w:val="00B40EFC"/>
    <w:rsid w:val="00B41268"/>
    <w:rsid w:val="00B42F00"/>
    <w:rsid w:val="00B432D8"/>
    <w:rsid w:val="00B454DD"/>
    <w:rsid w:val="00B46D8F"/>
    <w:rsid w:val="00B474EA"/>
    <w:rsid w:val="00B47A53"/>
    <w:rsid w:val="00B51625"/>
    <w:rsid w:val="00B517A6"/>
    <w:rsid w:val="00B5249D"/>
    <w:rsid w:val="00B52BE6"/>
    <w:rsid w:val="00B55BBD"/>
    <w:rsid w:val="00B56A16"/>
    <w:rsid w:val="00B600BA"/>
    <w:rsid w:val="00B6014A"/>
    <w:rsid w:val="00B601F5"/>
    <w:rsid w:val="00B6064E"/>
    <w:rsid w:val="00B61A69"/>
    <w:rsid w:val="00B6378A"/>
    <w:rsid w:val="00B63B31"/>
    <w:rsid w:val="00B63CFC"/>
    <w:rsid w:val="00B65026"/>
    <w:rsid w:val="00B66891"/>
    <w:rsid w:val="00B6794F"/>
    <w:rsid w:val="00B67975"/>
    <w:rsid w:val="00B70458"/>
    <w:rsid w:val="00B7096A"/>
    <w:rsid w:val="00B71AE0"/>
    <w:rsid w:val="00B720F9"/>
    <w:rsid w:val="00B72A70"/>
    <w:rsid w:val="00B72C7B"/>
    <w:rsid w:val="00B7378C"/>
    <w:rsid w:val="00B7653F"/>
    <w:rsid w:val="00B7655C"/>
    <w:rsid w:val="00B7672C"/>
    <w:rsid w:val="00B80172"/>
    <w:rsid w:val="00B80DC4"/>
    <w:rsid w:val="00B82831"/>
    <w:rsid w:val="00B82B2A"/>
    <w:rsid w:val="00B8308F"/>
    <w:rsid w:val="00B8309D"/>
    <w:rsid w:val="00B854E7"/>
    <w:rsid w:val="00B85A1C"/>
    <w:rsid w:val="00B85CF9"/>
    <w:rsid w:val="00B86E2A"/>
    <w:rsid w:val="00B87CB9"/>
    <w:rsid w:val="00B90361"/>
    <w:rsid w:val="00B930C9"/>
    <w:rsid w:val="00B932C6"/>
    <w:rsid w:val="00B95164"/>
    <w:rsid w:val="00B95C5C"/>
    <w:rsid w:val="00B96E4E"/>
    <w:rsid w:val="00BA17DB"/>
    <w:rsid w:val="00BA2A85"/>
    <w:rsid w:val="00BA2AAA"/>
    <w:rsid w:val="00BA54EE"/>
    <w:rsid w:val="00BB005F"/>
    <w:rsid w:val="00BB08E4"/>
    <w:rsid w:val="00BB180E"/>
    <w:rsid w:val="00BB1BFF"/>
    <w:rsid w:val="00BB2461"/>
    <w:rsid w:val="00BB617F"/>
    <w:rsid w:val="00BB6723"/>
    <w:rsid w:val="00BB7B7F"/>
    <w:rsid w:val="00BC2CE9"/>
    <w:rsid w:val="00BC36B3"/>
    <w:rsid w:val="00BC6607"/>
    <w:rsid w:val="00BD035F"/>
    <w:rsid w:val="00BD0702"/>
    <w:rsid w:val="00BD24BF"/>
    <w:rsid w:val="00BD46CE"/>
    <w:rsid w:val="00BD67FA"/>
    <w:rsid w:val="00BD7DE4"/>
    <w:rsid w:val="00BE0AFE"/>
    <w:rsid w:val="00BE110B"/>
    <w:rsid w:val="00BE1A98"/>
    <w:rsid w:val="00BE1E5B"/>
    <w:rsid w:val="00BE346F"/>
    <w:rsid w:val="00BE4B63"/>
    <w:rsid w:val="00BE56D3"/>
    <w:rsid w:val="00BE6BBA"/>
    <w:rsid w:val="00BE6E19"/>
    <w:rsid w:val="00BF061C"/>
    <w:rsid w:val="00BF26C1"/>
    <w:rsid w:val="00BF2E3D"/>
    <w:rsid w:val="00BF423F"/>
    <w:rsid w:val="00BF521D"/>
    <w:rsid w:val="00BF5A8B"/>
    <w:rsid w:val="00C0136B"/>
    <w:rsid w:val="00C02806"/>
    <w:rsid w:val="00C02A2A"/>
    <w:rsid w:val="00C05AFE"/>
    <w:rsid w:val="00C06BDE"/>
    <w:rsid w:val="00C075E2"/>
    <w:rsid w:val="00C1009F"/>
    <w:rsid w:val="00C101BF"/>
    <w:rsid w:val="00C11F3B"/>
    <w:rsid w:val="00C1451B"/>
    <w:rsid w:val="00C149B6"/>
    <w:rsid w:val="00C154C0"/>
    <w:rsid w:val="00C176D8"/>
    <w:rsid w:val="00C20810"/>
    <w:rsid w:val="00C212D4"/>
    <w:rsid w:val="00C21E8F"/>
    <w:rsid w:val="00C21EEB"/>
    <w:rsid w:val="00C22237"/>
    <w:rsid w:val="00C227A4"/>
    <w:rsid w:val="00C22CDB"/>
    <w:rsid w:val="00C2346E"/>
    <w:rsid w:val="00C243D2"/>
    <w:rsid w:val="00C24C6B"/>
    <w:rsid w:val="00C25AD7"/>
    <w:rsid w:val="00C25EA7"/>
    <w:rsid w:val="00C25F5D"/>
    <w:rsid w:val="00C30CB1"/>
    <w:rsid w:val="00C316EB"/>
    <w:rsid w:val="00C323FE"/>
    <w:rsid w:val="00C32759"/>
    <w:rsid w:val="00C344E7"/>
    <w:rsid w:val="00C34BB5"/>
    <w:rsid w:val="00C34CDD"/>
    <w:rsid w:val="00C35089"/>
    <w:rsid w:val="00C355D1"/>
    <w:rsid w:val="00C35A09"/>
    <w:rsid w:val="00C36C49"/>
    <w:rsid w:val="00C376CC"/>
    <w:rsid w:val="00C37868"/>
    <w:rsid w:val="00C43F41"/>
    <w:rsid w:val="00C4672E"/>
    <w:rsid w:val="00C47961"/>
    <w:rsid w:val="00C47977"/>
    <w:rsid w:val="00C513A0"/>
    <w:rsid w:val="00C51B56"/>
    <w:rsid w:val="00C51DC9"/>
    <w:rsid w:val="00C5246F"/>
    <w:rsid w:val="00C52843"/>
    <w:rsid w:val="00C52A1B"/>
    <w:rsid w:val="00C52D5D"/>
    <w:rsid w:val="00C564FA"/>
    <w:rsid w:val="00C56D46"/>
    <w:rsid w:val="00C56FC2"/>
    <w:rsid w:val="00C60303"/>
    <w:rsid w:val="00C605C9"/>
    <w:rsid w:val="00C61BD5"/>
    <w:rsid w:val="00C625C0"/>
    <w:rsid w:val="00C63CAA"/>
    <w:rsid w:val="00C65561"/>
    <w:rsid w:val="00C70468"/>
    <w:rsid w:val="00C71EB3"/>
    <w:rsid w:val="00C73E61"/>
    <w:rsid w:val="00C7642B"/>
    <w:rsid w:val="00C812F7"/>
    <w:rsid w:val="00C8182C"/>
    <w:rsid w:val="00C82ABC"/>
    <w:rsid w:val="00C82CD7"/>
    <w:rsid w:val="00C8345F"/>
    <w:rsid w:val="00C83CD0"/>
    <w:rsid w:val="00C83EE8"/>
    <w:rsid w:val="00C843CB"/>
    <w:rsid w:val="00C84F8B"/>
    <w:rsid w:val="00C85263"/>
    <w:rsid w:val="00C8633D"/>
    <w:rsid w:val="00C86399"/>
    <w:rsid w:val="00C87130"/>
    <w:rsid w:val="00C87315"/>
    <w:rsid w:val="00C90EEA"/>
    <w:rsid w:val="00C917E8"/>
    <w:rsid w:val="00C9231A"/>
    <w:rsid w:val="00C9273D"/>
    <w:rsid w:val="00C928C1"/>
    <w:rsid w:val="00C92BCA"/>
    <w:rsid w:val="00C95EC9"/>
    <w:rsid w:val="00C9718C"/>
    <w:rsid w:val="00CA0187"/>
    <w:rsid w:val="00CA07AE"/>
    <w:rsid w:val="00CA142D"/>
    <w:rsid w:val="00CA165A"/>
    <w:rsid w:val="00CA2E2A"/>
    <w:rsid w:val="00CA46D8"/>
    <w:rsid w:val="00CA4FB3"/>
    <w:rsid w:val="00CA5350"/>
    <w:rsid w:val="00CA6275"/>
    <w:rsid w:val="00CB13F3"/>
    <w:rsid w:val="00CB21D2"/>
    <w:rsid w:val="00CB29D0"/>
    <w:rsid w:val="00CB3E2B"/>
    <w:rsid w:val="00CB4607"/>
    <w:rsid w:val="00CB523C"/>
    <w:rsid w:val="00CB6352"/>
    <w:rsid w:val="00CB66A1"/>
    <w:rsid w:val="00CB6861"/>
    <w:rsid w:val="00CB6DDD"/>
    <w:rsid w:val="00CC1191"/>
    <w:rsid w:val="00CC1DEE"/>
    <w:rsid w:val="00CC2777"/>
    <w:rsid w:val="00CC2978"/>
    <w:rsid w:val="00CC2D13"/>
    <w:rsid w:val="00CC4194"/>
    <w:rsid w:val="00CC4D4B"/>
    <w:rsid w:val="00CC4ED4"/>
    <w:rsid w:val="00CC569D"/>
    <w:rsid w:val="00CC56C8"/>
    <w:rsid w:val="00CC58FA"/>
    <w:rsid w:val="00CC6167"/>
    <w:rsid w:val="00CC6CE9"/>
    <w:rsid w:val="00CC7233"/>
    <w:rsid w:val="00CC7D2E"/>
    <w:rsid w:val="00CD0DAF"/>
    <w:rsid w:val="00CD1057"/>
    <w:rsid w:val="00CD1C39"/>
    <w:rsid w:val="00CD335B"/>
    <w:rsid w:val="00CD35CE"/>
    <w:rsid w:val="00CD42C3"/>
    <w:rsid w:val="00CD4763"/>
    <w:rsid w:val="00CD5AE4"/>
    <w:rsid w:val="00CD5E32"/>
    <w:rsid w:val="00CD62F9"/>
    <w:rsid w:val="00CD6B55"/>
    <w:rsid w:val="00CD6DEA"/>
    <w:rsid w:val="00CD7278"/>
    <w:rsid w:val="00CE1578"/>
    <w:rsid w:val="00CE1AF8"/>
    <w:rsid w:val="00CE2C4B"/>
    <w:rsid w:val="00CE36D9"/>
    <w:rsid w:val="00CE4BFC"/>
    <w:rsid w:val="00CE4D20"/>
    <w:rsid w:val="00CE4EDA"/>
    <w:rsid w:val="00CF12B3"/>
    <w:rsid w:val="00CF1593"/>
    <w:rsid w:val="00CF259C"/>
    <w:rsid w:val="00CF3497"/>
    <w:rsid w:val="00CF37E8"/>
    <w:rsid w:val="00CF495D"/>
    <w:rsid w:val="00CF4A32"/>
    <w:rsid w:val="00CF4D5C"/>
    <w:rsid w:val="00CF5980"/>
    <w:rsid w:val="00CF6E51"/>
    <w:rsid w:val="00D00AAD"/>
    <w:rsid w:val="00D00DFF"/>
    <w:rsid w:val="00D01832"/>
    <w:rsid w:val="00D02026"/>
    <w:rsid w:val="00D02315"/>
    <w:rsid w:val="00D0274E"/>
    <w:rsid w:val="00D03F54"/>
    <w:rsid w:val="00D03F65"/>
    <w:rsid w:val="00D040BA"/>
    <w:rsid w:val="00D040F5"/>
    <w:rsid w:val="00D05066"/>
    <w:rsid w:val="00D051C5"/>
    <w:rsid w:val="00D05469"/>
    <w:rsid w:val="00D05817"/>
    <w:rsid w:val="00D06B99"/>
    <w:rsid w:val="00D0737C"/>
    <w:rsid w:val="00D07C7C"/>
    <w:rsid w:val="00D10412"/>
    <w:rsid w:val="00D10573"/>
    <w:rsid w:val="00D135DD"/>
    <w:rsid w:val="00D1397F"/>
    <w:rsid w:val="00D13DE4"/>
    <w:rsid w:val="00D146BD"/>
    <w:rsid w:val="00D14BC8"/>
    <w:rsid w:val="00D14FDD"/>
    <w:rsid w:val="00D15EB5"/>
    <w:rsid w:val="00D15EEB"/>
    <w:rsid w:val="00D17B0D"/>
    <w:rsid w:val="00D209B4"/>
    <w:rsid w:val="00D20C22"/>
    <w:rsid w:val="00D2344A"/>
    <w:rsid w:val="00D2461A"/>
    <w:rsid w:val="00D24C21"/>
    <w:rsid w:val="00D2501D"/>
    <w:rsid w:val="00D25738"/>
    <w:rsid w:val="00D2715C"/>
    <w:rsid w:val="00D27F3A"/>
    <w:rsid w:val="00D31792"/>
    <w:rsid w:val="00D3254D"/>
    <w:rsid w:val="00D32550"/>
    <w:rsid w:val="00D32A7C"/>
    <w:rsid w:val="00D34163"/>
    <w:rsid w:val="00D353D1"/>
    <w:rsid w:val="00D35678"/>
    <w:rsid w:val="00D35D87"/>
    <w:rsid w:val="00D35E40"/>
    <w:rsid w:val="00D35E60"/>
    <w:rsid w:val="00D35EC1"/>
    <w:rsid w:val="00D361A3"/>
    <w:rsid w:val="00D36360"/>
    <w:rsid w:val="00D41B75"/>
    <w:rsid w:val="00D41BC9"/>
    <w:rsid w:val="00D42777"/>
    <w:rsid w:val="00D42ADA"/>
    <w:rsid w:val="00D4407C"/>
    <w:rsid w:val="00D46574"/>
    <w:rsid w:val="00D46A1F"/>
    <w:rsid w:val="00D502E8"/>
    <w:rsid w:val="00D50564"/>
    <w:rsid w:val="00D507D6"/>
    <w:rsid w:val="00D509E7"/>
    <w:rsid w:val="00D50D4F"/>
    <w:rsid w:val="00D5482D"/>
    <w:rsid w:val="00D54E31"/>
    <w:rsid w:val="00D54FF1"/>
    <w:rsid w:val="00D566F0"/>
    <w:rsid w:val="00D56831"/>
    <w:rsid w:val="00D573B6"/>
    <w:rsid w:val="00D6047F"/>
    <w:rsid w:val="00D60513"/>
    <w:rsid w:val="00D61117"/>
    <w:rsid w:val="00D613AF"/>
    <w:rsid w:val="00D61DF2"/>
    <w:rsid w:val="00D623C2"/>
    <w:rsid w:val="00D62887"/>
    <w:rsid w:val="00D6348C"/>
    <w:rsid w:val="00D63758"/>
    <w:rsid w:val="00D63A5E"/>
    <w:rsid w:val="00D640DC"/>
    <w:rsid w:val="00D64639"/>
    <w:rsid w:val="00D64E57"/>
    <w:rsid w:val="00D65931"/>
    <w:rsid w:val="00D661C8"/>
    <w:rsid w:val="00D67843"/>
    <w:rsid w:val="00D71D12"/>
    <w:rsid w:val="00D72F71"/>
    <w:rsid w:val="00D73E11"/>
    <w:rsid w:val="00D75083"/>
    <w:rsid w:val="00D76663"/>
    <w:rsid w:val="00D8109B"/>
    <w:rsid w:val="00D810E0"/>
    <w:rsid w:val="00D81199"/>
    <w:rsid w:val="00D812C2"/>
    <w:rsid w:val="00D81463"/>
    <w:rsid w:val="00D816C0"/>
    <w:rsid w:val="00D828FB"/>
    <w:rsid w:val="00D831B7"/>
    <w:rsid w:val="00D8361B"/>
    <w:rsid w:val="00D845DD"/>
    <w:rsid w:val="00D85214"/>
    <w:rsid w:val="00D854A2"/>
    <w:rsid w:val="00D85949"/>
    <w:rsid w:val="00D8694D"/>
    <w:rsid w:val="00D86D1A"/>
    <w:rsid w:val="00D90396"/>
    <w:rsid w:val="00D94DE8"/>
    <w:rsid w:val="00D96B97"/>
    <w:rsid w:val="00D96D26"/>
    <w:rsid w:val="00D973DB"/>
    <w:rsid w:val="00DA151A"/>
    <w:rsid w:val="00DA1B19"/>
    <w:rsid w:val="00DA1C65"/>
    <w:rsid w:val="00DA5D18"/>
    <w:rsid w:val="00DA6897"/>
    <w:rsid w:val="00DA695A"/>
    <w:rsid w:val="00DA6DDC"/>
    <w:rsid w:val="00DA71E4"/>
    <w:rsid w:val="00DA764C"/>
    <w:rsid w:val="00DB013B"/>
    <w:rsid w:val="00DB2BB6"/>
    <w:rsid w:val="00DB386B"/>
    <w:rsid w:val="00DB3E79"/>
    <w:rsid w:val="00DB4B2B"/>
    <w:rsid w:val="00DB4CC0"/>
    <w:rsid w:val="00DB4F8B"/>
    <w:rsid w:val="00DB7261"/>
    <w:rsid w:val="00DC1289"/>
    <w:rsid w:val="00DC1A25"/>
    <w:rsid w:val="00DC292A"/>
    <w:rsid w:val="00DC42CD"/>
    <w:rsid w:val="00DC49E6"/>
    <w:rsid w:val="00DC75BD"/>
    <w:rsid w:val="00DD254B"/>
    <w:rsid w:val="00DD2C33"/>
    <w:rsid w:val="00DD35EC"/>
    <w:rsid w:val="00DD714F"/>
    <w:rsid w:val="00DD762D"/>
    <w:rsid w:val="00DE0BC8"/>
    <w:rsid w:val="00DE31A5"/>
    <w:rsid w:val="00DE3777"/>
    <w:rsid w:val="00DE539F"/>
    <w:rsid w:val="00DE5A7D"/>
    <w:rsid w:val="00DE5D23"/>
    <w:rsid w:val="00DE5F32"/>
    <w:rsid w:val="00DE7A92"/>
    <w:rsid w:val="00DF01DE"/>
    <w:rsid w:val="00DF108A"/>
    <w:rsid w:val="00DF2831"/>
    <w:rsid w:val="00DF41E8"/>
    <w:rsid w:val="00DF4F1C"/>
    <w:rsid w:val="00DF525A"/>
    <w:rsid w:val="00DF5356"/>
    <w:rsid w:val="00DF594B"/>
    <w:rsid w:val="00DF6812"/>
    <w:rsid w:val="00DF696A"/>
    <w:rsid w:val="00DF71A6"/>
    <w:rsid w:val="00E00FAA"/>
    <w:rsid w:val="00E0101E"/>
    <w:rsid w:val="00E01DDB"/>
    <w:rsid w:val="00E042B5"/>
    <w:rsid w:val="00E05033"/>
    <w:rsid w:val="00E053C4"/>
    <w:rsid w:val="00E0592A"/>
    <w:rsid w:val="00E065C3"/>
    <w:rsid w:val="00E0729C"/>
    <w:rsid w:val="00E10828"/>
    <w:rsid w:val="00E10B04"/>
    <w:rsid w:val="00E10B3E"/>
    <w:rsid w:val="00E120B4"/>
    <w:rsid w:val="00E12B3B"/>
    <w:rsid w:val="00E13F56"/>
    <w:rsid w:val="00E14ABF"/>
    <w:rsid w:val="00E14DD7"/>
    <w:rsid w:val="00E153B7"/>
    <w:rsid w:val="00E1556A"/>
    <w:rsid w:val="00E16345"/>
    <w:rsid w:val="00E163DD"/>
    <w:rsid w:val="00E227B1"/>
    <w:rsid w:val="00E274D0"/>
    <w:rsid w:val="00E277BE"/>
    <w:rsid w:val="00E27EEE"/>
    <w:rsid w:val="00E30DDB"/>
    <w:rsid w:val="00E315CC"/>
    <w:rsid w:val="00E32265"/>
    <w:rsid w:val="00E32D68"/>
    <w:rsid w:val="00E3406E"/>
    <w:rsid w:val="00E3430C"/>
    <w:rsid w:val="00E34345"/>
    <w:rsid w:val="00E3503A"/>
    <w:rsid w:val="00E356E8"/>
    <w:rsid w:val="00E35976"/>
    <w:rsid w:val="00E35CF1"/>
    <w:rsid w:val="00E35D7A"/>
    <w:rsid w:val="00E41269"/>
    <w:rsid w:val="00E4187D"/>
    <w:rsid w:val="00E42770"/>
    <w:rsid w:val="00E43870"/>
    <w:rsid w:val="00E442AB"/>
    <w:rsid w:val="00E45412"/>
    <w:rsid w:val="00E46BAB"/>
    <w:rsid w:val="00E46C7A"/>
    <w:rsid w:val="00E47B35"/>
    <w:rsid w:val="00E50B53"/>
    <w:rsid w:val="00E50E32"/>
    <w:rsid w:val="00E5176A"/>
    <w:rsid w:val="00E51A3B"/>
    <w:rsid w:val="00E5254C"/>
    <w:rsid w:val="00E525A8"/>
    <w:rsid w:val="00E537C1"/>
    <w:rsid w:val="00E53807"/>
    <w:rsid w:val="00E55678"/>
    <w:rsid w:val="00E567F9"/>
    <w:rsid w:val="00E572BC"/>
    <w:rsid w:val="00E60221"/>
    <w:rsid w:val="00E605F1"/>
    <w:rsid w:val="00E6193B"/>
    <w:rsid w:val="00E61A31"/>
    <w:rsid w:val="00E61C3D"/>
    <w:rsid w:val="00E6495C"/>
    <w:rsid w:val="00E64DE5"/>
    <w:rsid w:val="00E65DB5"/>
    <w:rsid w:val="00E702F8"/>
    <w:rsid w:val="00E7072A"/>
    <w:rsid w:val="00E70B9F"/>
    <w:rsid w:val="00E72068"/>
    <w:rsid w:val="00E726A0"/>
    <w:rsid w:val="00E735EC"/>
    <w:rsid w:val="00E73A4C"/>
    <w:rsid w:val="00E73B57"/>
    <w:rsid w:val="00E73D0F"/>
    <w:rsid w:val="00E74843"/>
    <w:rsid w:val="00E750BB"/>
    <w:rsid w:val="00E76C2C"/>
    <w:rsid w:val="00E80BD5"/>
    <w:rsid w:val="00E8168D"/>
    <w:rsid w:val="00E816BC"/>
    <w:rsid w:val="00E81CEC"/>
    <w:rsid w:val="00E82C49"/>
    <w:rsid w:val="00E858D2"/>
    <w:rsid w:val="00E85C53"/>
    <w:rsid w:val="00E85F3C"/>
    <w:rsid w:val="00E86A20"/>
    <w:rsid w:val="00E92AD5"/>
    <w:rsid w:val="00E95CE8"/>
    <w:rsid w:val="00E96EE0"/>
    <w:rsid w:val="00E97BEE"/>
    <w:rsid w:val="00EA1649"/>
    <w:rsid w:val="00EA1828"/>
    <w:rsid w:val="00EA23E9"/>
    <w:rsid w:val="00EA2775"/>
    <w:rsid w:val="00EA37D5"/>
    <w:rsid w:val="00EA6F53"/>
    <w:rsid w:val="00EA73E0"/>
    <w:rsid w:val="00EB0B0F"/>
    <w:rsid w:val="00EB1037"/>
    <w:rsid w:val="00EB15F0"/>
    <w:rsid w:val="00EB2E6F"/>
    <w:rsid w:val="00EB3551"/>
    <w:rsid w:val="00EB6F55"/>
    <w:rsid w:val="00EB71D4"/>
    <w:rsid w:val="00EB7429"/>
    <w:rsid w:val="00EB7F81"/>
    <w:rsid w:val="00EC0F1A"/>
    <w:rsid w:val="00EC1701"/>
    <w:rsid w:val="00EC3A7A"/>
    <w:rsid w:val="00EC4DC0"/>
    <w:rsid w:val="00EC64E0"/>
    <w:rsid w:val="00EC6AB5"/>
    <w:rsid w:val="00EC7029"/>
    <w:rsid w:val="00ED0974"/>
    <w:rsid w:val="00ED21A3"/>
    <w:rsid w:val="00ED2320"/>
    <w:rsid w:val="00ED25C7"/>
    <w:rsid w:val="00ED3729"/>
    <w:rsid w:val="00ED5300"/>
    <w:rsid w:val="00ED5A71"/>
    <w:rsid w:val="00ED625D"/>
    <w:rsid w:val="00ED6978"/>
    <w:rsid w:val="00ED7569"/>
    <w:rsid w:val="00ED7DD3"/>
    <w:rsid w:val="00EE04DC"/>
    <w:rsid w:val="00EE053C"/>
    <w:rsid w:val="00EE0BFA"/>
    <w:rsid w:val="00EE2504"/>
    <w:rsid w:val="00EE3910"/>
    <w:rsid w:val="00EE3F8A"/>
    <w:rsid w:val="00EE43FE"/>
    <w:rsid w:val="00EE4CBC"/>
    <w:rsid w:val="00EE5041"/>
    <w:rsid w:val="00EE5784"/>
    <w:rsid w:val="00EE5830"/>
    <w:rsid w:val="00EE59D4"/>
    <w:rsid w:val="00EE7D92"/>
    <w:rsid w:val="00EF0202"/>
    <w:rsid w:val="00EF0F8D"/>
    <w:rsid w:val="00EF3871"/>
    <w:rsid w:val="00EF3F72"/>
    <w:rsid w:val="00EF4B5D"/>
    <w:rsid w:val="00EF639B"/>
    <w:rsid w:val="00EF6AF8"/>
    <w:rsid w:val="00EF7177"/>
    <w:rsid w:val="00F0435A"/>
    <w:rsid w:val="00F0497E"/>
    <w:rsid w:val="00F0541B"/>
    <w:rsid w:val="00F10BC1"/>
    <w:rsid w:val="00F1157C"/>
    <w:rsid w:val="00F11B5C"/>
    <w:rsid w:val="00F12C84"/>
    <w:rsid w:val="00F14AD4"/>
    <w:rsid w:val="00F161EF"/>
    <w:rsid w:val="00F163D2"/>
    <w:rsid w:val="00F16959"/>
    <w:rsid w:val="00F16C67"/>
    <w:rsid w:val="00F210FB"/>
    <w:rsid w:val="00F2180B"/>
    <w:rsid w:val="00F2219C"/>
    <w:rsid w:val="00F26BA2"/>
    <w:rsid w:val="00F26CE5"/>
    <w:rsid w:val="00F30045"/>
    <w:rsid w:val="00F30A1A"/>
    <w:rsid w:val="00F30C0A"/>
    <w:rsid w:val="00F31D41"/>
    <w:rsid w:val="00F325B1"/>
    <w:rsid w:val="00F33341"/>
    <w:rsid w:val="00F339C0"/>
    <w:rsid w:val="00F33D31"/>
    <w:rsid w:val="00F359C7"/>
    <w:rsid w:val="00F36564"/>
    <w:rsid w:val="00F3687A"/>
    <w:rsid w:val="00F3751B"/>
    <w:rsid w:val="00F40C4A"/>
    <w:rsid w:val="00F40F41"/>
    <w:rsid w:val="00F42008"/>
    <w:rsid w:val="00F42484"/>
    <w:rsid w:val="00F42E93"/>
    <w:rsid w:val="00F45FF1"/>
    <w:rsid w:val="00F46D50"/>
    <w:rsid w:val="00F47137"/>
    <w:rsid w:val="00F51B6F"/>
    <w:rsid w:val="00F537A3"/>
    <w:rsid w:val="00F53CC2"/>
    <w:rsid w:val="00F551E5"/>
    <w:rsid w:val="00F559DB"/>
    <w:rsid w:val="00F57406"/>
    <w:rsid w:val="00F60239"/>
    <w:rsid w:val="00F608CD"/>
    <w:rsid w:val="00F6164D"/>
    <w:rsid w:val="00F61B46"/>
    <w:rsid w:val="00F62952"/>
    <w:rsid w:val="00F648BC"/>
    <w:rsid w:val="00F64FD1"/>
    <w:rsid w:val="00F65834"/>
    <w:rsid w:val="00F66746"/>
    <w:rsid w:val="00F66D12"/>
    <w:rsid w:val="00F67DB0"/>
    <w:rsid w:val="00F70139"/>
    <w:rsid w:val="00F70509"/>
    <w:rsid w:val="00F707AF"/>
    <w:rsid w:val="00F71070"/>
    <w:rsid w:val="00F7130D"/>
    <w:rsid w:val="00F72F9A"/>
    <w:rsid w:val="00F73F7C"/>
    <w:rsid w:val="00F74769"/>
    <w:rsid w:val="00F75B24"/>
    <w:rsid w:val="00F76347"/>
    <w:rsid w:val="00F7643C"/>
    <w:rsid w:val="00F775DD"/>
    <w:rsid w:val="00F77C2B"/>
    <w:rsid w:val="00F8009B"/>
    <w:rsid w:val="00F80E94"/>
    <w:rsid w:val="00F82A75"/>
    <w:rsid w:val="00F8384D"/>
    <w:rsid w:val="00F848A7"/>
    <w:rsid w:val="00F85463"/>
    <w:rsid w:val="00F86F94"/>
    <w:rsid w:val="00F87261"/>
    <w:rsid w:val="00F87329"/>
    <w:rsid w:val="00F87510"/>
    <w:rsid w:val="00F875E9"/>
    <w:rsid w:val="00F91E26"/>
    <w:rsid w:val="00F92516"/>
    <w:rsid w:val="00F939EA"/>
    <w:rsid w:val="00F950C3"/>
    <w:rsid w:val="00F950CA"/>
    <w:rsid w:val="00F959B2"/>
    <w:rsid w:val="00F960CC"/>
    <w:rsid w:val="00F97637"/>
    <w:rsid w:val="00F97750"/>
    <w:rsid w:val="00FA3ECC"/>
    <w:rsid w:val="00FA4535"/>
    <w:rsid w:val="00FA542F"/>
    <w:rsid w:val="00FA56B2"/>
    <w:rsid w:val="00FA6E2C"/>
    <w:rsid w:val="00FA6F70"/>
    <w:rsid w:val="00FB02F0"/>
    <w:rsid w:val="00FB0BCB"/>
    <w:rsid w:val="00FB1EFA"/>
    <w:rsid w:val="00FB42B9"/>
    <w:rsid w:val="00FB4B72"/>
    <w:rsid w:val="00FB58FB"/>
    <w:rsid w:val="00FB780D"/>
    <w:rsid w:val="00FB7C5F"/>
    <w:rsid w:val="00FB7D62"/>
    <w:rsid w:val="00FC0D3A"/>
    <w:rsid w:val="00FC37EA"/>
    <w:rsid w:val="00FC614B"/>
    <w:rsid w:val="00FC6EEC"/>
    <w:rsid w:val="00FC7DC2"/>
    <w:rsid w:val="00FD0D17"/>
    <w:rsid w:val="00FD24E7"/>
    <w:rsid w:val="00FD3078"/>
    <w:rsid w:val="00FD5D5C"/>
    <w:rsid w:val="00FD6033"/>
    <w:rsid w:val="00FE028B"/>
    <w:rsid w:val="00FE03DC"/>
    <w:rsid w:val="00FE056C"/>
    <w:rsid w:val="00FE1642"/>
    <w:rsid w:val="00FE3BDE"/>
    <w:rsid w:val="00FE4BCE"/>
    <w:rsid w:val="00FE53C4"/>
    <w:rsid w:val="00FE5CB7"/>
    <w:rsid w:val="00FF1604"/>
    <w:rsid w:val="00FF1B56"/>
    <w:rsid w:val="00FF1BA1"/>
    <w:rsid w:val="00FF32A4"/>
    <w:rsid w:val="00FF33B9"/>
    <w:rsid w:val="00FF37F0"/>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D9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A77877"/>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qFormat/>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qFormat/>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qFormat/>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qFormat/>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qFormat/>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qFormat/>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A List 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3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aliases w:val="Table 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qFormat/>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A List Paragraph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8B5A16"/>
  </w:style>
  <w:style w:type="character" w:customStyle="1" w:styleId="BodyTextChar">
    <w:name w:val="Body Text Char"/>
    <w:basedOn w:val="DefaultParagraphFont"/>
    <w:link w:val="BodyText"/>
    <w:uiPriority w:val="99"/>
    <w:rsid w:val="008B5A16"/>
    <w:rPr>
      <w:rFonts w:asciiTheme="minorHAnsi" w:hAnsiTheme="minorHAnsi"/>
      <w:lang w:val="en-GB"/>
    </w:rPr>
  </w:style>
  <w:style w:type="paragraph" w:customStyle="1" w:styleId="BulletLast">
    <w:name w:val="Bullet Last"/>
    <w:basedOn w:val="BodyText"/>
    <w:link w:val="BulletLastChar"/>
    <w:rsid w:val="00470C5B"/>
    <w:pPr>
      <w:numPr>
        <w:numId w:val="8"/>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6"/>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7"/>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qFormat/>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qFormat/>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aliases w:val="Table 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6Tabletextspacebefore">
    <w:name w:val="06 Table text space before"/>
    <w:qFormat/>
    <w:rsid w:val="00FE1642"/>
    <w:pPr>
      <w:spacing w:before="80" w:after="0" w:line="240" w:lineRule="auto"/>
      <w:ind w:left="57" w:right="57"/>
    </w:pPr>
    <w:rPr>
      <w:rFonts w:ascii="Arial Narrow" w:eastAsia="Calibri" w:hAnsi="Arial Narrow" w:cs="Times New Roman"/>
      <w:sz w:val="18"/>
      <w:szCs w:val="24"/>
      <w:lang w:eastAsia="en-US"/>
    </w:rPr>
  </w:style>
  <w:style w:type="paragraph" w:customStyle="1" w:styleId="05Tabletext">
    <w:name w:val="05 Table text"/>
    <w:next w:val="06Tabletextspacebefore"/>
    <w:qFormat/>
    <w:rsid w:val="00FE1642"/>
    <w:pPr>
      <w:spacing w:before="2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FE1642"/>
    <w:pPr>
      <w:keepNext/>
      <w:spacing w:before="60" w:after="0"/>
      <w:ind w:left="57" w:right="57"/>
    </w:pPr>
    <w:rPr>
      <w:rFonts w:ascii="Arial Narrow" w:eastAsia="Calibri" w:hAnsi="Arial Narrow" w:cs="Times New Roman"/>
      <w:b/>
      <w:sz w:val="18"/>
      <w:szCs w:val="24"/>
      <w:lang w:eastAsia="en-US"/>
    </w:rPr>
  </w:style>
  <w:style w:type="table" w:customStyle="1" w:styleId="TableGridLight1">
    <w:name w:val="Table Grid Light1"/>
    <w:basedOn w:val="TableNormal"/>
    <w:uiPriority w:val="40"/>
    <w:rsid w:val="002A7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0A43C2"/>
    <w:pPr>
      <w:spacing w:after="160" w:line="259" w:lineRule="auto"/>
    </w:pPr>
    <w:rPr>
      <w:rFonts w:ascii="Times New Roman" w:hAnsi="Times New Roman" w:cstheme="minorBidi"/>
      <w:sz w:val="22"/>
      <w:lang w:eastAsia="en-US"/>
    </w:rPr>
  </w:style>
  <w:style w:type="character" w:customStyle="1" w:styleId="Style1Char">
    <w:name w:val="Style1 Char"/>
    <w:basedOn w:val="DefaultParagraphFont"/>
    <w:link w:val="Style1"/>
    <w:rsid w:val="000A43C2"/>
    <w:rPr>
      <w:sz w:val="22"/>
      <w:lang w:eastAsia="en-US"/>
    </w:rPr>
  </w:style>
  <w:style w:type="paragraph" w:styleId="TableofFigures">
    <w:name w:val="table of figures"/>
    <w:basedOn w:val="Normal"/>
    <w:next w:val="Normal"/>
    <w:uiPriority w:val="99"/>
    <w:unhideWhenUsed/>
    <w:rsid w:val="00A75F73"/>
    <w:pPr>
      <w:spacing w:after="0"/>
    </w:pPr>
  </w:style>
  <w:style w:type="paragraph" w:customStyle="1" w:styleId="Heading4b">
    <w:name w:val="Heading 4b"/>
    <w:basedOn w:val="Heading4"/>
    <w:link w:val="Heading4bChar"/>
    <w:qFormat/>
    <w:rsid w:val="008F506E"/>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8F506E"/>
    <w:rPr>
      <w:rFonts w:asciiTheme="minorHAnsi" w:eastAsiaTheme="majorEastAsia" w:hAnsiTheme="minorHAnsi" w:cstheme="majorBidi"/>
      <w:b/>
      <w:bCs w:val="0"/>
      <w:i w:val="0"/>
      <w:iCs/>
      <w:color w:val="4F81BD" w:themeColor="accent1"/>
      <w:lang w:eastAsia="en-US"/>
    </w:rPr>
  </w:style>
  <w:style w:type="paragraph" w:customStyle="1" w:styleId="BulletLast0">
    <w:name w:val="BulletLast"/>
    <w:basedOn w:val="Normal"/>
    <w:qFormat/>
    <w:rsid w:val="009A1A5C"/>
    <w:pPr>
      <w:spacing w:after="240"/>
    </w:pPr>
    <w:rPr>
      <w:rFonts w:ascii="Calibri" w:eastAsia="Times New Roman" w:hAnsi="Calibri" w:cs="Times New Roman"/>
      <w:color w:val="000000"/>
      <w:sz w:val="22"/>
      <w:szCs w:val="20"/>
    </w:rPr>
  </w:style>
  <w:style w:type="paragraph" w:customStyle="1" w:styleId="Bullet">
    <w:name w:val="Bullet"/>
    <w:basedOn w:val="Normal"/>
    <w:qFormat/>
    <w:rsid w:val="009A1A5C"/>
    <w:pPr>
      <w:spacing w:after="120"/>
    </w:pPr>
    <w:rPr>
      <w:rFonts w:ascii="Calibri" w:eastAsia="Times New Roman" w:hAnsi="Calibri" w:cs="Times New Roman"/>
      <w:color w:val="000000"/>
      <w:sz w:val="22"/>
      <w:szCs w:val="20"/>
    </w:rPr>
  </w:style>
  <w:style w:type="table" w:styleId="TableGridLight">
    <w:name w:val="Grid Table Light"/>
    <w:basedOn w:val="TableNormal"/>
    <w:uiPriority w:val="40"/>
    <w:rsid w:val="003E3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riting">
    <w:name w:val="Table writing"/>
    <w:basedOn w:val="Normal"/>
    <w:link w:val="TablewritingChar"/>
    <w:qFormat/>
    <w:rsid w:val="003E3EB3"/>
    <w:pPr>
      <w:overflowPunct w:val="0"/>
      <w:autoSpaceDE w:val="0"/>
      <w:autoSpaceDN w:val="0"/>
      <w:adjustRightInd w:val="0"/>
      <w:spacing w:before="60" w:after="60"/>
      <w:contextualSpacing/>
      <w:textAlignment w:val="baseline"/>
    </w:pPr>
    <w:rPr>
      <w:rFonts w:eastAsia="Times New Roman" w:cs="Times New Roman"/>
      <w:sz w:val="20"/>
      <w:lang w:eastAsia="en-US"/>
    </w:rPr>
  </w:style>
  <w:style w:type="character" w:customStyle="1" w:styleId="TablewritingChar">
    <w:name w:val="Table writing Char"/>
    <w:link w:val="Tablewriting"/>
    <w:rsid w:val="003E3EB3"/>
    <w:rPr>
      <w:rFonts w:asciiTheme="minorHAnsi" w:eastAsia="Times New Roman" w:hAnsiTheme="minorHAnsi" w:cs="Times New Roman"/>
      <w:sz w:val="20"/>
      <w:lang w:eastAsia="en-US"/>
    </w:rPr>
  </w:style>
  <w:style w:type="character" w:customStyle="1" w:styleId="UnresolvedMention1">
    <w:name w:val="Unresolved Mention1"/>
    <w:basedOn w:val="DefaultParagraphFont"/>
    <w:uiPriority w:val="99"/>
    <w:unhideWhenUsed/>
    <w:rsid w:val="003E3EB3"/>
    <w:rPr>
      <w:color w:val="605E5C"/>
      <w:shd w:val="clear" w:color="auto" w:fill="E1DFDD"/>
    </w:rPr>
  </w:style>
  <w:style w:type="paragraph" w:customStyle="1" w:styleId="FigureCaption0">
    <w:name w:val="Figure Caption"/>
    <w:basedOn w:val="Normal"/>
    <w:link w:val="FigureCaptionChar0"/>
    <w:qFormat/>
    <w:rsid w:val="003E3EB3"/>
    <w:pPr>
      <w:spacing w:before="60" w:after="60"/>
    </w:pPr>
    <w:rPr>
      <w:rFonts w:ascii="Calibri" w:hAnsi="Calibri" w:cstheme="minorBidi"/>
      <w:b/>
      <w:bCs/>
      <w:noProof/>
    </w:rPr>
  </w:style>
  <w:style w:type="character" w:customStyle="1" w:styleId="FigureCaptionChar0">
    <w:name w:val="Figure Caption Char"/>
    <w:basedOn w:val="DefaultParagraphFont"/>
    <w:link w:val="FigureCaption0"/>
    <w:rsid w:val="003E3EB3"/>
    <w:rPr>
      <w:rFonts w:ascii="Calibri" w:hAnsi="Calibri"/>
      <w:b/>
      <w:bCs/>
      <w:noProof/>
    </w:rPr>
  </w:style>
  <w:style w:type="character" w:customStyle="1" w:styleId="Mention1">
    <w:name w:val="Mention1"/>
    <w:basedOn w:val="DefaultParagraphFont"/>
    <w:uiPriority w:val="99"/>
    <w:unhideWhenUsed/>
    <w:rsid w:val="003E3EB3"/>
    <w:rPr>
      <w:color w:val="2B579A"/>
      <w:shd w:val="clear" w:color="auto" w:fill="E1DFDD"/>
    </w:rPr>
  </w:style>
  <w:style w:type="character" w:customStyle="1" w:styleId="normaltextrun">
    <w:name w:val="normaltextrun"/>
    <w:basedOn w:val="DefaultParagraphFont"/>
    <w:rsid w:val="003E3EB3"/>
  </w:style>
  <w:style w:type="character" w:customStyle="1" w:styleId="eop">
    <w:name w:val="eop"/>
    <w:basedOn w:val="DefaultParagraphFont"/>
    <w:rsid w:val="003E3EB3"/>
  </w:style>
  <w:style w:type="paragraph" w:customStyle="1" w:styleId="FigureFooter">
    <w:name w:val="Figure Footer"/>
    <w:basedOn w:val="TableFooter"/>
    <w:qFormat/>
    <w:rsid w:val="003E3EB3"/>
    <w:pPr>
      <w:spacing w:before="60" w:after="60"/>
    </w:pPr>
    <w:rPr>
      <w:rFonts w:ascii="Calibri" w:eastAsiaTheme="minorHAnsi" w:hAnsi="Calibri" w:cstheme="minorBidi"/>
      <w:szCs w:val="22"/>
    </w:rPr>
  </w:style>
  <w:style w:type="character" w:customStyle="1" w:styleId="UnresolvedMention">
    <w:name w:val="Unresolved Mention"/>
    <w:basedOn w:val="DefaultParagraphFont"/>
    <w:uiPriority w:val="99"/>
    <w:unhideWhenUsed/>
    <w:rsid w:val="003E3EB3"/>
    <w:rPr>
      <w:color w:val="605E5C"/>
      <w:shd w:val="clear" w:color="auto" w:fill="E1DFDD"/>
    </w:rPr>
  </w:style>
  <w:style w:type="character" w:customStyle="1" w:styleId="Mention">
    <w:name w:val="Mention"/>
    <w:basedOn w:val="DefaultParagraphFont"/>
    <w:uiPriority w:val="99"/>
    <w:unhideWhenUsed/>
    <w:rsid w:val="003E3E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3363">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3632211">
      <w:bodyDiv w:val="1"/>
      <w:marLeft w:val="0"/>
      <w:marRight w:val="0"/>
      <w:marTop w:val="0"/>
      <w:marBottom w:val="0"/>
      <w:divBdr>
        <w:top w:val="none" w:sz="0" w:space="0" w:color="auto"/>
        <w:left w:val="none" w:sz="0" w:space="0" w:color="auto"/>
        <w:bottom w:val="none" w:sz="0" w:space="0" w:color="auto"/>
        <w:right w:val="none" w:sz="0" w:space="0" w:color="auto"/>
      </w:divBdr>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0300515">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285450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68657144">
      <w:bodyDiv w:val="1"/>
      <w:marLeft w:val="0"/>
      <w:marRight w:val="0"/>
      <w:marTop w:val="0"/>
      <w:marBottom w:val="0"/>
      <w:divBdr>
        <w:top w:val="none" w:sz="0" w:space="0" w:color="auto"/>
        <w:left w:val="none" w:sz="0" w:space="0" w:color="auto"/>
        <w:bottom w:val="none" w:sz="0" w:space="0" w:color="auto"/>
        <w:right w:val="none" w:sz="0" w:space="0" w:color="auto"/>
      </w:divBdr>
      <w:divsChild>
        <w:div w:id="311065579">
          <w:marLeft w:val="720"/>
          <w:marRight w:val="0"/>
          <w:marTop w:val="86"/>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48838618">
      <w:bodyDiv w:val="1"/>
      <w:marLeft w:val="0"/>
      <w:marRight w:val="0"/>
      <w:marTop w:val="0"/>
      <w:marBottom w:val="0"/>
      <w:divBdr>
        <w:top w:val="none" w:sz="0" w:space="0" w:color="auto"/>
        <w:left w:val="none" w:sz="0" w:space="0" w:color="auto"/>
        <w:bottom w:val="none" w:sz="0" w:space="0" w:color="auto"/>
        <w:right w:val="none" w:sz="0" w:space="0" w:color="auto"/>
      </w:divBdr>
    </w:div>
    <w:div w:id="1056512668">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88186426">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295983861">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443955526">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07241107">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53964929">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14638</Words>
  <Characters>83442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2021-05-25T05:22:00Z</dcterms:created>
  <dcterms:modified xsi:type="dcterms:W3CDTF">2021-05-25T05:31:00Z</dcterms:modified>
</cp:coreProperties>
</file>