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A858B" w14:textId="6FBC654B" w:rsidR="001C64F0" w:rsidRDefault="003F2AE7" w:rsidP="001C64F0">
      <w:pPr>
        <w:pStyle w:val="1MainTitle"/>
        <w:spacing w:before="0" w:after="120"/>
        <w:contextualSpacing w:val="0"/>
        <w:jc w:val="left"/>
      </w:pPr>
      <w:r>
        <w:t>9</w:t>
      </w:r>
      <w:r w:rsidR="70971A32" w:rsidRPr="00A6439B">
        <w:t>.</w:t>
      </w:r>
      <w:r>
        <w:t>0</w:t>
      </w:r>
      <w:r w:rsidR="00BF3F7B">
        <w:t>1</w:t>
      </w:r>
      <w:r w:rsidR="00872E8F" w:rsidRPr="00A6439B">
        <w:tab/>
      </w:r>
      <w:r w:rsidR="00B6636D">
        <w:t>SGLT2 inhibi</w:t>
      </w:r>
      <w:r w:rsidR="007D1B1C">
        <w:t xml:space="preserve">tors for the treatment of </w:t>
      </w:r>
      <w:r w:rsidR="00491D4F">
        <w:t>type 2 diabetes</w:t>
      </w:r>
    </w:p>
    <w:p w14:paraId="6718C8F6" w14:textId="7EDF9600" w:rsidR="005A3035" w:rsidRPr="001C64F0" w:rsidRDefault="00A37561" w:rsidP="001C64F0">
      <w:pPr>
        <w:ind w:left="720"/>
        <w:jc w:val="left"/>
        <w:rPr>
          <w:b/>
          <w:bCs/>
          <w:sz w:val="36"/>
          <w:szCs w:val="36"/>
        </w:rPr>
      </w:pPr>
      <w:r w:rsidRPr="001C64F0">
        <w:rPr>
          <w:b/>
          <w:bCs/>
          <w:sz w:val="36"/>
          <w:szCs w:val="36"/>
        </w:rPr>
        <w:t>DAPAGLIFLOZIN</w:t>
      </w:r>
      <w:r w:rsidRPr="001C64F0">
        <w:rPr>
          <w:b/>
          <w:bCs/>
          <w:sz w:val="36"/>
          <w:szCs w:val="36"/>
        </w:rPr>
        <w:br/>
      </w:r>
      <w:r w:rsidR="007A0BBF" w:rsidRPr="001C64F0">
        <w:rPr>
          <w:b/>
          <w:bCs/>
          <w:sz w:val="36"/>
          <w:szCs w:val="36"/>
        </w:rPr>
        <w:t>DAPAGLIFLOZIN WITH METFORMIN</w:t>
      </w:r>
    </w:p>
    <w:p w14:paraId="3E5D3F14" w14:textId="77777777" w:rsidR="00287AC7" w:rsidRDefault="00A37561" w:rsidP="001C64F0">
      <w:pPr>
        <w:spacing w:after="120"/>
        <w:ind w:left="720"/>
        <w:jc w:val="left"/>
        <w:rPr>
          <w:b/>
          <w:bCs/>
          <w:sz w:val="36"/>
          <w:szCs w:val="36"/>
        </w:rPr>
      </w:pPr>
      <w:proofErr w:type="spellStart"/>
      <w:r w:rsidRPr="001C64F0">
        <w:rPr>
          <w:b/>
          <w:bCs/>
          <w:sz w:val="36"/>
          <w:szCs w:val="36"/>
        </w:rPr>
        <w:t>Forxiga</w:t>
      </w:r>
      <w:proofErr w:type="spellEnd"/>
      <w:r w:rsidRPr="001C64F0">
        <w:rPr>
          <w:b/>
          <w:bCs/>
          <w:sz w:val="36"/>
          <w:szCs w:val="36"/>
        </w:rPr>
        <w:t>®</w:t>
      </w:r>
      <w:r w:rsidR="007A0BBF" w:rsidRPr="001C64F0">
        <w:rPr>
          <w:b/>
          <w:bCs/>
          <w:sz w:val="36"/>
          <w:szCs w:val="36"/>
        </w:rPr>
        <w:t xml:space="preserve">, </w:t>
      </w:r>
      <w:proofErr w:type="spellStart"/>
      <w:r w:rsidR="007A0BBF" w:rsidRPr="001C64F0">
        <w:rPr>
          <w:b/>
          <w:bCs/>
          <w:sz w:val="36"/>
          <w:szCs w:val="36"/>
        </w:rPr>
        <w:t>Xigduo</w:t>
      </w:r>
      <w:proofErr w:type="spellEnd"/>
      <w:r w:rsidR="007A0BBF" w:rsidRPr="001C64F0">
        <w:rPr>
          <w:b/>
          <w:bCs/>
          <w:sz w:val="36"/>
          <w:szCs w:val="36"/>
        </w:rPr>
        <w:t xml:space="preserve"> XR</w:t>
      </w:r>
      <w:r w:rsidR="00163118" w:rsidRPr="001C64F0">
        <w:rPr>
          <w:b/>
          <w:bCs/>
          <w:sz w:val="36"/>
          <w:szCs w:val="36"/>
        </w:rPr>
        <w:t>®</w:t>
      </w:r>
    </w:p>
    <w:p w14:paraId="7E84C4BD" w14:textId="2CF1B64F" w:rsidR="00A37561" w:rsidRPr="001C64F0" w:rsidRDefault="00287AC7" w:rsidP="001C64F0">
      <w:pPr>
        <w:spacing w:after="120"/>
        <w:ind w:left="720"/>
        <w:jc w:val="left"/>
        <w:rPr>
          <w:b/>
          <w:bCs/>
          <w:sz w:val="36"/>
          <w:szCs w:val="36"/>
        </w:rPr>
      </w:pPr>
      <w:r>
        <w:rPr>
          <w:b/>
          <w:bCs/>
          <w:sz w:val="36"/>
          <w:szCs w:val="36"/>
        </w:rPr>
        <w:t>AS</w:t>
      </w:r>
      <w:r w:rsidR="00A37561" w:rsidRPr="001C64F0">
        <w:rPr>
          <w:b/>
          <w:bCs/>
          <w:sz w:val="36"/>
          <w:szCs w:val="36"/>
        </w:rPr>
        <w:t>TRAZENECA PTY LTD</w:t>
      </w:r>
    </w:p>
    <w:p w14:paraId="68247FF9" w14:textId="77777777" w:rsidR="00A37561" w:rsidRPr="001C64F0" w:rsidRDefault="00A37561" w:rsidP="00A37561">
      <w:pPr>
        <w:ind w:firstLine="720"/>
        <w:rPr>
          <w:b/>
          <w:bCs/>
          <w:sz w:val="36"/>
          <w:szCs w:val="36"/>
        </w:rPr>
      </w:pPr>
      <w:r w:rsidRPr="001C64F0">
        <w:rPr>
          <w:b/>
          <w:bCs/>
          <w:sz w:val="36"/>
          <w:szCs w:val="36"/>
        </w:rPr>
        <w:t>EMPAGLIFLOZIN</w:t>
      </w:r>
    </w:p>
    <w:p w14:paraId="4BD721BF" w14:textId="77777777" w:rsidR="00A37561" w:rsidRDefault="00A37561" w:rsidP="00A37561">
      <w:pPr>
        <w:ind w:firstLine="720"/>
        <w:rPr>
          <w:b/>
          <w:bCs/>
          <w:sz w:val="36"/>
          <w:szCs w:val="36"/>
        </w:rPr>
      </w:pPr>
      <w:r w:rsidRPr="00A37561">
        <w:rPr>
          <w:b/>
          <w:bCs/>
          <w:sz w:val="36"/>
          <w:szCs w:val="36"/>
        </w:rPr>
        <w:t>EMPAGLIFLOZIN WITH METFORMIN</w:t>
      </w:r>
    </w:p>
    <w:p w14:paraId="4114740C" w14:textId="1397E88A" w:rsidR="001C64F0" w:rsidRDefault="00D728A1" w:rsidP="001C64F0">
      <w:pPr>
        <w:ind w:firstLine="720"/>
        <w:jc w:val="left"/>
        <w:rPr>
          <w:b/>
          <w:bCs/>
          <w:sz w:val="36"/>
          <w:szCs w:val="36"/>
        </w:rPr>
      </w:pPr>
      <w:r w:rsidRPr="00A37561">
        <w:rPr>
          <w:b/>
          <w:bCs/>
          <w:sz w:val="36"/>
          <w:szCs w:val="36"/>
        </w:rPr>
        <w:t>Jardiance®</w:t>
      </w:r>
      <w:r w:rsidR="003B309E" w:rsidRPr="00A37561">
        <w:rPr>
          <w:b/>
          <w:bCs/>
          <w:sz w:val="36"/>
          <w:szCs w:val="36"/>
        </w:rPr>
        <w:t>,</w:t>
      </w:r>
      <w:r w:rsidR="00A37561">
        <w:rPr>
          <w:b/>
          <w:bCs/>
          <w:sz w:val="36"/>
          <w:szCs w:val="36"/>
        </w:rPr>
        <w:t xml:space="preserve"> </w:t>
      </w:r>
      <w:proofErr w:type="spellStart"/>
      <w:r w:rsidR="003B309E" w:rsidRPr="00A37561">
        <w:rPr>
          <w:b/>
          <w:bCs/>
          <w:sz w:val="36"/>
          <w:szCs w:val="36"/>
        </w:rPr>
        <w:t>Jardiamet</w:t>
      </w:r>
      <w:proofErr w:type="spellEnd"/>
      <w:r w:rsidR="003B309E" w:rsidRPr="00163118">
        <w:rPr>
          <w:rFonts w:asciiTheme="minorHAnsi" w:hAnsiTheme="minorHAnsi" w:cstheme="minorHAnsi"/>
          <w:b/>
          <w:bCs/>
          <w:sz w:val="36"/>
          <w:szCs w:val="36"/>
        </w:rPr>
        <w:t>®</w:t>
      </w:r>
    </w:p>
    <w:p w14:paraId="181DB627" w14:textId="406A1781" w:rsidR="00872E8F" w:rsidRPr="00A37561" w:rsidRDefault="007A0BBF" w:rsidP="001C64F0">
      <w:pPr>
        <w:ind w:firstLine="720"/>
        <w:jc w:val="left"/>
        <w:rPr>
          <w:b/>
          <w:bCs/>
          <w:sz w:val="36"/>
          <w:szCs w:val="36"/>
        </w:rPr>
      </w:pPr>
      <w:r>
        <w:rPr>
          <w:b/>
          <w:bCs/>
          <w:sz w:val="36"/>
          <w:szCs w:val="36"/>
        </w:rPr>
        <w:t xml:space="preserve">BOEHRINGER INGELHEIM PTY LTD </w:t>
      </w:r>
    </w:p>
    <w:p w14:paraId="5F4D54C1" w14:textId="39F62316" w:rsidR="00E11F44" w:rsidRPr="00A6439B" w:rsidRDefault="007E490F" w:rsidP="002F4D85">
      <w:pPr>
        <w:pStyle w:val="2-SectionHeading"/>
        <w:jc w:val="both"/>
        <w:rPr>
          <w:rFonts w:cstheme="minorHAnsi"/>
          <w:color w:val="FF0000"/>
        </w:rPr>
      </w:pPr>
      <w:r w:rsidRPr="00A6439B">
        <w:t xml:space="preserve">Purpose of </w:t>
      </w:r>
      <w:r w:rsidR="005A3CC9">
        <w:t>Item</w:t>
      </w:r>
      <w:r w:rsidRPr="00A6439B">
        <w:t xml:space="preserve"> </w:t>
      </w:r>
    </w:p>
    <w:p w14:paraId="5D5943E8" w14:textId="2242A7D1" w:rsidR="00410A2C" w:rsidRDefault="006C6C10" w:rsidP="008F1FB2">
      <w:pPr>
        <w:pStyle w:val="3Bodytext"/>
        <w:numPr>
          <w:ilvl w:val="0"/>
          <w:numId w:val="0"/>
        </w:numPr>
      </w:pPr>
      <w:r w:rsidRPr="00A6439B">
        <w:t>Th</w:t>
      </w:r>
      <w:r w:rsidR="00825536">
        <w:t>at the</w:t>
      </w:r>
      <w:r w:rsidRPr="00A6439B">
        <w:t xml:space="preserve"> </w:t>
      </w:r>
      <w:r w:rsidR="000A1A98">
        <w:t>PBAC</w:t>
      </w:r>
      <w:r w:rsidR="00410A2C">
        <w:t>:</w:t>
      </w:r>
    </w:p>
    <w:p w14:paraId="020CF5C0" w14:textId="0F1F008E" w:rsidR="00825536" w:rsidRDefault="00E86AA8" w:rsidP="008F1FB2">
      <w:pPr>
        <w:pStyle w:val="3Bodytext"/>
      </w:pPr>
      <w:r w:rsidRPr="00825536">
        <w:rPr>
          <w:b/>
          <w:bCs/>
        </w:rPr>
        <w:t>Provide advice</w:t>
      </w:r>
      <w:r>
        <w:t xml:space="preserve"> on </w:t>
      </w:r>
      <w:r w:rsidR="00E73A57">
        <w:t xml:space="preserve">the </w:t>
      </w:r>
      <w:r w:rsidR="007D3E17">
        <w:t xml:space="preserve">updated assumptions and inputs underpinning the </w:t>
      </w:r>
      <w:r w:rsidR="00E73A57">
        <w:t xml:space="preserve">revised </w:t>
      </w:r>
      <w:r w:rsidR="0018315F">
        <w:t xml:space="preserve">financial impact to the </w:t>
      </w:r>
      <w:r w:rsidR="001977D1">
        <w:t>Repatriation/Pharmaceutical Benefits Scheme (</w:t>
      </w:r>
      <w:r w:rsidR="0018315F">
        <w:t>R</w:t>
      </w:r>
      <w:r w:rsidR="00EE4A44">
        <w:t>/PBS</w:t>
      </w:r>
      <w:r w:rsidR="001977D1">
        <w:t>)</w:t>
      </w:r>
      <w:r w:rsidR="00EE4A44">
        <w:t xml:space="preserve"> </w:t>
      </w:r>
      <w:r w:rsidR="00410A2C">
        <w:t xml:space="preserve">associated with expanding the </w:t>
      </w:r>
      <w:r w:rsidR="00304D56">
        <w:t xml:space="preserve">listings for </w:t>
      </w:r>
      <w:r w:rsidR="00491D4F">
        <w:t>sodium-glucose cotransporter 2 (</w:t>
      </w:r>
      <w:r w:rsidR="00304D56">
        <w:t>SGLT2</w:t>
      </w:r>
      <w:r w:rsidR="00491D4F">
        <w:t>)</w:t>
      </w:r>
      <w:r w:rsidR="00304D56">
        <w:t xml:space="preserve"> inhibitors (dapagliflozin and empagliflozin, including combinations</w:t>
      </w:r>
      <w:r w:rsidR="00733B39">
        <w:t xml:space="preserve"> with metformin</w:t>
      </w:r>
      <w:r w:rsidR="00304D56">
        <w:t>)</w:t>
      </w:r>
      <w:r w:rsidR="00164139">
        <w:t xml:space="preserve"> </w:t>
      </w:r>
      <w:r w:rsidR="00673CE3">
        <w:t xml:space="preserve">in line with the March 2022 PBAC recommendation </w:t>
      </w:r>
      <w:r w:rsidR="00164139">
        <w:t xml:space="preserve">to include </w:t>
      </w:r>
      <w:r w:rsidR="00374E87">
        <w:t xml:space="preserve">treatment of </w:t>
      </w:r>
      <w:r w:rsidR="00164139">
        <w:t xml:space="preserve">patients with </w:t>
      </w:r>
      <w:r w:rsidR="00491D4F">
        <w:t>type 2 diabetes mellitus (</w:t>
      </w:r>
      <w:r w:rsidR="00164139">
        <w:t>T2DM</w:t>
      </w:r>
      <w:r w:rsidR="00491D4F">
        <w:t>)</w:t>
      </w:r>
      <w:r w:rsidR="00164139">
        <w:t xml:space="preserve"> </w:t>
      </w:r>
      <w:r w:rsidR="00556F3B">
        <w:t xml:space="preserve">and established </w:t>
      </w:r>
      <w:r w:rsidR="003B5F09">
        <w:t>cardiovascular disease (</w:t>
      </w:r>
      <w:r w:rsidR="00556F3B">
        <w:t>CVD</w:t>
      </w:r>
      <w:r w:rsidR="003B5F09">
        <w:t>)</w:t>
      </w:r>
      <w:r w:rsidR="00556F3B">
        <w:t xml:space="preserve"> or high </w:t>
      </w:r>
      <w:r w:rsidR="009E6317">
        <w:t>cardiovascular (</w:t>
      </w:r>
      <w:r w:rsidR="00556F3B">
        <w:t>CV</w:t>
      </w:r>
      <w:r w:rsidR="009E6317">
        <w:t>)</w:t>
      </w:r>
      <w:r w:rsidR="00556F3B">
        <w:t xml:space="preserve"> risk</w:t>
      </w:r>
      <w:r w:rsidR="00EF345D">
        <w:t>, as add-on therapy to metformin, without a glycaemic requirement</w:t>
      </w:r>
      <w:r w:rsidR="00E03B7B">
        <w:t>.</w:t>
      </w:r>
    </w:p>
    <w:p w14:paraId="7817CEE9" w14:textId="664C2293" w:rsidR="00A021D9" w:rsidRPr="00A021D9" w:rsidRDefault="004F1A61" w:rsidP="008F1FB2">
      <w:pPr>
        <w:pStyle w:val="3Bodytext"/>
      </w:pPr>
      <w:r>
        <w:rPr>
          <w:b/>
          <w:bCs/>
        </w:rPr>
        <w:t>P</w:t>
      </w:r>
      <w:r w:rsidR="00A021D9" w:rsidRPr="00A021D9">
        <w:rPr>
          <w:b/>
          <w:bCs/>
        </w:rPr>
        <w:t xml:space="preserve">rovide advice </w:t>
      </w:r>
      <w:r w:rsidR="00A021D9" w:rsidRPr="00A021D9">
        <w:t xml:space="preserve">on the </w:t>
      </w:r>
      <w:r>
        <w:t xml:space="preserve">proposed </w:t>
      </w:r>
      <w:r w:rsidR="00A021D9" w:rsidRPr="00A021D9">
        <w:t>restrictions for expanded access to SGLT2 inhibitors</w:t>
      </w:r>
      <w:r w:rsidR="00A85991">
        <w:t xml:space="preserve"> </w:t>
      </w:r>
      <w:r w:rsidR="00D720D7">
        <w:t>recommended by the PBAC in</w:t>
      </w:r>
      <w:r w:rsidR="00A85991">
        <w:t xml:space="preserve"> March 2022</w:t>
      </w:r>
      <w:r w:rsidR="00A021D9" w:rsidRPr="00A021D9">
        <w:t xml:space="preserve">, which have been updated to reflect the restriction changes to T2DM medicines </w:t>
      </w:r>
      <w:r w:rsidR="00A85991">
        <w:t>implemented on 1 June 2024</w:t>
      </w:r>
      <w:r w:rsidR="00A021D9" w:rsidRPr="00A021D9">
        <w:t>.</w:t>
      </w:r>
    </w:p>
    <w:p w14:paraId="57F5E782" w14:textId="23FC9BEA" w:rsidR="00B2758B" w:rsidRPr="002F4D85" w:rsidRDefault="009C3427" w:rsidP="002F4D85">
      <w:pPr>
        <w:ind w:left="720" w:hanging="720"/>
        <w:rPr>
          <w:sz w:val="22"/>
          <w:szCs w:val="22"/>
        </w:rPr>
      </w:pPr>
      <w:r w:rsidRPr="009C3427">
        <w:rPr>
          <w:rFonts w:cstheme="minorHAnsi"/>
        </w:rPr>
        <w:t>1.3</w:t>
      </w:r>
      <w:r w:rsidRPr="009C3427">
        <w:rPr>
          <w:rFonts w:cstheme="minorHAnsi"/>
          <w:b/>
          <w:bCs/>
        </w:rPr>
        <w:tab/>
      </w:r>
      <w:r w:rsidRPr="009C3427">
        <w:rPr>
          <w:b/>
          <w:bCs/>
        </w:rPr>
        <w:t>Consider</w:t>
      </w:r>
      <w:r w:rsidRPr="009C3427">
        <w:t xml:space="preserve"> the expanded PBS listings for SGLT2 inhibitors (dapagliflozin and</w:t>
      </w:r>
      <w:r>
        <w:t xml:space="preserve"> empagliflozin, including combinations with metformin) for patients with T2DM and established CVD or high CV risk for suitability for inclusion in the increased maximum dispensed quantity </w:t>
      </w:r>
      <w:r w:rsidR="0072642F">
        <w:t xml:space="preserve">(MDQ) </w:t>
      </w:r>
      <w:r>
        <w:t>measure</w:t>
      </w:r>
      <w:r w:rsidR="003E79F3">
        <w:t>.</w:t>
      </w:r>
    </w:p>
    <w:p w14:paraId="3D1D4320" w14:textId="77777777" w:rsidR="007E490F" w:rsidRPr="00A6439B" w:rsidRDefault="007E490F" w:rsidP="002F4D85">
      <w:pPr>
        <w:pStyle w:val="2-SectionHeading"/>
        <w:jc w:val="both"/>
      </w:pPr>
      <w:r w:rsidRPr="00A6439B">
        <w:t xml:space="preserve">Background </w:t>
      </w:r>
    </w:p>
    <w:p w14:paraId="193981E9" w14:textId="7B356EA3" w:rsidR="00B0560B" w:rsidRDefault="00B0560B" w:rsidP="008F1FB2">
      <w:pPr>
        <w:pStyle w:val="3Bodytext"/>
      </w:pPr>
      <w:r>
        <w:t xml:space="preserve">In September 2019, </w:t>
      </w:r>
      <w:r w:rsidR="00C85D56">
        <w:t>a stakeholder wrote</w:t>
      </w:r>
      <w:r>
        <w:t xml:space="preserve"> to the</w:t>
      </w:r>
      <w:r w:rsidRPr="00996D59">
        <w:t xml:space="preserve"> PBAC requesting broader listings for </w:t>
      </w:r>
      <w:r w:rsidR="009E6317">
        <w:t>glucagon-like peptide-1</w:t>
      </w:r>
      <w:r w:rsidR="00163118">
        <w:t xml:space="preserve"> </w:t>
      </w:r>
      <w:r w:rsidR="00A96680">
        <w:t xml:space="preserve">receptor antagonists </w:t>
      </w:r>
      <w:r w:rsidR="009E6317">
        <w:t>(</w:t>
      </w:r>
      <w:r w:rsidRPr="00996D59">
        <w:t>GLP</w:t>
      </w:r>
      <w:r w:rsidR="00A96680">
        <w:noBreakHyphen/>
      </w:r>
      <w:r w:rsidRPr="00996D59">
        <w:t>1</w:t>
      </w:r>
      <w:r w:rsidR="00A96680">
        <w:t> RAs</w:t>
      </w:r>
      <w:r w:rsidR="009E6317">
        <w:t>)</w:t>
      </w:r>
      <w:r w:rsidRPr="00996D59">
        <w:t xml:space="preserve"> </w:t>
      </w:r>
      <w:r>
        <w:t>and SGLT2 inhibito</w:t>
      </w:r>
      <w:r w:rsidRPr="00996D59">
        <w:t>rs on the PBS</w:t>
      </w:r>
      <w:r>
        <w:t>. The stakeholder considered that PBS reimbursement should support the use of these medicines in people with T2DM with CVD, or with multiple CV risk factors, and HbA1c &gt;6.5%, based on the results of several CV outcome trials.</w:t>
      </w:r>
    </w:p>
    <w:p w14:paraId="33C2C319" w14:textId="66DF215F" w:rsidR="007E490F" w:rsidRPr="0078453B" w:rsidRDefault="007E490F" w:rsidP="00B25B89">
      <w:pPr>
        <w:pStyle w:val="4-SubsectionHeading"/>
      </w:pPr>
      <w:r w:rsidRPr="0078453B">
        <w:lastRenderedPageBreak/>
        <w:t>Registration status</w:t>
      </w:r>
    </w:p>
    <w:p w14:paraId="7E01E2E7" w14:textId="40BDE4F6" w:rsidR="003A5881" w:rsidRDefault="00161047" w:rsidP="008F1FB2">
      <w:pPr>
        <w:pStyle w:val="3Bodytext"/>
      </w:pPr>
      <w:r w:rsidRPr="00161047">
        <w:t>Dapagliflozin</w:t>
      </w:r>
      <w:r w:rsidR="009C7A7D">
        <w:rPr>
          <w:color w:val="FF0000"/>
        </w:rPr>
        <w:t xml:space="preserve"> </w:t>
      </w:r>
      <w:r w:rsidR="009C7A7D" w:rsidRPr="009C7A7D">
        <w:t>(</w:t>
      </w:r>
      <w:proofErr w:type="spellStart"/>
      <w:r w:rsidR="009C7A7D" w:rsidRPr="009C7A7D">
        <w:t>Forxiga</w:t>
      </w:r>
      <w:proofErr w:type="spellEnd"/>
      <w:r w:rsidR="009C7A7D" w:rsidRPr="009C7A7D">
        <w:t>®</w:t>
      </w:r>
      <w:r w:rsidR="00A96680">
        <w:t>)</w:t>
      </w:r>
      <w:r w:rsidRPr="009C7A7D">
        <w:t xml:space="preserve"> </w:t>
      </w:r>
      <w:r w:rsidR="007E490F" w:rsidRPr="009C7A7D">
        <w:t xml:space="preserve">was </w:t>
      </w:r>
      <w:r w:rsidR="007E490F" w:rsidRPr="00A6439B">
        <w:t xml:space="preserve">TGA registered on </w:t>
      </w:r>
      <w:r w:rsidR="00996931" w:rsidRPr="00996931">
        <w:t>22 October 2012</w:t>
      </w:r>
      <w:r w:rsidR="007E490F" w:rsidRPr="00996931">
        <w:t xml:space="preserve"> </w:t>
      </w:r>
      <w:r w:rsidR="00656477">
        <w:t xml:space="preserve">and is indicated </w:t>
      </w:r>
      <w:r w:rsidR="007E490F" w:rsidRPr="00996931">
        <w:t>for</w:t>
      </w:r>
      <w:r w:rsidR="007E490F" w:rsidRPr="00996931" w:rsidDel="009A61CA">
        <w:t xml:space="preserve"> </w:t>
      </w:r>
      <w:r w:rsidR="00A545BC">
        <w:t>glycaemic control in adults with T2DM</w:t>
      </w:r>
      <w:r w:rsidR="003A5881">
        <w:t xml:space="preserve">: </w:t>
      </w:r>
    </w:p>
    <w:p w14:paraId="616D0F01" w14:textId="500597A5" w:rsidR="002F4D85" w:rsidRDefault="003A5881" w:rsidP="001C64F0">
      <w:pPr>
        <w:pStyle w:val="3Bodytext"/>
        <w:numPr>
          <w:ilvl w:val="0"/>
          <w:numId w:val="6"/>
        </w:numPr>
      </w:pPr>
      <w:r>
        <w:t>as monotherapy as an adjunct to diet and exercise in patients for whom metformin is otherwise indicated but was not tolerated</w:t>
      </w:r>
    </w:p>
    <w:p w14:paraId="5DEEBFDC" w14:textId="01978377" w:rsidR="002F4D85" w:rsidRDefault="003A5881" w:rsidP="001C64F0">
      <w:pPr>
        <w:pStyle w:val="3Bodytext"/>
        <w:numPr>
          <w:ilvl w:val="0"/>
          <w:numId w:val="6"/>
        </w:numPr>
      </w:pPr>
      <w:r>
        <w:t>as initial combination therapy with metformin, as an adjunct to diet and exercise, to improve glycaemic control when diet and exercise have failed to provide adequate glycaemic control and there are poor prospects for response to metformin monotherapy (for example, high initial HbA1c levels)</w:t>
      </w:r>
    </w:p>
    <w:p w14:paraId="1BD87860" w14:textId="734FF81F" w:rsidR="005B1457" w:rsidRDefault="003A5881" w:rsidP="001C64F0">
      <w:pPr>
        <w:pStyle w:val="3Bodytext"/>
        <w:numPr>
          <w:ilvl w:val="0"/>
          <w:numId w:val="6"/>
        </w:numPr>
      </w:pPr>
      <w:r>
        <w:t>in combination with other anti-hyperglycaemic agents to improve glycaemic control, when these together with diet and exercise, do not provide adequate glycaemic control</w:t>
      </w:r>
      <w:r w:rsidR="004904E3">
        <w:t>.</w:t>
      </w:r>
    </w:p>
    <w:p w14:paraId="373B1B70" w14:textId="6B8C1DCC" w:rsidR="00FA6ED7" w:rsidRPr="001B6E3D" w:rsidRDefault="005B1457" w:rsidP="008F1FB2">
      <w:pPr>
        <w:pStyle w:val="3Bodytext"/>
      </w:pPr>
      <w:r>
        <w:t>Dapagl</w:t>
      </w:r>
      <w:r w:rsidR="00367480">
        <w:t xml:space="preserve">iflozin is also TGA-indicated for prevention of hospitalisation for heart failure in </w:t>
      </w:r>
      <w:r w:rsidR="002615C6">
        <w:t xml:space="preserve">adults </w:t>
      </w:r>
      <w:r w:rsidR="00367480">
        <w:t xml:space="preserve">with T2DM </w:t>
      </w:r>
      <w:r w:rsidR="002615C6">
        <w:t>and established CVD or risk factors for CVD</w:t>
      </w:r>
      <w:r w:rsidR="00125B77">
        <w:t xml:space="preserve">, and for the treatment of heart failure and </w:t>
      </w:r>
      <w:r w:rsidR="009E6317">
        <w:t>chronic kidney disease (</w:t>
      </w:r>
      <w:r w:rsidR="00125B77">
        <w:t>CKD</w:t>
      </w:r>
      <w:r w:rsidR="009E6317">
        <w:t>)</w:t>
      </w:r>
      <w:r w:rsidR="00125B77">
        <w:t>.</w:t>
      </w:r>
    </w:p>
    <w:p w14:paraId="64A6710F" w14:textId="1E235FF1" w:rsidR="00F328B5" w:rsidRDefault="00656477" w:rsidP="008F1FB2">
      <w:pPr>
        <w:pStyle w:val="3Bodytext"/>
      </w:pPr>
      <w:r>
        <w:t xml:space="preserve">Empagliflozin (Jardiance®) was TGA registered on </w:t>
      </w:r>
      <w:r w:rsidR="0083287E">
        <w:t xml:space="preserve">30 April 2014 </w:t>
      </w:r>
      <w:r w:rsidR="00F328B5">
        <w:t xml:space="preserve">and is indicated </w:t>
      </w:r>
      <w:r w:rsidR="00F328B5" w:rsidRPr="00996931">
        <w:t>for</w:t>
      </w:r>
      <w:r w:rsidR="00F328B5" w:rsidRPr="00996931" w:rsidDel="009A61CA">
        <w:t xml:space="preserve"> </w:t>
      </w:r>
      <w:r w:rsidR="00F328B5">
        <w:t>glycaemic control in adults with T2DM</w:t>
      </w:r>
      <w:r w:rsidR="00231CDE">
        <w:t xml:space="preserve"> as</w:t>
      </w:r>
      <w:r w:rsidR="00F328B5">
        <w:t xml:space="preserve">: </w:t>
      </w:r>
    </w:p>
    <w:p w14:paraId="2DBCB3C6" w14:textId="77777777" w:rsidR="002F4D85" w:rsidRDefault="00231CDE" w:rsidP="001C64F0">
      <w:pPr>
        <w:pStyle w:val="3Bodytext"/>
        <w:numPr>
          <w:ilvl w:val="0"/>
          <w:numId w:val="6"/>
        </w:numPr>
      </w:pPr>
      <w:r>
        <w:t>Monotherapy: When diet and exercise alone do not provide adequate glycaemic control in patients for whom use of metformin is considered inappropriate due to intolerance.</w:t>
      </w:r>
    </w:p>
    <w:p w14:paraId="42A58EF2" w14:textId="40A24EFA" w:rsidR="00231CDE" w:rsidRDefault="00231CDE" w:rsidP="001C64F0">
      <w:pPr>
        <w:pStyle w:val="3Bodytext"/>
        <w:numPr>
          <w:ilvl w:val="0"/>
          <w:numId w:val="6"/>
        </w:numPr>
      </w:pPr>
      <w:r>
        <w:t>Add-on combination therapy: In combination with other glucose-lowering medicinal products including insulin, when these, together with diet and exercise, do not provide adequate glycaemic control.</w:t>
      </w:r>
    </w:p>
    <w:p w14:paraId="6B2CE177" w14:textId="7FBB974A" w:rsidR="00E60BE5" w:rsidRPr="00A6439B" w:rsidRDefault="00C618E9" w:rsidP="008F1FB2">
      <w:pPr>
        <w:pStyle w:val="3Bodytext"/>
      </w:pPr>
      <w:r>
        <w:t xml:space="preserve">Empagliflozin is also </w:t>
      </w:r>
      <w:r w:rsidR="00E60BE5">
        <w:t>TGA-</w:t>
      </w:r>
      <w:r>
        <w:t>indicated for the prevention o</w:t>
      </w:r>
      <w:r w:rsidR="0081026E">
        <w:t>f CV death in patients with T2DM and established CVD</w:t>
      </w:r>
      <w:r w:rsidR="0083287E">
        <w:t xml:space="preserve">, and </w:t>
      </w:r>
      <w:r w:rsidR="00E60BE5">
        <w:t>for the treatment of heart failure and CKD.</w:t>
      </w:r>
    </w:p>
    <w:p w14:paraId="016A2C85" w14:textId="14A7A137" w:rsidR="00E200BC" w:rsidRDefault="00E200BC" w:rsidP="00B25B89">
      <w:pPr>
        <w:pStyle w:val="4-SubsectionHeading"/>
      </w:pPr>
      <w:r>
        <w:t>Current PBS listings</w:t>
      </w:r>
    </w:p>
    <w:p w14:paraId="6CBB8506" w14:textId="0C205D3A" w:rsidR="008C23D1" w:rsidRDefault="00ED2CD3" w:rsidP="008F1FB2">
      <w:pPr>
        <w:pStyle w:val="3Bodytext"/>
      </w:pPr>
      <w:r>
        <w:t>A</w:t>
      </w:r>
      <w:r w:rsidR="00B03F9D">
        <w:t>t</w:t>
      </w:r>
      <w:r>
        <w:t xml:space="preserve"> </w:t>
      </w:r>
      <w:r w:rsidR="008C23D1">
        <w:t>1 June 2024, d</w:t>
      </w:r>
      <w:r w:rsidR="00E200BC" w:rsidRPr="00995485">
        <w:t xml:space="preserve">apagliflozin and empagliflozin </w:t>
      </w:r>
      <w:r w:rsidR="008C23D1">
        <w:t xml:space="preserve">were </w:t>
      </w:r>
      <w:r w:rsidR="00E200BC" w:rsidRPr="00995485">
        <w:t xml:space="preserve">listed on the PBS </w:t>
      </w:r>
      <w:r w:rsidR="00E200BC">
        <w:t>as</w:t>
      </w:r>
      <w:r w:rsidR="00E200BC" w:rsidRPr="00995485">
        <w:t xml:space="preserve"> Authority Required </w:t>
      </w:r>
      <w:r w:rsidR="00E200BC">
        <w:t xml:space="preserve">(STREAMLINED) </w:t>
      </w:r>
      <w:r w:rsidR="00E200BC" w:rsidRPr="00995485">
        <w:t>listing</w:t>
      </w:r>
      <w:r w:rsidR="00E200BC">
        <w:t>s</w:t>
      </w:r>
      <w:r w:rsidR="00E200BC" w:rsidRPr="00995485">
        <w:t xml:space="preserve"> for </w:t>
      </w:r>
      <w:r w:rsidR="00E200BC">
        <w:t xml:space="preserve">the treatment of T2DM, in patients with a HbA1c &gt;7% despite </w:t>
      </w:r>
      <w:r w:rsidR="00A979C7" w:rsidRPr="00A979C7">
        <w:t xml:space="preserve">treatment with </w:t>
      </w:r>
      <w:r w:rsidR="00A96680">
        <w:t xml:space="preserve">at least one of: </w:t>
      </w:r>
      <w:r w:rsidR="00A979C7" w:rsidRPr="00A979C7">
        <w:t>metformin</w:t>
      </w:r>
      <w:r w:rsidR="00A96680">
        <w:t xml:space="preserve">, </w:t>
      </w:r>
      <w:r w:rsidR="00A979C7" w:rsidRPr="00A979C7">
        <w:t>a sulfonylure</w:t>
      </w:r>
      <w:r w:rsidR="00A979C7">
        <w:t>a (SU)</w:t>
      </w:r>
      <w:r w:rsidR="00A96680">
        <w:t>, or insulin</w:t>
      </w:r>
      <w:r w:rsidR="00E200BC" w:rsidRPr="00995485">
        <w:t xml:space="preserve">. </w:t>
      </w:r>
      <w:r w:rsidR="00E200BC">
        <w:t xml:space="preserve">The restrictions </w:t>
      </w:r>
      <w:r w:rsidR="008C23D1">
        <w:t xml:space="preserve">also </w:t>
      </w:r>
      <w:r w:rsidR="00E200BC">
        <w:t>require use in combination with</w:t>
      </w:r>
      <w:r w:rsidR="00A96680">
        <w:t xml:space="preserve"> at least one of</w:t>
      </w:r>
      <w:r w:rsidR="00E200BC">
        <w:t>: metformin</w:t>
      </w:r>
      <w:r w:rsidR="00A96680">
        <w:t xml:space="preserve">, a </w:t>
      </w:r>
      <w:r w:rsidR="007D3E17">
        <w:t>SU</w:t>
      </w:r>
      <w:r w:rsidR="00E200BC">
        <w:t xml:space="preserve">, </w:t>
      </w:r>
      <w:r w:rsidR="00A96680">
        <w:t xml:space="preserve">or insulin. </w:t>
      </w:r>
    </w:p>
    <w:p w14:paraId="67456885" w14:textId="77777777" w:rsidR="007D5891" w:rsidRDefault="00A96680" w:rsidP="008F1FB2">
      <w:pPr>
        <w:pStyle w:val="3Bodytext"/>
      </w:pPr>
      <w:r>
        <w:t xml:space="preserve">Dapagliflozin and empagliflozin are </w:t>
      </w:r>
      <w:r w:rsidR="008C23D1">
        <w:t xml:space="preserve">also </w:t>
      </w:r>
      <w:r>
        <w:t>PBS-listed for the treatment of chronic heart failure (CHF) and chronic kidney disease (</w:t>
      </w:r>
      <w:r w:rsidRPr="00B926BE">
        <w:t>CKD</w:t>
      </w:r>
      <w:r>
        <w:t>)</w:t>
      </w:r>
      <w:r w:rsidRPr="00B926BE">
        <w:t xml:space="preserve">. </w:t>
      </w:r>
    </w:p>
    <w:p w14:paraId="22AA22B8" w14:textId="1E16AF07" w:rsidR="00B926BE" w:rsidRDefault="008C23D1" w:rsidP="008F1FB2">
      <w:pPr>
        <w:pStyle w:val="3Bodytext"/>
      </w:pPr>
      <w:r>
        <w:t xml:space="preserve">SGLT2 inhibitors </w:t>
      </w:r>
      <w:r w:rsidR="00E200BC">
        <w:t xml:space="preserve">are not </w:t>
      </w:r>
      <w:r>
        <w:t>PBS-</w:t>
      </w:r>
      <w:r w:rsidR="00E200BC">
        <w:t xml:space="preserve">subsided for </w:t>
      </w:r>
      <w:r w:rsidR="00A96680">
        <w:t xml:space="preserve">use in </w:t>
      </w:r>
      <w:r w:rsidR="00E200BC">
        <w:t>combination with a GLP</w:t>
      </w:r>
      <w:r w:rsidR="00E200BC">
        <w:noBreakHyphen/>
        <w:t>1 RA</w:t>
      </w:r>
      <w:r w:rsidR="00A96680">
        <w:t xml:space="preserve">, except </w:t>
      </w:r>
      <w:r>
        <w:t>where the SGLT2 inhibitor is prescribed for an indication other than T2DM, and the patient did not achieve a clinically meaningful glycaemic response to the SGLT2 inhibitor</w:t>
      </w:r>
      <w:r w:rsidR="00E200BC">
        <w:t xml:space="preserve">. </w:t>
      </w:r>
    </w:p>
    <w:p w14:paraId="2998F431" w14:textId="7C1F92FF" w:rsidR="00A211AB" w:rsidRPr="006A77F3" w:rsidRDefault="00A211AB" w:rsidP="00B25B89">
      <w:pPr>
        <w:pStyle w:val="4-SubsectionHeading"/>
      </w:pPr>
      <w:r w:rsidRPr="006A77F3">
        <w:lastRenderedPageBreak/>
        <w:t xml:space="preserve">Cost-effectiveness </w:t>
      </w:r>
      <w:r w:rsidR="009E6317">
        <w:t>r</w:t>
      </w:r>
      <w:r w:rsidR="009E6317" w:rsidRPr="006A77F3">
        <w:t xml:space="preserve">eview </w:t>
      </w:r>
      <w:r w:rsidRPr="006A77F3">
        <w:t xml:space="preserve">of </w:t>
      </w:r>
      <w:r w:rsidR="00273F7E">
        <w:t>SGLT2 inhibitors</w:t>
      </w:r>
    </w:p>
    <w:p w14:paraId="49C0BC85" w14:textId="5B0B5B4E" w:rsidR="00A211AB" w:rsidRPr="0045313C" w:rsidRDefault="00017CDD" w:rsidP="008F1FB2">
      <w:pPr>
        <w:pStyle w:val="3Bodytext"/>
      </w:pPr>
      <w:r>
        <w:rPr>
          <w:szCs w:val="24"/>
        </w:rPr>
        <w:t>In 2019, t</w:t>
      </w:r>
      <w:r w:rsidR="00A211AB">
        <w:rPr>
          <w:szCs w:val="24"/>
        </w:rPr>
        <w:t xml:space="preserve">he Department contracted </w:t>
      </w:r>
      <w:r w:rsidR="00C76C38">
        <w:rPr>
          <w:szCs w:val="24"/>
        </w:rPr>
        <w:t xml:space="preserve">the </w:t>
      </w:r>
      <w:r w:rsidR="008D64C4">
        <w:rPr>
          <w:szCs w:val="24"/>
        </w:rPr>
        <w:t>University</w:t>
      </w:r>
      <w:r w:rsidR="009E6317">
        <w:rPr>
          <w:szCs w:val="24"/>
        </w:rPr>
        <w:t xml:space="preserve"> of Melbourne</w:t>
      </w:r>
      <w:r w:rsidR="008D64C4">
        <w:rPr>
          <w:szCs w:val="24"/>
        </w:rPr>
        <w:t xml:space="preserve"> </w:t>
      </w:r>
      <w:r w:rsidR="00C76C38">
        <w:rPr>
          <w:szCs w:val="24"/>
        </w:rPr>
        <w:t xml:space="preserve">to prepare a </w:t>
      </w:r>
      <w:r w:rsidR="00025C67">
        <w:rPr>
          <w:szCs w:val="24"/>
        </w:rPr>
        <w:t xml:space="preserve">report on the </w:t>
      </w:r>
      <w:r w:rsidR="00A211AB">
        <w:rPr>
          <w:szCs w:val="24"/>
        </w:rPr>
        <w:t xml:space="preserve">cost-effectiveness of </w:t>
      </w:r>
      <w:r w:rsidR="00A211AB" w:rsidRPr="000D3660">
        <w:t xml:space="preserve">SGLT2 inhibitors versus </w:t>
      </w:r>
      <w:r w:rsidR="009E6317">
        <w:t>SUs</w:t>
      </w:r>
      <w:r w:rsidR="00A211AB" w:rsidRPr="000D3660">
        <w:t xml:space="preserve"> as add-on therapy to metformin</w:t>
      </w:r>
      <w:r w:rsidR="00A85991">
        <w:t xml:space="preserve"> without a glycaemic requirement</w:t>
      </w:r>
      <w:r w:rsidR="00A211AB">
        <w:t>, using the</w:t>
      </w:r>
      <w:r w:rsidR="00A211AB" w:rsidRPr="0041190E">
        <w:t xml:space="preserve"> </w:t>
      </w:r>
      <w:r w:rsidR="009D3E5F" w:rsidRPr="009D3E5F">
        <w:t>UK Prospective Diabetes Study</w:t>
      </w:r>
      <w:r w:rsidR="009D3E5F" w:rsidRPr="009D3E5F" w:rsidDel="009D3E5F">
        <w:t xml:space="preserve"> </w:t>
      </w:r>
      <w:r w:rsidR="00A211AB" w:rsidRPr="00B56AF4">
        <w:t xml:space="preserve">Outcomes Model Version 2 </w:t>
      </w:r>
      <w:r w:rsidR="00A211AB">
        <w:t>(UKPDS OM2) modified to the Australian setting</w:t>
      </w:r>
      <w:r w:rsidR="00A211AB" w:rsidRPr="000D3660">
        <w:t xml:space="preserve">. </w:t>
      </w:r>
      <w:r w:rsidR="00A211AB" w:rsidRPr="0045313C">
        <w:t>The report concluded that:</w:t>
      </w:r>
    </w:p>
    <w:p w14:paraId="020D03FA" w14:textId="2733E523" w:rsidR="00A211AB" w:rsidRPr="00DE5B2C" w:rsidRDefault="00A211AB" w:rsidP="001C64F0">
      <w:pPr>
        <w:pStyle w:val="3Bodytext"/>
        <w:numPr>
          <w:ilvl w:val="0"/>
          <w:numId w:val="6"/>
        </w:numPr>
      </w:pPr>
      <w:r w:rsidRPr="00DE5B2C">
        <w:t xml:space="preserve">SGLT2 inhibitors decreased the risk of all-cause and CV-related mortality when compared to SUs. </w:t>
      </w:r>
      <w:r w:rsidR="009D3E5F">
        <w:t>In addition, r</w:t>
      </w:r>
      <w:r>
        <w:t xml:space="preserve">eductions in systolic blood pressure and weight, but not HbA1c, </w:t>
      </w:r>
      <w:r w:rsidRPr="00DE5B2C">
        <w:t>were seen</w:t>
      </w:r>
      <w:r>
        <w:t xml:space="preserve"> </w:t>
      </w:r>
      <w:r w:rsidRPr="00DE5B2C">
        <w:t>when comparing SGLT2 inhibitors to SUs in the treatment of T2DM.</w:t>
      </w:r>
    </w:p>
    <w:p w14:paraId="485E3023" w14:textId="6D6529FF" w:rsidR="00A211AB" w:rsidRDefault="00A211AB" w:rsidP="001C64F0">
      <w:pPr>
        <w:pStyle w:val="3Bodytext"/>
        <w:numPr>
          <w:ilvl w:val="0"/>
          <w:numId w:val="6"/>
        </w:numPr>
      </w:pPr>
      <w:r w:rsidRPr="00DE5B2C">
        <w:t>SGLT2 inhibitors were likely to improve life expectancy and quality adjusted life expectancy (quality-adjusted life years, or QALYs) versus SUs</w:t>
      </w:r>
      <w:r>
        <w:t>,</w:t>
      </w:r>
      <w:r w:rsidRPr="00DE5B2C">
        <w:t xml:space="preserve"> but were likely to lead to an overall increase in lifetime </w:t>
      </w:r>
      <w:r w:rsidR="00B40BBB">
        <w:t xml:space="preserve">healthcare </w:t>
      </w:r>
      <w:r w:rsidRPr="00DE5B2C">
        <w:t xml:space="preserve">costs per patient. </w:t>
      </w:r>
    </w:p>
    <w:p w14:paraId="60698FE6" w14:textId="2855C8AC" w:rsidR="00A211AB" w:rsidRDefault="00A211AB" w:rsidP="001C64F0">
      <w:pPr>
        <w:pStyle w:val="4Bodytextnumbered"/>
        <w:numPr>
          <w:ilvl w:val="1"/>
          <w:numId w:val="1"/>
        </w:numPr>
      </w:pPr>
      <w:r>
        <w:t>T</w:t>
      </w:r>
      <w:r w:rsidRPr="00A2127B">
        <w:t xml:space="preserve">he </w:t>
      </w:r>
      <w:r w:rsidR="009D3E5F">
        <w:t>cost-effectiveness review (</w:t>
      </w:r>
      <w:r w:rsidRPr="00A2127B">
        <w:t>CER</w:t>
      </w:r>
      <w:r w:rsidR="009D3E5F">
        <w:t>)</w:t>
      </w:r>
      <w:r w:rsidRPr="00A2127B">
        <w:t xml:space="preserve"> forecasts </w:t>
      </w:r>
      <w:r>
        <w:t xml:space="preserve">incremental </w:t>
      </w:r>
      <w:r w:rsidRPr="00A2127B">
        <w:t>cost-effectiveness ratios</w:t>
      </w:r>
      <w:r>
        <w:t xml:space="preserve"> (ICERs) of </w:t>
      </w:r>
      <w:r w:rsidRPr="00A2127B">
        <w:t>$29,939 per QALY gained for men and $27,316 per QALY gained for women</w:t>
      </w:r>
      <w:r>
        <w:t>, based on a lifetime treatment effect duration. These ICERs</w:t>
      </w:r>
      <w:r w:rsidRPr="00A2127B">
        <w:t xml:space="preserve"> </w:t>
      </w:r>
      <w:r>
        <w:t>apply to the Australians with T2DM who are treated with SGLT2 inhibitors as dual therapy with metformin, i.e.</w:t>
      </w:r>
      <w:r w:rsidR="00B40BBB">
        <w:t>,</w:t>
      </w:r>
      <w:r>
        <w:t xml:space="preserve"> the populations eligible for SGLT2 inhibitors under the current </w:t>
      </w:r>
      <w:r w:rsidR="008C23D1">
        <w:t xml:space="preserve">T2DM listings </w:t>
      </w:r>
      <w:r>
        <w:t xml:space="preserve">and </w:t>
      </w:r>
      <w:r w:rsidR="008C23D1">
        <w:t xml:space="preserve">the </w:t>
      </w:r>
      <w:r>
        <w:t>proposed</w:t>
      </w:r>
      <w:r w:rsidR="008C23D1">
        <w:t xml:space="preserve"> population</w:t>
      </w:r>
      <w:r w:rsidR="00A85991">
        <w:t>.</w:t>
      </w:r>
      <w:r>
        <w:t xml:space="preserve"> </w:t>
      </w:r>
    </w:p>
    <w:p w14:paraId="00DD4EF9" w14:textId="77777777" w:rsidR="00BB5CFC" w:rsidRDefault="00A211AB" w:rsidP="00B25B89">
      <w:pPr>
        <w:pStyle w:val="4-SubsectionHeading"/>
      </w:pPr>
      <w:r w:rsidRPr="00E45CB8">
        <w:t>PBAC Consideration</w:t>
      </w:r>
    </w:p>
    <w:p w14:paraId="619D86AD" w14:textId="1050A52C" w:rsidR="00A211AB" w:rsidRPr="002F4D85" w:rsidRDefault="00A211AB" w:rsidP="00B25B89">
      <w:pPr>
        <w:pStyle w:val="5-SubsectionSubheading"/>
        <w:rPr>
          <w:bCs/>
        </w:rPr>
      </w:pPr>
      <w:r w:rsidRPr="002F4D85">
        <w:t>November 2021</w:t>
      </w:r>
    </w:p>
    <w:p w14:paraId="27E38B95" w14:textId="727955F5" w:rsidR="00A211AB" w:rsidRDefault="007A5755" w:rsidP="001C64F0">
      <w:pPr>
        <w:pStyle w:val="4Bodytextnumbered"/>
        <w:numPr>
          <w:ilvl w:val="1"/>
          <w:numId w:val="1"/>
        </w:numPr>
      </w:pPr>
      <w:r>
        <w:t xml:space="preserve">In </w:t>
      </w:r>
      <w:r w:rsidR="00A211AB">
        <w:t xml:space="preserve">November 2021, the PBAC considered the </w:t>
      </w:r>
      <w:r w:rsidR="00EB7944">
        <w:t>cost-effectiveness report for SGLT2 inhibitors</w:t>
      </w:r>
      <w:r w:rsidR="002A1045">
        <w:t xml:space="preserve">, along with </w:t>
      </w:r>
      <w:r w:rsidR="009A3A7F">
        <w:t xml:space="preserve">proposed restriction changes. </w:t>
      </w:r>
      <w:r w:rsidR="00A211AB">
        <w:t>T</w:t>
      </w:r>
      <w:r w:rsidR="00A211AB" w:rsidRPr="001670D7">
        <w:t xml:space="preserve">he PBAC </w:t>
      </w:r>
      <w:r w:rsidR="00A211AB" w:rsidRPr="00A94D4A">
        <w:t>deferred</w:t>
      </w:r>
      <w:r w:rsidR="00A211AB" w:rsidRPr="001670D7">
        <w:t xml:space="preserve"> a decision to recommend </w:t>
      </w:r>
      <w:r w:rsidR="00A211AB">
        <w:t xml:space="preserve">expanding the listings of SGLT2 inhibitors to allow subsidised access </w:t>
      </w:r>
      <w:r w:rsidR="009A3A7F">
        <w:t>for</w:t>
      </w:r>
      <w:r w:rsidR="00A211AB">
        <w:t xml:space="preserve"> T2DM patients with established CVD or high CV risk</w:t>
      </w:r>
      <w:r w:rsidR="009A3A7F">
        <w:t>,</w:t>
      </w:r>
      <w:r w:rsidR="009A3A7F" w:rsidRPr="001670D7">
        <w:t xml:space="preserve"> as add-on therapy to metformin</w:t>
      </w:r>
      <w:r w:rsidR="009A3A7F">
        <w:t>,</w:t>
      </w:r>
      <w:r w:rsidR="009A3A7F" w:rsidRPr="001670D7">
        <w:t xml:space="preserve"> without the requirement to have a specific unmet glycaemic target</w:t>
      </w:r>
      <w:r w:rsidR="009A3A7F">
        <w:t>.</w:t>
      </w:r>
      <w:r w:rsidR="00A211AB">
        <w:t xml:space="preserve"> The PBAC had several concerns, including:</w:t>
      </w:r>
    </w:p>
    <w:p w14:paraId="5F6E899A" w14:textId="180C5135" w:rsidR="00A211AB" w:rsidRDefault="00A211AB" w:rsidP="001C64F0">
      <w:pPr>
        <w:pStyle w:val="3Bodytext"/>
        <w:numPr>
          <w:ilvl w:val="0"/>
          <w:numId w:val="6"/>
        </w:numPr>
      </w:pPr>
      <w:r>
        <w:t>the net cost to the R/PBS over the first five years of listing was very high and uncertain</w:t>
      </w:r>
    </w:p>
    <w:p w14:paraId="2EA1B4CF" w14:textId="673B3838" w:rsidR="00A211AB" w:rsidRDefault="00A211AB" w:rsidP="001C64F0">
      <w:pPr>
        <w:pStyle w:val="3Bodytext"/>
        <w:numPr>
          <w:ilvl w:val="0"/>
          <w:numId w:val="6"/>
        </w:numPr>
      </w:pPr>
      <w:r>
        <w:t xml:space="preserve">the cost-effectiveness of the proposed listings was uncertain given the ICER for the base case and sensitivity analyses were higher than </w:t>
      </w:r>
      <w:r w:rsidR="003C4DCC">
        <w:t xml:space="preserve">the </w:t>
      </w:r>
      <w:r>
        <w:t xml:space="preserve">PBAC would normally </w:t>
      </w:r>
      <w:proofErr w:type="gramStart"/>
      <w:r>
        <w:t>accept</w:t>
      </w:r>
      <w:proofErr w:type="gramEnd"/>
      <w:r>
        <w:t xml:space="preserve"> for preventative treatments</w:t>
      </w:r>
    </w:p>
    <w:p w14:paraId="0CA23734" w14:textId="2F97B6F3" w:rsidR="00A211AB" w:rsidRDefault="00A211AB" w:rsidP="001C64F0">
      <w:pPr>
        <w:pStyle w:val="3Bodytext"/>
        <w:numPr>
          <w:ilvl w:val="0"/>
          <w:numId w:val="6"/>
        </w:numPr>
      </w:pPr>
      <w:r>
        <w:t>effectively targeting the eligible population</w:t>
      </w:r>
      <w:r w:rsidR="005C592D">
        <w:t xml:space="preserve"> in the proposed PBS restrictions</w:t>
      </w:r>
      <w:r>
        <w:t xml:space="preserve">, specifically patients with T2DM with high CV risk. </w:t>
      </w:r>
    </w:p>
    <w:p w14:paraId="462C7CBD" w14:textId="59C11FED" w:rsidR="00A211AB" w:rsidRDefault="00A211AB" w:rsidP="001C64F0">
      <w:pPr>
        <w:pStyle w:val="4Bodytextnumbered"/>
        <w:numPr>
          <w:ilvl w:val="1"/>
          <w:numId w:val="1"/>
        </w:numPr>
      </w:pPr>
      <w:r>
        <w:t xml:space="preserve">The PBAC noted the DUSC advice </w:t>
      </w:r>
      <w:r w:rsidR="00E67213">
        <w:t xml:space="preserve">(October 2021) </w:t>
      </w:r>
      <w:r>
        <w:t xml:space="preserve">regarding the </w:t>
      </w:r>
      <w:r w:rsidRPr="004C05E2">
        <w:rPr>
          <w:bCs/>
        </w:rPr>
        <w:t xml:space="preserve">significant uncertainty </w:t>
      </w:r>
      <w:r w:rsidRPr="004C05E2">
        <w:t xml:space="preserve">in estimating the eligible population </w:t>
      </w:r>
      <w:r w:rsidRPr="004C05E2">
        <w:rPr>
          <w:bCs/>
        </w:rPr>
        <w:t>that will access SGLT2 inhibitors</w:t>
      </w:r>
      <w:r>
        <w:rPr>
          <w:bCs/>
        </w:rPr>
        <w:t>.</w:t>
      </w:r>
      <w:r>
        <w:t xml:space="preserve"> The</w:t>
      </w:r>
      <w:r w:rsidRPr="0026757F">
        <w:t xml:space="preserve"> PBAC considered that a price reduction for SGLT2 inhibitor medicines would be required to bring the ICER for the expanded listing into an acceptable range</w:t>
      </w:r>
      <w:r>
        <w:t xml:space="preserve"> and to reduce the </w:t>
      </w:r>
      <w:r>
        <w:lastRenderedPageBreak/>
        <w:t>uncertainty in the overall budget impact. The PBAC requested that the Department provide revised modelled estimates.</w:t>
      </w:r>
    </w:p>
    <w:p w14:paraId="7E58761C" w14:textId="6824BCED" w:rsidR="00E67213" w:rsidRPr="002F4D85" w:rsidRDefault="00E67213" w:rsidP="00B25B89">
      <w:pPr>
        <w:pStyle w:val="5-SubsectionSubheading"/>
      </w:pPr>
      <w:r w:rsidRPr="002F4D85">
        <w:t>March 2022</w:t>
      </w:r>
    </w:p>
    <w:p w14:paraId="3543210A" w14:textId="77777777" w:rsidR="00C522AA" w:rsidRDefault="00CA5DCF" w:rsidP="001C64F0">
      <w:pPr>
        <w:pStyle w:val="4Bodytextnumbered"/>
        <w:numPr>
          <w:ilvl w:val="1"/>
          <w:numId w:val="1"/>
        </w:numPr>
      </w:pPr>
      <w:r>
        <w:t xml:space="preserve">In March 2022, the PBAC considered </w:t>
      </w:r>
      <w:r w:rsidR="00232F9B">
        <w:t>an Ad</w:t>
      </w:r>
      <w:r w:rsidR="00287F6D">
        <w:t xml:space="preserve">dendum to the </w:t>
      </w:r>
      <w:r w:rsidR="00E70A2D">
        <w:t>cost-effectiveness report for SGLT2 inhibitors</w:t>
      </w:r>
      <w:r w:rsidR="00B27A0A">
        <w:t xml:space="preserve">, which provided modelled ICERs and </w:t>
      </w:r>
      <w:r w:rsidR="00FF1523">
        <w:t xml:space="preserve">budget impact estimates assuming 15%, 25% and 50% </w:t>
      </w:r>
      <w:r w:rsidR="00C24740">
        <w:t xml:space="preserve">price </w:t>
      </w:r>
      <w:r w:rsidR="00FF1523">
        <w:t>reductions to</w:t>
      </w:r>
      <w:r w:rsidR="00C24740">
        <w:t xml:space="preserve"> SGLT2 inhibitors</w:t>
      </w:r>
      <w:r w:rsidR="00826F05">
        <w:t xml:space="preserve"> for both the current T2D</w:t>
      </w:r>
      <w:r w:rsidR="0071672D">
        <w:t>M and proposed CV risk market</w:t>
      </w:r>
      <w:r w:rsidR="00C24740">
        <w:t>.</w:t>
      </w:r>
      <w:r w:rsidR="00FF1523">
        <w:t xml:space="preserve"> </w:t>
      </w:r>
    </w:p>
    <w:p w14:paraId="6C5DD49B" w14:textId="38DD11FF" w:rsidR="00C522AA" w:rsidRDefault="00C522AA" w:rsidP="001C64F0">
      <w:pPr>
        <w:pStyle w:val="4Bodytextnumbered"/>
        <w:numPr>
          <w:ilvl w:val="1"/>
          <w:numId w:val="1"/>
        </w:numPr>
      </w:pPr>
      <w:bookmarkStart w:id="0" w:name="_Hlk160019493"/>
      <w:r>
        <w:t>The PBAC recommended that SGLT2 inhibitors</w:t>
      </w:r>
      <w:r w:rsidR="00A4257B">
        <w:t xml:space="preserve"> (dapagliflozin and empagliflozin)</w:t>
      </w:r>
      <w:r>
        <w:t xml:space="preserve"> be listed as add-on therapy to metformin for the treatment of T2DM patients with CVD, or high CV risk</w:t>
      </w:r>
      <w:bookmarkEnd w:id="0"/>
      <w:r>
        <w:t xml:space="preserve">, if expenditure over the five years (2022-2026) for </w:t>
      </w:r>
      <w:r w:rsidRPr="00BD2648">
        <w:t xml:space="preserve">the current T2DM market and the proposed CVD/high CV risk population was limited to $1.5 billion. </w:t>
      </w:r>
      <w:bookmarkStart w:id="1" w:name="_Hlk99023581"/>
      <w:r w:rsidRPr="00BD2648">
        <w:t>The PBAC noted that based on the estimates in the Addendum this would equate to a price reduction</w:t>
      </w:r>
      <w:r w:rsidR="00502ECB">
        <w:t xml:space="preserve"> for SGLT2 inhibitors</w:t>
      </w:r>
      <w:r w:rsidRPr="00BD2648">
        <w:t xml:space="preserve"> in the order of 15% for</w:t>
      </w:r>
      <w:r>
        <w:t xml:space="preserve"> T2DM indications.</w:t>
      </w:r>
      <w:bookmarkEnd w:id="1"/>
      <w:r w:rsidR="003E556F">
        <w:t xml:space="preserve"> </w:t>
      </w:r>
    </w:p>
    <w:p w14:paraId="19E1126B" w14:textId="29C6D392" w:rsidR="00163118" w:rsidRDefault="00163118" w:rsidP="001C64F0">
      <w:pPr>
        <w:pStyle w:val="4Bodytextnumbered"/>
        <w:numPr>
          <w:ilvl w:val="1"/>
          <w:numId w:val="1"/>
        </w:numPr>
      </w:pPr>
      <w:r>
        <w:t>The PBAC requested a utilisation analysis of T2DM medicines focussing on use of GLP</w:t>
      </w:r>
      <w:r>
        <w:noBreakHyphen/>
        <w:t>1 RAs, SGLT2 inhibitors and DPP4 inhibitors outside the PBS restrictions.</w:t>
      </w:r>
    </w:p>
    <w:p w14:paraId="3AA3D9AB" w14:textId="149A1A9D" w:rsidR="00456009" w:rsidRPr="002F4D85" w:rsidRDefault="002E3CF1" w:rsidP="00B25B89">
      <w:pPr>
        <w:pStyle w:val="5-SubsectionSubheading"/>
      </w:pPr>
      <w:r w:rsidRPr="002F4D85">
        <w:t>November 2022</w:t>
      </w:r>
    </w:p>
    <w:p w14:paraId="42AA6549" w14:textId="159EDF7E" w:rsidR="00176811" w:rsidRPr="00D272C0" w:rsidRDefault="00023CA2" w:rsidP="001C64F0">
      <w:pPr>
        <w:pStyle w:val="4Bodytextnumbered"/>
        <w:numPr>
          <w:ilvl w:val="1"/>
          <w:numId w:val="1"/>
        </w:numPr>
        <w:rPr>
          <w:rFonts w:cstheme="minorHAnsi"/>
        </w:rPr>
      </w:pPr>
      <w:r>
        <w:t>In November 2022, PBAC considered the DUSC analysis on ‘</w:t>
      </w:r>
      <w:r w:rsidRPr="00444DDC">
        <w:rPr>
          <w:i/>
          <w:iCs/>
        </w:rPr>
        <w:t>Medicines for the treatment of type 2 diabetes</w:t>
      </w:r>
      <w:r>
        <w:rPr>
          <w:i/>
          <w:iCs/>
        </w:rPr>
        <w:t xml:space="preserve"> – September 2022</w:t>
      </w:r>
      <w:r>
        <w:t>’. The PBAC noted that in 20</w:t>
      </w:r>
      <w:r w:rsidR="00606C31">
        <w:t>21</w:t>
      </w:r>
      <w:r>
        <w:t xml:space="preserve">, </w:t>
      </w:r>
      <w:r w:rsidR="005F2127" w:rsidRPr="00001B72">
        <w:rPr>
          <w:rFonts w:cstheme="minorHAnsi"/>
        </w:rPr>
        <w:t>around 15% of people supplied an SGLT2 inhibitor received th</w:t>
      </w:r>
      <w:r w:rsidR="00D97FBF">
        <w:rPr>
          <w:rFonts w:cstheme="minorHAnsi"/>
        </w:rPr>
        <w:t>is</w:t>
      </w:r>
      <w:r w:rsidR="005F2127" w:rsidRPr="00001B72">
        <w:rPr>
          <w:rFonts w:cstheme="minorHAnsi"/>
        </w:rPr>
        <w:t xml:space="preserve"> medicine without concomitant use of metformin, </w:t>
      </w:r>
      <w:r w:rsidR="00D97FBF">
        <w:rPr>
          <w:rFonts w:cstheme="minorHAnsi"/>
        </w:rPr>
        <w:t>a</w:t>
      </w:r>
      <w:r w:rsidR="008C6A01">
        <w:rPr>
          <w:rFonts w:cstheme="minorHAnsi"/>
        </w:rPr>
        <w:t xml:space="preserve"> SU</w:t>
      </w:r>
      <w:r w:rsidR="005F2127" w:rsidRPr="00001B72">
        <w:rPr>
          <w:rFonts w:cstheme="minorHAnsi"/>
        </w:rPr>
        <w:t>, or insulin</w:t>
      </w:r>
      <w:r w:rsidR="00C87810">
        <w:rPr>
          <w:rFonts w:cstheme="minorHAnsi"/>
        </w:rPr>
        <w:t xml:space="preserve">; </w:t>
      </w:r>
      <w:r w:rsidR="00606C31">
        <w:rPr>
          <w:rFonts w:cstheme="minorHAnsi"/>
        </w:rPr>
        <w:t xml:space="preserve">and </w:t>
      </w:r>
      <w:r w:rsidR="005F2127" w:rsidRPr="00606C31">
        <w:rPr>
          <w:rFonts w:cstheme="minorHAnsi"/>
        </w:rPr>
        <w:t>around 14% of people supplied an SGLT2 inhibitor received th</w:t>
      </w:r>
      <w:r w:rsidR="00D97FBF">
        <w:rPr>
          <w:rFonts w:cstheme="minorHAnsi"/>
        </w:rPr>
        <w:t>is</w:t>
      </w:r>
      <w:r w:rsidR="005F2127" w:rsidRPr="00606C31">
        <w:rPr>
          <w:rFonts w:cstheme="minorHAnsi"/>
        </w:rPr>
        <w:t xml:space="preserve"> medicine in combination with a GLP</w:t>
      </w:r>
      <w:r w:rsidR="005F2127" w:rsidRPr="00606C31">
        <w:rPr>
          <w:rFonts w:cstheme="minorHAnsi"/>
        </w:rPr>
        <w:noBreakHyphen/>
        <w:t>1 RA.</w:t>
      </w:r>
      <w:r w:rsidR="00176811">
        <w:rPr>
          <w:rFonts w:cstheme="minorHAnsi"/>
        </w:rPr>
        <w:t xml:space="preserve"> </w:t>
      </w:r>
      <w:r w:rsidR="00176811">
        <w:t xml:space="preserve">The PBAC recommended a price reduction of at least 15% in the cost of SGLT2 inhibitors </w:t>
      </w:r>
      <w:r w:rsidR="00176811" w:rsidRPr="00CA58BD">
        <w:t>to account for the proportion of use outside the restrictions for which cost</w:t>
      </w:r>
      <w:r w:rsidR="00D422DF">
        <w:noBreakHyphen/>
      </w:r>
      <w:r w:rsidR="00176811" w:rsidRPr="00CA58BD">
        <w:t>effectiveness ha</w:t>
      </w:r>
      <w:r w:rsidR="00A2401C">
        <w:t>d</w:t>
      </w:r>
      <w:r w:rsidR="00176811" w:rsidRPr="00CA58BD">
        <w:t xml:space="preserve"> not been considered.</w:t>
      </w:r>
      <w:r w:rsidR="00176811">
        <w:t xml:space="preserve"> </w:t>
      </w:r>
    </w:p>
    <w:p w14:paraId="32B69100" w14:textId="06712C1C" w:rsidR="00D272C0" w:rsidRPr="002F4D85" w:rsidRDefault="00D272C0" w:rsidP="00B25B89">
      <w:pPr>
        <w:pStyle w:val="5-SubsectionSubheading"/>
      </w:pPr>
      <w:r w:rsidRPr="002F4D85">
        <w:t>March 2023</w:t>
      </w:r>
    </w:p>
    <w:p w14:paraId="6CBE0DF5" w14:textId="7F6C55F0" w:rsidR="00E67213" w:rsidRPr="004400D1" w:rsidRDefault="00A2401C" w:rsidP="001C64F0">
      <w:pPr>
        <w:pStyle w:val="4Bodytextnumbered"/>
        <w:numPr>
          <w:ilvl w:val="1"/>
          <w:numId w:val="1"/>
        </w:numPr>
        <w:rPr>
          <w:rFonts w:cstheme="minorHAnsi"/>
          <w:bCs/>
        </w:rPr>
      </w:pPr>
      <w:r>
        <w:rPr>
          <w:rFonts w:cstheme="minorHAnsi"/>
          <w:bCs/>
        </w:rPr>
        <w:t xml:space="preserve">In March 2023, </w:t>
      </w:r>
      <w:r w:rsidR="00923C81">
        <w:t xml:space="preserve">the </w:t>
      </w:r>
      <w:r w:rsidR="005C3F97">
        <w:t>PBAC recommended that if the November 2022 recommendation for a 15% price reduction to SGLT2 inhibitors to account for use outside of the PBS restrictions was implemented, then the listings for dapagliflozin and empagliflozin could be expanded in line with the March 2022 recommendation (i.e., to include the CV risk population) without a further price reduction or a financial cap.</w:t>
      </w:r>
    </w:p>
    <w:p w14:paraId="7BAA0994" w14:textId="22AA0FAC" w:rsidR="004400D1" w:rsidRPr="002F4D85" w:rsidRDefault="00EA7FBF" w:rsidP="00702888">
      <w:pPr>
        <w:pStyle w:val="5-SubsectionSubheading"/>
      </w:pPr>
      <w:r w:rsidRPr="002F4D85">
        <w:t>December 2023</w:t>
      </w:r>
    </w:p>
    <w:p w14:paraId="76DE2099" w14:textId="45089EA3" w:rsidR="004400D1" w:rsidRDefault="00EA7FBF" w:rsidP="001C64F0">
      <w:pPr>
        <w:pStyle w:val="4Bodytextnumbered"/>
        <w:numPr>
          <w:ilvl w:val="1"/>
          <w:numId w:val="1"/>
        </w:numPr>
      </w:pPr>
      <w:r>
        <w:rPr>
          <w:rFonts w:cstheme="minorHAnsi"/>
          <w:bCs/>
        </w:rPr>
        <w:t xml:space="preserve">In December 2023, </w:t>
      </w:r>
      <w:r w:rsidR="001C155D">
        <w:rPr>
          <w:rFonts w:cstheme="minorHAnsi"/>
          <w:bCs/>
        </w:rPr>
        <w:t xml:space="preserve">the PBAC considered </w:t>
      </w:r>
      <w:r w:rsidR="00862AF2">
        <w:rPr>
          <w:rFonts w:cstheme="minorHAnsi"/>
          <w:bCs/>
        </w:rPr>
        <w:t>recent research on the effectiveness and safety of GLP-1 RAs</w:t>
      </w:r>
      <w:r w:rsidR="000F35EA">
        <w:rPr>
          <w:rFonts w:cstheme="minorHAnsi"/>
          <w:bCs/>
        </w:rPr>
        <w:t>,</w:t>
      </w:r>
      <w:r w:rsidR="000B0F8F">
        <w:rPr>
          <w:rFonts w:cstheme="minorHAnsi"/>
          <w:bCs/>
        </w:rPr>
        <w:t xml:space="preserve"> and combination use of GLP-1 R</w:t>
      </w:r>
      <w:r w:rsidR="000F35EA">
        <w:rPr>
          <w:rFonts w:cstheme="minorHAnsi"/>
          <w:bCs/>
        </w:rPr>
        <w:t>A</w:t>
      </w:r>
      <w:r w:rsidR="000B0F8F">
        <w:rPr>
          <w:rFonts w:cstheme="minorHAnsi"/>
          <w:bCs/>
        </w:rPr>
        <w:t xml:space="preserve">s with SGLT2 inhibitors. </w:t>
      </w:r>
      <w:r w:rsidR="000F35EA">
        <w:rPr>
          <w:rFonts w:cstheme="minorHAnsi"/>
          <w:bCs/>
        </w:rPr>
        <w:t>The PBAC</w:t>
      </w:r>
      <w:r w:rsidR="008C52C0">
        <w:rPr>
          <w:rFonts w:cstheme="minorHAnsi"/>
          <w:bCs/>
        </w:rPr>
        <w:t xml:space="preserve"> noted that</w:t>
      </w:r>
      <w:r w:rsidR="002C3D6D">
        <w:t xml:space="preserve"> its March 2022 recommendation to list SGLT2 inhibitors for use in patients with T2DM and CVD or high CV risk had not progressed. The PBAC requested that the Department provide updated financial estimates for this proposed listing.</w:t>
      </w:r>
    </w:p>
    <w:p w14:paraId="41CB9E1C" w14:textId="1B12320D" w:rsidR="007D5891" w:rsidRPr="002F4D85" w:rsidRDefault="007D5891" w:rsidP="00702888">
      <w:pPr>
        <w:pStyle w:val="5-SubsectionSubheading"/>
      </w:pPr>
      <w:r>
        <w:t>March</w:t>
      </w:r>
      <w:r w:rsidRPr="002F4D85">
        <w:t xml:space="preserve"> 202</w:t>
      </w:r>
      <w:r>
        <w:t>4</w:t>
      </w:r>
    </w:p>
    <w:p w14:paraId="445B1131" w14:textId="1E96D894" w:rsidR="00D17BCE" w:rsidRPr="007D5891" w:rsidRDefault="00D17BCE" w:rsidP="001C64F0">
      <w:pPr>
        <w:pStyle w:val="4Bodytextnumbered"/>
        <w:numPr>
          <w:ilvl w:val="1"/>
          <w:numId w:val="1"/>
        </w:numPr>
        <w:rPr>
          <w:szCs w:val="24"/>
        </w:rPr>
      </w:pPr>
      <w:r>
        <w:rPr>
          <w:rFonts w:cstheme="minorHAnsi"/>
          <w:bCs/>
        </w:rPr>
        <w:t xml:space="preserve">In March 2024, the PBAC recommended the PBS </w:t>
      </w:r>
      <w:r w:rsidR="00C547D5">
        <w:rPr>
          <w:rFonts w:cstheme="minorHAnsi"/>
          <w:bCs/>
        </w:rPr>
        <w:t xml:space="preserve">listing </w:t>
      </w:r>
      <w:r>
        <w:rPr>
          <w:rFonts w:cstheme="minorHAnsi"/>
          <w:bCs/>
        </w:rPr>
        <w:t xml:space="preserve">of dapagliflozin with sitagliptin FDC, </w:t>
      </w:r>
      <w:proofErr w:type="spellStart"/>
      <w:r>
        <w:rPr>
          <w:rFonts w:cstheme="minorHAnsi"/>
          <w:bCs/>
        </w:rPr>
        <w:t>Sidapvia</w:t>
      </w:r>
      <w:proofErr w:type="spellEnd"/>
      <w:r>
        <w:rPr>
          <w:rFonts w:cstheme="minorHAnsi"/>
          <w:bCs/>
        </w:rPr>
        <w:t>®</w:t>
      </w:r>
      <w:r>
        <w:t xml:space="preserve">. </w:t>
      </w:r>
      <w:r w:rsidRPr="007D5891">
        <w:rPr>
          <w:rFonts w:cstheme="minorHAnsi"/>
          <w:color w:val="000000"/>
          <w:szCs w:val="24"/>
        </w:rPr>
        <w:t xml:space="preserve">The PBAC </w:t>
      </w:r>
      <w:r>
        <w:rPr>
          <w:rFonts w:cstheme="minorHAnsi"/>
          <w:color w:val="000000"/>
          <w:szCs w:val="24"/>
        </w:rPr>
        <w:t xml:space="preserve">recommended </w:t>
      </w:r>
      <w:r w:rsidRPr="007D5891">
        <w:rPr>
          <w:rFonts w:cstheme="minorHAnsi"/>
          <w:color w:val="000000"/>
          <w:szCs w:val="24"/>
        </w:rPr>
        <w:t>that the cost</w:t>
      </w:r>
      <w:r w:rsidRPr="007D5891">
        <w:rPr>
          <w:rFonts w:cstheme="minorHAnsi"/>
          <w:color w:val="000000"/>
          <w:szCs w:val="24"/>
        </w:rPr>
        <w:noBreakHyphen/>
        <w:t xml:space="preserve">effectiveness would be </w:t>
      </w:r>
      <w:r w:rsidRPr="007D5891">
        <w:rPr>
          <w:rFonts w:cstheme="minorHAnsi"/>
          <w:color w:val="000000"/>
          <w:szCs w:val="24"/>
        </w:rPr>
        <w:lastRenderedPageBreak/>
        <w:t>acceptable if it were cost</w:t>
      </w:r>
      <w:r w:rsidRPr="007D5891">
        <w:rPr>
          <w:rFonts w:cstheme="minorHAnsi"/>
          <w:color w:val="000000"/>
          <w:szCs w:val="24"/>
        </w:rPr>
        <w:noBreakHyphen/>
        <w:t>minimised to the lowest cost PBS</w:t>
      </w:r>
      <w:r w:rsidRPr="007D5891">
        <w:rPr>
          <w:rFonts w:cstheme="minorHAnsi"/>
          <w:color w:val="000000"/>
          <w:szCs w:val="24"/>
        </w:rPr>
        <w:noBreakHyphen/>
        <w:t>listed SGLT2</w:t>
      </w:r>
      <w:r>
        <w:rPr>
          <w:rFonts w:cstheme="minorHAnsi"/>
          <w:color w:val="000000"/>
          <w:szCs w:val="24"/>
        </w:rPr>
        <w:t xml:space="preserve"> inhibitor </w:t>
      </w:r>
      <w:r w:rsidRPr="007D5891">
        <w:rPr>
          <w:rFonts w:cstheme="minorHAnsi"/>
          <w:color w:val="000000"/>
          <w:szCs w:val="24"/>
        </w:rPr>
        <w:t>+</w:t>
      </w:r>
      <w:r>
        <w:rPr>
          <w:rFonts w:cstheme="minorHAnsi"/>
          <w:color w:val="000000"/>
          <w:szCs w:val="24"/>
        </w:rPr>
        <w:t xml:space="preserve"> </w:t>
      </w:r>
      <w:r w:rsidRPr="007D5891">
        <w:rPr>
          <w:rFonts w:cstheme="minorHAnsi"/>
          <w:color w:val="000000"/>
          <w:szCs w:val="24"/>
        </w:rPr>
        <w:t>DPP4</w:t>
      </w:r>
      <w:r>
        <w:rPr>
          <w:rFonts w:cstheme="minorHAnsi"/>
          <w:color w:val="000000"/>
          <w:szCs w:val="24"/>
        </w:rPr>
        <w:t xml:space="preserve"> inhibitor </w:t>
      </w:r>
      <w:r w:rsidRPr="007D5891">
        <w:rPr>
          <w:rFonts w:cstheme="minorHAnsi"/>
          <w:color w:val="000000"/>
          <w:szCs w:val="24"/>
        </w:rPr>
        <w:t>FDC.</w:t>
      </w:r>
    </w:p>
    <w:p w14:paraId="3312A19A" w14:textId="77777777" w:rsidR="00DF7ACB" w:rsidRPr="000C56AB" w:rsidRDefault="00DF7ACB" w:rsidP="00A21881">
      <w:pPr>
        <w:pStyle w:val="4-SubsectionHeading"/>
      </w:pPr>
      <w:r>
        <w:t>Stakeholder correspondence/engagement</w:t>
      </w:r>
    </w:p>
    <w:p w14:paraId="467E8EA9" w14:textId="3BBB1266" w:rsidR="00733B39" w:rsidRPr="00733B39" w:rsidRDefault="00BD66D2" w:rsidP="008F1FB2">
      <w:pPr>
        <w:pStyle w:val="3Bodytext"/>
      </w:pPr>
      <w:r>
        <w:t>S</w:t>
      </w:r>
      <w:r w:rsidR="00DF7ACB" w:rsidRPr="00733B39">
        <w:t xml:space="preserve">ponsors of PBS-listed SGLT2 inhibitors were consulted on the </w:t>
      </w:r>
      <w:r w:rsidR="002A1045">
        <w:t>SGLT2 inhibitor cost-effectiveness report</w:t>
      </w:r>
      <w:r w:rsidR="00DF7ACB" w:rsidRPr="00733B39">
        <w:t xml:space="preserve"> prior to the October 2021 DUSC and ESC meetings, and the November 2021 and March 2022 PBAC meetings. </w:t>
      </w:r>
    </w:p>
    <w:p w14:paraId="1EA6D0D0" w14:textId="4EB8DE92" w:rsidR="00A211AB" w:rsidRDefault="00DF7ACB" w:rsidP="008F1FB2">
      <w:pPr>
        <w:pStyle w:val="3Bodytext"/>
      </w:pPr>
      <w:r w:rsidRPr="00733B39">
        <w:t xml:space="preserve">Sponsors were </w:t>
      </w:r>
      <w:r w:rsidR="00733B39" w:rsidRPr="00733B39">
        <w:t xml:space="preserve">provided </w:t>
      </w:r>
      <w:r w:rsidR="00BA45E1">
        <w:t xml:space="preserve">an opportunity to provide a pre-PBAC response </w:t>
      </w:r>
      <w:r w:rsidR="00520A93">
        <w:t xml:space="preserve">to this item </w:t>
      </w:r>
      <w:r w:rsidR="00BA45E1">
        <w:t>in line with standard PBAC timelines</w:t>
      </w:r>
      <w:r w:rsidR="00733B39" w:rsidRPr="00733B39">
        <w:t xml:space="preserve">. </w:t>
      </w:r>
    </w:p>
    <w:p w14:paraId="1357E04D" w14:textId="77777777" w:rsidR="00CA129C" w:rsidRPr="00CA129C" w:rsidRDefault="00C27C1C" w:rsidP="002F4D85">
      <w:pPr>
        <w:pStyle w:val="2-SectionHeading"/>
        <w:jc w:val="both"/>
        <w:rPr>
          <w:color w:val="FF0000"/>
        </w:rPr>
      </w:pPr>
      <w:r w:rsidRPr="00A6439B">
        <w:t>C</w:t>
      </w:r>
      <w:r w:rsidR="00CA129C">
        <w:t>urrent Status</w:t>
      </w:r>
    </w:p>
    <w:p w14:paraId="5EB16602" w14:textId="65E89D26" w:rsidR="00D70349" w:rsidRPr="00385584" w:rsidRDefault="006B6B3E" w:rsidP="002F4D85">
      <w:pPr>
        <w:pStyle w:val="4-SubsectionHeading"/>
        <w:rPr>
          <w:lang w:eastAsia="en-US"/>
        </w:rPr>
      </w:pPr>
      <w:r w:rsidRPr="00385584">
        <w:rPr>
          <w:lang w:eastAsia="en-US"/>
        </w:rPr>
        <w:t>Revised e</w:t>
      </w:r>
      <w:r w:rsidR="00D70349" w:rsidRPr="00385584">
        <w:rPr>
          <w:lang w:eastAsia="en-US"/>
        </w:rPr>
        <w:t xml:space="preserve">stimated PBS </w:t>
      </w:r>
      <w:r w:rsidR="00276BE3" w:rsidRPr="00385584">
        <w:rPr>
          <w:lang w:eastAsia="en-US"/>
        </w:rPr>
        <w:t>usage</w:t>
      </w:r>
      <w:r w:rsidR="00D70349" w:rsidRPr="00385584">
        <w:rPr>
          <w:lang w:eastAsia="en-US"/>
        </w:rPr>
        <w:t xml:space="preserve"> and financial implications</w:t>
      </w:r>
    </w:p>
    <w:p w14:paraId="12E61BE5" w14:textId="7A7A3404" w:rsidR="006B6B3E" w:rsidRDefault="006B6B3E" w:rsidP="008F1FB2">
      <w:pPr>
        <w:pStyle w:val="3Bodytext"/>
        <w:rPr>
          <w:lang w:eastAsia="en-US"/>
        </w:rPr>
      </w:pPr>
      <w:r w:rsidRPr="00385584">
        <w:rPr>
          <w:lang w:eastAsia="en-US"/>
        </w:rPr>
        <w:t xml:space="preserve">The Department </w:t>
      </w:r>
      <w:r w:rsidR="00434440">
        <w:rPr>
          <w:lang w:eastAsia="en-US"/>
        </w:rPr>
        <w:t>provided</w:t>
      </w:r>
      <w:r w:rsidRPr="00385584">
        <w:rPr>
          <w:lang w:eastAsia="en-US"/>
        </w:rPr>
        <w:t xml:space="preserve"> revised </w:t>
      </w:r>
      <w:r w:rsidR="00100DD8" w:rsidRPr="00385584">
        <w:rPr>
          <w:lang w:eastAsia="en-US"/>
        </w:rPr>
        <w:t>estimate</w:t>
      </w:r>
      <w:r w:rsidR="00434440">
        <w:rPr>
          <w:lang w:eastAsia="en-US"/>
        </w:rPr>
        <w:t>s of the</w:t>
      </w:r>
      <w:r w:rsidR="00100DD8" w:rsidRPr="00385584">
        <w:rPr>
          <w:lang w:eastAsia="en-US"/>
        </w:rPr>
        <w:t xml:space="preserve"> PBS usage and budget impact </w:t>
      </w:r>
      <w:r w:rsidR="00E03176" w:rsidRPr="00385584">
        <w:rPr>
          <w:lang w:eastAsia="en-US"/>
        </w:rPr>
        <w:t>for</w:t>
      </w:r>
      <w:r w:rsidR="00100DD8" w:rsidRPr="00385584">
        <w:rPr>
          <w:lang w:eastAsia="en-US"/>
        </w:rPr>
        <w:t xml:space="preserve"> </w:t>
      </w:r>
      <w:r w:rsidR="00470FD5" w:rsidRPr="00385584">
        <w:rPr>
          <w:lang w:eastAsia="en-US"/>
        </w:rPr>
        <w:t xml:space="preserve">the recommended </w:t>
      </w:r>
      <w:r w:rsidR="00100DD8" w:rsidRPr="00385584">
        <w:rPr>
          <w:lang w:eastAsia="en-US"/>
        </w:rPr>
        <w:t>expan</w:t>
      </w:r>
      <w:r w:rsidR="00CC1604" w:rsidRPr="00385584">
        <w:rPr>
          <w:lang w:eastAsia="en-US"/>
        </w:rPr>
        <w:t>sion</w:t>
      </w:r>
      <w:r w:rsidR="00100DD8" w:rsidRPr="00385584">
        <w:rPr>
          <w:lang w:eastAsia="en-US"/>
        </w:rPr>
        <w:t xml:space="preserve"> </w:t>
      </w:r>
      <w:r w:rsidR="00E83CFF" w:rsidRPr="00385584">
        <w:rPr>
          <w:lang w:eastAsia="en-US"/>
        </w:rPr>
        <w:t xml:space="preserve">of </w:t>
      </w:r>
      <w:r w:rsidR="00100DD8" w:rsidRPr="00385584">
        <w:rPr>
          <w:lang w:eastAsia="en-US"/>
        </w:rPr>
        <w:t xml:space="preserve">the </w:t>
      </w:r>
      <w:r w:rsidR="00E83CFF" w:rsidRPr="00385584">
        <w:rPr>
          <w:lang w:eastAsia="en-US"/>
        </w:rPr>
        <w:t xml:space="preserve">PBS listings for </w:t>
      </w:r>
      <w:r w:rsidR="00100DD8" w:rsidRPr="00385584">
        <w:rPr>
          <w:lang w:eastAsia="en-US"/>
        </w:rPr>
        <w:t xml:space="preserve">SGLT2 </w:t>
      </w:r>
      <w:r w:rsidR="00470FD5" w:rsidRPr="00385584">
        <w:rPr>
          <w:lang w:eastAsia="en-US"/>
        </w:rPr>
        <w:t>inhibitor</w:t>
      </w:r>
      <w:r w:rsidR="00E83CFF" w:rsidRPr="00385584">
        <w:rPr>
          <w:lang w:eastAsia="en-US"/>
        </w:rPr>
        <w:t>s</w:t>
      </w:r>
      <w:r w:rsidR="00100DD8" w:rsidRPr="00385584">
        <w:rPr>
          <w:lang w:eastAsia="en-US"/>
        </w:rPr>
        <w:t xml:space="preserve"> </w:t>
      </w:r>
      <w:r w:rsidR="00470FD5" w:rsidRPr="00385584">
        <w:rPr>
          <w:lang w:eastAsia="en-US"/>
        </w:rPr>
        <w:t>to include</w:t>
      </w:r>
      <w:r w:rsidR="00CC1604" w:rsidRPr="00385584">
        <w:rPr>
          <w:lang w:eastAsia="en-US"/>
        </w:rPr>
        <w:t xml:space="preserve"> patients with T2DM and </w:t>
      </w:r>
      <w:r w:rsidR="004523D6" w:rsidRPr="00385584">
        <w:rPr>
          <w:lang w:eastAsia="en-US"/>
        </w:rPr>
        <w:t xml:space="preserve">established CVD or </w:t>
      </w:r>
      <w:r w:rsidR="00CC1604" w:rsidRPr="00385584">
        <w:rPr>
          <w:lang w:eastAsia="en-US"/>
        </w:rPr>
        <w:t>high CV risk.</w:t>
      </w:r>
      <w:r w:rsidR="00470FD5" w:rsidRPr="00385584">
        <w:rPr>
          <w:lang w:eastAsia="en-US"/>
        </w:rPr>
        <w:t xml:space="preserve"> </w:t>
      </w:r>
    </w:p>
    <w:p w14:paraId="226ECC1B" w14:textId="72A2DE99" w:rsidR="00843BCC" w:rsidRPr="00385584" w:rsidRDefault="000F0E95" w:rsidP="00E61AE4">
      <w:pPr>
        <w:pStyle w:val="3Bodytext"/>
        <w:rPr>
          <w:lang w:eastAsia="en-US"/>
        </w:rPr>
      </w:pPr>
      <w:r w:rsidRPr="00385584">
        <w:rPr>
          <w:lang w:eastAsia="en-US"/>
        </w:rPr>
        <w:t xml:space="preserve">The net cost for the expanded SGLT2 inhibitor listings, in combination with a 15% price reduction to the current and expanded SGLT2 inhibitor listings, </w:t>
      </w:r>
      <w:r w:rsidR="00434440">
        <w:rPr>
          <w:lang w:eastAsia="en-US"/>
        </w:rPr>
        <w:t>was</w:t>
      </w:r>
      <w:r w:rsidRPr="00385584">
        <w:rPr>
          <w:lang w:eastAsia="en-US"/>
        </w:rPr>
        <w:t xml:space="preserve"> </w:t>
      </w:r>
      <w:r w:rsidRPr="00385584">
        <w:t>estimated to be $4.</w:t>
      </w:r>
      <w:r w:rsidR="00691B3E">
        <w:t>8</w:t>
      </w:r>
      <w:r w:rsidRPr="00385584">
        <w:t> million in 2024, increasing to $</w:t>
      </w:r>
      <w:r w:rsidR="00073A8C" w:rsidRPr="00385584">
        <w:t>1</w:t>
      </w:r>
      <w:r w:rsidR="00691B3E">
        <w:t>1</w:t>
      </w:r>
      <w:r w:rsidRPr="00385584">
        <w:t>.5 million in 2029 (total of $</w:t>
      </w:r>
      <w:r w:rsidR="00073A8C" w:rsidRPr="00385584">
        <w:t>4</w:t>
      </w:r>
      <w:r w:rsidR="00691B3E">
        <w:t>9.0</w:t>
      </w:r>
      <w:r w:rsidRPr="00385584">
        <w:t xml:space="preserve"> million over 2024-2029) (Table 2). </w:t>
      </w:r>
    </w:p>
    <w:p w14:paraId="454A68AF" w14:textId="77777777" w:rsidR="000F0E95" w:rsidRDefault="000F0E95" w:rsidP="001C64F0">
      <w:pPr>
        <w:pStyle w:val="3-BodyText"/>
        <w:keepNext/>
        <w:keepLines/>
        <w:numPr>
          <w:ilvl w:val="0"/>
          <w:numId w:val="0"/>
        </w:numPr>
        <w:spacing w:before="240" w:after="0"/>
        <w:rPr>
          <w:rFonts w:ascii="Arial Narrow" w:hAnsi="Arial Narrow" w:cs="Arial"/>
          <w:b/>
          <w:bCs/>
          <w:sz w:val="20"/>
          <w:szCs w:val="20"/>
        </w:rPr>
      </w:pPr>
      <w:r w:rsidRPr="002F4D85">
        <w:rPr>
          <w:rFonts w:ascii="Arial Narrow" w:hAnsi="Arial Narrow" w:cs="Arial"/>
          <w:b/>
          <w:bCs/>
          <w:sz w:val="20"/>
          <w:szCs w:val="20"/>
        </w:rPr>
        <w:t xml:space="preserve">Table </w:t>
      </w:r>
      <w:r>
        <w:rPr>
          <w:rFonts w:ascii="Arial Narrow" w:hAnsi="Arial Narrow" w:cs="Arial"/>
          <w:b/>
          <w:bCs/>
          <w:sz w:val="20"/>
          <w:szCs w:val="20"/>
        </w:rPr>
        <w:t>2</w:t>
      </w:r>
      <w:r w:rsidRPr="002F4D85">
        <w:rPr>
          <w:rFonts w:ascii="Arial Narrow" w:hAnsi="Arial Narrow" w:cs="Arial"/>
          <w:b/>
          <w:bCs/>
          <w:sz w:val="20"/>
          <w:szCs w:val="20"/>
        </w:rPr>
        <w:t xml:space="preserve">: </w:t>
      </w:r>
      <w:r w:rsidRPr="008523A7">
        <w:rPr>
          <w:rFonts w:ascii="Arial Narrow" w:hAnsi="Arial Narrow" w:cs="Arial"/>
          <w:b/>
          <w:bCs/>
          <w:sz w:val="20"/>
          <w:szCs w:val="20"/>
        </w:rPr>
        <w:t>Net cost</w:t>
      </w:r>
      <w:r w:rsidRPr="002F4D85">
        <w:rPr>
          <w:rFonts w:ascii="Arial Narrow" w:hAnsi="Arial Narrow" w:cs="Arial"/>
          <w:b/>
          <w:bCs/>
          <w:sz w:val="20"/>
          <w:szCs w:val="20"/>
        </w:rPr>
        <w:t xml:space="preserve"> to R/PBS for expanded SGLT2 inhibitor listing</w:t>
      </w:r>
      <w:r>
        <w:rPr>
          <w:rFonts w:ascii="Arial Narrow" w:hAnsi="Arial Narrow" w:cs="Arial"/>
          <w:b/>
          <w:bCs/>
          <w:sz w:val="20"/>
          <w:szCs w:val="20"/>
        </w:rPr>
        <w:t>, incorporating</w:t>
      </w:r>
      <w:r w:rsidRPr="002F4D85">
        <w:rPr>
          <w:rFonts w:ascii="Arial Narrow" w:hAnsi="Arial Narrow" w:cs="Arial"/>
          <w:b/>
          <w:bCs/>
          <w:sz w:val="20"/>
          <w:szCs w:val="20"/>
        </w:rPr>
        <w:t xml:space="preserve"> 15% price reduction </w:t>
      </w:r>
      <w:r>
        <w:rPr>
          <w:rFonts w:ascii="Arial Narrow" w:hAnsi="Arial Narrow" w:cs="Arial"/>
          <w:b/>
          <w:bCs/>
          <w:sz w:val="20"/>
          <w:szCs w:val="20"/>
        </w:rPr>
        <w:t xml:space="preserve">to the current and expanded T2DM market </w:t>
      </w:r>
      <w:r w:rsidRPr="002F4D85">
        <w:rPr>
          <w:rFonts w:ascii="Arial Narrow" w:hAnsi="Arial Narrow" w:cs="Arial"/>
          <w:b/>
          <w:bCs/>
          <w:sz w:val="20"/>
          <w:szCs w:val="20"/>
        </w:rPr>
        <w:t>– base case</w:t>
      </w:r>
    </w:p>
    <w:tbl>
      <w:tblPr>
        <w:tblStyle w:val="TableGrid"/>
        <w:tblW w:w="3273" w:type="pct"/>
        <w:tblLook w:val="04A0" w:firstRow="1" w:lastRow="0" w:firstColumn="1" w:lastColumn="0" w:noHBand="0" w:noVBand="1"/>
      </w:tblPr>
      <w:tblGrid>
        <w:gridCol w:w="2763"/>
        <w:gridCol w:w="3139"/>
      </w:tblGrid>
      <w:tr w:rsidR="001C64F0" w:rsidRPr="002F4D85" w14:paraId="3441792D" w14:textId="77777777" w:rsidTr="00CA4418">
        <w:trPr>
          <w:trHeight w:val="374"/>
        </w:trPr>
        <w:tc>
          <w:tcPr>
            <w:tcW w:w="2341" w:type="pct"/>
            <w:shd w:val="clear" w:color="auto" w:fill="D9D9D9" w:themeFill="background1" w:themeFillShade="D9"/>
            <w:vAlign w:val="center"/>
          </w:tcPr>
          <w:p w14:paraId="61EB1564" w14:textId="77777777" w:rsidR="001C64F0" w:rsidRPr="002F4D85" w:rsidRDefault="001C64F0" w:rsidP="007C7135">
            <w:pPr>
              <w:pStyle w:val="4Bodytextnumbered"/>
              <w:keepNext/>
              <w:keepLines/>
              <w:spacing w:before="40" w:afterLines="40" w:after="96"/>
              <w:ind w:left="0" w:firstLine="0"/>
              <w:jc w:val="center"/>
              <w:rPr>
                <w:rFonts w:ascii="Arial Narrow" w:hAnsi="Arial Narrow" w:cstheme="minorHAnsi"/>
                <w:b/>
                <w:bCs/>
                <w:sz w:val="20"/>
                <w:szCs w:val="20"/>
              </w:rPr>
            </w:pPr>
            <w:r w:rsidRPr="002F4D85">
              <w:rPr>
                <w:rFonts w:ascii="Arial Narrow" w:hAnsi="Arial Narrow" w:cstheme="minorHAnsi"/>
                <w:b/>
                <w:bCs/>
                <w:sz w:val="20"/>
                <w:szCs w:val="20"/>
              </w:rPr>
              <w:t>Year</w:t>
            </w:r>
          </w:p>
        </w:tc>
        <w:tc>
          <w:tcPr>
            <w:tcW w:w="2659" w:type="pct"/>
            <w:shd w:val="clear" w:color="auto" w:fill="D9D9D9" w:themeFill="background1" w:themeFillShade="D9"/>
            <w:vAlign w:val="center"/>
          </w:tcPr>
          <w:p w14:paraId="12A08CAD" w14:textId="77777777" w:rsidR="001C64F0" w:rsidRPr="002F4D85" w:rsidRDefault="001C64F0" w:rsidP="007C7135">
            <w:pPr>
              <w:pStyle w:val="4Bodytextnumbered"/>
              <w:keepNext/>
              <w:keepLines/>
              <w:spacing w:before="40" w:afterLines="40" w:after="96"/>
              <w:ind w:left="0" w:firstLine="0"/>
              <w:jc w:val="center"/>
              <w:rPr>
                <w:rFonts w:ascii="Arial Narrow" w:hAnsi="Arial Narrow" w:cstheme="minorHAnsi"/>
                <w:b/>
                <w:bCs/>
                <w:sz w:val="20"/>
                <w:szCs w:val="20"/>
              </w:rPr>
            </w:pPr>
            <w:r w:rsidRPr="002F4D85">
              <w:rPr>
                <w:rFonts w:ascii="Arial Narrow" w:hAnsi="Arial Narrow" w:cstheme="minorHAnsi"/>
                <w:b/>
                <w:bCs/>
                <w:sz w:val="20"/>
                <w:szCs w:val="20"/>
              </w:rPr>
              <w:t>Net R/PBS</w:t>
            </w:r>
            <w:r>
              <w:rPr>
                <w:rFonts w:ascii="Arial Narrow" w:hAnsi="Arial Narrow" w:cstheme="minorHAnsi"/>
                <w:b/>
                <w:bCs/>
                <w:sz w:val="20"/>
                <w:szCs w:val="20"/>
              </w:rPr>
              <w:t xml:space="preserve"> cost</w:t>
            </w:r>
          </w:p>
        </w:tc>
      </w:tr>
      <w:tr w:rsidR="000D1E5D" w:rsidRPr="002F4D85" w14:paraId="567958B4" w14:textId="77777777" w:rsidTr="00CA4418">
        <w:trPr>
          <w:trHeight w:val="374"/>
        </w:trPr>
        <w:tc>
          <w:tcPr>
            <w:tcW w:w="2341" w:type="pct"/>
            <w:vAlign w:val="center"/>
          </w:tcPr>
          <w:p w14:paraId="4ED29341" w14:textId="77777777" w:rsidR="000D1E5D" w:rsidRPr="002F4D85" w:rsidRDefault="000D1E5D" w:rsidP="000D1E5D">
            <w:pPr>
              <w:pStyle w:val="4Bodytextnumbered"/>
              <w:keepNext/>
              <w:keepLines/>
              <w:spacing w:before="40" w:afterLines="40" w:after="96"/>
              <w:ind w:left="0" w:firstLine="0"/>
              <w:jc w:val="center"/>
              <w:rPr>
                <w:rFonts w:ascii="Arial Narrow" w:hAnsi="Arial Narrow" w:cstheme="minorHAnsi"/>
                <w:sz w:val="20"/>
                <w:szCs w:val="20"/>
              </w:rPr>
            </w:pPr>
            <w:r w:rsidRPr="002F4D85">
              <w:rPr>
                <w:rFonts w:ascii="Arial Narrow" w:hAnsi="Arial Narrow" w:cstheme="minorHAnsi"/>
                <w:sz w:val="20"/>
                <w:szCs w:val="20"/>
              </w:rPr>
              <w:t>2024</w:t>
            </w:r>
          </w:p>
        </w:tc>
        <w:tc>
          <w:tcPr>
            <w:tcW w:w="2659" w:type="pct"/>
            <w:shd w:val="clear" w:color="auto" w:fill="auto"/>
            <w:vAlign w:val="center"/>
          </w:tcPr>
          <w:p w14:paraId="7F6811A1" w14:textId="5A23F35B" w:rsidR="000D1E5D" w:rsidRPr="000D1E5D" w:rsidRDefault="000D1E5D" w:rsidP="000D1E5D">
            <w:pPr>
              <w:pStyle w:val="TableText0"/>
              <w:keepLines/>
              <w:spacing w:before="40" w:afterLines="40" w:after="96"/>
              <w:jc w:val="center"/>
              <w:rPr>
                <w:rFonts w:cs="Arial"/>
                <w:szCs w:val="20"/>
                <w:highlight w:val="lightGray"/>
              </w:rPr>
            </w:pPr>
            <w:r w:rsidRPr="000D1E5D">
              <w:rPr>
                <w:rFonts w:cs="Arial"/>
                <w:color w:val="000000"/>
                <w:kern w:val="24"/>
                <w:szCs w:val="20"/>
              </w:rPr>
              <w:t>$4,787,464</w:t>
            </w:r>
          </w:p>
        </w:tc>
      </w:tr>
      <w:tr w:rsidR="000D1E5D" w:rsidRPr="002F4D85" w14:paraId="617FE9A5" w14:textId="77777777" w:rsidTr="00CA4418">
        <w:trPr>
          <w:trHeight w:val="374"/>
        </w:trPr>
        <w:tc>
          <w:tcPr>
            <w:tcW w:w="2341" w:type="pct"/>
            <w:vAlign w:val="center"/>
          </w:tcPr>
          <w:p w14:paraId="084CDE1E" w14:textId="77777777" w:rsidR="000D1E5D" w:rsidRPr="002F4D85" w:rsidRDefault="000D1E5D" w:rsidP="000D1E5D">
            <w:pPr>
              <w:pStyle w:val="4Bodytextnumbered"/>
              <w:keepNext/>
              <w:keepLines/>
              <w:spacing w:before="40" w:afterLines="40" w:after="96"/>
              <w:ind w:left="0" w:firstLine="0"/>
              <w:jc w:val="center"/>
              <w:rPr>
                <w:rFonts w:ascii="Arial Narrow" w:hAnsi="Arial Narrow" w:cstheme="minorHAnsi"/>
                <w:sz w:val="20"/>
                <w:szCs w:val="20"/>
              </w:rPr>
            </w:pPr>
            <w:r w:rsidRPr="002F4D85">
              <w:rPr>
                <w:rFonts w:ascii="Arial Narrow" w:hAnsi="Arial Narrow" w:cstheme="minorHAnsi"/>
                <w:sz w:val="20"/>
                <w:szCs w:val="20"/>
              </w:rPr>
              <w:t>2025</w:t>
            </w:r>
          </w:p>
        </w:tc>
        <w:tc>
          <w:tcPr>
            <w:tcW w:w="2659" w:type="pct"/>
            <w:shd w:val="clear" w:color="auto" w:fill="auto"/>
            <w:vAlign w:val="center"/>
          </w:tcPr>
          <w:p w14:paraId="07F1C785" w14:textId="303BDF19" w:rsidR="000D1E5D" w:rsidRPr="000D1E5D" w:rsidRDefault="000D1E5D" w:rsidP="000D1E5D">
            <w:pPr>
              <w:pStyle w:val="TableText0"/>
              <w:keepLines/>
              <w:spacing w:before="40" w:afterLines="40" w:after="96"/>
              <w:jc w:val="center"/>
              <w:rPr>
                <w:rFonts w:cs="Arial"/>
                <w:szCs w:val="20"/>
                <w:highlight w:val="lightGray"/>
              </w:rPr>
            </w:pPr>
            <w:r w:rsidRPr="000D1E5D">
              <w:rPr>
                <w:rFonts w:cs="Arial"/>
                <w:color w:val="000000"/>
                <w:kern w:val="24"/>
                <w:szCs w:val="20"/>
              </w:rPr>
              <w:t>$5,530,583</w:t>
            </w:r>
          </w:p>
        </w:tc>
      </w:tr>
      <w:tr w:rsidR="000D1E5D" w:rsidRPr="002F4D85" w14:paraId="53774B0D" w14:textId="77777777" w:rsidTr="00CA4418">
        <w:trPr>
          <w:trHeight w:val="362"/>
        </w:trPr>
        <w:tc>
          <w:tcPr>
            <w:tcW w:w="2341" w:type="pct"/>
            <w:vAlign w:val="center"/>
          </w:tcPr>
          <w:p w14:paraId="03333EDB" w14:textId="77777777" w:rsidR="000D1E5D" w:rsidRPr="002F4D85" w:rsidRDefault="000D1E5D" w:rsidP="000D1E5D">
            <w:pPr>
              <w:pStyle w:val="4Bodytextnumbered"/>
              <w:keepNext/>
              <w:keepLines/>
              <w:spacing w:before="40" w:afterLines="40" w:after="96"/>
              <w:ind w:left="0" w:firstLine="0"/>
              <w:jc w:val="center"/>
              <w:rPr>
                <w:rFonts w:ascii="Arial Narrow" w:hAnsi="Arial Narrow" w:cstheme="minorHAnsi"/>
                <w:sz w:val="20"/>
                <w:szCs w:val="20"/>
              </w:rPr>
            </w:pPr>
            <w:r w:rsidRPr="002F4D85">
              <w:rPr>
                <w:rFonts w:ascii="Arial Narrow" w:hAnsi="Arial Narrow" w:cstheme="minorHAnsi"/>
                <w:sz w:val="20"/>
                <w:szCs w:val="20"/>
              </w:rPr>
              <w:t>2026</w:t>
            </w:r>
          </w:p>
        </w:tc>
        <w:tc>
          <w:tcPr>
            <w:tcW w:w="2659" w:type="pct"/>
            <w:shd w:val="clear" w:color="auto" w:fill="auto"/>
            <w:vAlign w:val="center"/>
          </w:tcPr>
          <w:p w14:paraId="5FFEF7DA" w14:textId="03EA9149" w:rsidR="000D1E5D" w:rsidRPr="000D1E5D" w:rsidRDefault="000D1E5D" w:rsidP="000D1E5D">
            <w:pPr>
              <w:pStyle w:val="TableText0"/>
              <w:keepLines/>
              <w:spacing w:before="40" w:afterLines="40" w:after="96"/>
              <w:jc w:val="center"/>
              <w:rPr>
                <w:rFonts w:cs="Arial"/>
                <w:szCs w:val="20"/>
                <w:highlight w:val="lightGray"/>
              </w:rPr>
            </w:pPr>
            <w:r w:rsidRPr="000D1E5D">
              <w:rPr>
                <w:rFonts w:cs="Arial"/>
                <w:color w:val="000000"/>
                <w:kern w:val="24"/>
                <w:szCs w:val="20"/>
              </w:rPr>
              <w:t>$6,905,462</w:t>
            </w:r>
          </w:p>
        </w:tc>
      </w:tr>
      <w:tr w:rsidR="000D1E5D" w:rsidRPr="002F4D85" w14:paraId="78368E03" w14:textId="77777777" w:rsidTr="00CA4418">
        <w:trPr>
          <w:trHeight w:val="374"/>
        </w:trPr>
        <w:tc>
          <w:tcPr>
            <w:tcW w:w="2341" w:type="pct"/>
            <w:vAlign w:val="center"/>
          </w:tcPr>
          <w:p w14:paraId="22870EF0" w14:textId="77777777" w:rsidR="000D1E5D" w:rsidRPr="002F4D85" w:rsidRDefault="000D1E5D" w:rsidP="000D1E5D">
            <w:pPr>
              <w:pStyle w:val="4Bodytextnumbered"/>
              <w:keepNext/>
              <w:keepLines/>
              <w:spacing w:before="40" w:afterLines="40" w:after="96"/>
              <w:ind w:left="0" w:firstLine="0"/>
              <w:jc w:val="center"/>
              <w:rPr>
                <w:rFonts w:ascii="Arial Narrow" w:hAnsi="Arial Narrow" w:cstheme="minorHAnsi"/>
                <w:sz w:val="20"/>
                <w:szCs w:val="20"/>
              </w:rPr>
            </w:pPr>
            <w:r w:rsidRPr="002F4D85">
              <w:rPr>
                <w:rFonts w:ascii="Arial Narrow" w:hAnsi="Arial Narrow" w:cstheme="minorHAnsi"/>
                <w:sz w:val="20"/>
                <w:szCs w:val="20"/>
              </w:rPr>
              <w:t>2027</w:t>
            </w:r>
          </w:p>
        </w:tc>
        <w:tc>
          <w:tcPr>
            <w:tcW w:w="2659" w:type="pct"/>
            <w:shd w:val="clear" w:color="auto" w:fill="auto"/>
            <w:vAlign w:val="center"/>
          </w:tcPr>
          <w:p w14:paraId="3254BF2A" w14:textId="58D450C5" w:rsidR="000D1E5D" w:rsidRPr="000D1E5D" w:rsidRDefault="000D1E5D" w:rsidP="000D1E5D">
            <w:pPr>
              <w:pStyle w:val="TableText0"/>
              <w:keepLines/>
              <w:spacing w:before="40" w:afterLines="40" w:after="96"/>
              <w:jc w:val="center"/>
              <w:rPr>
                <w:rFonts w:cs="Arial"/>
                <w:szCs w:val="20"/>
                <w:highlight w:val="lightGray"/>
              </w:rPr>
            </w:pPr>
            <w:r w:rsidRPr="000D1E5D">
              <w:rPr>
                <w:rFonts w:cs="Arial"/>
                <w:color w:val="000000"/>
                <w:kern w:val="24"/>
                <w:szCs w:val="20"/>
              </w:rPr>
              <w:t>$8,780,590</w:t>
            </w:r>
          </w:p>
        </w:tc>
      </w:tr>
      <w:tr w:rsidR="000D1E5D" w:rsidRPr="002F4D85" w14:paraId="26BC0BFB" w14:textId="77777777" w:rsidTr="00CA4418">
        <w:trPr>
          <w:trHeight w:val="374"/>
        </w:trPr>
        <w:tc>
          <w:tcPr>
            <w:tcW w:w="2341" w:type="pct"/>
            <w:vAlign w:val="center"/>
          </w:tcPr>
          <w:p w14:paraId="5FF30E89" w14:textId="77777777" w:rsidR="000D1E5D" w:rsidRPr="002F4D85" w:rsidRDefault="000D1E5D" w:rsidP="000D1E5D">
            <w:pPr>
              <w:pStyle w:val="4Bodytextnumbered"/>
              <w:keepNext/>
              <w:keepLines/>
              <w:spacing w:before="40" w:afterLines="40" w:after="96"/>
              <w:ind w:left="0" w:firstLine="0"/>
              <w:jc w:val="center"/>
              <w:rPr>
                <w:rFonts w:ascii="Arial Narrow" w:hAnsi="Arial Narrow" w:cstheme="minorHAnsi"/>
                <w:sz w:val="20"/>
                <w:szCs w:val="20"/>
              </w:rPr>
            </w:pPr>
            <w:r w:rsidRPr="002F4D85">
              <w:rPr>
                <w:rFonts w:ascii="Arial Narrow" w:hAnsi="Arial Narrow" w:cstheme="minorHAnsi"/>
                <w:sz w:val="20"/>
                <w:szCs w:val="20"/>
              </w:rPr>
              <w:t>2028</w:t>
            </w:r>
          </w:p>
        </w:tc>
        <w:tc>
          <w:tcPr>
            <w:tcW w:w="2659" w:type="pct"/>
            <w:shd w:val="clear" w:color="auto" w:fill="auto"/>
            <w:vAlign w:val="center"/>
          </w:tcPr>
          <w:p w14:paraId="0A818AF2" w14:textId="642B78B2" w:rsidR="000D1E5D" w:rsidRPr="000D1E5D" w:rsidRDefault="000D1E5D" w:rsidP="000D1E5D">
            <w:pPr>
              <w:pStyle w:val="TableText0"/>
              <w:keepLines/>
              <w:spacing w:before="40" w:afterLines="40" w:after="96"/>
              <w:jc w:val="center"/>
              <w:rPr>
                <w:rFonts w:cs="Arial"/>
                <w:szCs w:val="20"/>
                <w:highlight w:val="lightGray"/>
              </w:rPr>
            </w:pPr>
            <w:r w:rsidRPr="000D1E5D">
              <w:rPr>
                <w:rFonts w:cs="Arial"/>
                <w:color w:val="000000"/>
                <w:kern w:val="24"/>
                <w:szCs w:val="20"/>
              </w:rPr>
              <w:t>$11,504,585</w:t>
            </w:r>
          </w:p>
        </w:tc>
      </w:tr>
      <w:tr w:rsidR="000D1E5D" w:rsidRPr="002F4D85" w14:paraId="00546710" w14:textId="77777777" w:rsidTr="00CA4418">
        <w:trPr>
          <w:trHeight w:val="374"/>
        </w:trPr>
        <w:tc>
          <w:tcPr>
            <w:tcW w:w="2341" w:type="pct"/>
            <w:vAlign w:val="center"/>
          </w:tcPr>
          <w:p w14:paraId="4473A92A" w14:textId="20F6CCD6" w:rsidR="000D1E5D" w:rsidRPr="002F4D85" w:rsidRDefault="000D1E5D" w:rsidP="000D1E5D">
            <w:pPr>
              <w:pStyle w:val="4Bodytextnumbered"/>
              <w:keepNext/>
              <w:keepLines/>
              <w:spacing w:before="40" w:afterLines="40" w:after="96"/>
              <w:ind w:left="0" w:firstLine="0"/>
              <w:jc w:val="center"/>
              <w:rPr>
                <w:rFonts w:ascii="Arial Narrow" w:hAnsi="Arial Narrow" w:cstheme="minorHAnsi"/>
                <w:sz w:val="20"/>
                <w:szCs w:val="20"/>
              </w:rPr>
            </w:pPr>
            <w:r>
              <w:rPr>
                <w:rFonts w:ascii="Arial Narrow" w:hAnsi="Arial Narrow" w:cstheme="minorHAnsi"/>
                <w:sz w:val="20"/>
                <w:szCs w:val="20"/>
              </w:rPr>
              <w:t>2029</w:t>
            </w:r>
          </w:p>
        </w:tc>
        <w:tc>
          <w:tcPr>
            <w:tcW w:w="2659" w:type="pct"/>
            <w:shd w:val="clear" w:color="auto" w:fill="auto"/>
            <w:vAlign w:val="center"/>
          </w:tcPr>
          <w:p w14:paraId="242D7E56" w14:textId="72C22A6A" w:rsidR="000D1E5D" w:rsidRPr="000D1E5D" w:rsidRDefault="000D1E5D" w:rsidP="000D1E5D">
            <w:pPr>
              <w:pStyle w:val="TableText0"/>
              <w:keepLines/>
              <w:spacing w:before="40" w:afterLines="40" w:after="96"/>
              <w:jc w:val="center"/>
              <w:rPr>
                <w:szCs w:val="20"/>
              </w:rPr>
            </w:pPr>
            <w:r w:rsidRPr="000D1E5D">
              <w:rPr>
                <w:rFonts w:cs="Arial"/>
                <w:color w:val="000000"/>
                <w:kern w:val="24"/>
                <w:szCs w:val="20"/>
              </w:rPr>
              <w:t>$11,489,748</w:t>
            </w:r>
          </w:p>
        </w:tc>
      </w:tr>
      <w:tr w:rsidR="000D1E5D" w:rsidRPr="00073A8C" w14:paraId="5ABFC642" w14:textId="77777777" w:rsidTr="00CA4418">
        <w:trPr>
          <w:trHeight w:val="362"/>
        </w:trPr>
        <w:tc>
          <w:tcPr>
            <w:tcW w:w="2341" w:type="pct"/>
            <w:shd w:val="clear" w:color="auto" w:fill="D9D9D9" w:themeFill="background1" w:themeFillShade="D9"/>
            <w:vAlign w:val="center"/>
          </w:tcPr>
          <w:p w14:paraId="17245A27" w14:textId="77777777" w:rsidR="000D1E5D" w:rsidRPr="002F4D85" w:rsidRDefault="000D1E5D" w:rsidP="000D1E5D">
            <w:pPr>
              <w:pStyle w:val="4Bodytextnumbered"/>
              <w:keepNext/>
              <w:keepLines/>
              <w:spacing w:before="40" w:afterLines="40" w:after="96"/>
              <w:ind w:left="0" w:firstLine="0"/>
              <w:jc w:val="center"/>
              <w:rPr>
                <w:rFonts w:ascii="Arial Narrow" w:hAnsi="Arial Narrow" w:cstheme="minorHAnsi"/>
                <w:b/>
                <w:bCs/>
                <w:sz w:val="20"/>
                <w:szCs w:val="20"/>
              </w:rPr>
            </w:pPr>
            <w:r w:rsidRPr="002F4D85">
              <w:rPr>
                <w:rFonts w:ascii="Arial Narrow" w:hAnsi="Arial Narrow" w:cstheme="minorHAnsi"/>
                <w:b/>
                <w:bCs/>
                <w:sz w:val="20"/>
                <w:szCs w:val="20"/>
              </w:rPr>
              <w:t>Total</w:t>
            </w:r>
          </w:p>
        </w:tc>
        <w:tc>
          <w:tcPr>
            <w:tcW w:w="2659" w:type="pct"/>
            <w:shd w:val="clear" w:color="auto" w:fill="D9D9D9" w:themeFill="background1" w:themeFillShade="D9"/>
            <w:vAlign w:val="center"/>
          </w:tcPr>
          <w:p w14:paraId="68A345F5" w14:textId="1DE217FA" w:rsidR="000D1E5D" w:rsidRPr="000D1E5D" w:rsidRDefault="000D1E5D" w:rsidP="000D1E5D">
            <w:pPr>
              <w:pStyle w:val="TableText0"/>
              <w:keepLines/>
              <w:spacing w:before="40" w:afterLines="40" w:after="96"/>
              <w:jc w:val="center"/>
              <w:rPr>
                <w:rFonts w:cs="Arial"/>
                <w:b/>
                <w:bCs w:val="0"/>
                <w:szCs w:val="20"/>
                <w:highlight w:val="lightGray"/>
              </w:rPr>
            </w:pPr>
            <w:r w:rsidRPr="000D1E5D">
              <w:rPr>
                <w:rFonts w:cs="Arial"/>
                <w:b/>
                <w:bCs w:val="0"/>
                <w:color w:val="000000"/>
                <w:kern w:val="24"/>
                <w:szCs w:val="20"/>
              </w:rPr>
              <w:t>$48,998,432</w:t>
            </w:r>
          </w:p>
        </w:tc>
      </w:tr>
    </w:tbl>
    <w:p w14:paraId="412DD622" w14:textId="61ECB9CA" w:rsidR="00523F53" w:rsidRDefault="00FD4BE1" w:rsidP="00EC7BD9">
      <w:pPr>
        <w:pStyle w:val="3Bodytext"/>
        <w:rPr>
          <w:lang w:eastAsia="en-US"/>
        </w:rPr>
      </w:pPr>
      <w:r>
        <w:t>For comparison, the March 2022 estimated budget impact was $85.2 million in 2024, increasing to $157.6 million in 2028 (total of $605.8 million over 2024-2028).</w:t>
      </w:r>
      <w:r w:rsidR="00EC7BD9">
        <w:rPr>
          <w:lang w:eastAsia="en-US"/>
        </w:rPr>
        <w:t xml:space="preserve"> </w:t>
      </w:r>
      <w:r w:rsidR="00523F53">
        <w:rPr>
          <w:lang w:eastAsia="en-US"/>
        </w:rPr>
        <w:t>The</w:t>
      </w:r>
      <w:r w:rsidR="00EC7BD9">
        <w:rPr>
          <w:lang w:eastAsia="en-US"/>
        </w:rPr>
        <w:t xml:space="preserve">se </w:t>
      </w:r>
      <w:r w:rsidR="00DC7E7B">
        <w:rPr>
          <w:lang w:eastAsia="en-US"/>
        </w:rPr>
        <w:t xml:space="preserve">estimates </w:t>
      </w:r>
      <w:r w:rsidR="00670990">
        <w:rPr>
          <w:lang w:eastAsia="en-US"/>
        </w:rPr>
        <w:t xml:space="preserve">were based on </w:t>
      </w:r>
      <w:r w:rsidR="004523D6">
        <w:rPr>
          <w:lang w:eastAsia="en-US"/>
        </w:rPr>
        <w:t xml:space="preserve">a </w:t>
      </w:r>
      <w:r w:rsidR="009579EA">
        <w:rPr>
          <w:lang w:eastAsia="en-US"/>
        </w:rPr>
        <w:t xml:space="preserve">linear </w:t>
      </w:r>
      <w:r w:rsidR="00670990">
        <w:rPr>
          <w:lang w:eastAsia="en-US"/>
        </w:rPr>
        <w:t xml:space="preserve">projection of the patient population </w:t>
      </w:r>
      <w:r w:rsidR="009058C4">
        <w:rPr>
          <w:lang w:eastAsia="en-US"/>
        </w:rPr>
        <w:t>currently on regimens containing only metformin</w:t>
      </w:r>
      <w:r w:rsidR="00893884">
        <w:rPr>
          <w:lang w:eastAsia="en-US"/>
        </w:rPr>
        <w:t>,</w:t>
      </w:r>
      <w:r w:rsidR="009058C4">
        <w:rPr>
          <w:lang w:eastAsia="en-US"/>
        </w:rPr>
        <w:t xml:space="preserve"> or metformin plus a</w:t>
      </w:r>
      <w:r w:rsidR="008C6A01">
        <w:rPr>
          <w:lang w:eastAsia="en-US"/>
        </w:rPr>
        <w:t xml:space="preserve"> SU</w:t>
      </w:r>
      <w:r w:rsidR="00DC7E7B">
        <w:rPr>
          <w:lang w:eastAsia="en-US"/>
        </w:rPr>
        <w:t>.</w:t>
      </w:r>
      <w:r w:rsidR="009058C4">
        <w:rPr>
          <w:lang w:eastAsia="en-US"/>
        </w:rPr>
        <w:t xml:space="preserve"> The </w:t>
      </w:r>
      <w:r w:rsidR="007747AF">
        <w:rPr>
          <w:lang w:eastAsia="en-US"/>
        </w:rPr>
        <w:t>estimates assumed an uptake rate of 50% in the first y</w:t>
      </w:r>
      <w:r w:rsidR="00893884">
        <w:rPr>
          <w:lang w:eastAsia="en-US"/>
        </w:rPr>
        <w:t>e</w:t>
      </w:r>
      <w:r w:rsidR="007747AF">
        <w:rPr>
          <w:lang w:eastAsia="en-US"/>
        </w:rPr>
        <w:t>ar of listing, increasing by 10% per annum to a rate of 90%</w:t>
      </w:r>
      <w:r w:rsidR="001C5B5F">
        <w:rPr>
          <w:lang w:eastAsia="en-US"/>
        </w:rPr>
        <w:t>.</w:t>
      </w:r>
      <w:r w:rsidR="00DC7E7B">
        <w:rPr>
          <w:lang w:eastAsia="en-US"/>
        </w:rPr>
        <w:t xml:space="preserve"> Both the DUSC and </w:t>
      </w:r>
      <w:r w:rsidR="008015BF">
        <w:rPr>
          <w:lang w:eastAsia="en-US"/>
        </w:rPr>
        <w:t xml:space="preserve">the </w:t>
      </w:r>
      <w:r w:rsidR="00DC7E7B">
        <w:rPr>
          <w:lang w:eastAsia="en-US"/>
        </w:rPr>
        <w:t xml:space="preserve">PBAC noted the high uncertainty in </w:t>
      </w:r>
      <w:r w:rsidR="004523D6">
        <w:rPr>
          <w:lang w:eastAsia="en-US"/>
        </w:rPr>
        <w:t xml:space="preserve">the </w:t>
      </w:r>
      <w:r w:rsidR="00662236">
        <w:rPr>
          <w:lang w:eastAsia="en-US"/>
        </w:rPr>
        <w:t xml:space="preserve">estimated population </w:t>
      </w:r>
      <w:r w:rsidR="00107F12">
        <w:rPr>
          <w:lang w:eastAsia="en-US"/>
        </w:rPr>
        <w:t xml:space="preserve">and </w:t>
      </w:r>
      <w:r w:rsidR="00DC7E7B">
        <w:rPr>
          <w:lang w:eastAsia="en-US"/>
        </w:rPr>
        <w:t>fina</w:t>
      </w:r>
      <w:r w:rsidR="00D7282A">
        <w:rPr>
          <w:lang w:eastAsia="en-US"/>
        </w:rPr>
        <w:t>ncial estimates</w:t>
      </w:r>
      <w:r w:rsidR="00BD6F1F">
        <w:rPr>
          <w:lang w:eastAsia="en-US"/>
        </w:rPr>
        <w:t xml:space="preserve">. </w:t>
      </w:r>
      <w:r w:rsidR="00F32337">
        <w:rPr>
          <w:lang w:eastAsia="en-US"/>
        </w:rPr>
        <w:t xml:space="preserve"> </w:t>
      </w:r>
    </w:p>
    <w:p w14:paraId="687C9F48" w14:textId="22269420" w:rsidR="004D0652" w:rsidRDefault="00F06133" w:rsidP="008F1FB2">
      <w:pPr>
        <w:pStyle w:val="3Bodytext"/>
        <w:rPr>
          <w:lang w:eastAsia="en-US"/>
        </w:rPr>
      </w:pPr>
      <w:r>
        <w:rPr>
          <w:lang w:eastAsia="en-US"/>
        </w:rPr>
        <w:lastRenderedPageBreak/>
        <w:t>The March 2022 fi</w:t>
      </w:r>
      <w:r w:rsidR="009B3090">
        <w:rPr>
          <w:lang w:eastAsia="en-US"/>
        </w:rPr>
        <w:t xml:space="preserve">nancial estimates did not consider </w:t>
      </w:r>
      <w:r w:rsidR="004D0652">
        <w:rPr>
          <w:lang w:eastAsia="en-US"/>
        </w:rPr>
        <w:t xml:space="preserve">several </w:t>
      </w:r>
      <w:r w:rsidR="009B3090">
        <w:rPr>
          <w:lang w:eastAsia="en-US"/>
        </w:rPr>
        <w:t xml:space="preserve">important factors that may limit the size of the population </w:t>
      </w:r>
      <w:r w:rsidR="00801BD3">
        <w:rPr>
          <w:lang w:eastAsia="en-US"/>
        </w:rPr>
        <w:t xml:space="preserve">eligible </w:t>
      </w:r>
      <w:r w:rsidR="0092799E">
        <w:rPr>
          <w:lang w:eastAsia="en-US"/>
        </w:rPr>
        <w:t xml:space="preserve">to access SGLT2 inhibitor therapy </w:t>
      </w:r>
      <w:r w:rsidR="00801BD3">
        <w:rPr>
          <w:lang w:eastAsia="en-US"/>
        </w:rPr>
        <w:t>under the expanded restrictions</w:t>
      </w:r>
      <w:r w:rsidR="00B263E8">
        <w:rPr>
          <w:lang w:eastAsia="en-US"/>
        </w:rPr>
        <w:t xml:space="preserve">: </w:t>
      </w:r>
    </w:p>
    <w:p w14:paraId="532B2BDA" w14:textId="77777777" w:rsidR="001C64F0" w:rsidRDefault="004D0652" w:rsidP="001C64F0">
      <w:pPr>
        <w:pStyle w:val="3Bodytext"/>
        <w:numPr>
          <w:ilvl w:val="0"/>
          <w:numId w:val="6"/>
        </w:numPr>
        <w:rPr>
          <w:lang w:eastAsia="en-US"/>
        </w:rPr>
      </w:pPr>
      <w:r>
        <w:rPr>
          <w:lang w:eastAsia="en-US"/>
        </w:rPr>
        <w:t>the proportion of patients with CVD or high CV risk</w:t>
      </w:r>
    </w:p>
    <w:p w14:paraId="68596718" w14:textId="77777777" w:rsidR="001C64F0" w:rsidRDefault="00B263E8" w:rsidP="001C64F0">
      <w:pPr>
        <w:pStyle w:val="3Bodytext"/>
        <w:numPr>
          <w:ilvl w:val="0"/>
          <w:numId w:val="6"/>
        </w:numPr>
        <w:rPr>
          <w:lang w:eastAsia="en-US"/>
        </w:rPr>
      </w:pPr>
      <w:r>
        <w:rPr>
          <w:lang w:eastAsia="en-US"/>
        </w:rPr>
        <w:t xml:space="preserve">the </w:t>
      </w:r>
      <w:r w:rsidR="00F32337">
        <w:rPr>
          <w:lang w:eastAsia="en-US"/>
        </w:rPr>
        <w:t xml:space="preserve">current </w:t>
      </w:r>
      <w:r w:rsidR="006311EF">
        <w:rPr>
          <w:lang w:eastAsia="en-US"/>
        </w:rPr>
        <w:t>H</w:t>
      </w:r>
      <w:r w:rsidR="00371402">
        <w:rPr>
          <w:lang w:eastAsia="en-US"/>
        </w:rPr>
        <w:t>b</w:t>
      </w:r>
      <w:r w:rsidR="006311EF">
        <w:rPr>
          <w:lang w:eastAsia="en-US"/>
        </w:rPr>
        <w:t xml:space="preserve">A1c of </w:t>
      </w:r>
      <w:r>
        <w:rPr>
          <w:lang w:eastAsia="en-US"/>
        </w:rPr>
        <w:t xml:space="preserve">T2DM </w:t>
      </w:r>
      <w:r w:rsidR="006311EF">
        <w:rPr>
          <w:lang w:eastAsia="en-US"/>
        </w:rPr>
        <w:t xml:space="preserve">patients </w:t>
      </w:r>
      <w:r w:rsidR="004523D6">
        <w:rPr>
          <w:lang w:eastAsia="en-US"/>
        </w:rPr>
        <w:t xml:space="preserve">in Australia </w:t>
      </w:r>
      <w:r w:rsidR="009213F8">
        <w:rPr>
          <w:lang w:eastAsia="en-US"/>
        </w:rPr>
        <w:t>on metformin monotherapy</w:t>
      </w:r>
    </w:p>
    <w:p w14:paraId="2E3B6460" w14:textId="77777777" w:rsidR="001C64F0" w:rsidRDefault="00B263E8" w:rsidP="001C64F0">
      <w:pPr>
        <w:pStyle w:val="3Bodytext"/>
        <w:numPr>
          <w:ilvl w:val="0"/>
          <w:numId w:val="6"/>
        </w:numPr>
        <w:rPr>
          <w:lang w:eastAsia="en-US"/>
        </w:rPr>
      </w:pPr>
      <w:r>
        <w:rPr>
          <w:lang w:eastAsia="en-US"/>
        </w:rPr>
        <w:t xml:space="preserve">the </w:t>
      </w:r>
      <w:r w:rsidR="00D371CE">
        <w:rPr>
          <w:lang w:eastAsia="en-US"/>
        </w:rPr>
        <w:t>progressive nature of T2DM</w:t>
      </w:r>
      <w:r w:rsidR="00AB1866">
        <w:rPr>
          <w:lang w:eastAsia="en-US"/>
        </w:rPr>
        <w:t xml:space="preserve"> which means that </w:t>
      </w:r>
      <w:r>
        <w:rPr>
          <w:lang w:eastAsia="en-US"/>
        </w:rPr>
        <w:t>HbA1c</w:t>
      </w:r>
      <w:r w:rsidR="00D371CE">
        <w:rPr>
          <w:lang w:eastAsia="en-US"/>
        </w:rPr>
        <w:t xml:space="preserve"> </w:t>
      </w:r>
      <w:r w:rsidR="00AB1866">
        <w:rPr>
          <w:lang w:eastAsia="en-US"/>
        </w:rPr>
        <w:t xml:space="preserve">tends to </w:t>
      </w:r>
      <w:r w:rsidR="00D371CE">
        <w:rPr>
          <w:lang w:eastAsia="en-US"/>
        </w:rPr>
        <w:t>increase over time</w:t>
      </w:r>
      <w:r w:rsidR="00D60A55">
        <w:rPr>
          <w:lang w:eastAsia="en-US"/>
        </w:rPr>
        <w:t xml:space="preserve"> in the absence of </w:t>
      </w:r>
      <w:r w:rsidR="005E63F4">
        <w:rPr>
          <w:lang w:eastAsia="en-US"/>
        </w:rPr>
        <w:t>therapy changes</w:t>
      </w:r>
    </w:p>
    <w:p w14:paraId="6CD05A27" w14:textId="77777777" w:rsidR="001C64F0" w:rsidRDefault="00F21D98" w:rsidP="001C64F0">
      <w:pPr>
        <w:pStyle w:val="3Bodytext"/>
        <w:numPr>
          <w:ilvl w:val="0"/>
          <w:numId w:val="6"/>
        </w:numPr>
        <w:rPr>
          <w:lang w:eastAsia="en-US"/>
        </w:rPr>
      </w:pPr>
      <w:r>
        <w:rPr>
          <w:lang w:eastAsia="en-US"/>
        </w:rPr>
        <w:t>clinical inertia and the appropriateness of treating patients with HbA1c &lt;7%</w:t>
      </w:r>
      <w:r w:rsidR="00D371CE">
        <w:rPr>
          <w:lang w:eastAsia="en-US"/>
        </w:rPr>
        <w:t>.</w:t>
      </w:r>
    </w:p>
    <w:p w14:paraId="61C77F09" w14:textId="0F7A1484" w:rsidR="00E5431D" w:rsidRDefault="00E5431D" w:rsidP="00D966F1">
      <w:pPr>
        <w:pStyle w:val="5-SubsectionSubheading"/>
        <w:rPr>
          <w:lang w:eastAsia="en-US"/>
        </w:rPr>
      </w:pPr>
      <w:r>
        <w:rPr>
          <w:lang w:eastAsia="en-US"/>
        </w:rPr>
        <w:t>Eligible patient population –</w:t>
      </w:r>
      <w:r w:rsidR="00063220">
        <w:rPr>
          <w:lang w:eastAsia="en-US"/>
        </w:rPr>
        <w:t xml:space="preserve"> P</w:t>
      </w:r>
      <w:r>
        <w:rPr>
          <w:lang w:eastAsia="en-US"/>
        </w:rPr>
        <w:t xml:space="preserve">atients on </w:t>
      </w:r>
      <w:r w:rsidR="00735EF0">
        <w:rPr>
          <w:lang w:eastAsia="en-US"/>
        </w:rPr>
        <w:t>metformin</w:t>
      </w:r>
      <w:r>
        <w:rPr>
          <w:lang w:eastAsia="en-US"/>
        </w:rPr>
        <w:t xml:space="preserve"> + </w:t>
      </w:r>
      <w:r w:rsidR="008C6A01">
        <w:rPr>
          <w:lang w:eastAsia="en-US"/>
        </w:rPr>
        <w:t xml:space="preserve">SU </w:t>
      </w:r>
      <w:r>
        <w:rPr>
          <w:lang w:eastAsia="en-US"/>
        </w:rPr>
        <w:t>therapy</w:t>
      </w:r>
    </w:p>
    <w:p w14:paraId="7FC1664D" w14:textId="4AF3CD66" w:rsidR="008C6A01" w:rsidRDefault="007369B8" w:rsidP="008F1FB2">
      <w:pPr>
        <w:pStyle w:val="3Bodytext"/>
        <w:rPr>
          <w:lang w:eastAsia="en-US"/>
        </w:rPr>
      </w:pPr>
      <w:r w:rsidRPr="007B29C0">
        <w:rPr>
          <w:lang w:eastAsia="en-US"/>
        </w:rPr>
        <w:t xml:space="preserve">Under the current SGLT2 inhibitor restrictions, patients </w:t>
      </w:r>
      <w:r w:rsidR="002D0CE6" w:rsidRPr="007B29C0">
        <w:rPr>
          <w:lang w:eastAsia="en-US"/>
        </w:rPr>
        <w:t xml:space="preserve">are eligible </w:t>
      </w:r>
      <w:r w:rsidR="00107F12" w:rsidRPr="007B29C0">
        <w:rPr>
          <w:lang w:eastAsia="en-US"/>
        </w:rPr>
        <w:t xml:space="preserve">for SGLT2 inhibitor therapy if they are using metformin and have a HbA1c &gt;7%. </w:t>
      </w:r>
      <w:r w:rsidR="001F42FF" w:rsidRPr="007B29C0">
        <w:rPr>
          <w:lang w:eastAsia="en-US"/>
        </w:rPr>
        <w:t>The revised estimates remove</w:t>
      </w:r>
      <w:r w:rsidR="008C6A01">
        <w:rPr>
          <w:lang w:eastAsia="en-US"/>
        </w:rPr>
        <w:t>d</w:t>
      </w:r>
      <w:r w:rsidR="001F42FF" w:rsidRPr="007B29C0">
        <w:rPr>
          <w:lang w:eastAsia="en-US"/>
        </w:rPr>
        <w:t xml:space="preserve"> the patient population on regimens containing metformin plus a </w:t>
      </w:r>
      <w:r w:rsidR="00BD6F1F" w:rsidRPr="007B29C0">
        <w:rPr>
          <w:lang w:eastAsia="en-US"/>
        </w:rPr>
        <w:t xml:space="preserve">SU </w:t>
      </w:r>
      <w:r w:rsidR="001F42FF" w:rsidRPr="007B29C0">
        <w:rPr>
          <w:lang w:eastAsia="en-US"/>
        </w:rPr>
        <w:t xml:space="preserve">on the assumption that most </w:t>
      </w:r>
      <w:r w:rsidR="0092799E" w:rsidRPr="007B29C0">
        <w:rPr>
          <w:lang w:eastAsia="en-US"/>
        </w:rPr>
        <w:t xml:space="preserve">of these </w:t>
      </w:r>
      <w:r w:rsidR="001F42FF" w:rsidRPr="007B29C0">
        <w:rPr>
          <w:lang w:eastAsia="en-US"/>
        </w:rPr>
        <w:t>patients are likely to have had a HbA1c &gt;7% on metformin monotherapy</w:t>
      </w:r>
      <w:r w:rsidR="004523D6" w:rsidRPr="007B29C0">
        <w:rPr>
          <w:lang w:eastAsia="en-US"/>
        </w:rPr>
        <w:t xml:space="preserve"> </w:t>
      </w:r>
      <w:r w:rsidR="0092799E" w:rsidRPr="007B29C0">
        <w:rPr>
          <w:lang w:eastAsia="en-US"/>
        </w:rPr>
        <w:t xml:space="preserve">prior to adding a SU </w:t>
      </w:r>
      <w:r w:rsidR="004523D6" w:rsidRPr="007B29C0">
        <w:rPr>
          <w:lang w:eastAsia="en-US"/>
        </w:rPr>
        <w:t xml:space="preserve">and therefore, would already </w:t>
      </w:r>
      <w:r w:rsidR="0092799E" w:rsidRPr="007B29C0">
        <w:rPr>
          <w:lang w:eastAsia="en-US"/>
        </w:rPr>
        <w:t xml:space="preserve">have been </w:t>
      </w:r>
      <w:r w:rsidR="004523D6" w:rsidRPr="007B29C0">
        <w:rPr>
          <w:lang w:eastAsia="en-US"/>
        </w:rPr>
        <w:t>eligible for SGLT2 inhibitor therapy</w:t>
      </w:r>
      <w:r w:rsidR="001B4AB8" w:rsidRPr="007B29C0">
        <w:rPr>
          <w:lang w:eastAsia="en-US"/>
        </w:rPr>
        <w:t>.</w:t>
      </w:r>
      <w:r w:rsidR="00BD6F1F" w:rsidRPr="007B29C0">
        <w:rPr>
          <w:lang w:eastAsia="en-US"/>
        </w:rPr>
        <w:t xml:space="preserve"> </w:t>
      </w:r>
      <w:r w:rsidR="00BE1F58" w:rsidRPr="007B29C0">
        <w:rPr>
          <w:lang w:eastAsia="en-US"/>
        </w:rPr>
        <w:t xml:space="preserve">This assumption </w:t>
      </w:r>
      <w:r w:rsidR="008C6A01">
        <w:rPr>
          <w:lang w:eastAsia="en-US"/>
        </w:rPr>
        <w:t>was</w:t>
      </w:r>
      <w:r w:rsidR="00BE1F58" w:rsidRPr="007B29C0">
        <w:rPr>
          <w:lang w:eastAsia="en-US"/>
        </w:rPr>
        <w:t xml:space="preserve"> based on the increased risk of hypoglycaemia associated with SUs and studies reporting increased mortality risk (likely associated with increased risk of hypoglycaemia) to patients from intensive glycaemic control (e.g., HbA1c &lt;6.5%).</w:t>
      </w:r>
    </w:p>
    <w:p w14:paraId="24312DA8" w14:textId="6CE20A3B" w:rsidR="001B4AB8" w:rsidRDefault="00BE1F58" w:rsidP="008F1FB2">
      <w:pPr>
        <w:pStyle w:val="3Bodytext"/>
        <w:rPr>
          <w:lang w:eastAsia="en-US"/>
        </w:rPr>
      </w:pPr>
      <w:r w:rsidRPr="007B29C0">
        <w:rPr>
          <w:lang w:eastAsia="en-US"/>
        </w:rPr>
        <w:t>A sensitivity analysis was undertaken that include</w:t>
      </w:r>
      <w:r w:rsidR="008C6A01">
        <w:rPr>
          <w:lang w:eastAsia="en-US"/>
        </w:rPr>
        <w:t>d</w:t>
      </w:r>
      <w:r w:rsidRPr="007B29C0">
        <w:rPr>
          <w:lang w:eastAsia="en-US"/>
        </w:rPr>
        <w:t xml:space="preserve"> the projected patient population on metformin plus SU dual therapy (results are shown in Table </w:t>
      </w:r>
      <w:r w:rsidR="00FA0B8D" w:rsidRPr="007B29C0">
        <w:rPr>
          <w:lang w:eastAsia="en-US"/>
        </w:rPr>
        <w:t>3</w:t>
      </w:r>
      <w:r w:rsidRPr="007B29C0">
        <w:rPr>
          <w:lang w:eastAsia="en-US"/>
        </w:rPr>
        <w:t>).</w:t>
      </w:r>
    </w:p>
    <w:p w14:paraId="7D02603F" w14:textId="41A39DF2" w:rsidR="00566A5D" w:rsidRPr="007B29C0" w:rsidRDefault="00566A5D" w:rsidP="00566A5D">
      <w:pPr>
        <w:pStyle w:val="5-SubsectionSubheading"/>
        <w:rPr>
          <w:lang w:eastAsia="en-US"/>
        </w:rPr>
      </w:pPr>
      <w:r>
        <w:rPr>
          <w:lang w:eastAsia="en-US"/>
        </w:rPr>
        <w:t xml:space="preserve">Eligible patient population – </w:t>
      </w:r>
      <w:r w:rsidR="00CE5BDD">
        <w:rPr>
          <w:lang w:eastAsia="en-US"/>
        </w:rPr>
        <w:t>Change from linear to trendline p</w:t>
      </w:r>
      <w:r>
        <w:rPr>
          <w:lang w:eastAsia="en-US"/>
        </w:rPr>
        <w:t>atient projection</w:t>
      </w:r>
    </w:p>
    <w:p w14:paraId="324C665E" w14:textId="4D859751" w:rsidR="00BC553F" w:rsidRDefault="00BC553F" w:rsidP="00BC553F">
      <w:pPr>
        <w:pStyle w:val="3Bodytext"/>
        <w:rPr>
          <w:lang w:eastAsia="en-US"/>
        </w:rPr>
      </w:pPr>
      <w:r w:rsidRPr="0092799E">
        <w:rPr>
          <w:lang w:eastAsia="en-US"/>
        </w:rPr>
        <w:t xml:space="preserve">The March 2022 financial estimates </w:t>
      </w:r>
      <w:r>
        <w:rPr>
          <w:lang w:eastAsia="en-US"/>
        </w:rPr>
        <w:t xml:space="preserve">used a linear projection of the patient population currently on regimens containing only metformin, or metformin plus a </w:t>
      </w:r>
      <w:r w:rsidR="008C6A01">
        <w:rPr>
          <w:lang w:eastAsia="en-US"/>
        </w:rPr>
        <w:t>SU</w:t>
      </w:r>
      <w:r>
        <w:rPr>
          <w:lang w:eastAsia="en-US"/>
        </w:rPr>
        <w:t>, to estimate the eligible CV risk population, and a linear projection of patients using SGLT2 inhibitors was used to project the current T2DM market (i.e.</w:t>
      </w:r>
      <w:r w:rsidR="00425508">
        <w:rPr>
          <w:lang w:eastAsia="en-US"/>
        </w:rPr>
        <w:t>,</w:t>
      </w:r>
      <w:r>
        <w:rPr>
          <w:lang w:eastAsia="en-US"/>
        </w:rPr>
        <w:t xml:space="preserve"> the offset population). The updated financial model use</w:t>
      </w:r>
      <w:r w:rsidR="008C6A01">
        <w:rPr>
          <w:lang w:eastAsia="en-US"/>
        </w:rPr>
        <w:t>d</w:t>
      </w:r>
      <w:r>
        <w:rPr>
          <w:lang w:eastAsia="en-US"/>
        </w:rPr>
        <w:t xml:space="preserve"> a </w:t>
      </w:r>
      <w:r w:rsidR="00DB3C2B">
        <w:rPr>
          <w:lang w:eastAsia="en-US"/>
        </w:rPr>
        <w:t xml:space="preserve">logarithmic </w:t>
      </w:r>
      <w:r>
        <w:rPr>
          <w:lang w:eastAsia="en-US"/>
        </w:rPr>
        <w:t>trendline projection based on DUSC data for prescriptions supplied between 2018 and 2023 for projecting patients using only metformin, and from 2015 to 2023 to project patients using SGLT2 inhibitors for T2DM indications.</w:t>
      </w:r>
      <w:r w:rsidR="00102A73">
        <w:rPr>
          <w:lang w:eastAsia="en-US"/>
        </w:rPr>
        <w:t xml:space="preserve"> The projected number of patients on metformin only regimens in 2024 was adjusted to be the average between the number of patients in 2023 and 2025, due to the trendline projecting lower patient numbers in 2024 than 2023.</w:t>
      </w:r>
    </w:p>
    <w:p w14:paraId="449235B8" w14:textId="50E24022" w:rsidR="00B9085A" w:rsidRPr="00BC553F" w:rsidRDefault="00B9085A" w:rsidP="00B9085A">
      <w:pPr>
        <w:pStyle w:val="5-SubsectionSubheading"/>
        <w:rPr>
          <w:lang w:eastAsia="en-US"/>
        </w:rPr>
      </w:pPr>
      <w:r>
        <w:rPr>
          <w:lang w:eastAsia="en-US"/>
        </w:rPr>
        <w:t xml:space="preserve">Eligible patient population – </w:t>
      </w:r>
      <w:r w:rsidR="00CE5BDD">
        <w:rPr>
          <w:lang w:eastAsia="en-US"/>
        </w:rPr>
        <w:t xml:space="preserve">Estimation of </w:t>
      </w:r>
      <w:r w:rsidR="00B232CC">
        <w:rPr>
          <w:lang w:eastAsia="en-US"/>
        </w:rPr>
        <w:t xml:space="preserve">proportion of </w:t>
      </w:r>
      <w:r w:rsidR="00CE5BDD">
        <w:rPr>
          <w:lang w:eastAsia="en-US"/>
        </w:rPr>
        <w:t>patients with CVD</w:t>
      </w:r>
      <w:r w:rsidR="00B232CC">
        <w:rPr>
          <w:lang w:eastAsia="en-US"/>
        </w:rPr>
        <w:t>/</w:t>
      </w:r>
      <w:r w:rsidR="00CE5BDD">
        <w:rPr>
          <w:lang w:eastAsia="en-US"/>
        </w:rPr>
        <w:t>high CV risk</w:t>
      </w:r>
    </w:p>
    <w:p w14:paraId="67152DA8" w14:textId="290FB2F5" w:rsidR="00FA0B8D" w:rsidRDefault="00FA0B8D" w:rsidP="008F1FB2">
      <w:pPr>
        <w:pStyle w:val="3Bodytext"/>
        <w:rPr>
          <w:lang w:eastAsia="en-US"/>
        </w:rPr>
      </w:pPr>
      <w:r>
        <w:rPr>
          <w:lang w:eastAsia="en-US"/>
        </w:rPr>
        <w:t xml:space="preserve">The March 2022 financial estimates did not consider the proportion of patients on metformin monotherapy that were likely to have CVD or be at high CV risk. For the revised estimates, DUSC data based on PBS prescriptions supplied in 2023 was used to estimate the proportion of patients on regimens containing only metformin, or metformin + SU, who were also taking </w:t>
      </w:r>
      <w:r w:rsidR="008C6A01">
        <w:rPr>
          <w:lang w:eastAsia="en-US"/>
        </w:rPr>
        <w:t xml:space="preserve">CV </w:t>
      </w:r>
      <w:r>
        <w:rPr>
          <w:lang w:eastAsia="en-US"/>
        </w:rPr>
        <w:t>medication/s. Based on this data, 74.17% of patients on metformin monotherapy were assumed to have CVD or be at high CV risk.</w:t>
      </w:r>
    </w:p>
    <w:p w14:paraId="5E249D94" w14:textId="707A0781" w:rsidR="00464A5A" w:rsidRDefault="00464A5A" w:rsidP="00464A5A">
      <w:pPr>
        <w:pStyle w:val="5-SubsectionSubheading"/>
        <w:rPr>
          <w:lang w:eastAsia="en-US"/>
        </w:rPr>
      </w:pPr>
      <w:r>
        <w:rPr>
          <w:lang w:eastAsia="en-US"/>
        </w:rPr>
        <w:lastRenderedPageBreak/>
        <w:t>Eligible patient population – Estimat</w:t>
      </w:r>
      <w:r w:rsidR="00B232CC">
        <w:rPr>
          <w:lang w:eastAsia="en-US"/>
        </w:rPr>
        <w:t>ion</w:t>
      </w:r>
      <w:r>
        <w:rPr>
          <w:lang w:eastAsia="en-US"/>
        </w:rPr>
        <w:t xml:space="preserve"> of </w:t>
      </w:r>
      <w:r w:rsidR="00BF731E">
        <w:rPr>
          <w:lang w:eastAsia="en-US"/>
        </w:rPr>
        <w:t>proportion</w:t>
      </w:r>
      <w:r w:rsidR="00B232CC">
        <w:rPr>
          <w:lang w:eastAsia="en-US"/>
        </w:rPr>
        <w:t xml:space="preserve"> of </w:t>
      </w:r>
      <w:r>
        <w:rPr>
          <w:lang w:eastAsia="en-US"/>
        </w:rPr>
        <w:t>patient</w:t>
      </w:r>
      <w:r w:rsidR="00B232CC">
        <w:rPr>
          <w:lang w:eastAsia="en-US"/>
        </w:rPr>
        <w:t xml:space="preserve">s with HbA1c </w:t>
      </w:r>
      <w:r w:rsidR="00BF731E">
        <w:rPr>
          <w:lang w:eastAsia="en-US"/>
        </w:rPr>
        <w:t>&gt;7%</w:t>
      </w:r>
    </w:p>
    <w:p w14:paraId="7F72DA45" w14:textId="26D3D6F4" w:rsidR="005D3BE1" w:rsidRDefault="00212015" w:rsidP="008F1FB2">
      <w:pPr>
        <w:pStyle w:val="3Bodytext"/>
        <w:rPr>
          <w:lang w:eastAsia="en-US"/>
        </w:rPr>
      </w:pPr>
      <w:r>
        <w:rPr>
          <w:lang w:eastAsia="en-US"/>
        </w:rPr>
        <w:t xml:space="preserve">Population studies indicate that </w:t>
      </w:r>
      <w:r w:rsidR="00A83B85">
        <w:rPr>
          <w:lang w:eastAsia="en-US"/>
        </w:rPr>
        <w:t xml:space="preserve">many </w:t>
      </w:r>
      <w:r>
        <w:rPr>
          <w:lang w:eastAsia="en-US"/>
        </w:rPr>
        <w:t xml:space="preserve">patients on </w:t>
      </w:r>
      <w:r w:rsidR="00C74C52">
        <w:rPr>
          <w:lang w:eastAsia="en-US"/>
        </w:rPr>
        <w:t>T2DM monotherapy</w:t>
      </w:r>
      <w:r w:rsidR="00A83B85">
        <w:rPr>
          <w:lang w:eastAsia="en-US"/>
        </w:rPr>
        <w:t xml:space="preserve"> </w:t>
      </w:r>
      <w:r w:rsidR="003A425F">
        <w:rPr>
          <w:lang w:eastAsia="en-US"/>
        </w:rPr>
        <w:t xml:space="preserve">in Australia </w:t>
      </w:r>
      <w:r w:rsidR="009D3E5F">
        <w:rPr>
          <w:lang w:eastAsia="en-US"/>
        </w:rPr>
        <w:t xml:space="preserve">are likely to </w:t>
      </w:r>
      <w:r w:rsidR="00A83B85">
        <w:rPr>
          <w:lang w:eastAsia="en-US"/>
        </w:rPr>
        <w:t>have a HbA1c &gt;7%</w:t>
      </w:r>
      <w:r w:rsidR="00BC553F">
        <w:rPr>
          <w:lang w:eastAsia="en-US"/>
        </w:rPr>
        <w:t xml:space="preserve"> and would be eligible for SGLT2 inhibitor therapy under the current restrictions</w:t>
      </w:r>
      <w:r w:rsidR="003A425F">
        <w:rPr>
          <w:lang w:eastAsia="en-US"/>
        </w:rPr>
        <w:t xml:space="preserve">. </w:t>
      </w:r>
      <w:r w:rsidR="00ED4D3E">
        <w:rPr>
          <w:lang w:eastAsia="en-US"/>
        </w:rPr>
        <w:t>The revised budget impact assume</w:t>
      </w:r>
      <w:r w:rsidR="008C6A01">
        <w:rPr>
          <w:lang w:eastAsia="en-US"/>
        </w:rPr>
        <w:t>d</w:t>
      </w:r>
      <w:r w:rsidR="00ED4D3E">
        <w:rPr>
          <w:lang w:eastAsia="en-US"/>
        </w:rPr>
        <w:t xml:space="preserve"> that </w:t>
      </w:r>
      <w:r w:rsidR="00244C38" w:rsidRPr="00FA0B8D">
        <w:rPr>
          <w:lang w:eastAsia="en-US"/>
        </w:rPr>
        <w:t>5</w:t>
      </w:r>
      <w:r w:rsidR="00ED4D3E" w:rsidRPr="00FA0B8D">
        <w:rPr>
          <w:lang w:eastAsia="en-US"/>
        </w:rPr>
        <w:t>0%</w:t>
      </w:r>
      <w:r w:rsidR="00ED4D3E">
        <w:rPr>
          <w:lang w:eastAsia="en-US"/>
        </w:rPr>
        <w:t xml:space="preserve"> of </w:t>
      </w:r>
      <w:r w:rsidR="001F42FF">
        <w:rPr>
          <w:lang w:eastAsia="en-US"/>
        </w:rPr>
        <w:t xml:space="preserve">T2DM patients </w:t>
      </w:r>
      <w:r w:rsidR="00DF6065">
        <w:rPr>
          <w:lang w:eastAsia="en-US"/>
        </w:rPr>
        <w:t>on metformin monotherapy are</w:t>
      </w:r>
      <w:r w:rsidR="008C6A01">
        <w:rPr>
          <w:lang w:eastAsia="en-US"/>
        </w:rPr>
        <w:t xml:space="preserve"> likely to have a HbA1c &gt;7%.</w:t>
      </w:r>
      <w:r w:rsidR="00DF6065">
        <w:rPr>
          <w:lang w:eastAsia="en-US"/>
        </w:rPr>
        <w:t xml:space="preserve"> </w:t>
      </w:r>
      <w:r w:rsidR="00D55D19">
        <w:t xml:space="preserve">This estimate </w:t>
      </w:r>
      <w:r w:rsidR="008C6A01">
        <w:t>wa</w:t>
      </w:r>
      <w:r w:rsidR="00D55D19">
        <w:t xml:space="preserve">s based on </w:t>
      </w:r>
      <w:r w:rsidR="005D3BE1">
        <w:t>the following studies:</w:t>
      </w:r>
    </w:p>
    <w:p w14:paraId="4CD7C1F6" w14:textId="46F6EA78" w:rsidR="002F4D85" w:rsidRDefault="00DD11BF" w:rsidP="001C64F0">
      <w:pPr>
        <w:pStyle w:val="3Bodytext"/>
        <w:numPr>
          <w:ilvl w:val="0"/>
          <w:numId w:val="6"/>
        </w:numPr>
        <w:rPr>
          <w:lang w:eastAsia="en-US"/>
        </w:rPr>
      </w:pPr>
      <w:r>
        <w:rPr>
          <w:lang w:eastAsia="en-US"/>
        </w:rPr>
        <w:t>The Australian National Diabetes Audit – Australian Quality Clinical Audit 2021</w:t>
      </w:r>
      <w:r w:rsidR="00431C18">
        <w:rPr>
          <w:lang w:eastAsia="en-US"/>
        </w:rPr>
        <w:t xml:space="preserve">, which </w:t>
      </w:r>
      <w:r>
        <w:rPr>
          <w:lang w:eastAsia="en-US"/>
        </w:rPr>
        <w:t xml:space="preserve">found that </w:t>
      </w:r>
      <w:r w:rsidR="003F6A58">
        <w:rPr>
          <w:lang w:eastAsia="en-US"/>
        </w:rPr>
        <w:t>among adult patients with diabetes (N=4,262)</w:t>
      </w:r>
      <w:r w:rsidR="002A483F">
        <w:rPr>
          <w:lang w:eastAsia="en-US"/>
        </w:rPr>
        <w:t>,</w:t>
      </w:r>
      <w:r w:rsidR="003F6A58">
        <w:rPr>
          <w:lang w:eastAsia="en-US"/>
        </w:rPr>
        <w:t xml:space="preserve"> </w:t>
      </w:r>
      <w:r w:rsidR="000849F4">
        <w:rPr>
          <w:lang w:eastAsia="en-US"/>
        </w:rPr>
        <w:t xml:space="preserve">median HbA1c was 62.0 mmol/mol (7.8%) </w:t>
      </w:r>
      <w:r w:rsidR="002A483F">
        <w:rPr>
          <w:lang w:eastAsia="en-US"/>
        </w:rPr>
        <w:t>for patients with T2DM.</w:t>
      </w:r>
      <w:r w:rsidR="00302357">
        <w:rPr>
          <w:rStyle w:val="FootnoteReference"/>
          <w:lang w:eastAsia="en-US"/>
        </w:rPr>
        <w:footnoteReference w:id="2"/>
      </w:r>
      <w:r w:rsidR="003A425F">
        <w:rPr>
          <w:lang w:eastAsia="en-US"/>
        </w:rPr>
        <w:t xml:space="preserve"> </w:t>
      </w:r>
    </w:p>
    <w:p w14:paraId="3BC37B55" w14:textId="0F1FB55A" w:rsidR="002F4D85" w:rsidRDefault="008A5A71" w:rsidP="001C64F0">
      <w:pPr>
        <w:pStyle w:val="3Bodytext"/>
        <w:numPr>
          <w:ilvl w:val="0"/>
          <w:numId w:val="6"/>
        </w:numPr>
        <w:rPr>
          <w:lang w:eastAsia="en-US"/>
        </w:rPr>
      </w:pPr>
      <w:r>
        <w:rPr>
          <w:lang w:eastAsia="en-US"/>
        </w:rPr>
        <w:t xml:space="preserve">An analysis of </w:t>
      </w:r>
      <w:r w:rsidR="001748FC">
        <w:rPr>
          <w:lang w:eastAsia="en-US"/>
        </w:rPr>
        <w:t xml:space="preserve">NPS </w:t>
      </w:r>
      <w:proofErr w:type="spellStart"/>
      <w:r w:rsidR="001748FC">
        <w:rPr>
          <w:lang w:eastAsia="en-US"/>
        </w:rPr>
        <w:t>MedicineInsight</w:t>
      </w:r>
      <w:proofErr w:type="spellEnd"/>
      <w:r w:rsidR="00AC4026">
        <w:rPr>
          <w:lang w:eastAsia="en-US"/>
        </w:rPr>
        <w:t xml:space="preserve"> </w:t>
      </w:r>
      <w:r>
        <w:rPr>
          <w:lang w:eastAsia="en-US"/>
        </w:rPr>
        <w:t xml:space="preserve">data </w:t>
      </w:r>
      <w:r w:rsidR="002F7236">
        <w:rPr>
          <w:lang w:eastAsia="en-US"/>
        </w:rPr>
        <w:t xml:space="preserve">of Australian </w:t>
      </w:r>
      <w:r w:rsidR="009D3E5F">
        <w:rPr>
          <w:lang w:eastAsia="en-US"/>
        </w:rPr>
        <w:t>general practice</w:t>
      </w:r>
      <w:r w:rsidR="002F7236">
        <w:rPr>
          <w:lang w:eastAsia="en-US"/>
        </w:rPr>
        <w:t xml:space="preserve"> patients</w:t>
      </w:r>
      <w:r w:rsidR="00431C18">
        <w:rPr>
          <w:lang w:eastAsia="en-US"/>
        </w:rPr>
        <w:t xml:space="preserve">, which </w:t>
      </w:r>
      <w:r w:rsidR="00A54B98">
        <w:rPr>
          <w:lang w:eastAsia="en-US"/>
        </w:rPr>
        <w:t>found that in 20</w:t>
      </w:r>
      <w:r>
        <w:rPr>
          <w:lang w:eastAsia="en-US"/>
        </w:rPr>
        <w:t>20-</w:t>
      </w:r>
      <w:r w:rsidR="001C40E4">
        <w:rPr>
          <w:lang w:eastAsia="en-US"/>
        </w:rPr>
        <w:t>21</w:t>
      </w:r>
      <w:r w:rsidR="00A54B98">
        <w:rPr>
          <w:lang w:eastAsia="en-US"/>
        </w:rPr>
        <w:t xml:space="preserve">, </w:t>
      </w:r>
      <w:r w:rsidR="00393CB1">
        <w:rPr>
          <w:lang w:eastAsia="en-US"/>
        </w:rPr>
        <w:t xml:space="preserve">of </w:t>
      </w:r>
      <w:r w:rsidR="001C40E4">
        <w:rPr>
          <w:lang w:eastAsia="en-US"/>
        </w:rPr>
        <w:t xml:space="preserve">patients with a diagnosis of diabetes that </w:t>
      </w:r>
      <w:r w:rsidR="00393CB1">
        <w:rPr>
          <w:lang w:eastAsia="en-US"/>
        </w:rPr>
        <w:t>had their HbA1c level checked during the year</w:t>
      </w:r>
      <w:r w:rsidR="002F7236">
        <w:rPr>
          <w:lang w:eastAsia="en-US"/>
        </w:rPr>
        <w:t xml:space="preserve"> (N=115,475)</w:t>
      </w:r>
      <w:r w:rsidR="00393CB1">
        <w:rPr>
          <w:lang w:eastAsia="en-US"/>
        </w:rPr>
        <w:t>, around 5</w:t>
      </w:r>
      <w:r w:rsidR="002F7236">
        <w:rPr>
          <w:lang w:eastAsia="en-US"/>
        </w:rPr>
        <w:t>5</w:t>
      </w:r>
      <w:r w:rsidR="00393CB1">
        <w:rPr>
          <w:lang w:eastAsia="en-US"/>
        </w:rPr>
        <w:t xml:space="preserve">% </w:t>
      </w:r>
      <w:r w:rsidR="00196592">
        <w:rPr>
          <w:lang w:eastAsia="en-US"/>
        </w:rPr>
        <w:t>had at least one HbA1c test result &gt;7%.</w:t>
      </w:r>
      <w:r w:rsidR="002F7236">
        <w:rPr>
          <w:rStyle w:val="FootnoteReference"/>
          <w:lang w:eastAsia="en-US"/>
        </w:rPr>
        <w:footnoteReference w:id="3"/>
      </w:r>
      <w:r w:rsidR="003A425F">
        <w:rPr>
          <w:lang w:eastAsia="en-US"/>
        </w:rPr>
        <w:t xml:space="preserve"> </w:t>
      </w:r>
    </w:p>
    <w:p w14:paraId="348A4668" w14:textId="2653F9E6" w:rsidR="002F4D85" w:rsidRDefault="00350885" w:rsidP="001C64F0">
      <w:pPr>
        <w:pStyle w:val="3Bodytext"/>
        <w:numPr>
          <w:ilvl w:val="0"/>
          <w:numId w:val="6"/>
        </w:numPr>
        <w:rPr>
          <w:lang w:eastAsia="en-US"/>
        </w:rPr>
      </w:pPr>
      <w:r>
        <w:rPr>
          <w:lang w:eastAsia="en-US"/>
        </w:rPr>
        <w:t xml:space="preserve">An analysis of NPS </w:t>
      </w:r>
      <w:proofErr w:type="spellStart"/>
      <w:r>
        <w:rPr>
          <w:lang w:eastAsia="en-US"/>
        </w:rPr>
        <w:t>MedicineInsight</w:t>
      </w:r>
      <w:proofErr w:type="spellEnd"/>
      <w:r>
        <w:rPr>
          <w:lang w:eastAsia="en-US"/>
        </w:rPr>
        <w:t xml:space="preserve"> data of Australian </w:t>
      </w:r>
      <w:r w:rsidR="00401C0B">
        <w:rPr>
          <w:lang w:eastAsia="en-US"/>
        </w:rPr>
        <w:t>general practice</w:t>
      </w:r>
      <w:r>
        <w:rPr>
          <w:lang w:eastAsia="en-US"/>
        </w:rPr>
        <w:t xml:space="preserve"> patients</w:t>
      </w:r>
      <w:r w:rsidR="005E35A1">
        <w:rPr>
          <w:lang w:eastAsia="en-US"/>
        </w:rPr>
        <w:t xml:space="preserve"> with T2DM and a HbA1c test result recorded between 2013-2015 (N~70,000)</w:t>
      </w:r>
      <w:r w:rsidR="00431C18">
        <w:rPr>
          <w:lang w:eastAsia="en-US"/>
        </w:rPr>
        <w:t>, which</w:t>
      </w:r>
      <w:r w:rsidR="005E35A1">
        <w:rPr>
          <w:lang w:eastAsia="en-US"/>
        </w:rPr>
        <w:t xml:space="preserve"> found that these patients had a mean HbA1c of 7.1% (Standard deviation [SD] 1.4%)</w:t>
      </w:r>
      <w:r w:rsidR="00244C38">
        <w:rPr>
          <w:lang w:eastAsia="en-US"/>
        </w:rPr>
        <w:t>, however only 40.8% of patients had a HbA1c &gt;7%. Around 28% of patients were using no diabetes medication, 34% were on one diabetes medication, 19% were on two diabetes medications, 5% were on three or more medications, and 15% were on insulin without or without other medications.</w:t>
      </w:r>
      <w:r w:rsidR="005E35A1">
        <w:rPr>
          <w:rStyle w:val="FootnoteReference"/>
          <w:lang w:eastAsia="en-US"/>
        </w:rPr>
        <w:footnoteReference w:id="4"/>
      </w:r>
    </w:p>
    <w:p w14:paraId="09A76AE4" w14:textId="3DA4002E" w:rsidR="002F4D85" w:rsidRDefault="005D3BE1" w:rsidP="001C64F0">
      <w:pPr>
        <w:pStyle w:val="3Bodytext"/>
        <w:numPr>
          <w:ilvl w:val="0"/>
          <w:numId w:val="6"/>
        </w:numPr>
        <w:rPr>
          <w:lang w:eastAsia="en-US"/>
        </w:rPr>
      </w:pPr>
      <w:r w:rsidRPr="002F4D85">
        <w:rPr>
          <w:shd w:val="clear" w:color="auto" w:fill="FFFFFF"/>
        </w:rPr>
        <w:t xml:space="preserve">A </w:t>
      </w:r>
      <w:r w:rsidR="00562D46" w:rsidRPr="002F4D85">
        <w:rPr>
          <w:shd w:val="clear" w:color="auto" w:fill="FFFFFF"/>
        </w:rPr>
        <w:t>study of over 6</w:t>
      </w:r>
      <w:r w:rsidR="00E6067E" w:rsidRPr="002F4D85">
        <w:rPr>
          <w:shd w:val="clear" w:color="auto" w:fill="FFFFFF"/>
        </w:rPr>
        <w:t>,4</w:t>
      </w:r>
      <w:r w:rsidR="00562D46" w:rsidRPr="002F4D85">
        <w:rPr>
          <w:shd w:val="clear" w:color="auto" w:fill="FFFFFF"/>
        </w:rPr>
        <w:t xml:space="preserve">00 </w:t>
      </w:r>
      <w:r w:rsidR="00BB42C7" w:rsidRPr="002F4D85">
        <w:rPr>
          <w:shd w:val="clear" w:color="auto" w:fill="FFFFFF"/>
        </w:rPr>
        <w:t>patients</w:t>
      </w:r>
      <w:r w:rsidR="00EC3B1E" w:rsidRPr="002F4D85">
        <w:rPr>
          <w:shd w:val="clear" w:color="auto" w:fill="FFFFFF"/>
        </w:rPr>
        <w:t>,</w:t>
      </w:r>
      <w:r w:rsidR="00134ED5" w:rsidRPr="002F4D85">
        <w:rPr>
          <w:shd w:val="clear" w:color="auto" w:fill="FFFFFF"/>
        </w:rPr>
        <w:t xml:space="preserve"> collected from around 250 </w:t>
      </w:r>
      <w:r w:rsidR="00D70330" w:rsidRPr="002F4D85">
        <w:rPr>
          <w:shd w:val="clear" w:color="auto" w:fill="FFFFFF"/>
        </w:rPr>
        <w:t>Australian general practices</w:t>
      </w:r>
      <w:r w:rsidR="002D7782" w:rsidRPr="002F4D85">
        <w:rPr>
          <w:shd w:val="clear" w:color="auto" w:fill="FFFFFF"/>
        </w:rPr>
        <w:t xml:space="preserve"> in Victoria</w:t>
      </w:r>
      <w:r w:rsidR="00D70330" w:rsidRPr="002F4D85">
        <w:rPr>
          <w:shd w:val="clear" w:color="auto" w:fill="FFFFFF"/>
        </w:rPr>
        <w:t>,</w:t>
      </w:r>
      <w:r w:rsidR="00EC3B1E" w:rsidRPr="002F4D85">
        <w:rPr>
          <w:shd w:val="clear" w:color="auto" w:fill="FFFFFF"/>
        </w:rPr>
        <w:t xml:space="preserve"> </w:t>
      </w:r>
      <w:r w:rsidR="00431C18">
        <w:rPr>
          <w:shd w:val="clear" w:color="auto" w:fill="FFFFFF"/>
        </w:rPr>
        <w:t xml:space="preserve">which </w:t>
      </w:r>
      <w:r w:rsidR="00EC3B1E" w:rsidRPr="002F4D85">
        <w:rPr>
          <w:shd w:val="clear" w:color="auto" w:fill="FFFFFF"/>
        </w:rPr>
        <w:t>indicate</w:t>
      </w:r>
      <w:r w:rsidR="003A425F" w:rsidRPr="002F4D85">
        <w:rPr>
          <w:shd w:val="clear" w:color="auto" w:fill="FFFFFF"/>
        </w:rPr>
        <w:t>d</w:t>
      </w:r>
      <w:r w:rsidR="00EC3B1E" w:rsidRPr="002F4D85">
        <w:rPr>
          <w:shd w:val="clear" w:color="auto" w:fill="FFFFFF"/>
        </w:rPr>
        <w:t xml:space="preserve"> </w:t>
      </w:r>
      <w:r w:rsidR="00431C18">
        <w:rPr>
          <w:shd w:val="clear" w:color="auto" w:fill="FFFFFF"/>
        </w:rPr>
        <w:t xml:space="preserve">that </w:t>
      </w:r>
      <w:r w:rsidR="009D3E5F" w:rsidRPr="002F4D85">
        <w:rPr>
          <w:shd w:val="clear" w:color="auto" w:fill="FFFFFF"/>
        </w:rPr>
        <w:t xml:space="preserve">for </w:t>
      </w:r>
      <w:r w:rsidR="00EC3B1E" w:rsidRPr="002F4D85">
        <w:rPr>
          <w:shd w:val="clear" w:color="auto" w:fill="FFFFFF"/>
        </w:rPr>
        <w:t>T2DM patients on oral</w:t>
      </w:r>
      <w:r w:rsidR="00386CF5" w:rsidRPr="002F4D85">
        <w:rPr>
          <w:shd w:val="clear" w:color="auto" w:fill="FFFFFF"/>
        </w:rPr>
        <w:t xml:space="preserve"> </w:t>
      </w:r>
      <w:r w:rsidR="00EC3B1E" w:rsidRPr="002F4D85">
        <w:rPr>
          <w:shd w:val="clear" w:color="auto" w:fill="FFFFFF"/>
        </w:rPr>
        <w:t>glucose</w:t>
      </w:r>
      <w:r w:rsidR="00386CF5" w:rsidRPr="002F4D85">
        <w:rPr>
          <w:shd w:val="clear" w:color="auto" w:fill="FFFFFF"/>
        </w:rPr>
        <w:t>-</w:t>
      </w:r>
      <w:r w:rsidR="00EC3B1E" w:rsidRPr="002F4D85">
        <w:rPr>
          <w:shd w:val="clear" w:color="auto" w:fill="FFFFFF"/>
        </w:rPr>
        <w:t>lowering agents</w:t>
      </w:r>
      <w:r w:rsidR="009D3E5F" w:rsidRPr="002F4D85">
        <w:rPr>
          <w:shd w:val="clear" w:color="auto" w:fill="FFFFFF"/>
        </w:rPr>
        <w:t>, the mean HbA1c</w:t>
      </w:r>
      <w:r w:rsidR="00BB42C7" w:rsidRPr="002F4D85">
        <w:rPr>
          <w:shd w:val="clear" w:color="auto" w:fill="FFFFFF"/>
        </w:rPr>
        <w:t xml:space="preserve"> was </w:t>
      </w:r>
      <w:r w:rsidR="009D3E5F">
        <w:rPr>
          <w:lang w:eastAsia="en-US"/>
        </w:rPr>
        <w:t>&gt;</w:t>
      </w:r>
      <w:r w:rsidR="00BB42C7" w:rsidRPr="002F4D85">
        <w:rPr>
          <w:shd w:val="clear" w:color="auto" w:fill="FFFFFF"/>
        </w:rPr>
        <w:t>7%.</w:t>
      </w:r>
      <w:r w:rsidR="00A5671D" w:rsidRPr="002F4D85">
        <w:rPr>
          <w:shd w:val="clear" w:color="auto" w:fill="FFFFFF"/>
        </w:rPr>
        <w:t xml:space="preserve"> Patients with ischaemic heart disease and CKD were excluded from this study.</w:t>
      </w:r>
      <w:r w:rsidR="00893DD8">
        <w:rPr>
          <w:rStyle w:val="FootnoteReference"/>
          <w:color w:val="212121"/>
          <w:shd w:val="clear" w:color="auto" w:fill="FFFFFF"/>
        </w:rPr>
        <w:footnoteReference w:id="5"/>
      </w:r>
      <w:r w:rsidR="006140F5" w:rsidRPr="002F4D85">
        <w:rPr>
          <w:shd w:val="clear" w:color="auto" w:fill="FFFFFF"/>
        </w:rPr>
        <w:t xml:space="preserve"> </w:t>
      </w:r>
    </w:p>
    <w:p w14:paraId="1A505E8F" w14:textId="0ACBCBC8" w:rsidR="002F4D85" w:rsidRDefault="00BF1873" w:rsidP="001C64F0">
      <w:pPr>
        <w:pStyle w:val="3Bodytext"/>
        <w:numPr>
          <w:ilvl w:val="0"/>
          <w:numId w:val="6"/>
        </w:numPr>
        <w:rPr>
          <w:lang w:eastAsia="en-US"/>
        </w:rPr>
      </w:pPr>
      <w:r>
        <w:rPr>
          <w:lang w:eastAsia="en-US"/>
        </w:rPr>
        <w:t xml:space="preserve">The Australian Health Survey </w:t>
      </w:r>
      <w:r w:rsidR="00431C18" w:rsidRPr="007345BB">
        <w:rPr>
          <w:lang w:eastAsia="en-US"/>
        </w:rPr>
        <w:t>2011–12</w:t>
      </w:r>
      <w:r w:rsidR="00431C18">
        <w:rPr>
          <w:lang w:eastAsia="en-US"/>
        </w:rPr>
        <w:t xml:space="preserve">, which </w:t>
      </w:r>
      <w:r>
        <w:rPr>
          <w:lang w:eastAsia="en-US"/>
        </w:rPr>
        <w:t xml:space="preserve">found that </w:t>
      </w:r>
      <w:r w:rsidR="00350885">
        <w:rPr>
          <w:lang w:eastAsia="en-US"/>
        </w:rPr>
        <w:t>around 44%</w:t>
      </w:r>
      <w:r w:rsidR="007345BB" w:rsidRPr="007345BB">
        <w:rPr>
          <w:lang w:eastAsia="en-US"/>
        </w:rPr>
        <w:t xml:space="preserve"> of people aged 18 years and over with known diabetes </w:t>
      </w:r>
      <w:r w:rsidR="00545163">
        <w:rPr>
          <w:lang w:eastAsia="en-US"/>
        </w:rPr>
        <w:t>(N</w:t>
      </w:r>
      <w:r w:rsidR="002074A1">
        <w:rPr>
          <w:lang w:eastAsia="en-US"/>
        </w:rPr>
        <w:t xml:space="preserve">~400) </w:t>
      </w:r>
      <w:r w:rsidR="007345BB" w:rsidRPr="007345BB">
        <w:rPr>
          <w:lang w:eastAsia="en-US"/>
        </w:rPr>
        <w:t>had a</w:t>
      </w:r>
      <w:r w:rsidR="00646307">
        <w:rPr>
          <w:lang w:eastAsia="en-US"/>
        </w:rPr>
        <w:t>n</w:t>
      </w:r>
      <w:r w:rsidR="007345BB" w:rsidRPr="007345BB">
        <w:rPr>
          <w:lang w:eastAsia="en-US"/>
        </w:rPr>
        <w:t xml:space="preserve"> HbA1c test result of </w:t>
      </w:r>
      <w:r w:rsidR="00350885" w:rsidRPr="002F4D85">
        <w:rPr>
          <w:rFonts w:cstheme="minorHAnsi"/>
          <w:lang w:eastAsia="en-US"/>
        </w:rPr>
        <w:t>&gt;</w:t>
      </w:r>
      <w:r w:rsidR="007345BB" w:rsidRPr="007345BB">
        <w:rPr>
          <w:lang w:eastAsia="en-US"/>
        </w:rPr>
        <w:t>7%.</w:t>
      </w:r>
      <w:r w:rsidR="002074A1">
        <w:rPr>
          <w:rStyle w:val="FootnoteReference"/>
          <w:lang w:eastAsia="en-US"/>
        </w:rPr>
        <w:footnoteReference w:id="6"/>
      </w:r>
    </w:p>
    <w:p w14:paraId="428FB905" w14:textId="10102874" w:rsidR="001C64F0" w:rsidRDefault="006F17CD" w:rsidP="008C6A01">
      <w:pPr>
        <w:pStyle w:val="3Bodytext"/>
        <w:numPr>
          <w:ilvl w:val="0"/>
          <w:numId w:val="6"/>
        </w:numPr>
        <w:ind w:left="1066" w:hanging="357"/>
        <w:rPr>
          <w:lang w:eastAsia="en-US"/>
        </w:rPr>
      </w:pPr>
      <w:r>
        <w:rPr>
          <w:lang w:eastAsia="en-US"/>
        </w:rPr>
        <w:t xml:space="preserve">A UKPDS study of patients newly diagnosed with diabetes </w:t>
      </w:r>
      <w:r w:rsidR="00431C18">
        <w:rPr>
          <w:lang w:eastAsia="en-US"/>
        </w:rPr>
        <w:t xml:space="preserve">which </w:t>
      </w:r>
      <w:r>
        <w:rPr>
          <w:lang w:eastAsia="en-US"/>
        </w:rPr>
        <w:t xml:space="preserve">found that after 3 years around 50% of </w:t>
      </w:r>
      <w:r w:rsidR="00646307">
        <w:rPr>
          <w:lang w:eastAsia="en-US"/>
        </w:rPr>
        <w:t xml:space="preserve">T2DM </w:t>
      </w:r>
      <w:r>
        <w:rPr>
          <w:lang w:eastAsia="en-US"/>
        </w:rPr>
        <w:t>patients on monotherapy had a HbA1c of &gt;7%.</w:t>
      </w:r>
      <w:r>
        <w:rPr>
          <w:rStyle w:val="FootnoteReference"/>
          <w:lang w:eastAsia="en-US"/>
        </w:rPr>
        <w:footnoteReference w:id="7"/>
      </w:r>
    </w:p>
    <w:p w14:paraId="5712FB6D" w14:textId="5E20B886" w:rsidR="00B069C1" w:rsidRDefault="00B069C1" w:rsidP="001C64F0">
      <w:pPr>
        <w:pStyle w:val="3Bodytext"/>
        <w:numPr>
          <w:ilvl w:val="0"/>
          <w:numId w:val="6"/>
        </w:numPr>
        <w:ind w:left="1066" w:hanging="357"/>
        <w:rPr>
          <w:lang w:eastAsia="en-US"/>
        </w:rPr>
      </w:pPr>
      <w:r>
        <w:rPr>
          <w:lang w:eastAsia="en-US"/>
        </w:rPr>
        <w:lastRenderedPageBreak/>
        <w:t>An analysis of the US National Health and Nutrition Examination Survey database from 2007-2010</w:t>
      </w:r>
      <w:r w:rsidR="00431C18">
        <w:rPr>
          <w:lang w:eastAsia="en-US"/>
        </w:rPr>
        <w:t xml:space="preserve">, which </w:t>
      </w:r>
      <w:r>
        <w:rPr>
          <w:lang w:eastAsia="en-US"/>
        </w:rPr>
        <w:t xml:space="preserve">found that only 52.5% of people with diabetes achieved an </w:t>
      </w:r>
      <w:r w:rsidR="00CE1C77">
        <w:rPr>
          <w:lang w:eastAsia="en-US"/>
        </w:rPr>
        <w:t>HbA1c of &lt;7%.</w:t>
      </w:r>
      <w:r w:rsidR="00CE1C77">
        <w:rPr>
          <w:rStyle w:val="FootnoteReference"/>
          <w:lang w:eastAsia="en-US"/>
        </w:rPr>
        <w:footnoteReference w:id="8"/>
      </w:r>
    </w:p>
    <w:p w14:paraId="41063273" w14:textId="5858F07A" w:rsidR="00DF6065" w:rsidRDefault="00F32337" w:rsidP="001C64F0">
      <w:pPr>
        <w:pStyle w:val="3Bodytext"/>
        <w:rPr>
          <w:lang w:eastAsia="en-US"/>
        </w:rPr>
      </w:pPr>
      <w:r w:rsidRPr="00102A73">
        <w:rPr>
          <w:lang w:eastAsia="en-US"/>
        </w:rPr>
        <w:t>A sensitivity analysis was undertaken to reduce th</w:t>
      </w:r>
      <w:r w:rsidR="00D6226F">
        <w:rPr>
          <w:lang w:eastAsia="en-US"/>
        </w:rPr>
        <w:t>e</w:t>
      </w:r>
      <w:r w:rsidRPr="00102A73">
        <w:rPr>
          <w:lang w:eastAsia="en-US"/>
        </w:rPr>
        <w:t xml:space="preserve"> estimate</w:t>
      </w:r>
      <w:r w:rsidR="00D6226F">
        <w:rPr>
          <w:lang w:eastAsia="en-US"/>
        </w:rPr>
        <w:t xml:space="preserve"> of the proportion of patients on metformin monotherapy with HbA1c &gt;7%</w:t>
      </w:r>
      <w:r w:rsidRPr="00102A73">
        <w:rPr>
          <w:lang w:eastAsia="en-US"/>
        </w:rPr>
        <w:t xml:space="preserve"> to 40% (results are shown in Table </w:t>
      </w:r>
      <w:r w:rsidR="00FA0B8D" w:rsidRPr="00102A73">
        <w:rPr>
          <w:lang w:eastAsia="en-US"/>
        </w:rPr>
        <w:t>3</w:t>
      </w:r>
      <w:r w:rsidRPr="00102A73">
        <w:rPr>
          <w:lang w:eastAsia="en-US"/>
        </w:rPr>
        <w:t xml:space="preserve">). </w:t>
      </w:r>
    </w:p>
    <w:p w14:paraId="62330040" w14:textId="1CA402CD" w:rsidR="00BF731E" w:rsidRPr="00102A73" w:rsidRDefault="00BF731E" w:rsidP="001C64F0">
      <w:pPr>
        <w:pStyle w:val="5-SubsectionSubheading"/>
        <w:keepNext w:val="0"/>
        <w:rPr>
          <w:lang w:eastAsia="en-US"/>
        </w:rPr>
      </w:pPr>
      <w:r>
        <w:rPr>
          <w:lang w:eastAsia="en-US"/>
        </w:rPr>
        <w:t>Eligible patient population – Estimation of proportion of patients</w:t>
      </w:r>
      <w:r w:rsidR="00ED7444">
        <w:rPr>
          <w:lang w:eastAsia="en-US"/>
        </w:rPr>
        <w:t xml:space="preserve"> progressing to HbA1c &gt;7%</w:t>
      </w:r>
    </w:p>
    <w:p w14:paraId="64A01ED4" w14:textId="2F857938" w:rsidR="00523343" w:rsidRDefault="00A73855" w:rsidP="001C64F0">
      <w:pPr>
        <w:pStyle w:val="3Bodytext"/>
        <w:rPr>
          <w:lang w:eastAsia="en-US"/>
        </w:rPr>
      </w:pPr>
      <w:r w:rsidRPr="00A73855">
        <w:rPr>
          <w:lang w:eastAsia="en-US"/>
        </w:rPr>
        <w:t xml:space="preserve">The </w:t>
      </w:r>
      <w:r w:rsidR="00FA0B8D" w:rsidRPr="00A73855">
        <w:rPr>
          <w:lang w:eastAsia="en-US"/>
        </w:rPr>
        <w:t xml:space="preserve">March 2022 </w:t>
      </w:r>
      <w:r w:rsidRPr="00A73855">
        <w:rPr>
          <w:lang w:eastAsia="en-US"/>
        </w:rPr>
        <w:t xml:space="preserve">estimates did not </w:t>
      </w:r>
      <w:r w:rsidR="00431C18">
        <w:rPr>
          <w:lang w:eastAsia="en-US"/>
        </w:rPr>
        <w:t xml:space="preserve">consider </w:t>
      </w:r>
      <w:r w:rsidRPr="00A73855">
        <w:rPr>
          <w:lang w:eastAsia="en-US"/>
        </w:rPr>
        <w:t>the progressive nature of T2DM</w:t>
      </w:r>
      <w:r w:rsidR="00B75287">
        <w:rPr>
          <w:lang w:eastAsia="en-US"/>
        </w:rPr>
        <w:t>.</w:t>
      </w:r>
      <w:r>
        <w:rPr>
          <w:lang w:eastAsia="en-US"/>
        </w:rPr>
        <w:t xml:space="preserve"> </w:t>
      </w:r>
      <w:r w:rsidR="00B75287">
        <w:rPr>
          <w:lang w:eastAsia="en-US"/>
        </w:rPr>
        <w:t>P</w:t>
      </w:r>
      <w:r>
        <w:rPr>
          <w:lang w:eastAsia="en-US"/>
        </w:rPr>
        <w:t xml:space="preserve">atients on metformin monotherapy with a HbA1c of </w:t>
      </w:r>
      <w:r>
        <w:rPr>
          <w:rFonts w:cstheme="minorHAnsi"/>
          <w:lang w:eastAsia="en-US"/>
        </w:rPr>
        <w:t>≤</w:t>
      </w:r>
      <w:r>
        <w:rPr>
          <w:lang w:eastAsia="en-US"/>
        </w:rPr>
        <w:t>7% may</w:t>
      </w:r>
      <w:r w:rsidR="00973942">
        <w:rPr>
          <w:lang w:eastAsia="en-US"/>
        </w:rPr>
        <w:t>,</w:t>
      </w:r>
      <w:r>
        <w:rPr>
          <w:lang w:eastAsia="en-US"/>
        </w:rPr>
        <w:t xml:space="preserve"> over the course of the forward estimates</w:t>
      </w:r>
      <w:r w:rsidR="00973942">
        <w:rPr>
          <w:lang w:eastAsia="en-US"/>
        </w:rPr>
        <w:t>,</w:t>
      </w:r>
      <w:r>
        <w:rPr>
          <w:lang w:eastAsia="en-US"/>
        </w:rPr>
        <w:t xml:space="preserve"> progress to having a HbA1c &gt;7% and therefore be eligible for SGLT2 inhibitor therapy under the current PBS restrictions. The revised budget estimates assume</w:t>
      </w:r>
      <w:r w:rsidR="00431C18">
        <w:rPr>
          <w:lang w:eastAsia="en-US"/>
        </w:rPr>
        <w:t>d</w:t>
      </w:r>
      <w:r>
        <w:rPr>
          <w:lang w:eastAsia="en-US"/>
        </w:rPr>
        <w:t xml:space="preserve"> that </w:t>
      </w:r>
      <w:r w:rsidRPr="00FA0B8D">
        <w:rPr>
          <w:lang w:eastAsia="en-US"/>
        </w:rPr>
        <w:t>1</w:t>
      </w:r>
      <w:r w:rsidR="00FA0B8D" w:rsidRPr="00FA0B8D">
        <w:rPr>
          <w:lang w:eastAsia="en-US"/>
        </w:rPr>
        <w:t>5</w:t>
      </w:r>
      <w:r w:rsidRPr="00FA0B8D">
        <w:rPr>
          <w:lang w:eastAsia="en-US"/>
        </w:rPr>
        <w:t>%</w:t>
      </w:r>
      <w:r>
        <w:rPr>
          <w:lang w:eastAsia="en-US"/>
        </w:rPr>
        <w:t xml:space="preserve"> per annum of T2DM patients </w:t>
      </w:r>
      <w:r w:rsidR="00431C18">
        <w:rPr>
          <w:lang w:eastAsia="en-US"/>
        </w:rPr>
        <w:t xml:space="preserve">on metformin monotherapy </w:t>
      </w:r>
      <w:r w:rsidR="00EE2C55">
        <w:rPr>
          <w:lang w:eastAsia="en-US"/>
        </w:rPr>
        <w:t xml:space="preserve">with </w:t>
      </w:r>
      <w:r>
        <w:rPr>
          <w:lang w:eastAsia="en-US"/>
        </w:rPr>
        <w:t>a</w:t>
      </w:r>
      <w:r w:rsidR="00EE2C55">
        <w:rPr>
          <w:lang w:eastAsia="en-US"/>
        </w:rPr>
        <w:t>n</w:t>
      </w:r>
      <w:r>
        <w:rPr>
          <w:lang w:eastAsia="en-US"/>
        </w:rPr>
        <w:t xml:space="preserve"> HbA1c </w:t>
      </w:r>
      <w:r>
        <w:rPr>
          <w:rFonts w:cstheme="minorHAnsi"/>
          <w:lang w:eastAsia="en-US"/>
        </w:rPr>
        <w:t>≤</w:t>
      </w:r>
      <w:r>
        <w:rPr>
          <w:lang w:eastAsia="en-US"/>
        </w:rPr>
        <w:t xml:space="preserve">7% would </w:t>
      </w:r>
      <w:r w:rsidR="00973942">
        <w:rPr>
          <w:lang w:eastAsia="en-US"/>
        </w:rPr>
        <w:t xml:space="preserve">progress to having a HbA1c &gt;7%. </w:t>
      </w:r>
    </w:p>
    <w:p w14:paraId="0E89E8AE" w14:textId="67808F3A" w:rsidR="00973942" w:rsidRDefault="00973942" w:rsidP="001C64F0">
      <w:pPr>
        <w:pStyle w:val="3Bodytext"/>
        <w:rPr>
          <w:lang w:eastAsia="en-US"/>
        </w:rPr>
      </w:pPr>
      <w:r>
        <w:rPr>
          <w:lang w:eastAsia="en-US"/>
        </w:rPr>
        <w:t>Th</w:t>
      </w:r>
      <w:r w:rsidR="00523343">
        <w:rPr>
          <w:lang w:eastAsia="en-US"/>
        </w:rPr>
        <w:t>e 1</w:t>
      </w:r>
      <w:r w:rsidR="00FA0B8D">
        <w:rPr>
          <w:lang w:eastAsia="en-US"/>
        </w:rPr>
        <w:t>5</w:t>
      </w:r>
      <w:r w:rsidR="00523343">
        <w:rPr>
          <w:lang w:eastAsia="en-US"/>
        </w:rPr>
        <w:t>%</w:t>
      </w:r>
      <w:r>
        <w:rPr>
          <w:lang w:eastAsia="en-US"/>
        </w:rPr>
        <w:t xml:space="preserve"> estimate </w:t>
      </w:r>
      <w:r w:rsidR="00431C18">
        <w:rPr>
          <w:lang w:eastAsia="en-US"/>
        </w:rPr>
        <w:t>was</w:t>
      </w:r>
      <w:r>
        <w:rPr>
          <w:lang w:eastAsia="en-US"/>
        </w:rPr>
        <w:t xml:space="preserve"> based on the following studies</w:t>
      </w:r>
      <w:r w:rsidR="00523343">
        <w:rPr>
          <w:lang w:eastAsia="en-US"/>
        </w:rPr>
        <w:t xml:space="preserve"> </w:t>
      </w:r>
      <w:r>
        <w:rPr>
          <w:lang w:eastAsia="en-US"/>
        </w:rPr>
        <w:t xml:space="preserve">of </w:t>
      </w:r>
      <w:r w:rsidR="00523343">
        <w:rPr>
          <w:lang w:eastAsia="en-US"/>
        </w:rPr>
        <w:t xml:space="preserve">the </w:t>
      </w:r>
      <w:r>
        <w:rPr>
          <w:lang w:eastAsia="en-US"/>
        </w:rPr>
        <w:t xml:space="preserve">progression </w:t>
      </w:r>
      <w:r w:rsidR="00523343">
        <w:rPr>
          <w:lang w:eastAsia="en-US"/>
        </w:rPr>
        <w:t>of</w:t>
      </w:r>
      <w:r>
        <w:rPr>
          <w:lang w:eastAsia="en-US"/>
        </w:rPr>
        <w:t xml:space="preserve"> untreated patients with impaired fasting glucose</w:t>
      </w:r>
      <w:r w:rsidR="000028E5">
        <w:rPr>
          <w:lang w:eastAsia="en-US"/>
        </w:rPr>
        <w:t xml:space="preserve"> (IFG)</w:t>
      </w:r>
      <w:r>
        <w:rPr>
          <w:lang w:eastAsia="en-US"/>
        </w:rPr>
        <w:t xml:space="preserve"> and/or impaired glucose tolerance </w:t>
      </w:r>
      <w:r w:rsidR="000028E5">
        <w:rPr>
          <w:lang w:eastAsia="en-US"/>
        </w:rPr>
        <w:t xml:space="preserve">(IGT) </w:t>
      </w:r>
      <w:r>
        <w:rPr>
          <w:lang w:eastAsia="en-US"/>
        </w:rPr>
        <w:t>(‘prediabetes’) to diabetes:</w:t>
      </w:r>
    </w:p>
    <w:p w14:paraId="02EA0A3D" w14:textId="3B3694F7" w:rsidR="002F4D85" w:rsidRDefault="000028E5" w:rsidP="001C64F0">
      <w:pPr>
        <w:pStyle w:val="3Bodytext"/>
        <w:numPr>
          <w:ilvl w:val="0"/>
          <w:numId w:val="6"/>
        </w:numPr>
        <w:rPr>
          <w:lang w:eastAsia="en-US"/>
        </w:rPr>
      </w:pPr>
      <w:r>
        <w:rPr>
          <w:lang w:eastAsia="en-US"/>
        </w:rPr>
        <w:t>A systematic review and meta-analysis of prospective studies published between 1979-2004</w:t>
      </w:r>
      <w:r w:rsidR="00431C18">
        <w:rPr>
          <w:lang w:eastAsia="en-US"/>
        </w:rPr>
        <w:t>, which</w:t>
      </w:r>
      <w:r>
        <w:rPr>
          <w:lang w:eastAsia="en-US"/>
        </w:rPr>
        <w:t xml:space="preserve"> estimated the annual incidence of progression to </w:t>
      </w:r>
      <w:r w:rsidR="009D49FD">
        <w:rPr>
          <w:lang w:eastAsia="en-US"/>
        </w:rPr>
        <w:t xml:space="preserve">T2DM </w:t>
      </w:r>
      <w:r>
        <w:rPr>
          <w:lang w:eastAsia="en-US"/>
        </w:rPr>
        <w:t xml:space="preserve">in subjects with IFG </w:t>
      </w:r>
      <w:r w:rsidR="00C96335">
        <w:rPr>
          <w:lang w:eastAsia="en-US"/>
        </w:rPr>
        <w:t>and</w:t>
      </w:r>
      <w:r>
        <w:rPr>
          <w:lang w:eastAsia="en-US"/>
        </w:rPr>
        <w:t xml:space="preserve"> IGT</w:t>
      </w:r>
      <w:r w:rsidR="00C96335">
        <w:rPr>
          <w:lang w:eastAsia="en-US"/>
        </w:rPr>
        <w:t xml:space="preserve"> at 12.13% (</w:t>
      </w:r>
      <w:r w:rsidR="002A475F">
        <w:rPr>
          <w:lang w:eastAsia="en-US"/>
        </w:rPr>
        <w:t xml:space="preserve">95% CI: </w:t>
      </w:r>
      <w:r w:rsidR="00C96335">
        <w:rPr>
          <w:lang w:eastAsia="en-US"/>
        </w:rPr>
        <w:t>4.27-20.00), and at around 5-7% for subjects with IGT or IFG.</w:t>
      </w:r>
      <w:r w:rsidR="00C96335">
        <w:rPr>
          <w:rStyle w:val="FootnoteReference"/>
          <w:lang w:eastAsia="en-US"/>
        </w:rPr>
        <w:footnoteReference w:id="9"/>
      </w:r>
    </w:p>
    <w:p w14:paraId="2EA50F36" w14:textId="434BBD27" w:rsidR="002F4D85" w:rsidRDefault="00CF73CA" w:rsidP="001C64F0">
      <w:pPr>
        <w:pStyle w:val="3Bodytext"/>
        <w:numPr>
          <w:ilvl w:val="0"/>
          <w:numId w:val="6"/>
        </w:numPr>
        <w:rPr>
          <w:lang w:eastAsia="en-US"/>
        </w:rPr>
      </w:pPr>
      <w:r>
        <w:rPr>
          <w:lang w:eastAsia="en-US"/>
        </w:rPr>
        <w:t>A meta-analysis of prospective observational studies in which participants had prediabetes at baseline (defined as HbA1c 6.0-6.4%</w:t>
      </w:r>
      <w:r w:rsidR="0057419C">
        <w:rPr>
          <w:lang w:eastAsia="en-US"/>
        </w:rPr>
        <w:t>)</w:t>
      </w:r>
      <w:r w:rsidR="00431C18">
        <w:rPr>
          <w:lang w:eastAsia="en-US"/>
        </w:rPr>
        <w:t>, which</w:t>
      </w:r>
      <w:r w:rsidR="0057419C">
        <w:rPr>
          <w:lang w:eastAsia="en-US"/>
        </w:rPr>
        <w:t xml:space="preserve"> found an incidence rate for progression to diabetes of 35.6 (95% credible interval</w:t>
      </w:r>
      <w:r w:rsidR="002A475F">
        <w:rPr>
          <w:lang w:eastAsia="en-US"/>
        </w:rPr>
        <w:t>:</w:t>
      </w:r>
      <w:r w:rsidR="0057419C">
        <w:rPr>
          <w:lang w:eastAsia="en-US"/>
        </w:rPr>
        <w:t xml:space="preserve"> 15.1 to 83.0) per 1000 person-years.</w:t>
      </w:r>
      <w:r w:rsidR="0057419C">
        <w:rPr>
          <w:rStyle w:val="FootnoteReference"/>
          <w:lang w:eastAsia="en-US"/>
        </w:rPr>
        <w:footnoteReference w:id="10"/>
      </w:r>
    </w:p>
    <w:p w14:paraId="74B80E7A" w14:textId="2473776D" w:rsidR="002F4D85" w:rsidRDefault="00AA36D6" w:rsidP="001C64F0">
      <w:pPr>
        <w:pStyle w:val="3Bodytext"/>
        <w:numPr>
          <w:ilvl w:val="0"/>
          <w:numId w:val="6"/>
        </w:numPr>
        <w:rPr>
          <w:lang w:eastAsia="en-US"/>
        </w:rPr>
      </w:pPr>
      <w:r>
        <w:rPr>
          <w:lang w:eastAsia="en-US"/>
        </w:rPr>
        <w:t xml:space="preserve">A US study </w:t>
      </w:r>
      <w:r w:rsidR="00431C18">
        <w:rPr>
          <w:lang w:eastAsia="en-US"/>
        </w:rPr>
        <w:t xml:space="preserve">which </w:t>
      </w:r>
      <w:r>
        <w:rPr>
          <w:lang w:eastAsia="en-US"/>
        </w:rPr>
        <w:t xml:space="preserve">found a </w:t>
      </w:r>
      <w:r w:rsidR="003F0F69">
        <w:rPr>
          <w:lang w:eastAsia="en-US"/>
        </w:rPr>
        <w:t xml:space="preserve">5.5% per annum conversion rate for patients with </w:t>
      </w:r>
      <w:r w:rsidR="009D49FD">
        <w:rPr>
          <w:lang w:eastAsia="en-US"/>
        </w:rPr>
        <w:t xml:space="preserve">IFG </w:t>
      </w:r>
      <w:r w:rsidR="003F0F69">
        <w:rPr>
          <w:lang w:eastAsia="en-US"/>
        </w:rPr>
        <w:t>(110-125 mg/dL) to</w:t>
      </w:r>
      <w:r w:rsidR="009D49FD">
        <w:rPr>
          <w:lang w:eastAsia="en-US"/>
        </w:rPr>
        <w:t xml:space="preserve"> T2DM</w:t>
      </w:r>
      <w:r w:rsidR="003F0F69">
        <w:rPr>
          <w:lang w:eastAsia="en-US"/>
        </w:rPr>
        <w:t>. CV risk factors such as high BMI, blood pressure and triglycerides</w:t>
      </w:r>
      <w:r w:rsidR="0093048B">
        <w:rPr>
          <w:lang w:eastAsia="en-US"/>
        </w:rPr>
        <w:t>,</w:t>
      </w:r>
      <w:r w:rsidR="003F0F69">
        <w:rPr>
          <w:lang w:eastAsia="en-US"/>
        </w:rPr>
        <w:t xml:space="preserve"> and lower HDL cholesterol</w:t>
      </w:r>
      <w:r w:rsidR="0093048B">
        <w:rPr>
          <w:lang w:eastAsia="en-US"/>
        </w:rPr>
        <w:t>,</w:t>
      </w:r>
      <w:r w:rsidR="003F0F69">
        <w:rPr>
          <w:lang w:eastAsia="en-US"/>
        </w:rPr>
        <w:t xml:space="preserve"> were associated with faster diabetes development.</w:t>
      </w:r>
      <w:r w:rsidR="003F0F69">
        <w:rPr>
          <w:rStyle w:val="FootnoteReference"/>
          <w:lang w:eastAsia="en-US"/>
        </w:rPr>
        <w:footnoteReference w:id="11"/>
      </w:r>
    </w:p>
    <w:p w14:paraId="32320161" w14:textId="2888133D" w:rsidR="00AA36D6" w:rsidRDefault="00AA36D6" w:rsidP="001C64F0">
      <w:pPr>
        <w:pStyle w:val="3Bodytext"/>
        <w:numPr>
          <w:ilvl w:val="0"/>
          <w:numId w:val="6"/>
        </w:numPr>
        <w:rPr>
          <w:lang w:eastAsia="en-US"/>
        </w:rPr>
      </w:pPr>
      <w:r>
        <w:rPr>
          <w:lang w:eastAsia="en-US"/>
        </w:rPr>
        <w:lastRenderedPageBreak/>
        <w:t xml:space="preserve">A prospective cohort study of a Dutch population </w:t>
      </w:r>
      <w:r w:rsidR="00431C18">
        <w:rPr>
          <w:lang w:eastAsia="en-US"/>
        </w:rPr>
        <w:t xml:space="preserve">which </w:t>
      </w:r>
      <w:r>
        <w:rPr>
          <w:lang w:eastAsia="en-US"/>
        </w:rPr>
        <w:t xml:space="preserve">found that around 65% of participants with both </w:t>
      </w:r>
      <w:r w:rsidR="006F17CD">
        <w:rPr>
          <w:lang w:eastAsia="en-US"/>
        </w:rPr>
        <w:t xml:space="preserve">IFG </w:t>
      </w:r>
      <w:r>
        <w:rPr>
          <w:lang w:eastAsia="en-US"/>
        </w:rPr>
        <w:t>and impaired post</w:t>
      </w:r>
      <w:r w:rsidR="00B1311A">
        <w:rPr>
          <w:lang w:eastAsia="en-US"/>
        </w:rPr>
        <w:t>-</w:t>
      </w:r>
      <w:r>
        <w:rPr>
          <w:lang w:eastAsia="en-US"/>
        </w:rPr>
        <w:t>load glucose levels progressed to diabetes during the 6-year follow-up.</w:t>
      </w:r>
      <w:r>
        <w:rPr>
          <w:rStyle w:val="FootnoteReference"/>
          <w:lang w:eastAsia="en-US"/>
        </w:rPr>
        <w:footnoteReference w:id="12"/>
      </w:r>
    </w:p>
    <w:p w14:paraId="02AC01B9" w14:textId="043AEBF4" w:rsidR="00523343" w:rsidRDefault="000028E5" w:rsidP="008F1FB2">
      <w:pPr>
        <w:pStyle w:val="3Bodytext"/>
        <w:rPr>
          <w:lang w:eastAsia="en-US"/>
        </w:rPr>
      </w:pPr>
      <w:r>
        <w:rPr>
          <w:lang w:eastAsia="en-US"/>
        </w:rPr>
        <w:t xml:space="preserve">The definition of ‘prediabetes’ has changed over time </w:t>
      </w:r>
      <w:r w:rsidR="00431C18">
        <w:rPr>
          <w:lang w:eastAsia="en-US"/>
        </w:rPr>
        <w:t>and</w:t>
      </w:r>
      <w:r w:rsidR="0057419C">
        <w:rPr>
          <w:lang w:eastAsia="en-US"/>
        </w:rPr>
        <w:t xml:space="preserve"> the rate of HbA1c progression in people with ‘prediabetes’ may not be the same as the rate of progression in those with </w:t>
      </w:r>
      <w:r w:rsidR="00431C18">
        <w:rPr>
          <w:lang w:eastAsia="en-US"/>
        </w:rPr>
        <w:t xml:space="preserve">diabetes. </w:t>
      </w:r>
      <w:r w:rsidR="002A475F">
        <w:rPr>
          <w:lang w:eastAsia="en-US"/>
        </w:rPr>
        <w:t>As noted in some studies, patients with CV risk factors may have faster HbA1c progression.</w:t>
      </w:r>
    </w:p>
    <w:p w14:paraId="00372F40" w14:textId="31FA75E5" w:rsidR="00AE49A9" w:rsidRDefault="00B069C1" w:rsidP="008F1FB2">
      <w:pPr>
        <w:pStyle w:val="3Bodytext"/>
        <w:rPr>
          <w:lang w:eastAsia="en-US"/>
        </w:rPr>
      </w:pPr>
      <w:r>
        <w:rPr>
          <w:lang w:eastAsia="en-US"/>
        </w:rPr>
        <w:t>Placebo-controlled RCTs examining add-on therapies to metformin cannot be used to inform an understanding of the rate of HbA1c progression in T2DM patients, as due to placebo effect, these trials often show a reduction in HbA1c in the placebo arm. However, a randomised trial of metformin versus placebo in subjects with elevated fasting and post-load plasma glucose, found an incidence of diabetes development in the placebo arm of 11.0 cases per 100 person-years.</w:t>
      </w:r>
      <w:r>
        <w:rPr>
          <w:rStyle w:val="FootnoteReference"/>
          <w:lang w:eastAsia="en-US"/>
        </w:rPr>
        <w:footnoteReference w:id="13"/>
      </w:r>
      <w:r>
        <w:rPr>
          <w:lang w:eastAsia="en-US"/>
        </w:rPr>
        <w:t xml:space="preserve"> </w:t>
      </w:r>
    </w:p>
    <w:p w14:paraId="2F1BC030" w14:textId="78E83755" w:rsidR="00C96335" w:rsidRDefault="002A475F" w:rsidP="008F1FB2">
      <w:pPr>
        <w:pStyle w:val="3Bodytext"/>
        <w:rPr>
          <w:lang w:eastAsia="en-US"/>
        </w:rPr>
      </w:pPr>
      <w:r w:rsidRPr="00102A73">
        <w:rPr>
          <w:lang w:eastAsia="en-US"/>
        </w:rPr>
        <w:t>A s</w:t>
      </w:r>
      <w:r w:rsidR="0093048B" w:rsidRPr="00102A73">
        <w:rPr>
          <w:lang w:eastAsia="en-US"/>
        </w:rPr>
        <w:t>ensitivity analys</w:t>
      </w:r>
      <w:r w:rsidRPr="00102A73">
        <w:rPr>
          <w:lang w:eastAsia="en-US"/>
        </w:rPr>
        <w:t>is</w:t>
      </w:r>
      <w:r w:rsidR="0093048B" w:rsidRPr="00102A73">
        <w:rPr>
          <w:lang w:eastAsia="en-US"/>
        </w:rPr>
        <w:t xml:space="preserve"> </w:t>
      </w:r>
      <w:r w:rsidRPr="00102A73">
        <w:rPr>
          <w:lang w:eastAsia="en-US"/>
        </w:rPr>
        <w:t xml:space="preserve">was undertaken to reduce </w:t>
      </w:r>
      <w:r w:rsidR="0093048B" w:rsidRPr="00102A73">
        <w:rPr>
          <w:lang w:eastAsia="en-US"/>
        </w:rPr>
        <w:t>the annual rate</w:t>
      </w:r>
      <w:r w:rsidRPr="00102A73">
        <w:rPr>
          <w:lang w:eastAsia="en-US"/>
        </w:rPr>
        <w:t xml:space="preserve"> by which T2DM patients on metformin monotherapy with HbA1c </w:t>
      </w:r>
      <w:r w:rsidRPr="00102A73">
        <w:rPr>
          <w:rFonts w:cstheme="minorHAnsi"/>
          <w:lang w:eastAsia="en-US"/>
        </w:rPr>
        <w:t>≤</w:t>
      </w:r>
      <w:r w:rsidRPr="00102A73">
        <w:rPr>
          <w:lang w:eastAsia="en-US"/>
        </w:rPr>
        <w:t>7% convert to a HbA1c &gt;7% to 10</w:t>
      </w:r>
      <w:r w:rsidR="00AA2470" w:rsidRPr="00102A73">
        <w:rPr>
          <w:lang w:eastAsia="en-US"/>
        </w:rPr>
        <w:t xml:space="preserve">% </w:t>
      </w:r>
      <w:r w:rsidR="0093048B" w:rsidRPr="00102A73">
        <w:rPr>
          <w:lang w:eastAsia="en-US"/>
        </w:rPr>
        <w:t xml:space="preserve">(refer Table </w:t>
      </w:r>
      <w:r w:rsidRPr="00102A73">
        <w:rPr>
          <w:lang w:eastAsia="en-US"/>
        </w:rPr>
        <w:t>3</w:t>
      </w:r>
      <w:r w:rsidR="0093048B" w:rsidRPr="00102A73">
        <w:rPr>
          <w:lang w:eastAsia="en-US"/>
        </w:rPr>
        <w:t xml:space="preserve">). </w:t>
      </w:r>
    </w:p>
    <w:p w14:paraId="3C9A08CA" w14:textId="77777777" w:rsidR="008C6A48" w:rsidRDefault="008C6A48" w:rsidP="00484395">
      <w:pPr>
        <w:pStyle w:val="5-SubsectionSubheading"/>
      </w:pPr>
      <w:r>
        <w:t>Uptake rate</w:t>
      </w:r>
    </w:p>
    <w:p w14:paraId="6F0517DA" w14:textId="25A4686A" w:rsidR="005E16DF" w:rsidRDefault="005E16DF" w:rsidP="008F1FB2">
      <w:pPr>
        <w:pStyle w:val="3Bodytext"/>
      </w:pPr>
      <w:r>
        <w:t>The financial estimates use</w:t>
      </w:r>
      <w:r w:rsidR="00846695">
        <w:t>d</w:t>
      </w:r>
      <w:r>
        <w:t xml:space="preserve"> </w:t>
      </w:r>
      <w:r w:rsidR="000F48C2">
        <w:t xml:space="preserve">a revised </w:t>
      </w:r>
      <w:r>
        <w:t>uptake rate, or percentage of patients electing treatment,</w:t>
      </w:r>
      <w:r w:rsidR="008C48AD">
        <w:t xml:space="preserve"> of 50% in 2024</w:t>
      </w:r>
      <w:r w:rsidR="003138C0">
        <w:t>, increasing by 5% per annum to a maximum of 7</w:t>
      </w:r>
      <w:r w:rsidR="00275932">
        <w:t>0</w:t>
      </w:r>
      <w:r w:rsidR="003138C0">
        <w:t xml:space="preserve">%. The </w:t>
      </w:r>
      <w:r>
        <w:t>March 2022 estimates</w:t>
      </w:r>
      <w:r w:rsidR="003138C0">
        <w:t xml:space="preserve"> used</w:t>
      </w:r>
      <w:r w:rsidR="0035546E">
        <w:t xml:space="preserve"> an uptake rate of</w:t>
      </w:r>
      <w:r>
        <w:t xml:space="preserve"> 50% in </w:t>
      </w:r>
      <w:r w:rsidR="0035546E">
        <w:t>2024</w:t>
      </w:r>
      <w:r>
        <w:t xml:space="preserve">, increasing by 10% per annum to a maximum of 90%. </w:t>
      </w:r>
      <w:r w:rsidR="00DF3890">
        <w:t xml:space="preserve">A sensitivity analysis providing a flat 50% uptake rate </w:t>
      </w:r>
      <w:r w:rsidR="00846695">
        <w:t>was</w:t>
      </w:r>
      <w:r w:rsidR="00DF3890">
        <w:t xml:space="preserve"> provided</w:t>
      </w:r>
      <w:r w:rsidR="00846695">
        <w:t xml:space="preserve"> (Table 3)</w:t>
      </w:r>
      <w:r w:rsidR="00DF3890">
        <w:t xml:space="preserve">. </w:t>
      </w:r>
    </w:p>
    <w:p w14:paraId="570C2DB8" w14:textId="7C6E74A5" w:rsidR="003D21BF" w:rsidRDefault="00D322F2" w:rsidP="00C54660">
      <w:pPr>
        <w:pStyle w:val="3Bodytext"/>
      </w:pPr>
      <w:r>
        <w:t>Clinical guidelines generally recommend that HbA1c targets vary according to patient characteristics. HbA1c targets for patients who are older (</w:t>
      </w:r>
      <w:r>
        <w:rPr>
          <w:rFonts w:cstheme="minorHAnsi"/>
        </w:rPr>
        <w:t>≥</w:t>
      </w:r>
      <w:r>
        <w:t xml:space="preserve"> 65 years) with comorbidities</w:t>
      </w:r>
      <w:r w:rsidR="00127092">
        <w:t>/</w:t>
      </w:r>
      <w:r>
        <w:t xml:space="preserve">poor health </w:t>
      </w:r>
      <w:r w:rsidR="00127092">
        <w:t xml:space="preserve">or long duration of diabetes </w:t>
      </w:r>
      <w:r>
        <w:t xml:space="preserve">would </w:t>
      </w:r>
      <w:r w:rsidR="008F1980">
        <w:t xml:space="preserve">often </w:t>
      </w:r>
      <w:r>
        <w:t xml:space="preserve">be over 7% </w:t>
      </w:r>
      <w:r w:rsidR="008F1980">
        <w:t>to</w:t>
      </w:r>
      <w:r>
        <w:t xml:space="preserve"> reduce </w:t>
      </w:r>
      <w:r w:rsidR="00F204AF">
        <w:t xml:space="preserve">the </w:t>
      </w:r>
      <w:r>
        <w:t>risk</w:t>
      </w:r>
      <w:r w:rsidR="00F204AF">
        <w:t xml:space="preserve"> of adverse events, particularly</w:t>
      </w:r>
      <w:r>
        <w:t xml:space="preserve"> hypoglycaemia.</w:t>
      </w:r>
      <w:r w:rsidR="008F1980">
        <w:rPr>
          <w:rStyle w:val="FootnoteReference"/>
        </w:rPr>
        <w:footnoteReference w:id="14"/>
      </w:r>
      <w:r>
        <w:t xml:space="preserve"> </w:t>
      </w:r>
      <w:r w:rsidR="00FA568C">
        <w:t xml:space="preserve">The guideline published by the Royal Australian College of General Practitioners (RACGP) </w:t>
      </w:r>
      <w:r w:rsidR="0005270B">
        <w:t xml:space="preserve">recommends a general HbA1c target of </w:t>
      </w:r>
      <w:r w:rsidR="0005270B">
        <w:rPr>
          <w:rFonts w:cstheme="minorHAnsi"/>
        </w:rPr>
        <w:t>≤</w:t>
      </w:r>
      <w:r w:rsidR="0005270B">
        <w:t>7%, but notes that less stringent targets may be appropriate for those at risk from hypoglycaemia, of reduced life expectancy or longer diabetes duration, or in those with comorbidities or established vascular complications</w:t>
      </w:r>
      <w:r w:rsidR="00FA568C">
        <w:t>.</w:t>
      </w:r>
      <w:r w:rsidR="0005270B">
        <w:t xml:space="preserve"> The guideline states, “Glycaemic targets for some elderly people may be higher than for the non-elderly (e.g., a glycated haemoglobin [HbA1c] target of 8% [64 mmol/mol], rather than 7% [53 mmol/mol]). Intensive glycaemic management reduces microvascular but not macrovascular </w:t>
      </w:r>
      <w:r w:rsidR="006E68E4">
        <w:t>complications and</w:t>
      </w:r>
      <w:r w:rsidR="0005270B">
        <w:t xml:space="preserve"> may increase adverse </w:t>
      </w:r>
      <w:r w:rsidR="0005270B">
        <w:lastRenderedPageBreak/>
        <w:t>events and mortality.”</w:t>
      </w:r>
      <w:r w:rsidR="00FA568C">
        <w:rPr>
          <w:rStyle w:val="FootnoteReference"/>
        </w:rPr>
        <w:footnoteReference w:id="15"/>
      </w:r>
      <w:r w:rsidR="00FA568C">
        <w:t xml:space="preserve"> </w:t>
      </w:r>
      <w:r w:rsidR="00C54660">
        <w:t>Elderly patients with longer duration of diabetes may also be less likely to gain macrovascular benefits from intensive glycaemic control.</w:t>
      </w:r>
      <w:r w:rsidR="00C54660">
        <w:rPr>
          <w:rStyle w:val="FootnoteReference"/>
        </w:rPr>
        <w:footnoteReference w:id="16"/>
      </w:r>
      <w:r w:rsidR="00C54660">
        <w:t xml:space="preserve"> </w:t>
      </w:r>
    </w:p>
    <w:p w14:paraId="1783D405" w14:textId="033CE1DC" w:rsidR="003D21BF" w:rsidRDefault="00D27836" w:rsidP="00A04F24">
      <w:pPr>
        <w:pStyle w:val="3Bodytext"/>
      </w:pPr>
      <w:r>
        <w:t xml:space="preserve">The </w:t>
      </w:r>
      <w:r w:rsidR="001A43E6">
        <w:t xml:space="preserve">ACCORD </w:t>
      </w:r>
      <w:r>
        <w:t>trial showed increased all-cause mortality in the intensive control group (HbA1c 6.4%)</w:t>
      </w:r>
      <w:r w:rsidR="00265658">
        <w:t xml:space="preserve"> and patients experiencing severe hypoglycaemia were noted to have increased mortality rates</w:t>
      </w:r>
      <w:r>
        <w:t xml:space="preserve">. </w:t>
      </w:r>
      <w:bookmarkStart w:id="2" w:name="_Hlk169683001"/>
      <w:r w:rsidR="005D0F74">
        <w:t xml:space="preserve">However, the ACCORD study </w:t>
      </w:r>
      <w:r w:rsidR="00E31112">
        <w:t xml:space="preserve">did not </w:t>
      </w:r>
      <w:r w:rsidR="005D0F74">
        <w:t xml:space="preserve">include SGLT2 inhibitors, and these medications are associated with </w:t>
      </w:r>
      <w:r w:rsidR="005C7706">
        <w:t xml:space="preserve">minimal </w:t>
      </w:r>
      <w:r w:rsidR="005D0F74">
        <w:t>hypoglycaemia risk.</w:t>
      </w:r>
      <w:r w:rsidR="00C9615B">
        <w:t xml:space="preserve"> </w:t>
      </w:r>
      <w:r w:rsidR="002607D7">
        <w:t>A review of the benefits and harms of intensive glycaemic control</w:t>
      </w:r>
      <w:r w:rsidR="00E510D2">
        <w:t xml:space="preserve"> concluded that moderate HbA1c targets of 7-8%</w:t>
      </w:r>
      <w:r w:rsidR="00035CCB">
        <w:t xml:space="preserve"> </w:t>
      </w:r>
      <w:r w:rsidR="00665EEA">
        <w:t>are adequate for most patients with T2DM</w:t>
      </w:r>
      <w:r w:rsidR="00E30563">
        <w:t xml:space="preserve">, as the </w:t>
      </w:r>
      <w:r w:rsidR="00083EE7">
        <w:t>evidence</w:t>
      </w:r>
      <w:r w:rsidR="00217D4E">
        <w:t xml:space="preserve"> from systematic reviews and meta-analyses suggested no demonstrable benefits on macrovascular or microvascular </w:t>
      </w:r>
      <w:r w:rsidR="00CF4F37">
        <w:t>outcomes of intensive (HbA1c &lt;7%</w:t>
      </w:r>
      <w:r w:rsidR="00083EE7">
        <w:t xml:space="preserve">) glycaemic </w:t>
      </w:r>
      <w:r w:rsidR="003F6090">
        <w:t xml:space="preserve">control, with the exception of a reduction in </w:t>
      </w:r>
      <w:r w:rsidR="00A5735B">
        <w:t xml:space="preserve">the relative risk of </w:t>
      </w:r>
      <w:r w:rsidR="003F6090">
        <w:t>non-fatal myocardial infarction</w:t>
      </w:r>
      <w:r w:rsidR="00A5735B">
        <w:t>, but was associated with a 2-3 fold increased risk of severe hypoglycaemia</w:t>
      </w:r>
      <w:r w:rsidR="008E3AA2">
        <w:t>.</w:t>
      </w:r>
      <w:r w:rsidR="00AC2B31">
        <w:rPr>
          <w:rStyle w:val="FootnoteReference"/>
        </w:rPr>
        <w:footnoteReference w:id="17"/>
      </w:r>
    </w:p>
    <w:p w14:paraId="2A16DCC7" w14:textId="0DF10DA6" w:rsidR="00A04F24" w:rsidRDefault="00A04F24" w:rsidP="00A04F24">
      <w:pPr>
        <w:pStyle w:val="3Bodytext"/>
      </w:pPr>
      <w:r>
        <w:t>An American College of Physicians guideline released in April 2024 recommends ‘Clinicians should aim to achieve HbA1c levels between 7% and 8% in most adults with type 2 diabetes and deintensify treatments in adults with Hba1</w:t>
      </w:r>
      <w:r w:rsidR="00436D32">
        <w:t>c</w:t>
      </w:r>
      <w:r>
        <w:t xml:space="preserve"> levels less than 6.5%’.</w:t>
      </w:r>
      <w:r>
        <w:rPr>
          <w:rStyle w:val="FootnoteReference"/>
        </w:rPr>
        <w:footnoteReference w:id="18"/>
      </w:r>
      <w:r w:rsidR="00436D32">
        <w:t xml:space="preserve"> Under these guidelines, most patients would be considered </w:t>
      </w:r>
      <w:r w:rsidR="002367D2">
        <w:t>in</w:t>
      </w:r>
      <w:r w:rsidR="00436D32">
        <w:t>appropriate for add-on SGLT2 inhibitor therapy until their HbA1c was &gt;7% (i.e., under the PBS restrictions, the currently eligible patient population)</w:t>
      </w:r>
      <w:r w:rsidR="002367D2">
        <w:t>.</w:t>
      </w:r>
      <w:r w:rsidR="00436D32">
        <w:t xml:space="preserve"> </w:t>
      </w:r>
    </w:p>
    <w:bookmarkEnd w:id="2"/>
    <w:p w14:paraId="69DEF688" w14:textId="4CA61BED" w:rsidR="00262CFC" w:rsidRDefault="0098599A" w:rsidP="008F1FB2">
      <w:pPr>
        <w:pStyle w:val="3Bodytext"/>
      </w:pPr>
      <w:r>
        <w:t>Therapeutic inertia in T2DM management is considered high</w:t>
      </w:r>
      <w:r w:rsidR="00AF4CE6">
        <w:t>.</w:t>
      </w:r>
      <w:r w:rsidR="00262CFC">
        <w:t xml:space="preserve"> </w:t>
      </w:r>
      <w:r w:rsidR="00AF4CE6">
        <w:t>A</w:t>
      </w:r>
      <w:r w:rsidR="003A69BC">
        <w:t xml:space="preserve"> systematic review </w:t>
      </w:r>
      <w:r w:rsidR="00AF4CE6">
        <w:t>found that</w:t>
      </w:r>
      <w:r w:rsidR="00791B84">
        <w:t xml:space="preserve"> most </w:t>
      </w:r>
      <w:r w:rsidR="00AF4CE6">
        <w:t xml:space="preserve">included </w:t>
      </w:r>
      <w:r w:rsidR="00791B84">
        <w:t xml:space="preserve">studies </w:t>
      </w:r>
      <w:r w:rsidR="00262CFC">
        <w:t>show</w:t>
      </w:r>
      <w:r w:rsidR="0026099D">
        <w:t>ed</w:t>
      </w:r>
      <w:r w:rsidR="00262CFC">
        <w:t xml:space="preserve"> </w:t>
      </w:r>
      <w:r w:rsidR="00791B84">
        <w:t xml:space="preserve">clinical inertia </w:t>
      </w:r>
      <w:r w:rsidR="00262CFC">
        <w:t xml:space="preserve">rates </w:t>
      </w:r>
      <w:r w:rsidR="00E572F5">
        <w:t xml:space="preserve">of </w:t>
      </w:r>
      <w:r w:rsidR="00262CFC">
        <w:t xml:space="preserve">over 50% </w:t>
      </w:r>
      <w:r w:rsidR="00791B84">
        <w:t xml:space="preserve">of T2DM patients </w:t>
      </w:r>
      <w:r w:rsidR="00262CFC" w:rsidRPr="00087FCD">
        <w:rPr>
          <w:szCs w:val="24"/>
        </w:rPr>
        <w:t xml:space="preserve">(USA: </w:t>
      </w:r>
      <w:r w:rsidR="00262CFC" w:rsidRPr="00087FCD">
        <w:rPr>
          <w:rFonts w:cstheme="minorHAnsi"/>
          <w:color w:val="212121"/>
          <w:szCs w:val="24"/>
          <w:shd w:val="clear" w:color="auto" w:fill="FFFFFF"/>
        </w:rPr>
        <w:t>35.4% to 85.8%</w:t>
      </w:r>
      <w:r w:rsidR="00CE6BD3" w:rsidRPr="00087FCD">
        <w:rPr>
          <w:rFonts w:cstheme="minorHAnsi"/>
          <w:color w:val="212121"/>
          <w:szCs w:val="24"/>
          <w:shd w:val="clear" w:color="auto" w:fill="FFFFFF"/>
        </w:rPr>
        <w:t xml:space="preserve"> [mean: 60.6%]</w:t>
      </w:r>
      <w:r w:rsidR="00262CFC" w:rsidRPr="00087FCD">
        <w:rPr>
          <w:rFonts w:cstheme="minorHAnsi"/>
          <w:color w:val="212121"/>
          <w:szCs w:val="24"/>
          <w:shd w:val="clear" w:color="auto" w:fill="FFFFFF"/>
        </w:rPr>
        <w:t>; UK: 22.1% to 69.1%</w:t>
      </w:r>
      <w:r w:rsidR="00CE6BD3" w:rsidRPr="00087FCD">
        <w:rPr>
          <w:rFonts w:cstheme="minorHAnsi"/>
          <w:color w:val="212121"/>
          <w:szCs w:val="24"/>
          <w:shd w:val="clear" w:color="auto" w:fill="FFFFFF"/>
        </w:rPr>
        <w:t xml:space="preserve"> [mean</w:t>
      </w:r>
      <w:r w:rsidR="00806023" w:rsidRPr="00087FCD">
        <w:rPr>
          <w:rFonts w:cstheme="minorHAnsi"/>
          <w:color w:val="212121"/>
          <w:szCs w:val="24"/>
          <w:shd w:val="clear" w:color="auto" w:fill="FFFFFF"/>
        </w:rPr>
        <w:t>:</w:t>
      </w:r>
      <w:r w:rsidR="00CE6BD3" w:rsidRPr="00087FCD">
        <w:rPr>
          <w:rFonts w:cstheme="minorHAnsi"/>
          <w:color w:val="212121"/>
          <w:szCs w:val="24"/>
          <w:shd w:val="clear" w:color="auto" w:fill="FFFFFF"/>
        </w:rPr>
        <w:t xml:space="preserve"> 45.6%]</w:t>
      </w:r>
      <w:r w:rsidR="00262CFC" w:rsidRPr="00087FCD">
        <w:rPr>
          <w:rFonts w:cstheme="minorHAnsi"/>
          <w:color w:val="212121"/>
          <w:szCs w:val="24"/>
          <w:shd w:val="clear" w:color="auto" w:fill="FFFFFF"/>
        </w:rPr>
        <w:t xml:space="preserve">; </w:t>
      </w:r>
      <w:r w:rsidR="00F22225" w:rsidRPr="00087FCD">
        <w:rPr>
          <w:rFonts w:cstheme="minorHAnsi"/>
          <w:color w:val="212121"/>
          <w:szCs w:val="24"/>
          <w:shd w:val="clear" w:color="auto" w:fill="FFFFFF"/>
        </w:rPr>
        <w:t>France: 31.0% to 42.3% [mean:</w:t>
      </w:r>
      <w:r w:rsidR="00806023" w:rsidRPr="00087FCD">
        <w:rPr>
          <w:rFonts w:cstheme="minorHAnsi"/>
          <w:color w:val="212121"/>
          <w:szCs w:val="24"/>
          <w:shd w:val="clear" w:color="auto" w:fill="FFFFFF"/>
        </w:rPr>
        <w:t xml:space="preserve"> </w:t>
      </w:r>
      <w:r w:rsidR="00F22225" w:rsidRPr="00087FCD">
        <w:rPr>
          <w:rFonts w:cstheme="minorHAnsi"/>
          <w:color w:val="212121"/>
          <w:szCs w:val="24"/>
          <w:shd w:val="clear" w:color="auto" w:fill="FFFFFF"/>
        </w:rPr>
        <w:t xml:space="preserve">36.6%]; </w:t>
      </w:r>
      <w:r w:rsidR="00262CFC" w:rsidRPr="00087FCD">
        <w:rPr>
          <w:rFonts w:cstheme="minorHAnsi"/>
          <w:color w:val="212121"/>
          <w:szCs w:val="24"/>
          <w:shd w:val="clear" w:color="auto" w:fill="FFFFFF"/>
        </w:rPr>
        <w:t>Spain: 18.1% to 60</w:t>
      </w:r>
      <w:r w:rsidR="00F22225" w:rsidRPr="00087FCD">
        <w:rPr>
          <w:rFonts w:cstheme="minorHAnsi"/>
          <w:color w:val="212121"/>
          <w:szCs w:val="24"/>
          <w:shd w:val="clear" w:color="auto" w:fill="FFFFFF"/>
        </w:rPr>
        <w:t>.0</w:t>
      </w:r>
      <w:r w:rsidR="00262CFC" w:rsidRPr="00087FCD">
        <w:rPr>
          <w:rFonts w:cstheme="minorHAnsi"/>
          <w:color w:val="212121"/>
          <w:szCs w:val="24"/>
          <w:shd w:val="clear" w:color="auto" w:fill="FFFFFF"/>
        </w:rPr>
        <w:t>%</w:t>
      </w:r>
      <w:r w:rsidR="00F22225" w:rsidRPr="00087FCD">
        <w:rPr>
          <w:rFonts w:cstheme="minorHAnsi"/>
          <w:color w:val="212121"/>
          <w:szCs w:val="24"/>
          <w:shd w:val="clear" w:color="auto" w:fill="FFFFFF"/>
        </w:rPr>
        <w:t xml:space="preserve"> [mean 39.0%]</w:t>
      </w:r>
      <w:r w:rsidR="00262CFC" w:rsidRPr="00087FCD">
        <w:rPr>
          <w:rFonts w:cstheme="minorHAnsi"/>
          <w:color w:val="212121"/>
          <w:szCs w:val="24"/>
          <w:shd w:val="clear" w:color="auto" w:fill="FFFFFF"/>
        </w:rPr>
        <w:t>; Canada: 65.8%</w:t>
      </w:r>
      <w:r w:rsidR="00F22225" w:rsidRPr="00087FCD">
        <w:rPr>
          <w:rFonts w:cstheme="minorHAnsi"/>
          <w:color w:val="212121"/>
          <w:szCs w:val="24"/>
          <w:shd w:val="clear" w:color="auto" w:fill="FFFFFF"/>
        </w:rPr>
        <w:t>; Germany</w:t>
      </w:r>
      <w:r w:rsidR="00011F65" w:rsidRPr="00087FCD">
        <w:rPr>
          <w:rFonts w:cstheme="minorHAnsi"/>
          <w:color w:val="212121"/>
          <w:szCs w:val="24"/>
          <w:shd w:val="clear" w:color="auto" w:fill="FFFFFF"/>
        </w:rPr>
        <w:t xml:space="preserve"> and Austria</w:t>
      </w:r>
      <w:r w:rsidR="00F22225" w:rsidRPr="00087FCD">
        <w:rPr>
          <w:rFonts w:cstheme="minorHAnsi"/>
          <w:color w:val="212121"/>
          <w:szCs w:val="24"/>
          <w:shd w:val="clear" w:color="auto" w:fill="FFFFFF"/>
        </w:rPr>
        <w:t>: 55.6%</w:t>
      </w:r>
      <w:r w:rsidR="00262CFC" w:rsidRPr="00087FCD">
        <w:rPr>
          <w:rFonts w:cstheme="minorHAnsi"/>
          <w:color w:val="212121"/>
          <w:szCs w:val="24"/>
          <w:shd w:val="clear" w:color="auto" w:fill="FFFFFF"/>
        </w:rPr>
        <w:t>)</w:t>
      </w:r>
      <w:r w:rsidR="00262CFC" w:rsidRPr="00087FCD">
        <w:rPr>
          <w:rFonts w:cstheme="minorHAnsi"/>
          <w:szCs w:val="24"/>
        </w:rPr>
        <w:t>.</w:t>
      </w:r>
      <w:r w:rsidR="00262CFC" w:rsidRPr="00087FCD">
        <w:rPr>
          <w:rStyle w:val="FootnoteReference"/>
          <w:rFonts w:cstheme="minorHAnsi"/>
          <w:szCs w:val="24"/>
        </w:rPr>
        <w:footnoteReference w:id="19"/>
      </w:r>
      <w:r w:rsidR="00262CFC">
        <w:t xml:space="preserve"> </w:t>
      </w:r>
      <w:r w:rsidR="00F26AB5">
        <w:t>The review identified 25 studies, mostly retrospective cohort studies, including &gt;5</w:t>
      </w:r>
      <w:r w:rsidR="00F22225">
        <w:t>75</w:t>
      </w:r>
      <w:r w:rsidR="00F26AB5">
        <w:t>, 000 patients. The definition of clinical inertia varied between studies and included lack of individualisation of treatment goals</w:t>
      </w:r>
      <w:r w:rsidR="00AF4CE6">
        <w:t>;</w:t>
      </w:r>
      <w:r w:rsidR="00F26AB5">
        <w:t xml:space="preserve"> and failure to initiate or intensify treatment based on evidence-based guidelines, or when HbA1c levels were above target</w:t>
      </w:r>
      <w:r w:rsidR="00806023">
        <w:t>.</w:t>
      </w:r>
      <w:r w:rsidR="00011F65">
        <w:t xml:space="preserve"> Baseline treatments also varied between studies.</w:t>
      </w:r>
      <w:r w:rsidR="00806023">
        <w:t xml:space="preserve"> </w:t>
      </w:r>
      <w:r w:rsidR="00F26AB5">
        <w:t>One study, an</w:t>
      </w:r>
      <w:r w:rsidR="00262CFC">
        <w:t xml:space="preserve"> </w:t>
      </w:r>
      <w:r w:rsidR="00156BE2">
        <w:t xml:space="preserve">analysis of US health records for around 28,000 patients with </w:t>
      </w:r>
      <w:r w:rsidR="00C52102">
        <w:t xml:space="preserve">T2DM </w:t>
      </w:r>
      <w:r w:rsidR="00156BE2">
        <w:t xml:space="preserve">and HbA1c </w:t>
      </w:r>
      <w:r w:rsidR="00156BE2">
        <w:rPr>
          <w:rFonts w:cstheme="minorHAnsi"/>
        </w:rPr>
        <w:t>≥</w:t>
      </w:r>
      <w:r w:rsidR="00156BE2">
        <w:t>8.0% show</w:t>
      </w:r>
      <w:r w:rsidR="00262CFC">
        <w:t>ed</w:t>
      </w:r>
      <w:r w:rsidR="00156BE2">
        <w:t xml:space="preserve"> that no new class of glucose-lowering therapy had been added at 6 months for 36% of patients on one </w:t>
      </w:r>
      <w:r w:rsidR="00262CFC">
        <w:t xml:space="preserve">glucose-lowering </w:t>
      </w:r>
      <w:r w:rsidR="00156BE2">
        <w:t>therapy.</w:t>
      </w:r>
      <w:r>
        <w:t xml:space="preserve"> </w:t>
      </w:r>
      <w:r w:rsidR="00262CFC">
        <w:t xml:space="preserve">Studies indicate that therapeutic inertia is higher for patients close to HbA1c </w:t>
      </w:r>
      <w:r w:rsidR="00262CFC">
        <w:lastRenderedPageBreak/>
        <w:t>targets (i.e., 7-8%) and those at earlier stages of diabetes management, e.g., monotherapy.</w:t>
      </w:r>
      <w:r w:rsidR="00262CFC">
        <w:rPr>
          <w:rStyle w:val="FootnoteReference"/>
        </w:rPr>
        <w:footnoteReference w:id="20"/>
      </w:r>
    </w:p>
    <w:p w14:paraId="34321E38" w14:textId="41A74963" w:rsidR="00157A0C" w:rsidRDefault="00D322F2" w:rsidP="008F1FB2">
      <w:pPr>
        <w:pStyle w:val="3Bodytext"/>
      </w:pPr>
      <w:r>
        <w:t xml:space="preserve">Therefore, </w:t>
      </w:r>
      <w:r w:rsidR="00265658">
        <w:t>many</w:t>
      </w:r>
      <w:r>
        <w:t xml:space="preserve"> patients who would meet the eligibility criteria for earlier </w:t>
      </w:r>
      <w:r w:rsidR="00F204AF">
        <w:t xml:space="preserve">subsidised </w:t>
      </w:r>
      <w:r>
        <w:t xml:space="preserve">access to SGLT2 inhibitors may not be prescribed these medicines due to </w:t>
      </w:r>
      <w:r w:rsidR="00C52102">
        <w:t xml:space="preserve">either </w:t>
      </w:r>
      <w:r>
        <w:t>therapeutic inertia, or because the clinician deem</w:t>
      </w:r>
      <w:r w:rsidR="00BE6D3D">
        <w:t>s</w:t>
      </w:r>
      <w:r>
        <w:t xml:space="preserve"> it inappropriate to </w:t>
      </w:r>
      <w:r w:rsidR="00F204AF">
        <w:t xml:space="preserve">add an SGLT2 inhibitor to the </w:t>
      </w:r>
      <w:r w:rsidR="00D27836">
        <w:t xml:space="preserve">patient’s </w:t>
      </w:r>
      <w:r w:rsidR="00F204AF">
        <w:t xml:space="preserve">regimen </w:t>
      </w:r>
      <w:r w:rsidR="00D27836">
        <w:t>due to the risk of adverse events</w:t>
      </w:r>
      <w:r w:rsidR="00265658">
        <w:t xml:space="preserve"> or </w:t>
      </w:r>
      <w:r w:rsidR="00AE1764">
        <w:t xml:space="preserve">reduced </w:t>
      </w:r>
      <w:r w:rsidR="00265658">
        <w:t>clinical benefit</w:t>
      </w:r>
      <w:r w:rsidR="00D27836">
        <w:t>.</w:t>
      </w:r>
      <w:r w:rsidR="008523A7">
        <w:t xml:space="preserve"> </w:t>
      </w:r>
      <w:r w:rsidR="008D719A">
        <w:t xml:space="preserve">Cost and patient preference would also contribute </w:t>
      </w:r>
      <w:r w:rsidR="00E870D1">
        <w:t xml:space="preserve">to a clinician’s decision to prescribe an SGLT2 inhibitor and </w:t>
      </w:r>
      <w:r w:rsidR="00AC2899">
        <w:t xml:space="preserve">influence </w:t>
      </w:r>
      <w:r w:rsidR="00E870D1">
        <w:t>whether the patient fill</w:t>
      </w:r>
      <w:r w:rsidR="00AC2899">
        <w:t>s</w:t>
      </w:r>
      <w:r w:rsidR="00E870D1">
        <w:t xml:space="preserve"> the prescription. </w:t>
      </w:r>
      <w:r w:rsidR="00846695">
        <w:t>Many p</w:t>
      </w:r>
      <w:r w:rsidR="00EA39DE">
        <w:t xml:space="preserve">atients with a HbA1c </w:t>
      </w:r>
      <w:r w:rsidR="008D719A">
        <w:t xml:space="preserve">below 7% </w:t>
      </w:r>
      <w:r w:rsidR="00D30825">
        <w:t xml:space="preserve">and low to moderate glycaemic variability </w:t>
      </w:r>
      <w:r w:rsidR="008D714A">
        <w:t xml:space="preserve">would experience </w:t>
      </w:r>
      <w:r w:rsidR="00FA4906">
        <w:t xml:space="preserve">minimal </w:t>
      </w:r>
      <w:r w:rsidR="008D714A">
        <w:t xml:space="preserve">hyperglycaemia </w:t>
      </w:r>
      <w:r w:rsidR="00FA4906">
        <w:t xml:space="preserve">symptoms </w:t>
      </w:r>
      <w:r w:rsidR="008D714A">
        <w:t xml:space="preserve">and </w:t>
      </w:r>
      <w:r w:rsidR="00846695">
        <w:t xml:space="preserve">may </w:t>
      </w:r>
      <w:r w:rsidR="008D719A">
        <w:t>consider their diabetes to be well-managed</w:t>
      </w:r>
      <w:r w:rsidR="0096096E">
        <w:t xml:space="preserve">. They may therefore be unwilling to </w:t>
      </w:r>
      <w:r w:rsidR="00846695">
        <w:t xml:space="preserve">use </w:t>
      </w:r>
      <w:r w:rsidR="00065F82">
        <w:t>additional medication</w:t>
      </w:r>
      <w:r w:rsidR="00536DE3">
        <w:t xml:space="preserve">. </w:t>
      </w:r>
      <w:r w:rsidR="002E62D0">
        <w:t>Initial medication non-adherence (not obtaining a medication the first time it is prescribed)</w:t>
      </w:r>
      <w:r w:rsidR="00EC7A1A">
        <w:t xml:space="preserve"> ha</w:t>
      </w:r>
      <w:r w:rsidR="00846695">
        <w:t>s</w:t>
      </w:r>
      <w:r w:rsidR="00EC7A1A">
        <w:t xml:space="preserve"> shown rates between 6-28% in primary care</w:t>
      </w:r>
      <w:r w:rsidR="00AD02E0">
        <w:t xml:space="preserve">, </w:t>
      </w:r>
      <w:r w:rsidR="00F04B2B">
        <w:t>with predictive factors including taking more than 3 medications</w:t>
      </w:r>
      <w:r w:rsidR="00A77580">
        <w:t>, being female and younger age.</w:t>
      </w:r>
      <w:r w:rsidR="0046305E">
        <w:rPr>
          <w:rStyle w:val="FootnoteReference"/>
        </w:rPr>
        <w:footnoteReference w:id="21"/>
      </w:r>
    </w:p>
    <w:p w14:paraId="6055E192" w14:textId="178FE997" w:rsidR="0098599A" w:rsidRDefault="00BE6D3D" w:rsidP="008F1FB2">
      <w:pPr>
        <w:pStyle w:val="3Bodytext"/>
      </w:pPr>
      <w:r>
        <w:t xml:space="preserve">The base case </w:t>
      </w:r>
      <w:r w:rsidR="006C1EEE">
        <w:t xml:space="preserve">in the revised </w:t>
      </w:r>
      <w:r w:rsidR="00484466">
        <w:t xml:space="preserve">financial </w:t>
      </w:r>
      <w:r w:rsidR="006C1EEE">
        <w:t xml:space="preserve">model </w:t>
      </w:r>
      <w:r w:rsidR="00484466">
        <w:t xml:space="preserve">used </w:t>
      </w:r>
      <w:r>
        <w:t xml:space="preserve">an uptake rate of 50% in 2024, increasing by 5% per annum to a maximum of 70%, to represent an increase over time in clinician and consumer awareness of the </w:t>
      </w:r>
      <w:r w:rsidR="00484466">
        <w:t xml:space="preserve">CV </w:t>
      </w:r>
      <w:r>
        <w:t xml:space="preserve">benefits of SGLT2 inhibitors which may be independent of their glycaemic effects. </w:t>
      </w:r>
      <w:r w:rsidR="00087FCD">
        <w:t xml:space="preserve">A sensitivity analysis was undertaken to change the uptake rate to a constant rate of 50% </w:t>
      </w:r>
      <w:r w:rsidR="005963C8">
        <w:t>(Table</w:t>
      </w:r>
      <w:r>
        <w:t> </w:t>
      </w:r>
      <w:r w:rsidR="005963C8">
        <w:t xml:space="preserve">3), </w:t>
      </w:r>
      <w:r w:rsidR="000A0E2C">
        <w:t xml:space="preserve">based on the </w:t>
      </w:r>
      <w:r w:rsidR="00C37327">
        <w:t>review of</w:t>
      </w:r>
      <w:r w:rsidR="000A0E2C">
        <w:t xml:space="preserve"> clinical inertia rate</w:t>
      </w:r>
      <w:r w:rsidR="00C37327">
        <w:t>s in diabetes</w:t>
      </w:r>
      <w:r w:rsidR="00087FCD">
        <w:t>.</w:t>
      </w:r>
      <w:r w:rsidR="009E0404">
        <w:t xml:space="preserve"> </w:t>
      </w:r>
    </w:p>
    <w:p w14:paraId="11260222" w14:textId="3825C310" w:rsidR="00F817EF" w:rsidRDefault="00F817EF" w:rsidP="00F817EF">
      <w:pPr>
        <w:pStyle w:val="5-SubsectionSubheading"/>
      </w:pPr>
      <w:r>
        <w:t xml:space="preserve">Additional </w:t>
      </w:r>
      <w:r w:rsidR="00AA72B6">
        <w:t>considerations/</w:t>
      </w:r>
      <w:r>
        <w:t>assumptions</w:t>
      </w:r>
    </w:p>
    <w:p w14:paraId="56644DC0" w14:textId="1DEABF2F" w:rsidR="00BB16D4" w:rsidRDefault="00F817EF" w:rsidP="00BB16D4">
      <w:pPr>
        <w:pStyle w:val="3Bodytext"/>
      </w:pPr>
      <w:r>
        <w:t xml:space="preserve">The </w:t>
      </w:r>
      <w:r w:rsidR="00BB16D4">
        <w:t xml:space="preserve">revised </w:t>
      </w:r>
      <w:r>
        <w:t>financial estimates d</w:t>
      </w:r>
      <w:r w:rsidR="00484466">
        <w:t>id</w:t>
      </w:r>
      <w:r>
        <w:t xml:space="preserve"> not specifically consider the proportion of patients who are contraindicated </w:t>
      </w:r>
      <w:r w:rsidR="00013C04">
        <w:t xml:space="preserve">or intolerant </w:t>
      </w:r>
      <w:r>
        <w:t xml:space="preserve">to SGLT2 inhibitors, which </w:t>
      </w:r>
      <w:r w:rsidR="00013C04">
        <w:t>may lead to an overestimation of cost to the PBS</w:t>
      </w:r>
      <w:r w:rsidR="00F467DF">
        <w:t>. The estimates also did not consider</w:t>
      </w:r>
      <w:r w:rsidR="00BB16D4">
        <w:t xml:space="preserve"> the proportion of patients contraindicated or intolerant to metformin, which may lead to an underestimation of the cost to the PBS. The recommended SGLT2 inhibitor restriction changes for the expanded CV risk population from March 2022, allow patients contraindicated or intolerant to metformin to access SGLT2 inhibitor monotherapy. Therefore, some patients currently using first-line medications</w:t>
      </w:r>
      <w:r w:rsidR="00F467DF">
        <w:t xml:space="preserve"> other than metformin</w:t>
      </w:r>
      <w:r w:rsidR="00BB16D4">
        <w:t xml:space="preserve">, </w:t>
      </w:r>
      <w:r w:rsidR="00F467DF">
        <w:t xml:space="preserve">such as </w:t>
      </w:r>
      <w:r w:rsidR="00BB16D4">
        <w:t>sulfonylureas</w:t>
      </w:r>
      <w:r w:rsidR="00F467DF">
        <w:t xml:space="preserve"> or pioglitazone</w:t>
      </w:r>
      <w:r w:rsidR="00BB16D4">
        <w:t xml:space="preserve">, may switch to an SGLT2 inhibitor. </w:t>
      </w:r>
      <w:r w:rsidR="00F467DF">
        <w:t>O</w:t>
      </w:r>
      <w:r w:rsidR="00BB16D4">
        <w:t xml:space="preserve">ther potential switches, </w:t>
      </w:r>
      <w:r w:rsidR="00F467DF">
        <w:t>such as</w:t>
      </w:r>
      <w:r w:rsidR="00BB16D4">
        <w:t xml:space="preserve"> from insulin or DPP4 inhibitors, are unlikely to be significantly more costly to the PBS</w:t>
      </w:r>
      <w:r w:rsidR="00F467DF">
        <w:t xml:space="preserve"> than an SGLT2 inhibitor</w:t>
      </w:r>
      <w:r w:rsidR="00BB16D4">
        <w:t>, and the DUSC utilisation analysis of T2DM medicines indicated that patients were likely already using SGLT2 inhibitors in monotherapy.</w:t>
      </w:r>
    </w:p>
    <w:p w14:paraId="7DBA1593" w14:textId="51B5425E" w:rsidR="00087FCD" w:rsidRDefault="00087FCD" w:rsidP="008F1FB2">
      <w:pPr>
        <w:pStyle w:val="3Bodytext"/>
      </w:pPr>
      <w:r>
        <w:t>The updated financial estimates assume</w:t>
      </w:r>
      <w:r w:rsidR="00F467DF">
        <w:t>d</w:t>
      </w:r>
      <w:r>
        <w:t xml:space="preserve"> that eligible patients add either dapagliflozin or empagliflozin single </w:t>
      </w:r>
      <w:r w:rsidR="00A159B9">
        <w:t>component products</w:t>
      </w:r>
      <w:r>
        <w:t>, rather than moving to a</w:t>
      </w:r>
      <w:r w:rsidR="00A159B9">
        <w:t>n</w:t>
      </w:r>
      <w:r>
        <w:t xml:space="preserve"> </w:t>
      </w:r>
      <w:r>
        <w:lastRenderedPageBreak/>
        <w:t xml:space="preserve">FDC with metformin. </w:t>
      </w:r>
      <w:r w:rsidR="00A159B9">
        <w:t>Modelling a proportion of patients moving to an FDC may</w:t>
      </w:r>
      <w:r w:rsidR="00102A73">
        <w:t xml:space="preserve"> or may not</w:t>
      </w:r>
      <w:r w:rsidR="00A159B9">
        <w:t xml:space="preserve"> reduce the cost estimates to the R/PBS, </w:t>
      </w:r>
      <w:r w:rsidR="00102A73">
        <w:t xml:space="preserve">as FDCs </w:t>
      </w:r>
      <w:r w:rsidR="00EA4E1E">
        <w:t xml:space="preserve">generally </w:t>
      </w:r>
      <w:r w:rsidR="00102A73">
        <w:t xml:space="preserve">cost less than the component medicines, but there would be </w:t>
      </w:r>
      <w:r w:rsidR="00A159B9">
        <w:t xml:space="preserve">reduced </w:t>
      </w:r>
      <w:r w:rsidR="00EA4E1E">
        <w:t xml:space="preserve">patient </w:t>
      </w:r>
      <w:r w:rsidR="00A159B9">
        <w:t>co-payment</w:t>
      </w:r>
      <w:r w:rsidR="00102A73">
        <w:t>s</w:t>
      </w:r>
      <w:r w:rsidR="00A159B9">
        <w:t>.</w:t>
      </w:r>
    </w:p>
    <w:p w14:paraId="70E69CD9" w14:textId="560330D1" w:rsidR="00BD1FFE" w:rsidRDefault="00BD1FFE" w:rsidP="008F1FB2">
      <w:pPr>
        <w:pStyle w:val="3Bodytext"/>
      </w:pPr>
      <w:r>
        <w:t xml:space="preserve">The recommended restriction changes allow access to SGLT2 inhibitors for patients who identify as Aboriginal and Torres Strait Islander and are on metformin </w:t>
      </w:r>
      <w:r w:rsidR="00C45D5F">
        <w:t xml:space="preserve">therapy. This population was not specifically modelled, as it was considered </w:t>
      </w:r>
      <w:r w:rsidR="00E82D3A">
        <w:t>likely to be predominantly included within the estimates of the eligible population</w:t>
      </w:r>
      <w:r w:rsidR="006D596E">
        <w:t xml:space="preserve">, </w:t>
      </w:r>
      <w:r w:rsidR="0085274C">
        <w:t>as</w:t>
      </w:r>
      <w:r w:rsidR="006D596E">
        <w:t xml:space="preserve"> patients on metformin therapy </w:t>
      </w:r>
      <w:r w:rsidR="00FA7D02">
        <w:t>and</w:t>
      </w:r>
      <w:r w:rsidR="006D596E">
        <w:t xml:space="preserve"> </w:t>
      </w:r>
      <w:r w:rsidR="00F467DF">
        <w:t>CV</w:t>
      </w:r>
      <w:r w:rsidR="006D596E">
        <w:t xml:space="preserve"> medications.</w:t>
      </w:r>
      <w:r w:rsidR="00DB26EC">
        <w:t xml:space="preserve"> However, this assumption may </w:t>
      </w:r>
      <w:r w:rsidR="00730043">
        <w:t xml:space="preserve">have led </w:t>
      </w:r>
      <w:r w:rsidR="00DB26EC">
        <w:t>to an underestimation of the eligible population.</w:t>
      </w:r>
    </w:p>
    <w:p w14:paraId="13F091D3" w14:textId="3E27D49E" w:rsidR="000227CB" w:rsidRDefault="000227CB" w:rsidP="008F1FB2">
      <w:pPr>
        <w:pStyle w:val="3Bodytext"/>
      </w:pPr>
      <w:r>
        <w:t xml:space="preserve">The financial estimates do not take into consideration the impacts of 60-day prescription items. </w:t>
      </w:r>
    </w:p>
    <w:p w14:paraId="47440A30" w14:textId="60DCEDB5" w:rsidR="00087FCD" w:rsidRPr="002F4D85" w:rsidRDefault="00AA72B6" w:rsidP="00AA72B6">
      <w:pPr>
        <w:pStyle w:val="5-SubsectionSubheading"/>
      </w:pPr>
      <w:r>
        <w:t>Sensitivity analyses</w:t>
      </w:r>
    </w:p>
    <w:p w14:paraId="32059178" w14:textId="04076A12" w:rsidR="000227CB" w:rsidRPr="000227CB" w:rsidRDefault="00C70D10" w:rsidP="000227CB">
      <w:pPr>
        <w:pStyle w:val="3Bodytext"/>
        <w:rPr>
          <w:rFonts w:ascii="Arial Narrow" w:hAnsi="Arial Narrow"/>
          <w:b/>
          <w:bCs/>
          <w:sz w:val="20"/>
          <w:szCs w:val="20"/>
        </w:rPr>
      </w:pPr>
      <w:r w:rsidRPr="00460813">
        <w:t xml:space="preserve">The results of the sensitivity analyses </w:t>
      </w:r>
      <w:r w:rsidR="00460813">
        <w:t xml:space="preserve">detailed above </w:t>
      </w:r>
      <w:r w:rsidRPr="00460813">
        <w:t xml:space="preserve">are shown in Table </w:t>
      </w:r>
      <w:r w:rsidR="005B66AC" w:rsidRPr="00460813">
        <w:t>3</w:t>
      </w:r>
      <w:r w:rsidRPr="00460813">
        <w:t>.</w:t>
      </w:r>
      <w:r w:rsidR="00BC64E1" w:rsidRPr="00460813">
        <w:t xml:space="preserve"> </w:t>
      </w:r>
      <w:r w:rsidR="00460813">
        <w:t xml:space="preserve">The model was sensitive to changes in the estimate of the proportion of patients on metformin monotherapy with HbA1c &gt;7%. </w:t>
      </w:r>
      <w:r w:rsidR="00677F1A">
        <w:t xml:space="preserve">Reducing this from 50% in the base case to 40% in the sensitivity analysis </w:t>
      </w:r>
      <w:r w:rsidR="00647B09">
        <w:t>doubled the</w:t>
      </w:r>
      <w:r w:rsidR="00677F1A">
        <w:t xml:space="preserve"> estimated R/PBS expenditure over 2024-2029 to $</w:t>
      </w:r>
      <w:r w:rsidR="00FF4C8C">
        <w:t>100.0</w:t>
      </w:r>
      <w:r w:rsidR="007B29C0">
        <w:t> </w:t>
      </w:r>
      <w:r w:rsidR="00677F1A">
        <w:t>million (+</w:t>
      </w:r>
      <w:r w:rsidR="00647B09">
        <w:t>1</w:t>
      </w:r>
      <w:r w:rsidR="00FF4C8C">
        <w:t>04</w:t>
      </w:r>
      <w:r w:rsidR="00677F1A">
        <w:t xml:space="preserve">%; sensitivity analysis 2). </w:t>
      </w:r>
      <w:r w:rsidR="00460813">
        <w:t>Including patients on regimens of metformin + SU therapy in the model had a moderate impact on the cost estimates (+</w:t>
      </w:r>
      <w:r w:rsidR="00FF4C8C">
        <w:t>28</w:t>
      </w:r>
      <w:r w:rsidR="00460813">
        <w:t>%</w:t>
      </w:r>
      <w:r w:rsidR="00677F1A">
        <w:t>; sensitivity analysis 1</w:t>
      </w:r>
      <w:r w:rsidR="00460813">
        <w:t xml:space="preserve">), as did changing the annual rate at which patients on metformin monotherapy </w:t>
      </w:r>
      <w:r w:rsidR="00460813" w:rsidRPr="000227CB">
        <w:rPr>
          <w:rFonts w:cstheme="minorHAnsi"/>
          <w:szCs w:val="24"/>
          <w:lang w:eastAsia="en-US"/>
        </w:rPr>
        <w:t>convert to HbA1c &gt;7% from 15% to 10% (+</w:t>
      </w:r>
      <w:r w:rsidR="00647B09">
        <w:rPr>
          <w:rFonts w:cstheme="minorHAnsi"/>
          <w:szCs w:val="24"/>
          <w:lang w:eastAsia="en-US"/>
        </w:rPr>
        <w:t>3</w:t>
      </w:r>
      <w:r w:rsidR="00FF4C8C">
        <w:rPr>
          <w:rFonts w:cstheme="minorHAnsi"/>
          <w:szCs w:val="24"/>
          <w:lang w:eastAsia="en-US"/>
        </w:rPr>
        <w:t>1</w:t>
      </w:r>
      <w:r w:rsidR="00460813" w:rsidRPr="000227CB">
        <w:rPr>
          <w:rFonts w:cstheme="minorHAnsi"/>
          <w:szCs w:val="24"/>
          <w:lang w:eastAsia="en-US"/>
        </w:rPr>
        <w:t>%</w:t>
      </w:r>
      <w:r w:rsidR="00677F1A" w:rsidRPr="000227CB">
        <w:rPr>
          <w:rFonts w:cstheme="minorHAnsi"/>
          <w:szCs w:val="24"/>
          <w:lang w:eastAsia="en-US"/>
        </w:rPr>
        <w:t>; sensitivity analysis 3</w:t>
      </w:r>
      <w:r w:rsidR="00460813" w:rsidRPr="000227CB">
        <w:rPr>
          <w:rFonts w:cstheme="minorHAnsi"/>
          <w:szCs w:val="24"/>
          <w:lang w:eastAsia="en-US"/>
        </w:rPr>
        <w:t>).</w:t>
      </w:r>
      <w:r w:rsidR="00677F1A" w:rsidRPr="000227CB">
        <w:rPr>
          <w:rFonts w:cstheme="minorHAnsi"/>
          <w:szCs w:val="24"/>
          <w:lang w:eastAsia="en-US"/>
        </w:rPr>
        <w:t xml:space="preserve"> Changing the uptake rate to a constant rate of 50% resulted in </w:t>
      </w:r>
      <w:r w:rsidR="001A7121">
        <w:rPr>
          <w:rFonts w:cstheme="minorHAnsi"/>
          <w:szCs w:val="24"/>
          <w:lang w:eastAsia="en-US"/>
        </w:rPr>
        <w:t>the expanded listing being almost cost neutral (</w:t>
      </w:r>
      <w:r w:rsidR="00677F1A" w:rsidRPr="000227CB">
        <w:rPr>
          <w:rFonts w:cstheme="minorHAnsi"/>
          <w:szCs w:val="24"/>
          <w:lang w:eastAsia="en-US"/>
        </w:rPr>
        <w:t>$</w:t>
      </w:r>
      <w:r w:rsidR="00FF4C8C">
        <w:rPr>
          <w:rFonts w:cstheme="minorHAnsi"/>
          <w:szCs w:val="24"/>
          <w:lang w:eastAsia="en-US"/>
        </w:rPr>
        <w:t>0.5</w:t>
      </w:r>
      <w:r w:rsidR="00677F1A" w:rsidRPr="000227CB">
        <w:rPr>
          <w:rFonts w:cstheme="minorHAnsi"/>
          <w:szCs w:val="24"/>
          <w:lang w:eastAsia="en-US"/>
        </w:rPr>
        <w:t xml:space="preserve"> million over the forward estimates</w:t>
      </w:r>
      <w:r w:rsidR="001A7121">
        <w:rPr>
          <w:rFonts w:cstheme="minorHAnsi"/>
          <w:szCs w:val="24"/>
          <w:lang w:eastAsia="en-US"/>
        </w:rPr>
        <w:t xml:space="preserve">; </w:t>
      </w:r>
      <w:r w:rsidR="001A7121">
        <w:rPr>
          <w:rFonts w:cstheme="minorHAnsi"/>
          <w:szCs w:val="24"/>
          <w:lang w:eastAsia="en-US"/>
        </w:rPr>
        <w:noBreakHyphen/>
      </w:r>
      <w:r w:rsidR="00FF4C8C">
        <w:rPr>
          <w:rFonts w:cstheme="minorHAnsi"/>
          <w:szCs w:val="24"/>
          <w:lang w:eastAsia="en-US"/>
        </w:rPr>
        <w:t>99</w:t>
      </w:r>
      <w:r w:rsidR="00677F1A" w:rsidRPr="000227CB">
        <w:rPr>
          <w:rFonts w:cstheme="minorHAnsi"/>
          <w:szCs w:val="24"/>
          <w:lang w:eastAsia="en-US"/>
        </w:rPr>
        <w:t xml:space="preserve">%; sensitivity analysis 4). </w:t>
      </w:r>
    </w:p>
    <w:p w14:paraId="758DC845" w14:textId="32318D46" w:rsidR="00170C4D" w:rsidRPr="000227CB" w:rsidRDefault="00DD3C8D" w:rsidP="001C64F0">
      <w:pPr>
        <w:pStyle w:val="3Bodytext"/>
        <w:keepNext/>
        <w:keepLines/>
        <w:numPr>
          <w:ilvl w:val="0"/>
          <w:numId w:val="0"/>
        </w:numPr>
        <w:spacing w:after="0"/>
        <w:rPr>
          <w:rFonts w:ascii="Arial Narrow" w:hAnsi="Arial Narrow"/>
          <w:b/>
          <w:bCs/>
          <w:sz w:val="20"/>
          <w:szCs w:val="20"/>
        </w:rPr>
      </w:pPr>
      <w:r w:rsidRPr="000227CB">
        <w:rPr>
          <w:rFonts w:ascii="Arial Narrow" w:hAnsi="Arial Narrow"/>
          <w:b/>
          <w:bCs/>
          <w:sz w:val="20"/>
          <w:szCs w:val="20"/>
        </w:rPr>
        <w:lastRenderedPageBreak/>
        <w:t xml:space="preserve">Table </w:t>
      </w:r>
      <w:r w:rsidR="005B66AC" w:rsidRPr="000227CB">
        <w:rPr>
          <w:rFonts w:ascii="Arial Narrow" w:hAnsi="Arial Narrow"/>
          <w:b/>
          <w:bCs/>
          <w:sz w:val="20"/>
          <w:szCs w:val="20"/>
        </w:rPr>
        <w:t>3</w:t>
      </w:r>
      <w:r w:rsidRPr="000227CB">
        <w:rPr>
          <w:rFonts w:ascii="Arial Narrow" w:hAnsi="Arial Narrow"/>
          <w:b/>
          <w:bCs/>
          <w:sz w:val="20"/>
          <w:szCs w:val="20"/>
        </w:rPr>
        <w:t xml:space="preserve">: </w:t>
      </w:r>
      <w:r w:rsidR="005B66AC" w:rsidRPr="000227CB">
        <w:rPr>
          <w:rFonts w:ascii="Arial Narrow" w:hAnsi="Arial Narrow"/>
          <w:b/>
          <w:bCs/>
          <w:sz w:val="20"/>
          <w:szCs w:val="20"/>
        </w:rPr>
        <w:t>Sensitivity analyses of n</w:t>
      </w:r>
      <w:r w:rsidRPr="000227CB">
        <w:rPr>
          <w:rFonts w:ascii="Arial Narrow" w:hAnsi="Arial Narrow"/>
          <w:b/>
          <w:bCs/>
          <w:sz w:val="20"/>
          <w:szCs w:val="20"/>
        </w:rPr>
        <w:t>et cost to R/PBS for expanded SGLT2 inhibitor listing</w:t>
      </w:r>
      <w:r w:rsidR="005B66AC" w:rsidRPr="000227CB">
        <w:rPr>
          <w:rFonts w:ascii="Arial Narrow" w:hAnsi="Arial Narrow"/>
          <w:b/>
          <w:bCs/>
          <w:sz w:val="20"/>
          <w:szCs w:val="20"/>
        </w:rPr>
        <w:t xml:space="preserve">, incorporating </w:t>
      </w:r>
      <w:r w:rsidRPr="000227CB">
        <w:rPr>
          <w:rFonts w:ascii="Arial Narrow" w:hAnsi="Arial Narrow"/>
          <w:b/>
          <w:bCs/>
          <w:sz w:val="20"/>
          <w:szCs w:val="20"/>
        </w:rPr>
        <w:t xml:space="preserve">15% price reduction </w:t>
      </w:r>
      <w:r w:rsidR="005B66AC" w:rsidRPr="000227CB">
        <w:rPr>
          <w:rFonts w:ascii="Arial Narrow" w:hAnsi="Arial Narrow"/>
          <w:b/>
          <w:bCs/>
          <w:sz w:val="20"/>
          <w:szCs w:val="20"/>
        </w:rPr>
        <w:t>to the current and expanded T2DM market</w:t>
      </w:r>
    </w:p>
    <w:tbl>
      <w:tblPr>
        <w:tblStyle w:val="TableGrid"/>
        <w:tblW w:w="5000" w:type="pct"/>
        <w:tblLook w:val="04A0" w:firstRow="1" w:lastRow="0" w:firstColumn="1" w:lastColumn="0" w:noHBand="0" w:noVBand="1"/>
      </w:tblPr>
      <w:tblGrid>
        <w:gridCol w:w="5949"/>
        <w:gridCol w:w="1417"/>
        <w:gridCol w:w="1650"/>
      </w:tblGrid>
      <w:tr w:rsidR="00DD3C8D" w:rsidRPr="002F4D85" w14:paraId="5D2BF639" w14:textId="77777777" w:rsidTr="00CA4418">
        <w:tc>
          <w:tcPr>
            <w:tcW w:w="3299" w:type="pct"/>
            <w:shd w:val="clear" w:color="auto" w:fill="D9D9D9" w:themeFill="background1" w:themeFillShade="D9"/>
            <w:vAlign w:val="center"/>
          </w:tcPr>
          <w:p w14:paraId="53753531" w14:textId="18141914" w:rsidR="00DD3C8D" w:rsidRPr="002F4D85" w:rsidRDefault="00DD3C8D" w:rsidP="000227CB">
            <w:pPr>
              <w:keepNext/>
              <w:keepLines/>
              <w:spacing w:before="40" w:after="40"/>
              <w:jc w:val="left"/>
              <w:rPr>
                <w:rFonts w:ascii="Arial Narrow" w:hAnsi="Arial Narrow" w:cs="Arial"/>
                <w:b/>
                <w:bCs/>
                <w:sz w:val="20"/>
                <w:szCs w:val="20"/>
                <w:lang w:eastAsia="en-US"/>
              </w:rPr>
            </w:pPr>
            <w:r w:rsidRPr="002F4D85">
              <w:rPr>
                <w:rFonts w:ascii="Arial Narrow" w:hAnsi="Arial Narrow" w:cs="Arial"/>
                <w:b/>
                <w:bCs/>
                <w:sz w:val="20"/>
                <w:szCs w:val="20"/>
                <w:lang w:eastAsia="en-US"/>
              </w:rPr>
              <w:t>Assumption/Variable</w:t>
            </w:r>
          </w:p>
        </w:tc>
        <w:tc>
          <w:tcPr>
            <w:tcW w:w="786" w:type="pct"/>
            <w:shd w:val="clear" w:color="auto" w:fill="D9D9D9" w:themeFill="background1" w:themeFillShade="D9"/>
            <w:vAlign w:val="center"/>
          </w:tcPr>
          <w:p w14:paraId="124E8A85" w14:textId="2B6E3E7E" w:rsidR="00BC64E1" w:rsidRPr="00460813" w:rsidRDefault="005B66AC" w:rsidP="000227CB">
            <w:pPr>
              <w:keepNext/>
              <w:keepLines/>
              <w:spacing w:before="40" w:after="40"/>
              <w:jc w:val="center"/>
              <w:rPr>
                <w:rFonts w:ascii="Arial Narrow" w:hAnsi="Arial Narrow" w:cs="Arial"/>
                <w:b/>
                <w:bCs/>
                <w:sz w:val="20"/>
                <w:szCs w:val="20"/>
                <w:lang w:eastAsia="en-US"/>
              </w:rPr>
            </w:pPr>
            <w:r w:rsidRPr="00460813">
              <w:rPr>
                <w:rFonts w:ascii="Arial Narrow" w:hAnsi="Arial Narrow" w:cs="Arial"/>
                <w:b/>
                <w:bCs/>
                <w:sz w:val="20"/>
                <w:szCs w:val="20"/>
                <w:lang w:eastAsia="en-US"/>
              </w:rPr>
              <w:t xml:space="preserve">Net </w:t>
            </w:r>
            <w:r w:rsidR="00DD3C8D" w:rsidRPr="00460813">
              <w:rPr>
                <w:rFonts w:ascii="Arial Narrow" w:hAnsi="Arial Narrow" w:cs="Arial"/>
                <w:b/>
                <w:bCs/>
                <w:sz w:val="20"/>
                <w:szCs w:val="20"/>
                <w:lang w:eastAsia="en-US"/>
              </w:rPr>
              <w:t xml:space="preserve">R/PBS </w:t>
            </w:r>
            <w:r w:rsidRPr="00460813">
              <w:rPr>
                <w:rFonts w:ascii="Arial Narrow" w:hAnsi="Arial Narrow" w:cs="Arial"/>
                <w:b/>
                <w:bCs/>
                <w:sz w:val="20"/>
                <w:szCs w:val="20"/>
                <w:lang w:eastAsia="en-US"/>
              </w:rPr>
              <w:t>cost</w:t>
            </w:r>
          </w:p>
          <w:p w14:paraId="52867D34" w14:textId="3F6043F0" w:rsidR="00DD3C8D" w:rsidRPr="00460813" w:rsidRDefault="00DD3C8D" w:rsidP="000227CB">
            <w:pPr>
              <w:keepNext/>
              <w:keepLines/>
              <w:spacing w:before="40" w:after="40"/>
              <w:jc w:val="center"/>
              <w:rPr>
                <w:rFonts w:ascii="Arial Narrow" w:hAnsi="Arial Narrow" w:cs="Arial"/>
                <w:b/>
                <w:bCs/>
                <w:sz w:val="20"/>
                <w:szCs w:val="20"/>
                <w:lang w:eastAsia="en-US"/>
              </w:rPr>
            </w:pPr>
            <w:r w:rsidRPr="00460813">
              <w:rPr>
                <w:rFonts w:ascii="Arial Narrow" w:hAnsi="Arial Narrow" w:cs="Arial"/>
                <w:b/>
                <w:bCs/>
                <w:sz w:val="20"/>
                <w:szCs w:val="20"/>
                <w:lang w:eastAsia="en-US"/>
              </w:rPr>
              <w:t>(2024-202</w:t>
            </w:r>
            <w:r w:rsidR="005B66AC" w:rsidRPr="00460813">
              <w:rPr>
                <w:rFonts w:ascii="Arial Narrow" w:hAnsi="Arial Narrow" w:cs="Arial"/>
                <w:b/>
                <w:bCs/>
                <w:sz w:val="20"/>
                <w:szCs w:val="20"/>
                <w:lang w:eastAsia="en-US"/>
              </w:rPr>
              <w:t>9</w:t>
            </w:r>
            <w:r w:rsidRPr="00460813">
              <w:rPr>
                <w:rFonts w:ascii="Arial Narrow" w:hAnsi="Arial Narrow" w:cs="Arial"/>
                <w:b/>
                <w:bCs/>
                <w:sz w:val="20"/>
                <w:szCs w:val="20"/>
                <w:lang w:eastAsia="en-US"/>
              </w:rPr>
              <w:t>)</w:t>
            </w:r>
          </w:p>
        </w:tc>
        <w:tc>
          <w:tcPr>
            <w:tcW w:w="915" w:type="pct"/>
            <w:shd w:val="clear" w:color="auto" w:fill="D9D9D9" w:themeFill="background1" w:themeFillShade="D9"/>
            <w:vAlign w:val="center"/>
          </w:tcPr>
          <w:p w14:paraId="0C7E1D05" w14:textId="5641E690" w:rsidR="00DD3C8D" w:rsidRPr="00460813" w:rsidRDefault="00DD3C8D" w:rsidP="000227CB">
            <w:pPr>
              <w:keepNext/>
              <w:keepLines/>
              <w:spacing w:before="40" w:after="40"/>
              <w:jc w:val="center"/>
              <w:rPr>
                <w:rFonts w:ascii="Arial Narrow" w:hAnsi="Arial Narrow" w:cs="Arial"/>
                <w:b/>
                <w:bCs/>
                <w:sz w:val="20"/>
                <w:szCs w:val="20"/>
                <w:lang w:eastAsia="en-US"/>
              </w:rPr>
            </w:pPr>
            <w:r w:rsidRPr="00460813">
              <w:rPr>
                <w:rFonts w:ascii="Arial Narrow" w:hAnsi="Arial Narrow" w:cs="Arial"/>
                <w:b/>
                <w:bCs/>
                <w:sz w:val="20"/>
                <w:szCs w:val="20"/>
                <w:lang w:eastAsia="en-US"/>
              </w:rPr>
              <w:t xml:space="preserve">% impact </w:t>
            </w:r>
            <w:r w:rsidR="00BA193F">
              <w:rPr>
                <w:rFonts w:ascii="Arial Narrow" w:hAnsi="Arial Narrow" w:cs="Arial"/>
                <w:b/>
                <w:bCs/>
                <w:sz w:val="20"/>
                <w:szCs w:val="20"/>
                <w:lang w:eastAsia="en-US"/>
              </w:rPr>
              <w:t>versus base case</w:t>
            </w:r>
          </w:p>
        </w:tc>
      </w:tr>
      <w:tr w:rsidR="00F467DF" w:rsidRPr="002F4D85" w14:paraId="2F8B2098" w14:textId="77777777" w:rsidTr="00CA4418">
        <w:tc>
          <w:tcPr>
            <w:tcW w:w="3299" w:type="pct"/>
            <w:vAlign w:val="center"/>
          </w:tcPr>
          <w:p w14:paraId="06584B18" w14:textId="293B62E7" w:rsidR="00F467DF" w:rsidRPr="002F4D85" w:rsidRDefault="00F467DF" w:rsidP="00F467DF">
            <w:pPr>
              <w:keepNext/>
              <w:keepLines/>
              <w:spacing w:before="40" w:after="40"/>
              <w:jc w:val="left"/>
              <w:rPr>
                <w:rFonts w:ascii="Arial Narrow" w:hAnsi="Arial Narrow" w:cs="Arial"/>
                <w:sz w:val="20"/>
                <w:szCs w:val="20"/>
                <w:lang w:eastAsia="en-US"/>
              </w:rPr>
            </w:pPr>
            <w:r w:rsidRPr="002F4D85">
              <w:rPr>
                <w:rFonts w:ascii="Arial Narrow" w:hAnsi="Arial Narrow" w:cs="Arial"/>
                <w:sz w:val="20"/>
                <w:szCs w:val="20"/>
                <w:lang w:eastAsia="en-US"/>
              </w:rPr>
              <w:t>Base case</w:t>
            </w:r>
          </w:p>
        </w:tc>
        <w:tc>
          <w:tcPr>
            <w:tcW w:w="786" w:type="pct"/>
            <w:shd w:val="clear" w:color="auto" w:fill="auto"/>
            <w:vAlign w:val="center"/>
          </w:tcPr>
          <w:p w14:paraId="04457DDC" w14:textId="57157A82"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$48,998,432</w:t>
            </w:r>
          </w:p>
        </w:tc>
        <w:tc>
          <w:tcPr>
            <w:tcW w:w="915" w:type="pct"/>
            <w:shd w:val="clear" w:color="auto" w:fill="auto"/>
            <w:vAlign w:val="center"/>
          </w:tcPr>
          <w:p w14:paraId="78FA25DA" w14:textId="6E09A9B0"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NA</w:t>
            </w:r>
          </w:p>
        </w:tc>
      </w:tr>
      <w:tr w:rsidR="00F467DF" w:rsidRPr="002F4D85" w14:paraId="5A1BA59B" w14:textId="77777777" w:rsidTr="00CA4418">
        <w:tc>
          <w:tcPr>
            <w:tcW w:w="3299" w:type="pct"/>
            <w:vAlign w:val="center"/>
          </w:tcPr>
          <w:p w14:paraId="1F7FF1EB" w14:textId="0D17C096" w:rsidR="00F467DF" w:rsidRPr="002F4D85" w:rsidRDefault="00F467DF" w:rsidP="00F467DF">
            <w:pPr>
              <w:keepNext/>
              <w:keepLines/>
              <w:spacing w:before="40" w:after="40"/>
              <w:jc w:val="left"/>
              <w:rPr>
                <w:rFonts w:ascii="Arial Narrow" w:hAnsi="Arial Narrow" w:cs="Arial"/>
                <w:sz w:val="20"/>
                <w:szCs w:val="20"/>
                <w:lang w:eastAsia="en-US"/>
              </w:rPr>
            </w:pPr>
            <w:r w:rsidRPr="002F4D85">
              <w:rPr>
                <w:rFonts w:ascii="Arial Narrow" w:hAnsi="Arial Narrow" w:cs="Arial"/>
                <w:sz w:val="20"/>
                <w:szCs w:val="20"/>
                <w:lang w:eastAsia="en-US"/>
              </w:rPr>
              <w:t>1. P</w:t>
            </w:r>
            <w:r w:rsidR="00FF4C8C">
              <w:rPr>
                <w:rFonts w:ascii="Arial Narrow" w:hAnsi="Arial Narrow" w:cs="Arial"/>
                <w:sz w:val="20"/>
                <w:szCs w:val="20"/>
                <w:lang w:eastAsia="en-US"/>
              </w:rPr>
              <w:t>rojected p</w:t>
            </w:r>
            <w:r w:rsidRPr="002F4D85">
              <w:rPr>
                <w:rFonts w:ascii="Arial Narrow" w:hAnsi="Arial Narrow" w:cs="Arial"/>
                <w:sz w:val="20"/>
                <w:szCs w:val="20"/>
                <w:lang w:eastAsia="en-US"/>
              </w:rPr>
              <w:t>atient population current therapy</w:t>
            </w:r>
          </w:p>
          <w:p w14:paraId="7626254E" w14:textId="496C694D" w:rsidR="00F467DF" w:rsidRPr="002F4D85" w:rsidRDefault="00F467DF" w:rsidP="00F467DF">
            <w:pPr>
              <w:keepNext/>
              <w:keepLines/>
              <w:spacing w:before="40" w:after="40"/>
              <w:jc w:val="left"/>
              <w:rPr>
                <w:rFonts w:ascii="Arial Narrow" w:hAnsi="Arial Narrow" w:cs="Arial"/>
                <w:sz w:val="20"/>
                <w:szCs w:val="20"/>
                <w:lang w:eastAsia="en-US"/>
              </w:rPr>
            </w:pPr>
            <w:r w:rsidRPr="002F4D85">
              <w:rPr>
                <w:rFonts w:ascii="Arial Narrow" w:hAnsi="Arial Narrow" w:cs="Arial"/>
                <w:sz w:val="20"/>
                <w:szCs w:val="20"/>
                <w:lang w:eastAsia="en-US"/>
              </w:rPr>
              <w:t>- Include patients on met + SU therapy</w:t>
            </w:r>
            <w:r w:rsidR="00FF4C8C">
              <w:rPr>
                <w:rFonts w:ascii="Arial Narrow" w:hAnsi="Arial Narrow" w:cs="Arial"/>
                <w:sz w:val="20"/>
                <w:szCs w:val="20"/>
                <w:lang w:eastAsia="en-US"/>
              </w:rPr>
              <w:t xml:space="preserve"> (Base case: met only)</w:t>
            </w:r>
          </w:p>
        </w:tc>
        <w:tc>
          <w:tcPr>
            <w:tcW w:w="786" w:type="pct"/>
            <w:shd w:val="clear" w:color="auto" w:fill="auto"/>
            <w:vAlign w:val="center"/>
          </w:tcPr>
          <w:p w14:paraId="307223FA" w14:textId="03BFA453"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 xml:space="preserve">$62,516,694 </w:t>
            </w:r>
          </w:p>
        </w:tc>
        <w:tc>
          <w:tcPr>
            <w:tcW w:w="915" w:type="pct"/>
            <w:shd w:val="clear" w:color="auto" w:fill="auto"/>
            <w:vAlign w:val="center"/>
          </w:tcPr>
          <w:p w14:paraId="25DAE8A4" w14:textId="6A0FC078"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kern w:val="24"/>
                <w:sz w:val="20"/>
                <w:szCs w:val="20"/>
              </w:rPr>
              <w:t>28%</w:t>
            </w:r>
          </w:p>
        </w:tc>
      </w:tr>
      <w:tr w:rsidR="00F467DF" w:rsidRPr="002F4D85" w14:paraId="01BB500B" w14:textId="77777777" w:rsidTr="00CA4418">
        <w:tc>
          <w:tcPr>
            <w:tcW w:w="3299" w:type="pct"/>
            <w:vAlign w:val="center"/>
          </w:tcPr>
          <w:p w14:paraId="21008D43" w14:textId="565947B6" w:rsidR="00F467DF" w:rsidRPr="002F4D85" w:rsidRDefault="00F467DF" w:rsidP="00F467DF">
            <w:pPr>
              <w:keepNext/>
              <w:keepLines/>
              <w:spacing w:before="40" w:after="40"/>
              <w:jc w:val="left"/>
              <w:rPr>
                <w:rFonts w:ascii="Arial Narrow" w:hAnsi="Arial Narrow" w:cs="Arial"/>
                <w:sz w:val="20"/>
                <w:szCs w:val="20"/>
                <w:lang w:eastAsia="en-US"/>
              </w:rPr>
            </w:pPr>
            <w:r w:rsidRPr="002F4D85">
              <w:rPr>
                <w:rFonts w:ascii="Arial Narrow" w:hAnsi="Arial Narrow" w:cs="Arial"/>
                <w:sz w:val="20"/>
                <w:szCs w:val="20"/>
                <w:lang w:eastAsia="en-US"/>
              </w:rPr>
              <w:t>2. Proportion of patients with T2DM on met monotherapy with HbA1c</w:t>
            </w:r>
            <w:r w:rsidR="00701352">
              <w:rPr>
                <w:rFonts w:ascii="Arial Narrow" w:hAnsi="Arial Narrow" w:cs="Arial"/>
                <w:sz w:val="20"/>
                <w:szCs w:val="20"/>
                <w:lang w:eastAsia="en-US"/>
              </w:rPr>
              <w:t xml:space="preserve"> </w:t>
            </w:r>
            <w:r w:rsidRPr="002F4D85">
              <w:rPr>
                <w:rFonts w:ascii="Arial Narrow" w:hAnsi="Arial Narrow" w:cs="Arial"/>
                <w:sz w:val="20"/>
                <w:szCs w:val="20"/>
                <w:lang w:eastAsia="en-US"/>
              </w:rPr>
              <w:t>&gt;7%</w:t>
            </w:r>
          </w:p>
          <w:p w14:paraId="7A91C564" w14:textId="57BDB513" w:rsidR="00F467DF" w:rsidRPr="002F4D85" w:rsidRDefault="00F467DF" w:rsidP="00F467DF">
            <w:pPr>
              <w:keepNext/>
              <w:keepLines/>
              <w:spacing w:before="40" w:after="40"/>
              <w:jc w:val="left"/>
              <w:rPr>
                <w:rFonts w:ascii="Arial Narrow" w:hAnsi="Arial Narrow" w:cs="Arial"/>
                <w:sz w:val="20"/>
                <w:szCs w:val="20"/>
                <w:lang w:eastAsia="en-US"/>
              </w:rPr>
            </w:pPr>
            <w:r w:rsidRPr="002F4D85">
              <w:rPr>
                <w:rFonts w:ascii="Arial Narrow" w:hAnsi="Arial Narrow" w:cs="Arial"/>
                <w:sz w:val="20"/>
                <w:szCs w:val="20"/>
                <w:lang w:eastAsia="en-US"/>
              </w:rPr>
              <w:t xml:space="preserve"> - Reduce to 40%</w:t>
            </w:r>
            <w:r w:rsidR="00FF4C8C">
              <w:rPr>
                <w:rFonts w:ascii="Arial Narrow" w:hAnsi="Arial Narrow" w:cs="Arial"/>
                <w:sz w:val="20"/>
                <w:szCs w:val="20"/>
                <w:lang w:eastAsia="en-US"/>
              </w:rPr>
              <w:t xml:space="preserve"> (Base case: 50%)</w:t>
            </w:r>
          </w:p>
        </w:tc>
        <w:tc>
          <w:tcPr>
            <w:tcW w:w="786" w:type="pct"/>
            <w:shd w:val="clear" w:color="auto" w:fill="auto"/>
            <w:vAlign w:val="center"/>
          </w:tcPr>
          <w:p w14:paraId="454E819E" w14:textId="79579DE6"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 xml:space="preserve">$99,888,251 </w:t>
            </w:r>
          </w:p>
        </w:tc>
        <w:tc>
          <w:tcPr>
            <w:tcW w:w="915" w:type="pct"/>
            <w:shd w:val="clear" w:color="auto" w:fill="auto"/>
            <w:vAlign w:val="center"/>
          </w:tcPr>
          <w:p w14:paraId="6FCF60A3" w14:textId="31516662"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kern w:val="24"/>
                <w:sz w:val="20"/>
                <w:szCs w:val="20"/>
              </w:rPr>
              <w:t>104%</w:t>
            </w:r>
          </w:p>
        </w:tc>
      </w:tr>
      <w:tr w:rsidR="00F467DF" w:rsidRPr="002F4D85" w14:paraId="434CBEA9" w14:textId="77777777" w:rsidTr="00CA4418">
        <w:tc>
          <w:tcPr>
            <w:tcW w:w="3299" w:type="pct"/>
            <w:vAlign w:val="center"/>
          </w:tcPr>
          <w:p w14:paraId="59F87F95" w14:textId="585C37A0" w:rsidR="00F467DF" w:rsidRPr="002F4D85" w:rsidRDefault="00F467DF" w:rsidP="00F467DF">
            <w:pPr>
              <w:keepNext/>
              <w:keepLines/>
              <w:spacing w:before="40" w:after="40"/>
              <w:jc w:val="left"/>
              <w:rPr>
                <w:rFonts w:ascii="Arial Narrow" w:hAnsi="Arial Narrow" w:cs="Arial"/>
                <w:sz w:val="20"/>
                <w:szCs w:val="20"/>
                <w:lang w:eastAsia="en-US"/>
              </w:rPr>
            </w:pPr>
            <w:r w:rsidRPr="002F4D85">
              <w:rPr>
                <w:rFonts w:ascii="Arial Narrow" w:hAnsi="Arial Narrow" w:cs="Arial"/>
                <w:sz w:val="20"/>
                <w:szCs w:val="20"/>
                <w:lang w:eastAsia="en-US"/>
              </w:rPr>
              <w:t xml:space="preserve">3. Annual rate T2DM patients on met monotherapy with HbA1c 6.5% to ≤7% convert to HbA1c &gt;7% </w:t>
            </w:r>
          </w:p>
          <w:p w14:paraId="09FA6F2C" w14:textId="53933CC3" w:rsidR="00F467DF" w:rsidRPr="002F4D85" w:rsidRDefault="00F467DF" w:rsidP="00F467DF">
            <w:pPr>
              <w:keepNext/>
              <w:keepLines/>
              <w:spacing w:before="40" w:after="40"/>
              <w:jc w:val="left"/>
              <w:rPr>
                <w:rFonts w:ascii="Arial Narrow" w:hAnsi="Arial Narrow" w:cs="Arial"/>
                <w:sz w:val="20"/>
                <w:szCs w:val="20"/>
                <w:lang w:eastAsia="en-US"/>
              </w:rPr>
            </w:pPr>
            <w:r w:rsidRPr="002F4D85">
              <w:rPr>
                <w:rFonts w:ascii="Arial Narrow" w:hAnsi="Arial Narrow" w:cs="Arial"/>
                <w:sz w:val="20"/>
                <w:szCs w:val="20"/>
                <w:lang w:eastAsia="en-US"/>
              </w:rPr>
              <w:t xml:space="preserve">- Reduce to </w:t>
            </w:r>
            <w:r>
              <w:rPr>
                <w:rFonts w:ascii="Arial Narrow" w:hAnsi="Arial Narrow" w:cs="Arial"/>
                <w:sz w:val="20"/>
                <w:szCs w:val="20"/>
                <w:lang w:eastAsia="en-US"/>
              </w:rPr>
              <w:t>10</w:t>
            </w:r>
            <w:r w:rsidRPr="002F4D85">
              <w:rPr>
                <w:rFonts w:ascii="Arial Narrow" w:hAnsi="Arial Narrow" w:cs="Arial"/>
                <w:sz w:val="20"/>
                <w:szCs w:val="20"/>
                <w:lang w:eastAsia="en-US"/>
              </w:rPr>
              <w:t>%</w:t>
            </w:r>
            <w:r w:rsidR="00FF4C8C">
              <w:rPr>
                <w:rFonts w:ascii="Arial Narrow" w:hAnsi="Arial Narrow" w:cs="Arial"/>
                <w:sz w:val="20"/>
                <w:szCs w:val="20"/>
                <w:lang w:eastAsia="en-US"/>
              </w:rPr>
              <w:t xml:space="preserve"> (Base case: 15%)</w:t>
            </w:r>
          </w:p>
        </w:tc>
        <w:tc>
          <w:tcPr>
            <w:tcW w:w="786" w:type="pct"/>
            <w:shd w:val="clear" w:color="auto" w:fill="auto"/>
            <w:vAlign w:val="center"/>
          </w:tcPr>
          <w:p w14:paraId="67878ECD" w14:textId="1AD191C0"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 xml:space="preserve">$63,966,035 </w:t>
            </w:r>
          </w:p>
        </w:tc>
        <w:tc>
          <w:tcPr>
            <w:tcW w:w="915" w:type="pct"/>
            <w:shd w:val="clear" w:color="auto" w:fill="auto"/>
            <w:vAlign w:val="center"/>
          </w:tcPr>
          <w:p w14:paraId="567E3890" w14:textId="74D1258C"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kern w:val="24"/>
                <w:sz w:val="20"/>
                <w:szCs w:val="20"/>
              </w:rPr>
              <w:t>31%</w:t>
            </w:r>
          </w:p>
        </w:tc>
      </w:tr>
      <w:tr w:rsidR="00F467DF" w:rsidRPr="002F4D85" w14:paraId="7B7429C0" w14:textId="77777777" w:rsidTr="00CA4418">
        <w:tc>
          <w:tcPr>
            <w:tcW w:w="3299" w:type="pct"/>
            <w:vAlign w:val="center"/>
          </w:tcPr>
          <w:p w14:paraId="634AE04B" w14:textId="77777777" w:rsidR="00F467DF" w:rsidRDefault="00F467DF" w:rsidP="00F467DF">
            <w:pPr>
              <w:keepNext/>
              <w:keepLines/>
              <w:spacing w:before="40" w:after="40"/>
              <w:jc w:val="left"/>
              <w:rPr>
                <w:rFonts w:ascii="Arial Narrow" w:hAnsi="Arial Narrow" w:cs="Arial"/>
                <w:sz w:val="20"/>
                <w:szCs w:val="20"/>
                <w:lang w:eastAsia="en-US"/>
              </w:rPr>
            </w:pPr>
            <w:r>
              <w:rPr>
                <w:rFonts w:ascii="Arial Narrow" w:hAnsi="Arial Narrow" w:cs="Arial"/>
                <w:sz w:val="20"/>
                <w:szCs w:val="20"/>
                <w:lang w:eastAsia="en-US"/>
              </w:rPr>
              <w:t>4. Uptake rate</w:t>
            </w:r>
          </w:p>
          <w:p w14:paraId="7FE384C9" w14:textId="173DF832" w:rsidR="00F467DF" w:rsidRPr="002F4D85" w:rsidRDefault="00F467DF" w:rsidP="00F467DF">
            <w:pPr>
              <w:keepNext/>
              <w:keepLines/>
              <w:spacing w:before="40" w:after="40"/>
              <w:jc w:val="left"/>
              <w:rPr>
                <w:rFonts w:ascii="Arial Narrow" w:hAnsi="Arial Narrow" w:cs="Arial"/>
                <w:sz w:val="20"/>
                <w:szCs w:val="20"/>
                <w:lang w:eastAsia="en-US"/>
              </w:rPr>
            </w:pPr>
            <w:r>
              <w:rPr>
                <w:rFonts w:ascii="Arial Narrow" w:hAnsi="Arial Narrow" w:cs="Arial"/>
                <w:sz w:val="20"/>
                <w:szCs w:val="20"/>
                <w:lang w:eastAsia="en-US"/>
              </w:rPr>
              <w:t xml:space="preserve">- Change </w:t>
            </w:r>
            <w:r w:rsidR="00FF4C8C">
              <w:rPr>
                <w:rFonts w:ascii="Arial Narrow" w:hAnsi="Arial Narrow" w:cs="Arial"/>
                <w:sz w:val="20"/>
                <w:szCs w:val="20"/>
                <w:lang w:eastAsia="en-US"/>
              </w:rPr>
              <w:t>to 50% (Base case:</w:t>
            </w:r>
            <w:r>
              <w:rPr>
                <w:rFonts w:ascii="Arial Narrow" w:hAnsi="Arial Narrow" w:cs="Arial"/>
                <w:sz w:val="20"/>
                <w:szCs w:val="20"/>
                <w:lang w:eastAsia="en-US"/>
              </w:rPr>
              <w:t xml:space="preserve"> 50% in 2024 increasing by 5% per year to 70%</w:t>
            </w:r>
            <w:r w:rsidR="00FF4C8C">
              <w:rPr>
                <w:rFonts w:ascii="Arial Narrow" w:hAnsi="Arial Narrow" w:cs="Arial"/>
                <w:sz w:val="20"/>
                <w:szCs w:val="20"/>
                <w:lang w:eastAsia="en-US"/>
              </w:rPr>
              <w:t>)</w:t>
            </w:r>
          </w:p>
        </w:tc>
        <w:tc>
          <w:tcPr>
            <w:tcW w:w="786" w:type="pct"/>
            <w:shd w:val="clear" w:color="auto" w:fill="auto"/>
            <w:vAlign w:val="center"/>
          </w:tcPr>
          <w:p w14:paraId="566A1E03" w14:textId="169A71E9"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 xml:space="preserve">$499,403 </w:t>
            </w:r>
          </w:p>
        </w:tc>
        <w:tc>
          <w:tcPr>
            <w:tcW w:w="915" w:type="pct"/>
            <w:shd w:val="clear" w:color="auto" w:fill="auto"/>
            <w:vAlign w:val="center"/>
          </w:tcPr>
          <w:p w14:paraId="400E30D5" w14:textId="3E10A979"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kern w:val="24"/>
                <w:sz w:val="20"/>
                <w:szCs w:val="20"/>
              </w:rPr>
              <w:t>-99%</w:t>
            </w:r>
          </w:p>
        </w:tc>
      </w:tr>
      <w:tr w:rsidR="00F467DF" w:rsidRPr="002F4D85" w14:paraId="63D9F406" w14:textId="77777777" w:rsidTr="00CA4418">
        <w:tc>
          <w:tcPr>
            <w:tcW w:w="3299" w:type="pct"/>
            <w:vAlign w:val="center"/>
          </w:tcPr>
          <w:p w14:paraId="5BA770B6" w14:textId="280693D7" w:rsidR="00F467DF" w:rsidRPr="002F4D85" w:rsidRDefault="00F467DF" w:rsidP="00F467DF">
            <w:pPr>
              <w:keepNext/>
              <w:keepLines/>
              <w:spacing w:before="40" w:after="40"/>
              <w:rPr>
                <w:rFonts w:ascii="Arial Narrow" w:hAnsi="Arial Narrow"/>
                <w:sz w:val="20"/>
                <w:szCs w:val="20"/>
                <w:lang w:eastAsia="en-US"/>
              </w:rPr>
            </w:pPr>
            <w:r w:rsidRPr="002F4D85">
              <w:rPr>
                <w:rFonts w:ascii="Arial Narrow" w:hAnsi="Arial Narrow"/>
                <w:sz w:val="20"/>
                <w:szCs w:val="20"/>
                <w:lang w:eastAsia="en-US"/>
              </w:rPr>
              <w:t>1, 2 and 3 (</w:t>
            </w:r>
            <w:r w:rsidR="00D2642B">
              <w:rPr>
                <w:rFonts w:ascii="Arial Narrow" w:hAnsi="Arial Narrow"/>
                <w:sz w:val="20"/>
                <w:szCs w:val="20"/>
                <w:lang w:eastAsia="en-US"/>
              </w:rPr>
              <w:t>‘</w:t>
            </w:r>
            <w:r w:rsidRPr="002F4D85">
              <w:rPr>
                <w:rFonts w:ascii="Arial Narrow" w:hAnsi="Arial Narrow"/>
                <w:sz w:val="20"/>
                <w:szCs w:val="20"/>
                <w:lang w:eastAsia="en-US"/>
              </w:rPr>
              <w:t>Worst case</w:t>
            </w:r>
            <w:r>
              <w:rPr>
                <w:rFonts w:ascii="Arial Narrow" w:hAnsi="Arial Narrow"/>
                <w:sz w:val="20"/>
                <w:szCs w:val="20"/>
                <w:lang w:eastAsia="en-US"/>
              </w:rPr>
              <w:t xml:space="preserve"> scenario</w:t>
            </w:r>
            <w:r w:rsidR="00D2642B">
              <w:rPr>
                <w:rFonts w:ascii="Arial Narrow" w:hAnsi="Arial Narrow"/>
                <w:sz w:val="20"/>
                <w:szCs w:val="20"/>
                <w:lang w:eastAsia="en-US"/>
              </w:rPr>
              <w:t>’</w:t>
            </w:r>
            <w:r w:rsidRPr="002F4D85">
              <w:rPr>
                <w:rFonts w:ascii="Arial Narrow" w:hAnsi="Arial Narrow"/>
                <w:sz w:val="20"/>
                <w:szCs w:val="20"/>
                <w:lang w:eastAsia="en-US"/>
              </w:rPr>
              <w:t>)</w:t>
            </w:r>
          </w:p>
        </w:tc>
        <w:tc>
          <w:tcPr>
            <w:tcW w:w="786" w:type="pct"/>
            <w:shd w:val="clear" w:color="auto" w:fill="auto"/>
            <w:vAlign w:val="center"/>
          </w:tcPr>
          <w:p w14:paraId="419BDE7E" w14:textId="204258C8"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 xml:space="preserve">$135,025,519 </w:t>
            </w:r>
          </w:p>
        </w:tc>
        <w:tc>
          <w:tcPr>
            <w:tcW w:w="915" w:type="pct"/>
            <w:shd w:val="clear" w:color="auto" w:fill="auto"/>
            <w:vAlign w:val="center"/>
          </w:tcPr>
          <w:p w14:paraId="13B36297" w14:textId="2C54B19F"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kern w:val="24"/>
                <w:sz w:val="20"/>
                <w:szCs w:val="20"/>
              </w:rPr>
              <w:t>176%</w:t>
            </w:r>
          </w:p>
        </w:tc>
      </w:tr>
      <w:tr w:rsidR="00F467DF" w:rsidRPr="002F4D85" w14:paraId="2F046BA2" w14:textId="77777777" w:rsidTr="00CA4418">
        <w:tc>
          <w:tcPr>
            <w:tcW w:w="3299" w:type="pct"/>
            <w:vAlign w:val="center"/>
          </w:tcPr>
          <w:p w14:paraId="3845B67F" w14:textId="7D9697BF" w:rsidR="00F467DF" w:rsidRPr="002F4D85" w:rsidRDefault="00F467DF" w:rsidP="00F467DF">
            <w:pPr>
              <w:keepNext/>
              <w:keepLines/>
              <w:spacing w:before="40" w:after="40"/>
              <w:rPr>
                <w:rFonts w:ascii="Arial Narrow" w:hAnsi="Arial Narrow"/>
                <w:sz w:val="20"/>
                <w:szCs w:val="20"/>
                <w:lang w:eastAsia="en-US"/>
              </w:rPr>
            </w:pPr>
            <w:r>
              <w:rPr>
                <w:rFonts w:ascii="Arial Narrow" w:hAnsi="Arial Narrow"/>
                <w:sz w:val="20"/>
                <w:szCs w:val="20"/>
                <w:lang w:eastAsia="en-US"/>
              </w:rPr>
              <w:t>1,2,3 and 4</w:t>
            </w:r>
          </w:p>
        </w:tc>
        <w:tc>
          <w:tcPr>
            <w:tcW w:w="786" w:type="pct"/>
            <w:shd w:val="clear" w:color="auto" w:fill="auto"/>
            <w:vAlign w:val="center"/>
          </w:tcPr>
          <w:p w14:paraId="6576FC3A" w14:textId="482EE6BF" w:rsidR="00F467DF" w:rsidRPr="00F467DF" w:rsidRDefault="00F467DF" w:rsidP="00F467DF">
            <w:pPr>
              <w:keepNext/>
              <w:keepLines/>
              <w:spacing w:before="40" w:after="40"/>
              <w:jc w:val="center"/>
              <w:rPr>
                <w:rFonts w:ascii="Arial Narrow" w:hAnsi="Arial Narrow" w:cs="Arial"/>
                <w:sz w:val="20"/>
                <w:szCs w:val="20"/>
                <w:lang w:eastAsia="en-US"/>
              </w:rPr>
            </w:pPr>
            <w:r w:rsidRPr="00F467DF">
              <w:rPr>
                <w:rFonts w:ascii="Arial Narrow" w:hAnsi="Arial Narrow" w:cs="Arial"/>
                <w:color w:val="000000" w:themeColor="text1"/>
                <w:kern w:val="24"/>
                <w:sz w:val="20"/>
                <w:szCs w:val="20"/>
              </w:rPr>
              <w:t xml:space="preserve">$70,290,810 </w:t>
            </w:r>
          </w:p>
        </w:tc>
        <w:tc>
          <w:tcPr>
            <w:tcW w:w="915" w:type="pct"/>
            <w:shd w:val="clear" w:color="auto" w:fill="auto"/>
            <w:vAlign w:val="center"/>
          </w:tcPr>
          <w:p w14:paraId="20B731F6" w14:textId="4A56F9E3" w:rsidR="00F467DF" w:rsidRPr="00F467DF" w:rsidRDefault="00F467DF" w:rsidP="00F467DF">
            <w:pPr>
              <w:keepNext/>
              <w:keepLines/>
              <w:jc w:val="center"/>
              <w:rPr>
                <w:rFonts w:ascii="Arial Narrow" w:hAnsi="Arial Narrow" w:cs="Calibri"/>
                <w:color w:val="000000"/>
                <w:sz w:val="20"/>
                <w:szCs w:val="20"/>
              </w:rPr>
            </w:pPr>
            <w:r w:rsidRPr="00F467DF">
              <w:rPr>
                <w:rFonts w:ascii="Arial Narrow" w:hAnsi="Arial Narrow" w:cs="Arial"/>
                <w:color w:val="000000"/>
                <w:kern w:val="24"/>
                <w:sz w:val="20"/>
                <w:szCs w:val="20"/>
              </w:rPr>
              <w:t>43%</w:t>
            </w:r>
          </w:p>
        </w:tc>
      </w:tr>
    </w:tbl>
    <w:p w14:paraId="6DD93851" w14:textId="11D6C159" w:rsidR="00B2758B" w:rsidRDefault="00B2758B" w:rsidP="0078453B">
      <w:pPr>
        <w:pStyle w:val="3Subheading1"/>
      </w:pPr>
      <w:r>
        <w:t>60</w:t>
      </w:r>
      <w:r w:rsidR="009C3427">
        <w:t>-</w:t>
      </w:r>
      <w:r>
        <w:t>day prescriptions</w:t>
      </w:r>
    </w:p>
    <w:p w14:paraId="10DDC5C4" w14:textId="63052D52" w:rsidR="009C3427" w:rsidRDefault="009C3427" w:rsidP="008F1FB2">
      <w:pPr>
        <w:pStyle w:val="3Bodytext"/>
        <w:rPr>
          <w:sz w:val="22"/>
        </w:rPr>
      </w:pPr>
      <w:r>
        <w:t>On 1 March 2024, under Stage Two of 60-day prescriptions, the following increased MDQ SGLT2 inhibitor PBS items were implemented:</w:t>
      </w:r>
    </w:p>
    <w:p w14:paraId="6E2715B2" w14:textId="6EFC879C" w:rsidR="002F4D85" w:rsidRDefault="007B29C0" w:rsidP="001C64F0">
      <w:pPr>
        <w:pStyle w:val="3Bodytext"/>
        <w:numPr>
          <w:ilvl w:val="0"/>
          <w:numId w:val="6"/>
        </w:numPr>
      </w:pPr>
      <w:r>
        <w:t>d</w:t>
      </w:r>
      <w:r w:rsidR="009C3427">
        <w:t>apagliflozin</w:t>
      </w:r>
      <w:r>
        <w:t xml:space="preserve">, </w:t>
      </w:r>
      <w:r w:rsidR="009C3427">
        <w:t>dapagliflozin + metformin</w:t>
      </w:r>
      <w:r>
        <w:t>, saxagliptin + dapagliflozin</w:t>
      </w:r>
      <w:r w:rsidR="009C3427">
        <w:t xml:space="preserve"> (continuing treatment for T2DM) </w:t>
      </w:r>
    </w:p>
    <w:p w14:paraId="3A9F512D" w14:textId="5E2DB886" w:rsidR="002F4D85" w:rsidRDefault="009C3427" w:rsidP="001C64F0">
      <w:pPr>
        <w:pStyle w:val="3Bodytext"/>
        <w:numPr>
          <w:ilvl w:val="0"/>
          <w:numId w:val="6"/>
        </w:numPr>
      </w:pPr>
      <w:r>
        <w:t xml:space="preserve">dapagliflozin for </w:t>
      </w:r>
      <w:r w:rsidR="008B3855">
        <w:t xml:space="preserve">CHF </w:t>
      </w:r>
      <w:r>
        <w:t>(</w:t>
      </w:r>
      <w:r w:rsidR="008B3855">
        <w:t xml:space="preserve">left </w:t>
      </w:r>
      <w:r>
        <w:t>ventricular ejection fraction of less than or equal to 40%)</w:t>
      </w:r>
    </w:p>
    <w:p w14:paraId="09FDD3DE" w14:textId="21FB561E" w:rsidR="002F4D85" w:rsidRDefault="009C3427" w:rsidP="001C64F0">
      <w:pPr>
        <w:pStyle w:val="3Bodytext"/>
        <w:numPr>
          <w:ilvl w:val="0"/>
          <w:numId w:val="6"/>
        </w:numPr>
      </w:pPr>
      <w:r>
        <w:t>empagliflozin, empagliflozin</w:t>
      </w:r>
      <w:r w:rsidR="008B3855">
        <w:t xml:space="preserve"> </w:t>
      </w:r>
      <w:r>
        <w:t>+</w:t>
      </w:r>
      <w:r w:rsidR="008B3855">
        <w:t xml:space="preserve"> </w:t>
      </w:r>
      <w:r>
        <w:t xml:space="preserve">linagliptin and empagliflozin + metformin (continuing treatment for T2DM) </w:t>
      </w:r>
    </w:p>
    <w:p w14:paraId="1C7EBD30" w14:textId="3BD3D104" w:rsidR="009C3427" w:rsidRDefault="009C3427" w:rsidP="001C64F0">
      <w:pPr>
        <w:pStyle w:val="3Bodytext"/>
        <w:numPr>
          <w:ilvl w:val="0"/>
          <w:numId w:val="6"/>
        </w:numPr>
      </w:pPr>
      <w:r>
        <w:t xml:space="preserve">empagliflozin for </w:t>
      </w:r>
      <w:r w:rsidR="008B3855">
        <w:t xml:space="preserve">CHF </w:t>
      </w:r>
      <w:r>
        <w:t>(left ventricular ejection fraction of less than or equal to 40%).</w:t>
      </w:r>
    </w:p>
    <w:p w14:paraId="15476165" w14:textId="2ED84720" w:rsidR="002F4D85" w:rsidRDefault="009C3427" w:rsidP="008F1FB2">
      <w:pPr>
        <w:pStyle w:val="3Bodytext"/>
      </w:pPr>
      <w:r>
        <w:t xml:space="preserve">Dapagliflozin and empagliflozin were not PBS-listed for </w:t>
      </w:r>
      <w:r w:rsidR="008B3855">
        <w:t xml:space="preserve">CKD </w:t>
      </w:r>
      <w:r>
        <w:t xml:space="preserve">at the time </w:t>
      </w:r>
      <w:r>
        <w:rPr>
          <w:lang w:eastAsia="en-US"/>
        </w:rPr>
        <w:t>of</w:t>
      </w:r>
      <w:r>
        <w:t xml:space="preserve"> PBAC’s consideration of increased MDQ at its December 2022 meeting.</w:t>
      </w:r>
    </w:p>
    <w:p w14:paraId="03A48F03" w14:textId="3731948B" w:rsidR="00EA4E1E" w:rsidRDefault="00EA4E1E" w:rsidP="008F1FB2">
      <w:pPr>
        <w:pStyle w:val="3Bodytext"/>
      </w:pPr>
      <w:r>
        <w:t>In March 2024, the PBAC recommended the PBS listing of dapagliflozin + sitagliptin</w:t>
      </w:r>
      <w:r w:rsidR="003C4DCC">
        <w:t xml:space="preserve"> </w:t>
      </w:r>
      <w:r>
        <w:t xml:space="preserve">and considered that it would be reasonable to include this FDC in the 60-day prescription </w:t>
      </w:r>
      <w:r w:rsidR="000302F4">
        <w:t>measure</w:t>
      </w:r>
      <w:r>
        <w:t>.</w:t>
      </w:r>
    </w:p>
    <w:p w14:paraId="03A91DE9" w14:textId="0EF22DD4" w:rsidR="002F4D85" w:rsidRDefault="00B2758B" w:rsidP="008F1FB2">
      <w:pPr>
        <w:pStyle w:val="3Bodytext"/>
      </w:pPr>
      <w:r>
        <w:t xml:space="preserve">The PBAC </w:t>
      </w:r>
      <w:r w:rsidR="001A7121">
        <w:t>was</w:t>
      </w:r>
      <w:r>
        <w:t xml:space="preserve"> requested to </w:t>
      </w:r>
      <w:r w:rsidR="009C3427">
        <w:t xml:space="preserve">consider the suitability of the expanded PBS listings for SGLT2 inhibitors (dapagliflozin and empagliflozin, including combinations with metformin) for patients with T2DM and established CVD or high CV risk for inclusion in the increased MDQ measure. </w:t>
      </w:r>
    </w:p>
    <w:p w14:paraId="7D79B113" w14:textId="3C82874D" w:rsidR="009C3427" w:rsidRPr="002F4D85" w:rsidRDefault="009C3427" w:rsidP="008F1FB2">
      <w:pPr>
        <w:pStyle w:val="3Bodytext"/>
      </w:pPr>
      <w:r>
        <w:t>The PBAC December 2022 accepted guidance criteria for exclusion of a medicine/medicine group from the increased MDQ measure are</w:t>
      </w:r>
      <w:r w:rsidR="007B29C0">
        <w:t xml:space="preserve"> shown in Table 4.</w:t>
      </w:r>
    </w:p>
    <w:p w14:paraId="408B33BE" w14:textId="2A3A3ABD" w:rsidR="009C3427" w:rsidRDefault="009C3427" w:rsidP="002F4D85">
      <w:pPr>
        <w:pStyle w:val="4Bodytext"/>
        <w:keepNext/>
        <w:spacing w:before="240" w:after="0"/>
        <w:ind w:left="0" w:firstLine="0"/>
        <w:rPr>
          <w:rFonts w:ascii="Arial Narrow" w:hAnsi="Arial Narrow"/>
          <w:b/>
          <w:bCs/>
          <w:szCs w:val="20"/>
        </w:rPr>
      </w:pPr>
      <w:r w:rsidRPr="007B29C0">
        <w:rPr>
          <w:rFonts w:ascii="Arial Narrow" w:hAnsi="Arial Narrow"/>
          <w:b/>
          <w:bCs/>
          <w:szCs w:val="20"/>
        </w:rPr>
        <w:lastRenderedPageBreak/>
        <w:t xml:space="preserve">Table </w:t>
      </w:r>
      <w:r w:rsidR="007B29C0" w:rsidRPr="007B29C0">
        <w:rPr>
          <w:rFonts w:ascii="Arial Narrow" w:hAnsi="Arial Narrow"/>
          <w:b/>
          <w:bCs/>
          <w:szCs w:val="20"/>
        </w:rPr>
        <w:t>4</w:t>
      </w:r>
      <w:r w:rsidRPr="007B29C0">
        <w:rPr>
          <w:rFonts w:ascii="Arial Narrow" w:hAnsi="Arial Narrow"/>
          <w:b/>
          <w:bCs/>
          <w:szCs w:val="20"/>
        </w:rPr>
        <w:t>:</w:t>
      </w:r>
      <w:r>
        <w:rPr>
          <w:rFonts w:ascii="Arial Narrow" w:hAnsi="Arial Narrow"/>
          <w:b/>
          <w:bCs/>
          <w:szCs w:val="20"/>
        </w:rPr>
        <w:t xml:space="preserve"> Updated guidance for medicine/medicine group exclusion from the increased maximum dispensed quantity for chronic conditions proposal</w:t>
      </w:r>
    </w:p>
    <w:tbl>
      <w:tblPr>
        <w:tblStyle w:val="TableGrid"/>
        <w:tblW w:w="5000" w:type="pct"/>
        <w:tblLook w:val="04A0" w:firstRow="1" w:lastRow="0" w:firstColumn="1" w:lastColumn="0" w:noHBand="0" w:noVBand="1"/>
      </w:tblPr>
      <w:tblGrid>
        <w:gridCol w:w="1452"/>
        <w:gridCol w:w="7564"/>
      </w:tblGrid>
      <w:tr w:rsidR="009C3427" w14:paraId="417280EC" w14:textId="77777777" w:rsidTr="002F4D85">
        <w:trPr>
          <w:trHeight w:val="201"/>
          <w:tblHeader/>
        </w:trPr>
        <w:tc>
          <w:tcPr>
            <w:tcW w:w="8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4CD405" w14:textId="77777777" w:rsidR="009C3427" w:rsidRDefault="009C3427" w:rsidP="002F4D85">
            <w:pPr>
              <w:keepNext/>
              <w:rPr>
                <w:rFonts w:ascii="Arial Narrow" w:hAnsi="Arial Narrow"/>
                <w:b/>
                <w:sz w:val="20"/>
              </w:rPr>
            </w:pPr>
            <w:r>
              <w:rPr>
                <w:rFonts w:ascii="Arial Narrow" w:hAnsi="Arial Narrow"/>
                <w:b/>
                <w:sz w:val="20"/>
              </w:rPr>
              <w:t>Criterion</w:t>
            </w:r>
          </w:p>
        </w:tc>
        <w:tc>
          <w:tcPr>
            <w:tcW w:w="4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6E8F0C" w14:textId="77777777" w:rsidR="009C3427" w:rsidRDefault="009C3427" w:rsidP="002F4D85">
            <w:pPr>
              <w:keepNext/>
              <w:rPr>
                <w:rFonts w:ascii="Arial Narrow" w:hAnsi="Arial Narrow"/>
                <w:b/>
                <w:sz w:val="20"/>
                <w:szCs w:val="22"/>
              </w:rPr>
            </w:pPr>
            <w:r>
              <w:rPr>
                <w:rFonts w:ascii="Arial Narrow" w:hAnsi="Arial Narrow"/>
                <w:b/>
                <w:sz w:val="20"/>
              </w:rPr>
              <w:t>Description</w:t>
            </w:r>
          </w:p>
        </w:tc>
      </w:tr>
      <w:tr w:rsidR="009C3427" w14:paraId="218D8FE7" w14:textId="77777777" w:rsidTr="002F4D85">
        <w:trPr>
          <w:trHeight w:val="91"/>
        </w:trPr>
        <w:tc>
          <w:tcPr>
            <w:tcW w:w="805" w:type="pct"/>
            <w:tcBorders>
              <w:top w:val="single" w:sz="4" w:space="0" w:color="auto"/>
              <w:left w:val="single" w:sz="4" w:space="0" w:color="auto"/>
              <w:bottom w:val="single" w:sz="4" w:space="0" w:color="auto"/>
              <w:right w:val="single" w:sz="4" w:space="0" w:color="auto"/>
            </w:tcBorders>
            <w:hideMark/>
          </w:tcPr>
          <w:p w14:paraId="60C8B519" w14:textId="77777777" w:rsidR="009C3427" w:rsidRDefault="009C3427" w:rsidP="002F4D85">
            <w:pPr>
              <w:keepNext/>
              <w:rPr>
                <w:rFonts w:ascii="Arial Narrow" w:hAnsi="Arial Narrow"/>
                <w:b/>
                <w:bCs/>
                <w:sz w:val="20"/>
                <w:szCs w:val="20"/>
              </w:rPr>
            </w:pPr>
            <w:r>
              <w:rPr>
                <w:rFonts w:ascii="Arial Narrow" w:hAnsi="Arial Narrow"/>
                <w:b/>
                <w:bCs/>
                <w:sz w:val="20"/>
                <w:szCs w:val="20"/>
              </w:rPr>
              <w:t>A</w:t>
            </w:r>
          </w:p>
        </w:tc>
        <w:tc>
          <w:tcPr>
            <w:tcW w:w="4195" w:type="pct"/>
            <w:tcBorders>
              <w:top w:val="single" w:sz="4" w:space="0" w:color="auto"/>
              <w:left w:val="single" w:sz="4" w:space="0" w:color="auto"/>
              <w:bottom w:val="single" w:sz="4" w:space="0" w:color="auto"/>
              <w:right w:val="single" w:sz="4" w:space="0" w:color="auto"/>
            </w:tcBorders>
            <w:hideMark/>
          </w:tcPr>
          <w:p w14:paraId="0ED87858" w14:textId="77777777" w:rsidR="009C3427" w:rsidRDefault="009C3427" w:rsidP="002F4D85">
            <w:pPr>
              <w:keepNext/>
              <w:rPr>
                <w:rFonts w:ascii="Arial Narrow" w:hAnsi="Arial Narrow"/>
                <w:sz w:val="20"/>
                <w:szCs w:val="20"/>
              </w:rPr>
            </w:pPr>
            <w:r>
              <w:rPr>
                <w:rFonts w:ascii="Arial Narrow" w:hAnsi="Arial Narrow"/>
                <w:sz w:val="20"/>
                <w:szCs w:val="20"/>
              </w:rPr>
              <w:t xml:space="preserve">Medicines where being able to stockpile large quantities could pose a risk to patient safety (for example: narcotics, paracetamol/codeine, psychostimulants, </w:t>
            </w:r>
            <w:proofErr w:type="spellStart"/>
            <w:r>
              <w:rPr>
                <w:rFonts w:ascii="Arial Narrow" w:hAnsi="Arial Narrow"/>
                <w:sz w:val="20"/>
                <w:szCs w:val="20"/>
              </w:rPr>
              <w:t>psycholeptics</w:t>
            </w:r>
            <w:proofErr w:type="spellEnd"/>
            <w:r>
              <w:rPr>
                <w:rFonts w:ascii="Arial Narrow" w:hAnsi="Arial Narrow"/>
                <w:sz w:val="20"/>
                <w:szCs w:val="20"/>
              </w:rPr>
              <w:t xml:space="preserve"> and </w:t>
            </w:r>
            <w:proofErr w:type="spellStart"/>
            <w:r>
              <w:rPr>
                <w:rFonts w:ascii="Arial Narrow" w:hAnsi="Arial Narrow"/>
                <w:sz w:val="20"/>
                <w:szCs w:val="20"/>
              </w:rPr>
              <w:t>psychoanaleptics</w:t>
            </w:r>
            <w:proofErr w:type="spellEnd"/>
            <w:r>
              <w:rPr>
                <w:rFonts w:ascii="Arial Narrow" w:hAnsi="Arial Narrow"/>
                <w:sz w:val="20"/>
                <w:szCs w:val="20"/>
              </w:rPr>
              <w:t>);</w:t>
            </w:r>
          </w:p>
        </w:tc>
      </w:tr>
      <w:tr w:rsidR="009C3427" w14:paraId="21B93C2F" w14:textId="77777777" w:rsidTr="002F4D85">
        <w:trPr>
          <w:trHeight w:val="259"/>
        </w:trPr>
        <w:tc>
          <w:tcPr>
            <w:tcW w:w="805" w:type="pct"/>
            <w:tcBorders>
              <w:top w:val="single" w:sz="4" w:space="0" w:color="auto"/>
              <w:left w:val="single" w:sz="4" w:space="0" w:color="auto"/>
              <w:bottom w:val="single" w:sz="4" w:space="0" w:color="auto"/>
              <w:right w:val="single" w:sz="4" w:space="0" w:color="auto"/>
            </w:tcBorders>
            <w:hideMark/>
          </w:tcPr>
          <w:p w14:paraId="4ED652C8" w14:textId="77777777" w:rsidR="009C3427" w:rsidRDefault="009C3427" w:rsidP="002F4D85">
            <w:pPr>
              <w:keepNext/>
              <w:rPr>
                <w:rFonts w:ascii="Arial Narrow" w:hAnsi="Arial Narrow"/>
                <w:b/>
                <w:bCs/>
                <w:sz w:val="20"/>
                <w:szCs w:val="20"/>
              </w:rPr>
            </w:pPr>
            <w:r>
              <w:rPr>
                <w:rFonts w:ascii="Arial Narrow" w:hAnsi="Arial Narrow"/>
                <w:b/>
                <w:bCs/>
                <w:sz w:val="20"/>
                <w:szCs w:val="20"/>
              </w:rPr>
              <w:t>B</w:t>
            </w:r>
          </w:p>
        </w:tc>
        <w:tc>
          <w:tcPr>
            <w:tcW w:w="4195" w:type="pct"/>
            <w:tcBorders>
              <w:top w:val="single" w:sz="4" w:space="0" w:color="auto"/>
              <w:left w:val="single" w:sz="4" w:space="0" w:color="auto"/>
              <w:bottom w:val="single" w:sz="4" w:space="0" w:color="auto"/>
              <w:right w:val="single" w:sz="4" w:space="0" w:color="auto"/>
            </w:tcBorders>
            <w:hideMark/>
          </w:tcPr>
          <w:p w14:paraId="0F328F89" w14:textId="77777777" w:rsidR="009C3427" w:rsidRDefault="009C3427" w:rsidP="002F4D85">
            <w:pPr>
              <w:keepNext/>
              <w:rPr>
                <w:rFonts w:ascii="Arial Narrow" w:hAnsi="Arial Narrow"/>
                <w:sz w:val="20"/>
                <w:szCs w:val="20"/>
              </w:rPr>
            </w:pPr>
            <w:r>
              <w:rPr>
                <w:rFonts w:ascii="Arial Narrow" w:hAnsi="Arial Narrow"/>
                <w:sz w:val="20"/>
                <w:szCs w:val="20"/>
              </w:rPr>
              <w:t>Medicines with a requirement for regular monitoring and frequent dose titration</w:t>
            </w:r>
          </w:p>
        </w:tc>
      </w:tr>
      <w:tr w:rsidR="009C3427" w14:paraId="224BA08C" w14:textId="77777777" w:rsidTr="002F4D85">
        <w:trPr>
          <w:trHeight w:val="704"/>
        </w:trPr>
        <w:tc>
          <w:tcPr>
            <w:tcW w:w="805" w:type="pct"/>
            <w:tcBorders>
              <w:top w:val="single" w:sz="4" w:space="0" w:color="auto"/>
              <w:left w:val="single" w:sz="4" w:space="0" w:color="auto"/>
              <w:bottom w:val="single" w:sz="4" w:space="0" w:color="auto"/>
              <w:right w:val="single" w:sz="4" w:space="0" w:color="auto"/>
            </w:tcBorders>
            <w:hideMark/>
          </w:tcPr>
          <w:p w14:paraId="5A46A081" w14:textId="77777777" w:rsidR="009C3427" w:rsidRDefault="009C3427" w:rsidP="002F4D85">
            <w:pPr>
              <w:keepNext/>
              <w:rPr>
                <w:rFonts w:ascii="Arial Narrow" w:hAnsi="Arial Narrow"/>
                <w:b/>
                <w:bCs/>
                <w:sz w:val="20"/>
                <w:szCs w:val="20"/>
              </w:rPr>
            </w:pPr>
            <w:r>
              <w:rPr>
                <w:rFonts w:ascii="Arial Narrow" w:hAnsi="Arial Narrow"/>
                <w:b/>
                <w:bCs/>
                <w:sz w:val="20"/>
                <w:szCs w:val="20"/>
              </w:rPr>
              <w:t>C</w:t>
            </w:r>
          </w:p>
        </w:tc>
        <w:tc>
          <w:tcPr>
            <w:tcW w:w="4195" w:type="pct"/>
            <w:tcBorders>
              <w:top w:val="single" w:sz="4" w:space="0" w:color="auto"/>
              <w:left w:val="single" w:sz="4" w:space="0" w:color="auto"/>
              <w:bottom w:val="single" w:sz="4" w:space="0" w:color="auto"/>
              <w:right w:val="single" w:sz="4" w:space="0" w:color="auto"/>
            </w:tcBorders>
            <w:hideMark/>
          </w:tcPr>
          <w:p w14:paraId="62884F00" w14:textId="77777777" w:rsidR="009C3427" w:rsidRDefault="009C3427" w:rsidP="002F4D85">
            <w:pPr>
              <w:keepNext/>
              <w:rPr>
                <w:rFonts w:ascii="Arial Narrow" w:hAnsi="Arial Narrow"/>
                <w:sz w:val="20"/>
                <w:szCs w:val="20"/>
              </w:rPr>
            </w:pPr>
            <w:r>
              <w:rPr>
                <w:rFonts w:ascii="Arial Narrow" w:hAnsi="Arial Narrow"/>
                <w:sz w:val="20"/>
                <w:szCs w:val="20"/>
              </w:rPr>
              <w:t xml:space="preserve">Medicines where the drug regimen is associated with management of progressively worsening </w:t>
            </w:r>
            <w:proofErr w:type="gramStart"/>
            <w:r>
              <w:rPr>
                <w:rFonts w:ascii="Arial Narrow" w:hAnsi="Arial Narrow"/>
                <w:sz w:val="20"/>
                <w:szCs w:val="20"/>
              </w:rPr>
              <w:t>disease</w:t>
            </w:r>
            <w:proofErr w:type="gramEnd"/>
            <w:r>
              <w:rPr>
                <w:rFonts w:ascii="Arial Narrow" w:hAnsi="Arial Narrow"/>
                <w:sz w:val="20"/>
                <w:szCs w:val="20"/>
              </w:rPr>
              <w:t xml:space="preserve"> or the symptoms are associated with relapse of disease and the patient is not expected to be stable for the next twelve months</w:t>
            </w:r>
          </w:p>
        </w:tc>
      </w:tr>
      <w:tr w:rsidR="009C3427" w14:paraId="144A5921" w14:textId="77777777" w:rsidTr="002F4D85">
        <w:trPr>
          <w:trHeight w:val="277"/>
        </w:trPr>
        <w:tc>
          <w:tcPr>
            <w:tcW w:w="805" w:type="pct"/>
            <w:tcBorders>
              <w:top w:val="single" w:sz="4" w:space="0" w:color="auto"/>
              <w:left w:val="single" w:sz="4" w:space="0" w:color="auto"/>
              <w:bottom w:val="single" w:sz="4" w:space="0" w:color="auto"/>
              <w:right w:val="single" w:sz="4" w:space="0" w:color="auto"/>
            </w:tcBorders>
            <w:hideMark/>
          </w:tcPr>
          <w:p w14:paraId="4A5AE3C4" w14:textId="77777777" w:rsidR="009C3427" w:rsidRDefault="009C3427" w:rsidP="002F4D85">
            <w:pPr>
              <w:keepNext/>
              <w:rPr>
                <w:rFonts w:ascii="Arial Narrow" w:hAnsi="Arial Narrow"/>
                <w:b/>
                <w:bCs/>
                <w:sz w:val="20"/>
                <w:szCs w:val="20"/>
              </w:rPr>
            </w:pPr>
            <w:r>
              <w:rPr>
                <w:rFonts w:ascii="Arial Narrow" w:hAnsi="Arial Narrow"/>
                <w:b/>
                <w:bCs/>
                <w:sz w:val="20"/>
                <w:szCs w:val="20"/>
              </w:rPr>
              <w:t>D</w:t>
            </w:r>
          </w:p>
        </w:tc>
        <w:tc>
          <w:tcPr>
            <w:tcW w:w="4195" w:type="pct"/>
            <w:tcBorders>
              <w:top w:val="single" w:sz="4" w:space="0" w:color="auto"/>
              <w:left w:val="single" w:sz="4" w:space="0" w:color="auto"/>
              <w:bottom w:val="single" w:sz="4" w:space="0" w:color="auto"/>
              <w:right w:val="single" w:sz="4" w:space="0" w:color="auto"/>
            </w:tcBorders>
            <w:hideMark/>
          </w:tcPr>
          <w:p w14:paraId="1BE0A5EE" w14:textId="77777777" w:rsidR="009C3427" w:rsidRDefault="009C3427" w:rsidP="002F4D85">
            <w:pPr>
              <w:keepNext/>
              <w:rPr>
                <w:rFonts w:ascii="Arial Narrow" w:hAnsi="Arial Narrow"/>
                <w:sz w:val="20"/>
                <w:szCs w:val="20"/>
              </w:rPr>
            </w:pPr>
            <w:r>
              <w:rPr>
                <w:rFonts w:ascii="Arial Narrow" w:hAnsi="Arial Narrow"/>
                <w:sz w:val="20"/>
                <w:szCs w:val="20"/>
              </w:rPr>
              <w:t>Medicines prescribed for short term management of symptoms in chronic diseases</w:t>
            </w:r>
          </w:p>
        </w:tc>
      </w:tr>
      <w:tr w:rsidR="009C3427" w14:paraId="59A6E1DD" w14:textId="77777777" w:rsidTr="002F4D85">
        <w:trPr>
          <w:trHeight w:val="269"/>
        </w:trPr>
        <w:tc>
          <w:tcPr>
            <w:tcW w:w="805" w:type="pct"/>
            <w:tcBorders>
              <w:top w:val="single" w:sz="4" w:space="0" w:color="auto"/>
              <w:left w:val="single" w:sz="4" w:space="0" w:color="auto"/>
              <w:bottom w:val="single" w:sz="4" w:space="0" w:color="auto"/>
              <w:right w:val="single" w:sz="4" w:space="0" w:color="auto"/>
            </w:tcBorders>
            <w:hideMark/>
          </w:tcPr>
          <w:p w14:paraId="034A0D46" w14:textId="77777777" w:rsidR="009C3427" w:rsidRDefault="009C3427" w:rsidP="002F4D85">
            <w:pPr>
              <w:keepNext/>
              <w:rPr>
                <w:rFonts w:ascii="Arial Narrow" w:hAnsi="Arial Narrow"/>
                <w:b/>
                <w:bCs/>
                <w:sz w:val="20"/>
                <w:szCs w:val="20"/>
              </w:rPr>
            </w:pPr>
            <w:r>
              <w:rPr>
                <w:rFonts w:ascii="Arial Narrow" w:hAnsi="Arial Narrow"/>
                <w:b/>
                <w:bCs/>
                <w:sz w:val="20"/>
                <w:szCs w:val="20"/>
              </w:rPr>
              <w:t>E</w:t>
            </w:r>
          </w:p>
        </w:tc>
        <w:tc>
          <w:tcPr>
            <w:tcW w:w="4195" w:type="pct"/>
            <w:tcBorders>
              <w:top w:val="single" w:sz="4" w:space="0" w:color="auto"/>
              <w:left w:val="single" w:sz="4" w:space="0" w:color="auto"/>
              <w:bottom w:val="single" w:sz="4" w:space="0" w:color="auto"/>
              <w:right w:val="single" w:sz="4" w:space="0" w:color="auto"/>
            </w:tcBorders>
            <w:hideMark/>
          </w:tcPr>
          <w:p w14:paraId="4AEBF871" w14:textId="77777777" w:rsidR="009C3427" w:rsidRDefault="009C3427" w:rsidP="002F4D85">
            <w:pPr>
              <w:keepNext/>
              <w:rPr>
                <w:rFonts w:ascii="Arial Narrow" w:hAnsi="Arial Narrow"/>
                <w:sz w:val="20"/>
                <w:szCs w:val="20"/>
              </w:rPr>
            </w:pPr>
            <w:r>
              <w:rPr>
                <w:rFonts w:ascii="Arial Narrow" w:hAnsi="Arial Narrow"/>
                <w:sz w:val="20"/>
                <w:szCs w:val="20"/>
              </w:rPr>
              <w:t>Medicines in the Palliative Care section of the Schedule</w:t>
            </w:r>
          </w:p>
        </w:tc>
      </w:tr>
      <w:tr w:rsidR="009C3427" w14:paraId="6B5ECF32" w14:textId="77777777" w:rsidTr="002F4D85">
        <w:trPr>
          <w:trHeight w:val="402"/>
        </w:trPr>
        <w:tc>
          <w:tcPr>
            <w:tcW w:w="805" w:type="pct"/>
            <w:tcBorders>
              <w:top w:val="single" w:sz="4" w:space="0" w:color="auto"/>
              <w:left w:val="single" w:sz="4" w:space="0" w:color="auto"/>
              <w:bottom w:val="single" w:sz="4" w:space="0" w:color="auto"/>
              <w:right w:val="single" w:sz="4" w:space="0" w:color="auto"/>
            </w:tcBorders>
            <w:hideMark/>
          </w:tcPr>
          <w:p w14:paraId="7233D1D2" w14:textId="77777777" w:rsidR="009C3427" w:rsidRDefault="009C3427" w:rsidP="002F4D85">
            <w:pPr>
              <w:keepNext/>
              <w:rPr>
                <w:rFonts w:ascii="Arial Narrow" w:hAnsi="Arial Narrow"/>
                <w:b/>
                <w:bCs/>
                <w:sz w:val="20"/>
                <w:szCs w:val="20"/>
              </w:rPr>
            </w:pPr>
            <w:r>
              <w:rPr>
                <w:rFonts w:ascii="Arial Narrow" w:hAnsi="Arial Narrow"/>
                <w:b/>
                <w:bCs/>
                <w:sz w:val="20"/>
                <w:szCs w:val="20"/>
              </w:rPr>
              <w:t>F</w:t>
            </w:r>
          </w:p>
        </w:tc>
        <w:tc>
          <w:tcPr>
            <w:tcW w:w="4195" w:type="pct"/>
            <w:tcBorders>
              <w:top w:val="single" w:sz="4" w:space="0" w:color="auto"/>
              <w:left w:val="single" w:sz="4" w:space="0" w:color="auto"/>
              <w:bottom w:val="single" w:sz="4" w:space="0" w:color="auto"/>
              <w:right w:val="single" w:sz="4" w:space="0" w:color="auto"/>
            </w:tcBorders>
            <w:hideMark/>
          </w:tcPr>
          <w:p w14:paraId="49054CC4" w14:textId="77777777" w:rsidR="009C3427" w:rsidRDefault="009C3427" w:rsidP="002F4D85">
            <w:pPr>
              <w:keepNext/>
              <w:rPr>
                <w:rFonts w:ascii="Arial Narrow" w:hAnsi="Arial Narrow"/>
                <w:sz w:val="20"/>
                <w:szCs w:val="20"/>
              </w:rPr>
            </w:pPr>
            <w:r>
              <w:rPr>
                <w:rFonts w:ascii="Arial Narrow" w:hAnsi="Arial Narrow"/>
                <w:sz w:val="20"/>
                <w:szCs w:val="20"/>
              </w:rPr>
              <w:t>Medicines where the PBAC has recommended a listing that enables prescribers to prescribe less than six months therapy per prescription</w:t>
            </w:r>
          </w:p>
        </w:tc>
      </w:tr>
      <w:tr w:rsidR="009C3427" w14:paraId="20488D00" w14:textId="77777777" w:rsidTr="002F4D85">
        <w:trPr>
          <w:trHeight w:val="399"/>
        </w:trPr>
        <w:tc>
          <w:tcPr>
            <w:tcW w:w="805" w:type="pct"/>
            <w:tcBorders>
              <w:top w:val="single" w:sz="4" w:space="0" w:color="auto"/>
              <w:left w:val="single" w:sz="4" w:space="0" w:color="auto"/>
              <w:bottom w:val="single" w:sz="4" w:space="0" w:color="auto"/>
              <w:right w:val="single" w:sz="4" w:space="0" w:color="auto"/>
            </w:tcBorders>
            <w:hideMark/>
          </w:tcPr>
          <w:p w14:paraId="2F3FA2C2" w14:textId="77777777" w:rsidR="009C3427" w:rsidRDefault="009C3427" w:rsidP="002F4D85">
            <w:pPr>
              <w:keepNext/>
              <w:rPr>
                <w:rFonts w:ascii="Arial Narrow" w:hAnsi="Arial Narrow"/>
                <w:b/>
                <w:bCs/>
                <w:sz w:val="20"/>
                <w:szCs w:val="20"/>
              </w:rPr>
            </w:pPr>
            <w:r>
              <w:rPr>
                <w:rFonts w:ascii="Arial Narrow" w:hAnsi="Arial Narrow"/>
                <w:b/>
                <w:bCs/>
                <w:sz w:val="20"/>
                <w:szCs w:val="20"/>
              </w:rPr>
              <w:t>G</w:t>
            </w:r>
          </w:p>
        </w:tc>
        <w:tc>
          <w:tcPr>
            <w:tcW w:w="4195" w:type="pct"/>
            <w:tcBorders>
              <w:top w:val="single" w:sz="4" w:space="0" w:color="auto"/>
              <w:left w:val="single" w:sz="4" w:space="0" w:color="auto"/>
              <w:bottom w:val="single" w:sz="4" w:space="0" w:color="auto"/>
              <w:right w:val="single" w:sz="4" w:space="0" w:color="auto"/>
            </w:tcBorders>
            <w:hideMark/>
          </w:tcPr>
          <w:p w14:paraId="3753AE0A" w14:textId="77777777" w:rsidR="009C3427" w:rsidRDefault="009C3427" w:rsidP="002F4D85">
            <w:pPr>
              <w:keepNext/>
              <w:rPr>
                <w:rFonts w:ascii="Arial Narrow" w:hAnsi="Arial Narrow"/>
                <w:sz w:val="20"/>
                <w:szCs w:val="20"/>
              </w:rPr>
            </w:pPr>
            <w:r>
              <w:rPr>
                <w:rFonts w:ascii="Arial Narrow" w:hAnsi="Arial Narrow"/>
                <w:sz w:val="20"/>
                <w:szCs w:val="20"/>
              </w:rPr>
              <w:t>Medicines must be PBS listed for 5 or more years, or generics of medicines which have been listed for 5 or more years, as severe but rare adverse effects frequently become evident during this period.</w:t>
            </w:r>
          </w:p>
        </w:tc>
      </w:tr>
    </w:tbl>
    <w:p w14:paraId="24B23141" w14:textId="2FECB068" w:rsidR="00687766" w:rsidRDefault="00687766" w:rsidP="001C64F0">
      <w:pPr>
        <w:pStyle w:val="3-BodyText"/>
        <w:numPr>
          <w:ilvl w:val="1"/>
          <w:numId w:val="1"/>
        </w:numPr>
        <w:spacing w:before="120"/>
      </w:pPr>
      <w:r>
        <w:t xml:space="preserve">In December 2022, the PBAC recommended the following updated PBS restriction criterion </w:t>
      </w:r>
      <w:r w:rsidRPr="00B321EE">
        <w:t xml:space="preserve">to differentiate the PBS items </w:t>
      </w:r>
      <w:r>
        <w:t>with increased MDQs from the current one-month supply items</w:t>
      </w:r>
      <w:r w:rsidR="007B29C0">
        <w:t>, shown in Table 5.</w:t>
      </w:r>
      <w:r>
        <w:t xml:space="preserve"> </w:t>
      </w:r>
    </w:p>
    <w:p w14:paraId="63186247" w14:textId="7BA8B9E6" w:rsidR="00687766" w:rsidRPr="00E535E6" w:rsidDel="0011283C" w:rsidRDefault="00687766" w:rsidP="001C64F0">
      <w:pPr>
        <w:pStyle w:val="4Bodytext"/>
        <w:spacing w:after="0"/>
        <w:ind w:left="0" w:firstLine="0"/>
        <w:rPr>
          <w:rFonts w:ascii="Arial Narrow" w:hAnsi="Arial Narrow"/>
          <w:b/>
          <w:bCs/>
          <w:szCs w:val="20"/>
        </w:rPr>
      </w:pPr>
      <w:r w:rsidRPr="00E535E6">
        <w:rPr>
          <w:rFonts w:ascii="Arial Narrow" w:hAnsi="Arial Narrow"/>
          <w:b/>
          <w:bCs/>
          <w:szCs w:val="20"/>
        </w:rPr>
        <w:t xml:space="preserve">Table </w:t>
      </w:r>
      <w:r w:rsidR="007B29C0">
        <w:rPr>
          <w:rFonts w:ascii="Arial Narrow" w:hAnsi="Arial Narrow"/>
          <w:b/>
          <w:bCs/>
          <w:szCs w:val="20"/>
        </w:rPr>
        <w:t>5</w:t>
      </w:r>
      <w:r w:rsidRPr="00E535E6">
        <w:rPr>
          <w:rFonts w:ascii="Arial Narrow" w:hAnsi="Arial Narrow"/>
          <w:b/>
          <w:bCs/>
          <w:szCs w:val="20"/>
        </w:rPr>
        <w:t>:</w:t>
      </w:r>
      <w:r>
        <w:rPr>
          <w:rFonts w:ascii="Arial Narrow" w:hAnsi="Arial Narrow"/>
          <w:b/>
          <w:bCs/>
          <w:szCs w:val="20"/>
        </w:rPr>
        <w:t xml:space="preserve"> </w:t>
      </w:r>
      <w:r w:rsidRPr="00E535E6">
        <w:rPr>
          <w:rFonts w:ascii="Arial Narrow" w:hAnsi="Arial Narrow"/>
          <w:b/>
          <w:bCs/>
          <w:szCs w:val="20"/>
        </w:rPr>
        <w:t>R</w:t>
      </w:r>
      <w:r w:rsidRPr="00E535E6" w:rsidDel="0011283C">
        <w:rPr>
          <w:rFonts w:ascii="Arial Narrow" w:hAnsi="Arial Narrow"/>
          <w:b/>
          <w:bCs/>
          <w:szCs w:val="20"/>
        </w:rPr>
        <w:t xml:space="preserve">estriction </w:t>
      </w:r>
      <w:r>
        <w:rPr>
          <w:rFonts w:ascii="Arial Narrow" w:hAnsi="Arial Narrow"/>
          <w:b/>
          <w:bCs/>
          <w:szCs w:val="20"/>
        </w:rPr>
        <w:t xml:space="preserve">criterion for increased maximum </w:t>
      </w:r>
      <w:r w:rsidRPr="00E535E6">
        <w:rPr>
          <w:rFonts w:ascii="Arial Narrow" w:hAnsi="Arial Narrow"/>
          <w:b/>
          <w:bCs/>
          <w:szCs w:val="20"/>
        </w:rPr>
        <w:t>dispensed q</w:t>
      </w:r>
      <w:r w:rsidRPr="00E535E6" w:rsidDel="0011283C">
        <w:rPr>
          <w:rFonts w:ascii="Arial Narrow" w:hAnsi="Arial Narrow"/>
          <w:b/>
          <w:bCs/>
          <w:szCs w:val="20"/>
        </w:rPr>
        <w:t>uantit</w:t>
      </w:r>
      <w:r>
        <w:rPr>
          <w:rFonts w:ascii="Arial Narrow" w:hAnsi="Arial Narrow"/>
          <w:b/>
          <w:bCs/>
          <w:szCs w:val="20"/>
        </w:rPr>
        <w:t>y PBS items</w:t>
      </w:r>
    </w:p>
    <w:tbl>
      <w:tblPr>
        <w:tblW w:w="5000" w:type="pct"/>
        <w:tblInd w:w="-5" w:type="dxa"/>
        <w:tblLayout w:type="fixed"/>
        <w:tblLook w:val="0000" w:firstRow="0" w:lastRow="0" w:firstColumn="0" w:lastColumn="0" w:noHBand="0" w:noVBand="0"/>
      </w:tblPr>
      <w:tblGrid>
        <w:gridCol w:w="2128"/>
        <w:gridCol w:w="6888"/>
      </w:tblGrid>
      <w:tr w:rsidR="00687766" w:rsidRPr="00B321EE" w:rsidDel="0011283C" w14:paraId="3FF097B3" w14:textId="77777777" w:rsidTr="00A54CD7">
        <w:trPr>
          <w:cantSplit/>
          <w:trHeight w:val="519"/>
        </w:trPr>
        <w:tc>
          <w:tcPr>
            <w:tcW w:w="1180" w:type="pct"/>
            <w:tcBorders>
              <w:top w:val="single" w:sz="4" w:space="0" w:color="auto"/>
              <w:left w:val="single" w:sz="4" w:space="0" w:color="auto"/>
              <w:bottom w:val="single" w:sz="4" w:space="0" w:color="auto"/>
              <w:right w:val="single" w:sz="4" w:space="0" w:color="auto"/>
            </w:tcBorders>
          </w:tcPr>
          <w:p w14:paraId="397F2B90" w14:textId="77777777" w:rsidR="00687766" w:rsidRPr="00B321EE" w:rsidDel="0011283C" w:rsidRDefault="00687766" w:rsidP="00D51C44">
            <w:pPr>
              <w:spacing w:line="276" w:lineRule="auto"/>
              <w:rPr>
                <w:rFonts w:ascii="Arial Narrow" w:hAnsi="Arial Narrow"/>
                <w:b/>
                <w:sz w:val="20"/>
              </w:rPr>
            </w:pPr>
            <w:r w:rsidRPr="00B321EE" w:rsidDel="0011283C">
              <w:rPr>
                <w:rFonts w:ascii="Arial Narrow" w:hAnsi="Arial Narrow"/>
                <w:b/>
                <w:sz w:val="20"/>
              </w:rPr>
              <w:t>Clinical criteria:</w:t>
            </w:r>
          </w:p>
          <w:p w14:paraId="5EB7111F" w14:textId="77777777" w:rsidR="00687766" w:rsidRPr="00B321EE" w:rsidDel="0011283C" w:rsidRDefault="00687766" w:rsidP="00D51C44">
            <w:pPr>
              <w:spacing w:line="276" w:lineRule="auto"/>
              <w:rPr>
                <w:rFonts w:ascii="Arial Narrow" w:hAnsi="Arial Narrow"/>
                <w:sz w:val="20"/>
              </w:rPr>
            </w:pPr>
          </w:p>
        </w:tc>
        <w:tc>
          <w:tcPr>
            <w:tcW w:w="3820" w:type="pct"/>
            <w:tcBorders>
              <w:top w:val="single" w:sz="4" w:space="0" w:color="auto"/>
              <w:left w:val="single" w:sz="4" w:space="0" w:color="auto"/>
              <w:bottom w:val="single" w:sz="4" w:space="0" w:color="auto"/>
              <w:right w:val="single" w:sz="4" w:space="0" w:color="auto"/>
            </w:tcBorders>
          </w:tcPr>
          <w:p w14:paraId="3018BBFD" w14:textId="77777777" w:rsidR="00687766" w:rsidRPr="00B321EE" w:rsidDel="0011283C" w:rsidRDefault="00687766" w:rsidP="00D51C44">
            <w:pPr>
              <w:spacing w:line="276" w:lineRule="auto"/>
              <w:rPr>
                <w:rFonts w:ascii="Arial Narrow" w:hAnsi="Arial Narrow"/>
                <w:sz w:val="20"/>
              </w:rPr>
            </w:pPr>
            <w:r>
              <w:rPr>
                <w:rFonts w:ascii="Arial Narrow" w:hAnsi="Arial Narrow"/>
                <w:sz w:val="20"/>
              </w:rPr>
              <w:t xml:space="preserve">The </w:t>
            </w:r>
            <w:r w:rsidRPr="00FB6BAA">
              <w:rPr>
                <w:rFonts w:ascii="Arial Narrow" w:hAnsi="Arial Narrow"/>
                <w:i/>
                <w:iCs/>
                <w:sz w:val="20"/>
              </w:rPr>
              <w:t xml:space="preserve">condition </w:t>
            </w:r>
            <w:r w:rsidRPr="00B321EE" w:rsidDel="0011283C">
              <w:rPr>
                <w:rFonts w:ascii="Arial Narrow" w:hAnsi="Arial Narrow"/>
                <w:sz w:val="20"/>
              </w:rPr>
              <w:t xml:space="preserve">must be stable </w:t>
            </w:r>
            <w:r>
              <w:rPr>
                <w:rFonts w:ascii="Arial Narrow" w:hAnsi="Arial Narrow"/>
                <w:sz w:val="20"/>
              </w:rPr>
              <w:t>for the prescriber to consider the listed maximum quantity of this medicine</w:t>
            </w:r>
            <w:r w:rsidRPr="00B321EE" w:rsidDel="0011283C">
              <w:rPr>
                <w:rFonts w:ascii="Arial Narrow" w:hAnsi="Arial Narrow"/>
                <w:sz w:val="20"/>
              </w:rPr>
              <w:t xml:space="preserve"> suitable for </w:t>
            </w:r>
            <w:r>
              <w:rPr>
                <w:rFonts w:ascii="Arial Narrow" w:hAnsi="Arial Narrow"/>
                <w:sz w:val="20"/>
              </w:rPr>
              <w:t>this patient</w:t>
            </w:r>
          </w:p>
        </w:tc>
      </w:tr>
      <w:tr w:rsidR="00687766" w:rsidRPr="00B321EE" w:rsidDel="0011283C" w14:paraId="4F29A027" w14:textId="77777777" w:rsidTr="00A54CD7">
        <w:trPr>
          <w:cantSplit/>
          <w:trHeight w:val="360"/>
        </w:trPr>
        <w:tc>
          <w:tcPr>
            <w:tcW w:w="1180" w:type="pct"/>
            <w:tcBorders>
              <w:top w:val="single" w:sz="4" w:space="0" w:color="auto"/>
              <w:left w:val="single" w:sz="4" w:space="0" w:color="auto"/>
              <w:bottom w:val="single" w:sz="4" w:space="0" w:color="auto"/>
              <w:right w:val="single" w:sz="4" w:space="0" w:color="auto"/>
            </w:tcBorders>
          </w:tcPr>
          <w:p w14:paraId="0BF8901D" w14:textId="77777777" w:rsidR="00687766" w:rsidRPr="00B321EE" w:rsidDel="0011283C" w:rsidRDefault="00687766" w:rsidP="00D51C44">
            <w:pPr>
              <w:spacing w:line="276" w:lineRule="auto"/>
              <w:rPr>
                <w:rFonts w:ascii="Arial Narrow" w:hAnsi="Arial Narrow"/>
                <w:sz w:val="20"/>
              </w:rPr>
            </w:pPr>
            <w:r w:rsidRPr="00B321EE" w:rsidDel="0011283C">
              <w:rPr>
                <w:rFonts w:ascii="Arial Narrow" w:hAnsi="Arial Narrow"/>
                <w:b/>
                <w:sz w:val="20"/>
              </w:rPr>
              <w:t>Administrative Advice</w:t>
            </w:r>
            <w:r>
              <w:rPr>
                <w:rFonts w:ascii="Arial Narrow" w:hAnsi="Arial Narrow"/>
                <w:b/>
                <w:sz w:val="20"/>
              </w:rPr>
              <w:t>*</w:t>
            </w:r>
          </w:p>
        </w:tc>
        <w:tc>
          <w:tcPr>
            <w:tcW w:w="3820" w:type="pct"/>
            <w:tcBorders>
              <w:top w:val="single" w:sz="4" w:space="0" w:color="auto"/>
              <w:left w:val="single" w:sz="4" w:space="0" w:color="auto"/>
              <w:bottom w:val="single" w:sz="4" w:space="0" w:color="auto"/>
              <w:right w:val="single" w:sz="4" w:space="0" w:color="auto"/>
            </w:tcBorders>
          </w:tcPr>
          <w:p w14:paraId="59BD5318" w14:textId="77777777" w:rsidR="00687766" w:rsidRPr="00B321EE" w:rsidDel="0011283C" w:rsidRDefault="00687766" w:rsidP="00D51C44">
            <w:pPr>
              <w:spacing w:line="276" w:lineRule="auto"/>
              <w:rPr>
                <w:rFonts w:ascii="Arial Narrow" w:hAnsi="Arial Narrow"/>
                <w:sz w:val="20"/>
              </w:rPr>
            </w:pPr>
            <w:r w:rsidRPr="00B321EE" w:rsidDel="0011283C">
              <w:rPr>
                <w:rFonts w:ascii="Arial Narrow" w:hAnsi="Arial Narrow"/>
                <w:sz w:val="20"/>
              </w:rPr>
              <w:t>No increase in the maximum quantity or number of units may be authorised. No increase in the maximum number of repeats may be authorised.</w:t>
            </w:r>
          </w:p>
        </w:tc>
      </w:tr>
    </w:tbl>
    <w:p w14:paraId="0AF1C93E" w14:textId="77777777" w:rsidR="00687766" w:rsidRPr="005B5222" w:rsidRDefault="00687766" w:rsidP="001C64F0">
      <w:pPr>
        <w:rPr>
          <w:rFonts w:ascii="Arial Narrow" w:hAnsi="Arial Narrow"/>
          <w:sz w:val="18"/>
          <w:szCs w:val="18"/>
        </w:rPr>
      </w:pPr>
      <w:r w:rsidRPr="005B5222">
        <w:rPr>
          <w:rFonts w:ascii="Arial Narrow" w:hAnsi="Arial Narrow"/>
          <w:sz w:val="18"/>
          <w:szCs w:val="18"/>
        </w:rPr>
        <w:t>*</w:t>
      </w:r>
      <w:proofErr w:type="gramStart"/>
      <w:r w:rsidRPr="005B5222">
        <w:rPr>
          <w:rFonts w:ascii="Arial Narrow" w:hAnsi="Arial Narrow"/>
          <w:sz w:val="18"/>
          <w:szCs w:val="18"/>
        </w:rPr>
        <w:t>for</w:t>
      </w:r>
      <w:proofErr w:type="gramEnd"/>
      <w:r w:rsidRPr="005B5222">
        <w:rPr>
          <w:rFonts w:ascii="Arial Narrow" w:hAnsi="Arial Narrow"/>
          <w:sz w:val="18"/>
          <w:szCs w:val="18"/>
        </w:rPr>
        <w:t xml:space="preserve"> inclusion only where this advice is currently included in the PBS restriction for the equivalent one-month PBS item</w:t>
      </w:r>
    </w:p>
    <w:p w14:paraId="69485D14" w14:textId="7ACB232E" w:rsidR="00687766" w:rsidRDefault="00F66466" w:rsidP="0078453B">
      <w:pPr>
        <w:pStyle w:val="3Subheading1"/>
      </w:pPr>
      <w:r>
        <w:t xml:space="preserve">Updated </w:t>
      </w:r>
      <w:r w:rsidR="00F07E6E">
        <w:t>SGLT2 inhibitor restriction change</w:t>
      </w:r>
      <w:r>
        <w:t>s</w:t>
      </w:r>
    </w:p>
    <w:p w14:paraId="1C9935BC" w14:textId="77777777" w:rsidR="00812F73" w:rsidRDefault="00F66466" w:rsidP="00812F73">
      <w:pPr>
        <w:pStyle w:val="3Bodytext"/>
      </w:pPr>
      <w:r w:rsidRPr="00F66466">
        <w:t xml:space="preserve">In </w:t>
      </w:r>
      <w:r w:rsidR="00A9221A">
        <w:t xml:space="preserve">March 2023, </w:t>
      </w:r>
      <w:r w:rsidRPr="00F66466">
        <w:t>July 2023</w:t>
      </w:r>
      <w:r w:rsidR="00A9221A">
        <w:t>, and March 2024</w:t>
      </w:r>
      <w:r w:rsidRPr="00F66466">
        <w:t>, the PBAC</w:t>
      </w:r>
      <w:r>
        <w:t xml:space="preserve"> recommended several changes to simplify and clarify the PBS restrictions for T2DM medicines </w:t>
      </w:r>
      <w:r w:rsidR="00A9221A">
        <w:t xml:space="preserve">including SGLT2 inhibitors, </w:t>
      </w:r>
      <w:r>
        <w:t xml:space="preserve">and address issues associated with use outside the restrictions. </w:t>
      </w:r>
      <w:r w:rsidR="00A9221A">
        <w:t>These changes were implemented on 1 June 2024.</w:t>
      </w:r>
    </w:p>
    <w:p w14:paraId="213084B0" w14:textId="27C66310" w:rsidR="00F66466" w:rsidRPr="00464C74" w:rsidRDefault="00F66466" w:rsidP="00812F73">
      <w:pPr>
        <w:pStyle w:val="3Bodytext"/>
      </w:pPr>
      <w:r>
        <w:t xml:space="preserve">The March 2022 recommended restriction changes to expand access to SGLT2 inhibitors </w:t>
      </w:r>
      <w:r w:rsidR="001A7121">
        <w:t xml:space="preserve">for the </w:t>
      </w:r>
      <w:r>
        <w:t>CV risk population</w:t>
      </w:r>
      <w:r w:rsidR="001A7121">
        <w:t xml:space="preserve"> were</w:t>
      </w:r>
      <w:r>
        <w:t xml:space="preserve"> updated to reflect the</w:t>
      </w:r>
      <w:r w:rsidR="00A9221A">
        <w:t xml:space="preserve"> </w:t>
      </w:r>
      <w:r w:rsidR="00812F73">
        <w:t xml:space="preserve">1 June 2024 </w:t>
      </w:r>
      <w:r w:rsidR="00A9221A">
        <w:t>restriction changes</w:t>
      </w:r>
      <w:r>
        <w:t xml:space="preserve">. </w:t>
      </w:r>
      <w:r w:rsidR="00812F73">
        <w:t xml:space="preserve">The PBAC </w:t>
      </w:r>
      <w:r w:rsidR="001A7121">
        <w:t>was</w:t>
      </w:r>
      <w:r w:rsidR="00812F73">
        <w:t xml:space="preserve"> requested to consider removal of the following text from the Administrative Advice</w:t>
      </w:r>
      <w:r w:rsidR="00EE7DD6">
        <w:t>, ‘</w:t>
      </w:r>
      <w:r w:rsidR="00812F73" w:rsidRPr="00812F73">
        <w:rPr>
          <w:rFonts w:cstheme="minorHAnsi"/>
          <w:i/>
          <w:iCs/>
          <w:szCs w:val="24"/>
        </w:rPr>
        <w:t>The National Vascular Disease Prevention Alliance Guidelines for the management of Absolute Cardiovascular Disease Risk 2012 specify a range of conditions known to be at clinically determined high risk of CVD</w:t>
      </w:r>
      <w:r w:rsidR="00EE7DD6">
        <w:rPr>
          <w:rFonts w:cstheme="minorHAnsi"/>
          <w:i/>
          <w:iCs/>
          <w:szCs w:val="24"/>
        </w:rPr>
        <w:t xml:space="preserve">’, </w:t>
      </w:r>
      <w:r w:rsidR="00EE7DD6" w:rsidRPr="00EE7DD6">
        <w:rPr>
          <w:rFonts w:cstheme="minorHAnsi"/>
          <w:szCs w:val="24"/>
        </w:rPr>
        <w:t>as t</w:t>
      </w:r>
      <w:r w:rsidR="00EE7DD6">
        <w:rPr>
          <w:rFonts w:cstheme="minorHAnsi"/>
          <w:szCs w:val="24"/>
        </w:rPr>
        <w:t xml:space="preserve">hese guidelines have been updated. </w:t>
      </w:r>
    </w:p>
    <w:p w14:paraId="2568ED57" w14:textId="761BA211" w:rsidR="00464C74" w:rsidRDefault="00464C74" w:rsidP="00464C74">
      <w:pPr>
        <w:pStyle w:val="4-SubsectionHeading"/>
      </w:pPr>
      <w:r>
        <w:t xml:space="preserve">Sponsor </w:t>
      </w:r>
      <w:r w:rsidR="00434440">
        <w:t>comments</w:t>
      </w:r>
    </w:p>
    <w:p w14:paraId="124EC636" w14:textId="77777777" w:rsidR="00F467DF" w:rsidRPr="00691B3E" w:rsidRDefault="00F467DF" w:rsidP="00F467DF">
      <w:pPr>
        <w:pStyle w:val="3Bodytext"/>
        <w:rPr>
          <w:rFonts w:cs="Arial"/>
          <w:color w:val="000000"/>
          <w:shd w:val="clear" w:color="auto" w:fill="FFFFFF"/>
        </w:rPr>
      </w:pPr>
      <w:r>
        <w:rPr>
          <w:lang w:eastAsia="en-US"/>
        </w:rPr>
        <w:t xml:space="preserve">The PBAC noted two errors in the cost model workbook correctly identified in sponsor pre-PBAC responses. These included incorrect script numbers entered for dapagliflozin 5 mg with metformin 1000 mg, and not entering a </w:t>
      </w:r>
      <w:r w:rsidRPr="00691B3E">
        <w:rPr>
          <w:rStyle w:val="normaltextrun"/>
          <w:rFonts w:cs="Arial"/>
          <w:color w:val="000000"/>
          <w:shd w:val="clear" w:color="auto" w:fill="FFFFFF"/>
        </w:rPr>
        <w:t>co-payment group for</w:t>
      </w:r>
      <w:r>
        <w:rPr>
          <w:rStyle w:val="normaltextrun"/>
          <w:rFonts w:cs="Arial"/>
          <w:color w:val="000000"/>
          <w:shd w:val="clear" w:color="auto" w:fill="FFFFFF"/>
        </w:rPr>
        <w:t xml:space="preserve"> one combination</w:t>
      </w:r>
      <w:r w:rsidRPr="00691B3E">
        <w:rPr>
          <w:rStyle w:val="normaltextrun"/>
          <w:rFonts w:cs="Arial"/>
          <w:color w:val="000000"/>
          <w:shd w:val="clear" w:color="auto" w:fill="FFFFFF"/>
        </w:rPr>
        <w:t>.</w:t>
      </w:r>
      <w:r>
        <w:rPr>
          <w:rStyle w:val="normaltextrun"/>
          <w:rFonts w:cs="Arial"/>
          <w:color w:val="000000"/>
          <w:shd w:val="clear" w:color="auto" w:fill="FFFFFF"/>
        </w:rPr>
        <w:t xml:space="preserve"> The financial estimates in Tables 2 and 3 have been updated to correct these errors.</w:t>
      </w:r>
    </w:p>
    <w:p w14:paraId="28EF31E7" w14:textId="65E14A7A" w:rsidR="00464C74" w:rsidRDefault="00464C74" w:rsidP="00F467DF">
      <w:pPr>
        <w:pStyle w:val="3Bodytext"/>
        <w:rPr>
          <w:rFonts w:cstheme="minorHAnsi"/>
          <w:szCs w:val="24"/>
        </w:rPr>
      </w:pPr>
      <w:r w:rsidRPr="00F91542">
        <w:rPr>
          <w:snapToGrid w:val="0"/>
        </w:rPr>
        <w:t>There was no hearing for this item</w:t>
      </w:r>
      <w:r>
        <w:rPr>
          <w:snapToGrid w:val="0"/>
        </w:rPr>
        <w:t>.</w:t>
      </w:r>
    </w:p>
    <w:p w14:paraId="22688AFB" w14:textId="5B828772" w:rsidR="00464C74" w:rsidRDefault="00464C74" w:rsidP="00464C74">
      <w:pPr>
        <w:pStyle w:val="4-SubsectionHeading"/>
      </w:pPr>
      <w:r>
        <w:lastRenderedPageBreak/>
        <w:t>Consumer comments</w:t>
      </w:r>
    </w:p>
    <w:p w14:paraId="0FF87A10" w14:textId="4E4A44E3" w:rsidR="00464C74" w:rsidRPr="00464C74" w:rsidRDefault="00464C74" w:rsidP="00525EFD">
      <w:pPr>
        <w:pStyle w:val="3Bodytext"/>
      </w:pPr>
      <w:r w:rsidRPr="00836F75">
        <w:rPr>
          <w:snapToGrid w:val="0"/>
        </w:rPr>
        <w:t>The PBAC noted that no consumer comments were received for this item</w:t>
      </w:r>
      <w:r>
        <w:rPr>
          <w:snapToGrid w:val="0"/>
        </w:rPr>
        <w:t>.</w:t>
      </w:r>
    </w:p>
    <w:p w14:paraId="204546C4" w14:textId="701BA320" w:rsidR="004D7B13" w:rsidRDefault="004D7B13" w:rsidP="004D7B13">
      <w:pPr>
        <w:pStyle w:val="2-SectionHeading"/>
      </w:pPr>
      <w:r>
        <w:t>PBAC Outcome</w:t>
      </w:r>
    </w:p>
    <w:p w14:paraId="5B2AE59A" w14:textId="304CCD3C" w:rsidR="00BA49E7" w:rsidRPr="001A7121" w:rsidRDefault="004D7B13" w:rsidP="001A7121">
      <w:pPr>
        <w:pStyle w:val="3Bodytext"/>
      </w:pPr>
      <w:r>
        <w:t>The PBAC confirmed it</w:t>
      </w:r>
      <w:r w:rsidR="00BB0912">
        <w:t>s</w:t>
      </w:r>
      <w:r>
        <w:t xml:space="preserve"> recommendation from </w:t>
      </w:r>
      <w:r w:rsidRPr="001A7121">
        <w:t>March 2022</w:t>
      </w:r>
      <w:r w:rsidR="00BA49E7" w:rsidRPr="001A7121">
        <w:t xml:space="preserve"> </w:t>
      </w:r>
      <w:r w:rsidR="00BA49E7">
        <w:t xml:space="preserve">that </w:t>
      </w:r>
      <w:r w:rsidR="001A7121">
        <w:t>the PBS listings for SGLT2 inhibitors be expanded</w:t>
      </w:r>
      <w:r w:rsidR="001A7121">
        <w:rPr>
          <w:noProof/>
          <w:snapToGrid w:val="0"/>
          <w:lang w:val="en-US"/>
        </w:rPr>
        <w:t xml:space="preserve"> to include add-on therapy to metformin for patients with T2DM and established CVD o</w:t>
      </w:r>
      <w:r w:rsidR="00B01247">
        <w:rPr>
          <w:noProof/>
          <w:snapToGrid w:val="0"/>
          <w:lang w:val="en-US"/>
        </w:rPr>
        <w:t>r</w:t>
      </w:r>
      <w:r w:rsidR="001A7121">
        <w:rPr>
          <w:noProof/>
          <w:snapToGrid w:val="0"/>
          <w:lang w:val="en-US"/>
        </w:rPr>
        <w:t xml:space="preserve"> high CV risk</w:t>
      </w:r>
      <w:r w:rsidR="00C547D5">
        <w:rPr>
          <w:noProof/>
          <w:snapToGrid w:val="0"/>
          <w:lang w:val="en-US"/>
        </w:rPr>
        <w:t xml:space="preserve">, </w:t>
      </w:r>
      <w:r w:rsidR="00C547D5">
        <w:t>without the requirement to have a specific unmet glycaemic target</w:t>
      </w:r>
      <w:r w:rsidR="00BA49E7" w:rsidRPr="001A7121">
        <w:rPr>
          <w:noProof/>
          <w:snapToGrid w:val="0"/>
          <w:lang w:val="en-US"/>
        </w:rPr>
        <w:t>. The PBAC</w:t>
      </w:r>
      <w:r w:rsidR="001A7121">
        <w:rPr>
          <w:noProof/>
          <w:snapToGrid w:val="0"/>
          <w:lang w:val="en-US"/>
        </w:rPr>
        <w:t xml:space="preserve"> was</w:t>
      </w:r>
      <w:r w:rsidR="00BA49E7" w:rsidRPr="001A7121">
        <w:rPr>
          <w:noProof/>
          <w:snapToGrid w:val="0"/>
          <w:lang w:val="en-US"/>
        </w:rPr>
        <w:t xml:space="preserve"> satisfied that </w:t>
      </w:r>
      <w:r w:rsidR="00B01247">
        <w:rPr>
          <w:noProof/>
          <w:snapToGrid w:val="0"/>
          <w:lang w:val="en-US"/>
        </w:rPr>
        <w:t xml:space="preserve">SGLT2 inhibitors </w:t>
      </w:r>
      <w:r w:rsidR="00BA49E7" w:rsidRPr="001A7121">
        <w:rPr>
          <w:noProof/>
          <w:snapToGrid w:val="0"/>
          <w:lang w:val="en-US"/>
        </w:rPr>
        <w:t>provide, for some patients, a significant improvement in efficacy over</w:t>
      </w:r>
      <w:r w:rsidR="00B01247">
        <w:rPr>
          <w:noProof/>
          <w:snapToGrid w:val="0"/>
          <w:lang w:val="en-US"/>
        </w:rPr>
        <w:t xml:space="preserve"> sulfonylureas</w:t>
      </w:r>
      <w:r w:rsidR="00BA49E7" w:rsidRPr="001A7121">
        <w:rPr>
          <w:noProof/>
          <w:snapToGrid w:val="0"/>
          <w:lang w:val="en-US"/>
        </w:rPr>
        <w:t xml:space="preserve">.  </w:t>
      </w:r>
    </w:p>
    <w:p w14:paraId="1DB30E55" w14:textId="79E51B8B" w:rsidR="00287AC7" w:rsidRPr="00287AC7" w:rsidRDefault="00287AC7" w:rsidP="00287AC7">
      <w:pPr>
        <w:pStyle w:val="3Bodytext"/>
      </w:pPr>
      <w:r w:rsidRPr="00287AC7">
        <w:rPr>
          <w:rStyle w:val="cf01"/>
          <w:rFonts w:asciiTheme="minorHAnsi" w:hAnsiTheme="minorHAnsi" w:cstheme="minorBidi"/>
          <w:sz w:val="24"/>
          <w:szCs w:val="22"/>
        </w:rPr>
        <w:t xml:space="preserve">The PBAC confirmed its March 2023 recommendation </w:t>
      </w:r>
      <w:r>
        <w:rPr>
          <w:rStyle w:val="cf01"/>
          <w:rFonts w:asciiTheme="minorHAnsi" w:hAnsiTheme="minorHAnsi" w:cstheme="minorBidi"/>
          <w:sz w:val="24"/>
          <w:szCs w:val="22"/>
        </w:rPr>
        <w:t xml:space="preserve">that </w:t>
      </w:r>
      <w:r w:rsidRPr="001C474C">
        <w:rPr>
          <w:rStyle w:val="cf01"/>
          <w:rFonts w:asciiTheme="minorHAnsi" w:hAnsiTheme="minorHAnsi" w:cstheme="minorBidi"/>
          <w:sz w:val="24"/>
          <w:szCs w:val="22"/>
        </w:rPr>
        <w:t xml:space="preserve">expansion of </w:t>
      </w:r>
      <w:r>
        <w:rPr>
          <w:rStyle w:val="cf01"/>
          <w:rFonts w:asciiTheme="minorHAnsi" w:hAnsiTheme="minorHAnsi" w:cstheme="minorBidi"/>
          <w:sz w:val="24"/>
          <w:szCs w:val="22"/>
        </w:rPr>
        <w:t xml:space="preserve">the </w:t>
      </w:r>
      <w:r w:rsidRPr="001C474C">
        <w:rPr>
          <w:rStyle w:val="cf01"/>
          <w:rFonts w:asciiTheme="minorHAnsi" w:hAnsiTheme="minorHAnsi" w:cstheme="minorBidi"/>
          <w:sz w:val="24"/>
          <w:szCs w:val="22"/>
        </w:rPr>
        <w:t xml:space="preserve">SGLT2 inhibitor restrictions in line with the March 2022 recommendation </w:t>
      </w:r>
      <w:r>
        <w:rPr>
          <w:rStyle w:val="cf01"/>
          <w:rFonts w:asciiTheme="minorHAnsi" w:hAnsiTheme="minorHAnsi" w:cstheme="minorBidi"/>
          <w:sz w:val="24"/>
          <w:szCs w:val="22"/>
        </w:rPr>
        <w:t xml:space="preserve">would be acceptably cost-effective if the 15% </w:t>
      </w:r>
      <w:r w:rsidRPr="001C474C">
        <w:rPr>
          <w:rStyle w:val="cf01"/>
          <w:rFonts w:asciiTheme="minorHAnsi" w:hAnsiTheme="minorHAnsi" w:cstheme="minorBidi"/>
          <w:sz w:val="24"/>
          <w:szCs w:val="22"/>
        </w:rPr>
        <w:t>price reduction to SGLT2 inhibitors for T2DM indications</w:t>
      </w:r>
      <w:r>
        <w:rPr>
          <w:rStyle w:val="cf01"/>
          <w:rFonts w:asciiTheme="minorHAnsi" w:hAnsiTheme="minorHAnsi" w:cstheme="minorBidi"/>
          <w:sz w:val="24"/>
          <w:szCs w:val="22"/>
        </w:rPr>
        <w:t xml:space="preserve"> </w:t>
      </w:r>
      <w:r w:rsidRPr="001C474C">
        <w:rPr>
          <w:rStyle w:val="cf01"/>
          <w:rFonts w:asciiTheme="minorHAnsi" w:hAnsiTheme="minorHAnsi" w:cstheme="minorBidi"/>
          <w:sz w:val="24"/>
          <w:szCs w:val="22"/>
        </w:rPr>
        <w:t>to account for use outside of the PBS restrictions</w:t>
      </w:r>
      <w:r>
        <w:rPr>
          <w:rStyle w:val="cf01"/>
          <w:rFonts w:asciiTheme="minorHAnsi" w:hAnsiTheme="minorHAnsi" w:cstheme="minorBidi"/>
          <w:sz w:val="24"/>
          <w:szCs w:val="22"/>
        </w:rPr>
        <w:t xml:space="preserve"> was implemented, without the requirement for further price reductions or a </w:t>
      </w:r>
      <w:r w:rsidRPr="001C474C">
        <w:rPr>
          <w:rStyle w:val="cf01"/>
          <w:rFonts w:asciiTheme="minorHAnsi" w:hAnsiTheme="minorHAnsi" w:cstheme="minorBidi"/>
          <w:sz w:val="24"/>
          <w:szCs w:val="22"/>
        </w:rPr>
        <w:t>financial cap</w:t>
      </w:r>
      <w:r w:rsidRPr="00287AC7">
        <w:rPr>
          <w:rStyle w:val="cf01"/>
          <w:rFonts w:asciiTheme="minorHAnsi" w:hAnsiTheme="minorHAnsi" w:cstheme="minorBidi"/>
          <w:sz w:val="24"/>
          <w:szCs w:val="22"/>
        </w:rPr>
        <w:t>.</w:t>
      </w:r>
    </w:p>
    <w:p w14:paraId="2CEDE32A" w14:textId="5C03E767" w:rsidR="009D2679" w:rsidRPr="009E3E0E" w:rsidRDefault="009D2679" w:rsidP="009E3E0E">
      <w:pPr>
        <w:pStyle w:val="3Bodytext"/>
        <w:rPr>
          <w:lang w:eastAsia="en-US"/>
        </w:rPr>
      </w:pPr>
      <w:r>
        <w:rPr>
          <w:rFonts w:cs="Arial"/>
          <w:snapToGrid w:val="0"/>
          <w:lang w:val="en-GB"/>
        </w:rPr>
        <w:t xml:space="preserve">The PBAC noted the revised inputs and assumptions used to estimate </w:t>
      </w:r>
      <w:r w:rsidR="009E3E0E">
        <w:rPr>
          <w:rFonts w:cs="Arial"/>
          <w:snapToGrid w:val="0"/>
          <w:lang w:val="en-GB"/>
        </w:rPr>
        <w:t xml:space="preserve">the </w:t>
      </w:r>
      <w:r>
        <w:rPr>
          <w:rFonts w:cs="Arial"/>
          <w:snapToGrid w:val="0"/>
          <w:lang w:val="en-GB"/>
        </w:rPr>
        <w:t>PBS usage and financial implications for the expanded SGLT2 inhibitor listings</w:t>
      </w:r>
      <w:r w:rsidR="009E3E0E">
        <w:rPr>
          <w:rFonts w:cs="Arial"/>
          <w:snapToGrid w:val="0"/>
          <w:lang w:val="en-GB"/>
        </w:rPr>
        <w:t xml:space="preserve"> and did not specify any changes to the base case model</w:t>
      </w:r>
      <w:r>
        <w:rPr>
          <w:rFonts w:cs="Arial"/>
          <w:snapToGrid w:val="0"/>
          <w:lang w:val="en-GB"/>
        </w:rPr>
        <w:t>.</w:t>
      </w:r>
      <w:r w:rsidR="009E3E0E">
        <w:rPr>
          <w:rFonts w:cs="Arial"/>
          <w:snapToGrid w:val="0"/>
          <w:lang w:val="en-GB"/>
        </w:rPr>
        <w:t xml:space="preserve"> The PBAC noted that the </w:t>
      </w:r>
      <w:r w:rsidR="009E3E0E" w:rsidRPr="00385584">
        <w:rPr>
          <w:lang w:eastAsia="en-US"/>
        </w:rPr>
        <w:t xml:space="preserve">net cost for the expanded SGLT2 inhibitor listings, in combination with a 15% price reduction to the current and expanded SGLT2 inhibitor listings, </w:t>
      </w:r>
      <w:r w:rsidR="009E3E0E">
        <w:rPr>
          <w:lang w:eastAsia="en-US"/>
        </w:rPr>
        <w:t>was</w:t>
      </w:r>
      <w:r w:rsidR="009E3E0E" w:rsidRPr="00385584">
        <w:rPr>
          <w:lang w:eastAsia="en-US"/>
        </w:rPr>
        <w:t xml:space="preserve"> </w:t>
      </w:r>
      <w:r w:rsidR="009E3E0E" w:rsidRPr="00385584">
        <w:t>estimated to be $4</w:t>
      </w:r>
      <w:r w:rsidR="009E3E0E">
        <w:t>9.0</w:t>
      </w:r>
      <w:r w:rsidR="009E3E0E" w:rsidRPr="00385584">
        <w:t xml:space="preserve"> million over 2024</w:t>
      </w:r>
      <w:r w:rsidR="00525EFD">
        <w:t>-</w:t>
      </w:r>
      <w:r w:rsidR="009E3E0E" w:rsidRPr="00385584">
        <w:t xml:space="preserve">2029. </w:t>
      </w:r>
      <w:r w:rsidR="009E3E0E" w:rsidRPr="009E3E0E">
        <w:rPr>
          <w:rFonts w:cs="Arial"/>
          <w:snapToGrid w:val="0"/>
          <w:lang w:val="en-GB"/>
        </w:rPr>
        <w:t xml:space="preserve">The PBAC considered that overall, while still uncertain, the </w:t>
      </w:r>
      <w:r w:rsidR="00525EFD">
        <w:rPr>
          <w:rFonts w:cs="Arial"/>
          <w:snapToGrid w:val="0"/>
          <w:lang w:val="en-GB"/>
        </w:rPr>
        <w:t xml:space="preserve">revised cost </w:t>
      </w:r>
      <w:r w:rsidR="009E3E0E" w:rsidRPr="009E3E0E">
        <w:rPr>
          <w:rFonts w:cs="Arial"/>
          <w:snapToGrid w:val="0"/>
          <w:lang w:val="en-GB"/>
        </w:rPr>
        <w:t>estimates</w:t>
      </w:r>
      <w:r w:rsidR="00525EFD">
        <w:rPr>
          <w:rFonts w:cs="Arial"/>
          <w:snapToGrid w:val="0"/>
          <w:lang w:val="en-GB"/>
        </w:rPr>
        <w:t xml:space="preserve"> were reasonable</w:t>
      </w:r>
      <w:r w:rsidR="009E3E0E" w:rsidRPr="009E3E0E">
        <w:rPr>
          <w:rFonts w:cs="Arial"/>
          <w:snapToGrid w:val="0"/>
          <w:lang w:val="en-GB"/>
        </w:rPr>
        <w:t>.</w:t>
      </w:r>
    </w:p>
    <w:p w14:paraId="6644F0DA" w14:textId="3D978F76" w:rsidR="00B12C1E" w:rsidRPr="00B12C1E" w:rsidRDefault="009E3E0E" w:rsidP="009E3E0E">
      <w:pPr>
        <w:pStyle w:val="3Bodytext"/>
        <w:rPr>
          <w:lang w:eastAsia="en-US"/>
        </w:rPr>
      </w:pPr>
      <w:r>
        <w:rPr>
          <w:rFonts w:cs="Arial"/>
          <w:snapToGrid w:val="0"/>
          <w:lang w:val="en-GB"/>
        </w:rPr>
        <w:t xml:space="preserve">The PBAC </w:t>
      </w:r>
      <w:r w:rsidR="00B12C1E">
        <w:rPr>
          <w:rFonts w:cs="Arial"/>
          <w:snapToGrid w:val="0"/>
          <w:lang w:val="en-GB"/>
        </w:rPr>
        <w:t xml:space="preserve">noted the evidence provided on clinical inertia rates in the treatment of T2DM and </w:t>
      </w:r>
      <w:r>
        <w:rPr>
          <w:rFonts w:cs="Arial"/>
          <w:snapToGrid w:val="0"/>
          <w:lang w:val="en-GB"/>
        </w:rPr>
        <w:t xml:space="preserve">considered that </w:t>
      </w:r>
      <w:r w:rsidR="00525EFD">
        <w:rPr>
          <w:rFonts w:cs="Arial"/>
          <w:snapToGrid w:val="0"/>
          <w:lang w:val="en-GB"/>
        </w:rPr>
        <w:t xml:space="preserve">uptake of the </w:t>
      </w:r>
      <w:r w:rsidR="00B12C1E">
        <w:rPr>
          <w:rFonts w:cs="Arial"/>
          <w:snapToGrid w:val="0"/>
          <w:lang w:val="en-GB"/>
        </w:rPr>
        <w:t>expan</w:t>
      </w:r>
      <w:r w:rsidR="00525EFD">
        <w:rPr>
          <w:rFonts w:cs="Arial"/>
          <w:snapToGrid w:val="0"/>
          <w:lang w:val="en-GB"/>
        </w:rPr>
        <w:t>ded</w:t>
      </w:r>
      <w:r w:rsidR="00B12C1E">
        <w:rPr>
          <w:rFonts w:cs="Arial"/>
          <w:snapToGrid w:val="0"/>
          <w:lang w:val="en-GB"/>
        </w:rPr>
        <w:t xml:space="preserve"> SGLT2 inhibitor listings</w:t>
      </w:r>
      <w:r w:rsidR="00525EFD">
        <w:rPr>
          <w:rFonts w:cs="Arial"/>
          <w:snapToGrid w:val="0"/>
          <w:lang w:val="en-GB"/>
        </w:rPr>
        <w:t xml:space="preserve"> </w:t>
      </w:r>
      <w:r w:rsidR="00B12C1E">
        <w:rPr>
          <w:rFonts w:cs="Arial"/>
          <w:snapToGrid w:val="0"/>
          <w:lang w:val="en-GB"/>
        </w:rPr>
        <w:t xml:space="preserve">was likely to be significantly lower than the eligible population. </w:t>
      </w:r>
    </w:p>
    <w:p w14:paraId="13079635" w14:textId="7B028093" w:rsidR="009E3E0E" w:rsidRPr="000D1B7A" w:rsidRDefault="00B12C1E" w:rsidP="009E3E0E">
      <w:pPr>
        <w:pStyle w:val="3Bodytext"/>
        <w:rPr>
          <w:lang w:eastAsia="en-US"/>
        </w:rPr>
      </w:pPr>
      <w:r>
        <w:rPr>
          <w:rFonts w:cs="Arial"/>
          <w:snapToGrid w:val="0"/>
          <w:lang w:val="en-GB"/>
        </w:rPr>
        <w:t>The PBAC considered that there were also high rates of undertreatment of kidney disease in Australia and that expansion of the SGLT2 inhibitor listings for T2DM patients may have additional benefits in reducing the progression of kidney disease in this population.</w:t>
      </w:r>
    </w:p>
    <w:p w14:paraId="610C2636" w14:textId="746F5083" w:rsidR="000D1B7A" w:rsidRPr="00882F2D" w:rsidRDefault="000D1B7A" w:rsidP="009E3E0E">
      <w:pPr>
        <w:pStyle w:val="3Bodytext"/>
        <w:rPr>
          <w:lang w:eastAsia="en-US"/>
        </w:rPr>
      </w:pPr>
      <w:r>
        <w:rPr>
          <w:rFonts w:cs="Arial"/>
          <w:snapToGrid w:val="0"/>
          <w:lang w:val="en-GB"/>
        </w:rPr>
        <w:t xml:space="preserve">Regarding the proposed restriction, the PBAC considered it was appropriate to remove the reference to the </w:t>
      </w:r>
      <w:r>
        <w:rPr>
          <w:rFonts w:cstheme="minorHAnsi"/>
          <w:szCs w:val="24"/>
        </w:rPr>
        <w:t>‘</w:t>
      </w:r>
      <w:r w:rsidRPr="000D1B7A">
        <w:rPr>
          <w:rFonts w:cstheme="minorHAnsi"/>
          <w:szCs w:val="24"/>
        </w:rPr>
        <w:t xml:space="preserve">Guidelines for the </w:t>
      </w:r>
      <w:r>
        <w:rPr>
          <w:rFonts w:cstheme="minorHAnsi"/>
          <w:szCs w:val="24"/>
        </w:rPr>
        <w:t>M</w:t>
      </w:r>
      <w:r w:rsidRPr="000D1B7A">
        <w:rPr>
          <w:rFonts w:cstheme="minorHAnsi"/>
          <w:szCs w:val="24"/>
        </w:rPr>
        <w:t>anagement of Absolute Cardiovascular Disease Risk 2012</w:t>
      </w:r>
      <w:r>
        <w:rPr>
          <w:rFonts w:cstheme="minorHAnsi"/>
          <w:szCs w:val="24"/>
        </w:rPr>
        <w:t>’ from the Administrative Advice and noted that there was a risk in including references to specific guid</w:t>
      </w:r>
      <w:r w:rsidR="00754FAB">
        <w:rPr>
          <w:rFonts w:cstheme="minorHAnsi"/>
          <w:szCs w:val="24"/>
        </w:rPr>
        <w:t>elines</w:t>
      </w:r>
      <w:r>
        <w:rPr>
          <w:rFonts w:cstheme="minorHAnsi"/>
          <w:szCs w:val="24"/>
        </w:rPr>
        <w:t xml:space="preserve"> in PBS restrictions that these would become outdated over time. However, the PBAC considered that inclusion of the following definition of high CV risk in Administrative Advice may encourage good clinical practice and the use of a CV risk calculator: ‘</w:t>
      </w:r>
      <w:r w:rsidRPr="00C01DEA">
        <w:rPr>
          <w:rFonts w:cstheme="minorHAnsi"/>
          <w:i/>
          <w:iCs/>
          <w:szCs w:val="24"/>
        </w:rPr>
        <w:t>High cardiovascular risk is defined a</w:t>
      </w:r>
      <w:r w:rsidR="00C01DEA" w:rsidRPr="00C01DEA">
        <w:rPr>
          <w:rFonts w:cstheme="minorHAnsi"/>
          <w:i/>
          <w:iCs/>
          <w:szCs w:val="24"/>
        </w:rPr>
        <w:t>s an estimated risk of a cardiovascular event of ≥10% over 5 years</w:t>
      </w:r>
      <w:r w:rsidR="00C01DEA">
        <w:rPr>
          <w:rFonts w:cstheme="minorHAnsi"/>
          <w:szCs w:val="24"/>
        </w:rPr>
        <w:t xml:space="preserve">’. </w:t>
      </w:r>
      <w:r>
        <w:rPr>
          <w:rFonts w:cstheme="minorHAnsi"/>
          <w:szCs w:val="24"/>
        </w:rPr>
        <w:t xml:space="preserve"> </w:t>
      </w:r>
      <w:r w:rsidR="00754FAB">
        <w:rPr>
          <w:rFonts w:cstheme="minorHAnsi"/>
          <w:szCs w:val="24"/>
        </w:rPr>
        <w:t xml:space="preserve">The PBAC noted that this was the </w:t>
      </w:r>
      <w:r w:rsidR="00754FAB">
        <w:rPr>
          <w:rFonts w:cstheme="minorHAnsi"/>
          <w:szCs w:val="24"/>
        </w:rPr>
        <w:lastRenderedPageBreak/>
        <w:t>current definition of high CV risk in the ‘</w:t>
      </w:r>
      <w:r w:rsidR="00754FAB" w:rsidRPr="00754FAB">
        <w:rPr>
          <w:rFonts w:cstheme="minorHAnsi"/>
          <w:szCs w:val="24"/>
        </w:rPr>
        <w:t>Australian Guidelines for assessing and managing cardiovascular disease risk 2023</w:t>
      </w:r>
      <w:r w:rsidR="00754FAB">
        <w:rPr>
          <w:rFonts w:cstheme="minorHAnsi"/>
          <w:szCs w:val="24"/>
        </w:rPr>
        <w:t>’.</w:t>
      </w:r>
      <w:r w:rsidR="00754FAB">
        <w:rPr>
          <w:rStyle w:val="FootnoteReference"/>
          <w:rFonts w:cstheme="minorHAnsi"/>
          <w:szCs w:val="24"/>
        </w:rPr>
        <w:footnoteReference w:id="22"/>
      </w:r>
      <w:r w:rsidR="00754FAB">
        <w:rPr>
          <w:rFonts w:cstheme="minorHAnsi"/>
          <w:szCs w:val="24"/>
        </w:rPr>
        <w:t xml:space="preserve"> </w:t>
      </w:r>
    </w:p>
    <w:p w14:paraId="4C6941E2" w14:textId="17640A8D" w:rsidR="005D2C8D" w:rsidRPr="005D2C8D" w:rsidRDefault="005D2C8D" w:rsidP="009E3E0E">
      <w:pPr>
        <w:pStyle w:val="3Bodytext"/>
        <w:rPr>
          <w:lang w:eastAsia="en-US"/>
        </w:rPr>
      </w:pPr>
      <w:r>
        <w:rPr>
          <w:lang w:eastAsia="en-US"/>
        </w:rPr>
        <w:t>The PBAC recommended that the expanded SGLT2 inhibitor listings were suitable for inclusion in the increased MDQ measure.</w:t>
      </w:r>
      <w:r w:rsidR="00A1219A">
        <w:rPr>
          <w:lang w:eastAsia="en-US"/>
        </w:rPr>
        <w:t xml:space="preserve"> The financial estimates did not include the increased MDQ listings and the PBAC noted that the Department would revise the financial estimates to account for this. </w:t>
      </w:r>
    </w:p>
    <w:p w14:paraId="677DFBCC" w14:textId="77777777" w:rsidR="00F33AEA" w:rsidRPr="00525B39" w:rsidRDefault="00F33AEA" w:rsidP="00F33AEA">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0989C62" w14:textId="1B0351FF" w:rsidR="004B77FF" w:rsidRDefault="00F33AEA" w:rsidP="003C4DCC">
      <w:pPr>
        <w:pStyle w:val="3Bodytext"/>
        <w:numPr>
          <w:ilvl w:val="0"/>
          <w:numId w:val="0"/>
        </w:numPr>
        <w:rPr>
          <w:rFonts w:cs="Arial"/>
          <w:b/>
          <w:snapToGrid w:val="0"/>
          <w:sz w:val="32"/>
          <w:szCs w:val="32"/>
        </w:rPr>
      </w:pPr>
      <w:r w:rsidRPr="00525B39">
        <w:rPr>
          <w:rFonts w:cs="Arial"/>
          <w:bCs/>
          <w:snapToGrid w:val="0"/>
          <w:lang w:val="en-GB"/>
        </w:rPr>
        <w:t>Recommended</w:t>
      </w:r>
      <w:r w:rsidR="004B77FF">
        <w:br w:type="page"/>
      </w:r>
    </w:p>
    <w:p w14:paraId="3B86C0A3" w14:textId="3B5CC259" w:rsidR="005B0CE6" w:rsidRDefault="005B0CE6" w:rsidP="00F33AEA">
      <w:pPr>
        <w:pStyle w:val="2-SectionHeading"/>
      </w:pPr>
      <w:r>
        <w:lastRenderedPageBreak/>
        <w:t xml:space="preserve">Recommended </w:t>
      </w:r>
      <w:r w:rsidR="00F33AEA">
        <w:t>listing</w:t>
      </w:r>
    </w:p>
    <w:p w14:paraId="0B58F780" w14:textId="2D78D7FF" w:rsidR="00F33AEA" w:rsidRPr="00525B39" w:rsidRDefault="00F33AEA" w:rsidP="00F33AEA">
      <w:pPr>
        <w:pStyle w:val="3Bodytext"/>
        <w:rPr>
          <w:snapToGrid w:val="0"/>
        </w:rPr>
      </w:pPr>
      <w:r w:rsidRPr="00525B39">
        <w:rPr>
          <w:snapToGrid w:val="0"/>
        </w:rPr>
        <w:t>Amend existing listing</w:t>
      </w:r>
      <w:r w:rsidR="00C01DEA">
        <w:rPr>
          <w:snapToGrid w:val="0"/>
        </w:rPr>
        <w:t>s</w:t>
      </w:r>
      <w:r w:rsidRPr="00525B39">
        <w:rPr>
          <w:snapToGrid w:val="0"/>
        </w:rPr>
        <w:t xml:space="preserve"> as follows:</w:t>
      </w:r>
    </w:p>
    <w:p w14:paraId="330AAF47" w14:textId="38FAF9DF" w:rsidR="005B0CE6" w:rsidRPr="002F4D85" w:rsidRDefault="005B0CE6" w:rsidP="005B0CE6">
      <w:pPr>
        <w:pStyle w:val="4-SubsectionHeading"/>
      </w:pPr>
      <w:bookmarkStart w:id="3" w:name="_Hlk99722476"/>
      <w:r w:rsidRPr="002F4D85">
        <w:t>S</w:t>
      </w:r>
      <w:r w:rsidR="009A169B">
        <w:t>GLT2 inhibitor</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AA42BB" w:rsidRPr="00AA42BB" w14:paraId="5F9A3EA1" w14:textId="77777777" w:rsidTr="00936834">
        <w:trPr>
          <w:cantSplit/>
          <w:trHeight w:val="471"/>
        </w:trPr>
        <w:tc>
          <w:tcPr>
            <w:tcW w:w="3964" w:type="dxa"/>
            <w:tcBorders>
              <w:top w:val="single" w:sz="4" w:space="0" w:color="auto"/>
              <w:left w:val="single" w:sz="4" w:space="0" w:color="auto"/>
              <w:bottom w:val="single" w:sz="4" w:space="0" w:color="auto"/>
              <w:right w:val="single" w:sz="4" w:space="0" w:color="auto"/>
            </w:tcBorders>
            <w:hideMark/>
          </w:tcPr>
          <w:p w14:paraId="3BF2FB5A" w14:textId="77777777" w:rsidR="005B0CE6" w:rsidRPr="00AA42BB" w:rsidRDefault="005B0CE6" w:rsidP="00936834">
            <w:pPr>
              <w:keepNext/>
              <w:ind w:left="-108"/>
              <w:rPr>
                <w:rFonts w:ascii="Arial Narrow" w:hAnsi="Arial Narrow" w:cs="Arial"/>
                <w:b/>
                <w:sz w:val="20"/>
                <w:szCs w:val="20"/>
              </w:rPr>
            </w:pPr>
            <w:r w:rsidRPr="00AA42BB">
              <w:rPr>
                <w:rFonts w:ascii="Arial Narrow" w:hAnsi="Arial Narrow" w:cs="Arial"/>
                <w:b/>
                <w:sz w:val="20"/>
                <w:szCs w:val="20"/>
              </w:rPr>
              <w:t>Name, Restriction,</w:t>
            </w:r>
          </w:p>
          <w:p w14:paraId="73A18D40" w14:textId="77777777" w:rsidR="005B0CE6" w:rsidRPr="00AA42BB" w:rsidRDefault="005B0CE6" w:rsidP="00936834">
            <w:pPr>
              <w:keepNext/>
              <w:ind w:left="-108"/>
              <w:rPr>
                <w:rFonts w:ascii="Arial Narrow" w:hAnsi="Arial Narrow" w:cs="Arial"/>
                <w:b/>
                <w:sz w:val="20"/>
                <w:szCs w:val="20"/>
              </w:rPr>
            </w:pPr>
            <w:r w:rsidRPr="00AA42BB">
              <w:rPr>
                <w:rFonts w:ascii="Arial Narrow" w:hAnsi="Arial Narrow" w:cs="Arial"/>
                <w:b/>
                <w:sz w:val="20"/>
                <w:szCs w:val="20"/>
              </w:rPr>
              <w:t>Manner of administration and form</w:t>
            </w:r>
          </w:p>
        </w:tc>
        <w:tc>
          <w:tcPr>
            <w:tcW w:w="993" w:type="dxa"/>
            <w:tcBorders>
              <w:top w:val="single" w:sz="4" w:space="0" w:color="auto"/>
              <w:left w:val="single" w:sz="4" w:space="0" w:color="auto"/>
              <w:bottom w:val="single" w:sz="4" w:space="0" w:color="auto"/>
              <w:right w:val="single" w:sz="4" w:space="0" w:color="auto"/>
            </w:tcBorders>
            <w:hideMark/>
          </w:tcPr>
          <w:p w14:paraId="17B4BD20" w14:textId="77777777" w:rsidR="005B0CE6" w:rsidRPr="00AA42BB" w:rsidRDefault="005B0CE6" w:rsidP="00936834">
            <w:pPr>
              <w:keepNext/>
              <w:ind w:left="-108"/>
              <w:jc w:val="center"/>
              <w:rPr>
                <w:rFonts w:ascii="Arial Narrow" w:hAnsi="Arial Narrow" w:cs="Arial"/>
                <w:b/>
                <w:sz w:val="20"/>
                <w:szCs w:val="20"/>
              </w:rPr>
            </w:pPr>
            <w:r w:rsidRPr="00AA42BB">
              <w:rPr>
                <w:rFonts w:ascii="Arial Narrow" w:hAnsi="Arial Narrow" w:cs="Arial"/>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0BC82542" w14:textId="77777777" w:rsidR="005B0CE6" w:rsidRPr="00AA42BB" w:rsidRDefault="005B0CE6" w:rsidP="00936834">
            <w:pPr>
              <w:keepNext/>
              <w:ind w:left="-108"/>
              <w:jc w:val="center"/>
              <w:rPr>
                <w:rFonts w:ascii="Arial Narrow" w:hAnsi="Arial Narrow" w:cs="Arial"/>
                <w:b/>
                <w:sz w:val="20"/>
                <w:szCs w:val="20"/>
              </w:rPr>
            </w:pPr>
            <w:r w:rsidRPr="00AA42BB">
              <w:rPr>
                <w:rFonts w:ascii="Arial Narrow" w:hAnsi="Arial Narrow" w:cs="Arial"/>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184A0409" w14:textId="77777777" w:rsidR="005B0CE6" w:rsidRPr="00AA42BB" w:rsidRDefault="005B0CE6" w:rsidP="00936834">
            <w:pPr>
              <w:keepNext/>
              <w:ind w:left="-108"/>
              <w:jc w:val="center"/>
              <w:rPr>
                <w:rFonts w:ascii="Arial Narrow" w:hAnsi="Arial Narrow" w:cs="Arial"/>
                <w:b/>
                <w:sz w:val="20"/>
                <w:szCs w:val="20"/>
              </w:rPr>
            </w:pPr>
            <w:r w:rsidRPr="00AA42BB">
              <w:rPr>
                <w:rFonts w:ascii="Arial Narrow" w:hAnsi="Arial Narrow" w:cs="Arial"/>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6A898371" w14:textId="77777777" w:rsidR="005B0CE6" w:rsidRPr="00AA42BB" w:rsidRDefault="005B0CE6" w:rsidP="00936834">
            <w:pPr>
              <w:keepNext/>
              <w:ind w:left="-108"/>
              <w:jc w:val="center"/>
              <w:rPr>
                <w:rFonts w:ascii="Arial Narrow" w:hAnsi="Arial Narrow" w:cs="Arial"/>
                <w:b/>
                <w:sz w:val="20"/>
                <w:szCs w:val="20"/>
              </w:rPr>
            </w:pPr>
            <w:proofErr w:type="gramStart"/>
            <w:r w:rsidRPr="00AA42BB">
              <w:rPr>
                <w:rFonts w:ascii="Arial Narrow" w:hAnsi="Arial Narrow" w:cs="Arial"/>
                <w:b/>
                <w:sz w:val="20"/>
                <w:szCs w:val="20"/>
              </w:rPr>
              <w:t>№.of</w:t>
            </w:r>
            <w:proofErr w:type="gramEnd"/>
          </w:p>
          <w:p w14:paraId="38846C67" w14:textId="77777777" w:rsidR="005B0CE6" w:rsidRPr="00AA42BB" w:rsidRDefault="005B0CE6" w:rsidP="00936834">
            <w:pPr>
              <w:keepNext/>
              <w:ind w:left="-108"/>
              <w:jc w:val="center"/>
              <w:rPr>
                <w:rFonts w:ascii="Arial Narrow" w:hAnsi="Arial Narrow" w:cs="Arial"/>
                <w:b/>
                <w:sz w:val="20"/>
                <w:szCs w:val="20"/>
              </w:rPr>
            </w:pPr>
            <w:proofErr w:type="spellStart"/>
            <w:r w:rsidRPr="00AA42BB">
              <w:rPr>
                <w:rFonts w:ascii="Arial Narrow" w:hAnsi="Arial Narrow" w:cs="Arial"/>
                <w:b/>
                <w:sz w:val="20"/>
                <w:szCs w:val="20"/>
              </w:rPr>
              <w:t>Rpts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B3F89E7" w14:textId="77777777" w:rsidR="005B0CE6" w:rsidRPr="00AA42BB" w:rsidRDefault="005B0CE6" w:rsidP="00936834">
            <w:pPr>
              <w:keepNext/>
              <w:rPr>
                <w:rFonts w:ascii="Arial Narrow" w:hAnsi="Arial Narrow" w:cs="Arial"/>
                <w:b/>
                <w:sz w:val="20"/>
                <w:szCs w:val="20"/>
                <w:lang w:val="fr-FR"/>
              </w:rPr>
            </w:pPr>
            <w:r w:rsidRPr="00AA42BB">
              <w:rPr>
                <w:rFonts w:ascii="Arial Narrow" w:hAnsi="Arial Narrow" w:cs="Arial"/>
                <w:b/>
                <w:sz w:val="20"/>
                <w:szCs w:val="20"/>
              </w:rPr>
              <w:t>Available brands</w:t>
            </w:r>
          </w:p>
        </w:tc>
      </w:tr>
      <w:tr w:rsidR="00AA42BB" w:rsidRPr="00AA42BB" w14:paraId="2A1A9226" w14:textId="77777777" w:rsidTr="00936834">
        <w:trPr>
          <w:cantSplit/>
          <w:trHeight w:val="761"/>
        </w:trPr>
        <w:tc>
          <w:tcPr>
            <w:tcW w:w="3964" w:type="dxa"/>
            <w:tcBorders>
              <w:top w:val="single" w:sz="4" w:space="0" w:color="auto"/>
              <w:left w:val="single" w:sz="4" w:space="0" w:color="auto"/>
              <w:bottom w:val="single" w:sz="4" w:space="0" w:color="auto"/>
              <w:right w:val="single" w:sz="4" w:space="0" w:color="auto"/>
            </w:tcBorders>
          </w:tcPr>
          <w:p w14:paraId="3B618CEA"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w:t>
            </w:r>
          </w:p>
          <w:p w14:paraId="2867D276" w14:textId="77777777" w:rsidR="005B0CE6" w:rsidRPr="00AA42BB" w:rsidRDefault="005B0CE6" w:rsidP="00936834">
            <w:pPr>
              <w:keepNext/>
              <w:ind w:left="-108"/>
              <w:rPr>
                <w:rFonts w:ascii="Arial Narrow" w:hAnsi="Arial Narrow" w:cs="Arial"/>
                <w:sz w:val="20"/>
                <w:szCs w:val="20"/>
              </w:rPr>
            </w:pPr>
          </w:p>
          <w:p w14:paraId="3201D076"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10 mg tablet, 28</w:t>
            </w:r>
          </w:p>
        </w:tc>
        <w:tc>
          <w:tcPr>
            <w:tcW w:w="993" w:type="dxa"/>
            <w:tcBorders>
              <w:top w:val="single" w:sz="4" w:space="0" w:color="auto"/>
              <w:left w:val="single" w:sz="4" w:space="0" w:color="auto"/>
              <w:bottom w:val="single" w:sz="4" w:space="0" w:color="auto"/>
              <w:right w:val="single" w:sz="4" w:space="0" w:color="auto"/>
            </w:tcBorders>
          </w:tcPr>
          <w:p w14:paraId="0AA6FF4F" w14:textId="77777777" w:rsidR="005B0CE6" w:rsidRPr="00AA42BB" w:rsidRDefault="005B0CE6" w:rsidP="00936834">
            <w:pPr>
              <w:keepNext/>
              <w:jc w:val="center"/>
              <w:rPr>
                <w:rFonts w:ascii="Arial Narrow" w:hAnsi="Arial Narrow" w:cs="Arial"/>
                <w:sz w:val="20"/>
                <w:szCs w:val="20"/>
              </w:rPr>
            </w:pPr>
          </w:p>
          <w:p w14:paraId="439D3544"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10011X</w:t>
            </w:r>
          </w:p>
          <w:p w14:paraId="01115B0E"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p w14:paraId="11DEEA67" w14:textId="77777777" w:rsidR="005B0CE6" w:rsidRPr="00AA42BB" w:rsidRDefault="005B0CE6" w:rsidP="00936834">
            <w:pPr>
              <w:keepNext/>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FD31B61" w14:textId="77777777" w:rsidR="005B0CE6" w:rsidRPr="00AA42BB" w:rsidRDefault="005B0CE6" w:rsidP="00936834">
            <w:pPr>
              <w:keepNext/>
              <w:jc w:val="center"/>
              <w:rPr>
                <w:rFonts w:ascii="Arial Narrow" w:hAnsi="Arial Narrow" w:cs="Arial"/>
                <w:sz w:val="20"/>
                <w:szCs w:val="20"/>
              </w:rPr>
            </w:pPr>
          </w:p>
          <w:p w14:paraId="50CE32CA" w14:textId="77777777" w:rsidR="005B0CE6" w:rsidRPr="00AA42BB" w:rsidRDefault="005B0CE6" w:rsidP="00936834">
            <w:pPr>
              <w:keepNext/>
              <w:rPr>
                <w:rFonts w:ascii="Arial Narrow" w:hAnsi="Arial Narrow" w:cs="Arial"/>
                <w:sz w:val="20"/>
                <w:szCs w:val="20"/>
              </w:rPr>
            </w:pPr>
          </w:p>
          <w:p w14:paraId="117F49B6"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5B3B9080" w14:textId="77777777" w:rsidR="005B0CE6" w:rsidRPr="00AA42BB" w:rsidRDefault="005B0CE6" w:rsidP="00936834">
            <w:pPr>
              <w:keepNext/>
              <w:ind w:left="-108"/>
              <w:jc w:val="center"/>
              <w:rPr>
                <w:rFonts w:ascii="Arial Narrow" w:hAnsi="Arial Narrow" w:cs="Arial"/>
                <w:sz w:val="20"/>
                <w:szCs w:val="20"/>
              </w:rPr>
            </w:pPr>
          </w:p>
          <w:p w14:paraId="17235FFC" w14:textId="77777777" w:rsidR="005B0CE6" w:rsidRPr="00AA42BB" w:rsidRDefault="005B0CE6" w:rsidP="00936834">
            <w:pPr>
              <w:keepNext/>
              <w:rPr>
                <w:rFonts w:ascii="Arial Narrow" w:hAnsi="Arial Narrow" w:cs="Arial"/>
                <w:sz w:val="20"/>
                <w:szCs w:val="20"/>
              </w:rPr>
            </w:pPr>
          </w:p>
          <w:p w14:paraId="43260616"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24C45508" w14:textId="77777777" w:rsidR="005B0CE6" w:rsidRPr="00AA42BB" w:rsidRDefault="005B0CE6" w:rsidP="00936834">
            <w:pPr>
              <w:keepNext/>
              <w:ind w:left="-108"/>
              <w:jc w:val="center"/>
              <w:rPr>
                <w:rFonts w:ascii="Arial Narrow" w:hAnsi="Arial Narrow" w:cs="Arial"/>
                <w:sz w:val="20"/>
                <w:szCs w:val="20"/>
              </w:rPr>
            </w:pPr>
          </w:p>
          <w:p w14:paraId="1AFEE1FC" w14:textId="77777777" w:rsidR="005B0CE6" w:rsidRPr="00AA42BB" w:rsidRDefault="005B0CE6" w:rsidP="00936834">
            <w:pPr>
              <w:keepNext/>
              <w:rPr>
                <w:rFonts w:ascii="Arial Narrow" w:hAnsi="Arial Narrow" w:cs="Arial"/>
                <w:sz w:val="20"/>
                <w:szCs w:val="20"/>
              </w:rPr>
            </w:pPr>
          </w:p>
          <w:p w14:paraId="3F303E5D"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38D54A01" w14:textId="77777777" w:rsidR="005B0CE6" w:rsidRPr="00AA42BB" w:rsidRDefault="005B0CE6" w:rsidP="00936834">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84E87E" w14:textId="77777777" w:rsidR="005B0CE6" w:rsidRPr="00AA42BB" w:rsidRDefault="005B0CE6" w:rsidP="00936834">
            <w:pPr>
              <w:keepNext/>
              <w:rPr>
                <w:rFonts w:ascii="Arial Narrow" w:hAnsi="Arial Narrow" w:cs="Arial"/>
                <w:sz w:val="20"/>
                <w:szCs w:val="20"/>
              </w:rPr>
            </w:pPr>
          </w:p>
          <w:p w14:paraId="2AD82BB3" w14:textId="77777777" w:rsidR="005B0CE6" w:rsidRPr="00AA42BB" w:rsidRDefault="005B0CE6" w:rsidP="00936834">
            <w:pPr>
              <w:keepNext/>
              <w:rPr>
                <w:rFonts w:ascii="Arial Narrow" w:hAnsi="Arial Narrow" w:cs="Arial"/>
                <w:sz w:val="20"/>
                <w:szCs w:val="20"/>
              </w:rPr>
            </w:pPr>
          </w:p>
          <w:p w14:paraId="2C6497A6" w14:textId="00AC54DA" w:rsidR="005B0CE6" w:rsidRPr="00AA42BB" w:rsidRDefault="005B0CE6" w:rsidP="0063481B">
            <w:pPr>
              <w:keepNext/>
              <w:rPr>
                <w:rFonts w:ascii="Arial Narrow" w:hAnsi="Arial Narrow" w:cs="Arial"/>
                <w:sz w:val="20"/>
                <w:szCs w:val="20"/>
              </w:rPr>
            </w:pPr>
            <w:proofErr w:type="spellStart"/>
            <w:r w:rsidRPr="00AA42BB">
              <w:rPr>
                <w:rFonts w:ascii="Arial Narrow" w:hAnsi="Arial Narrow" w:cs="Arial"/>
                <w:sz w:val="20"/>
                <w:szCs w:val="20"/>
              </w:rPr>
              <w:t>Forxiga</w:t>
            </w:r>
            <w:proofErr w:type="spellEnd"/>
          </w:p>
        </w:tc>
      </w:tr>
      <w:tr w:rsidR="00AA42BB" w:rsidRPr="00AA42BB" w14:paraId="3AD4A075" w14:textId="77777777" w:rsidTr="00936834">
        <w:trPr>
          <w:cantSplit/>
          <w:trHeight w:val="761"/>
        </w:trPr>
        <w:tc>
          <w:tcPr>
            <w:tcW w:w="3964" w:type="dxa"/>
            <w:tcBorders>
              <w:top w:val="single" w:sz="4" w:space="0" w:color="auto"/>
              <w:left w:val="single" w:sz="4" w:space="0" w:color="auto"/>
              <w:bottom w:val="single" w:sz="4" w:space="0" w:color="auto"/>
              <w:right w:val="single" w:sz="4" w:space="0" w:color="auto"/>
            </w:tcBorders>
          </w:tcPr>
          <w:p w14:paraId="58658349"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w:t>
            </w:r>
          </w:p>
          <w:p w14:paraId="496A6C4C" w14:textId="77777777" w:rsidR="005B0CE6" w:rsidRPr="00AA42BB" w:rsidRDefault="005B0CE6" w:rsidP="00936834">
            <w:pPr>
              <w:keepNext/>
              <w:ind w:left="-108"/>
              <w:rPr>
                <w:rFonts w:ascii="Arial Narrow" w:hAnsi="Arial Narrow" w:cs="Arial"/>
                <w:sz w:val="20"/>
                <w:szCs w:val="20"/>
              </w:rPr>
            </w:pPr>
          </w:p>
          <w:p w14:paraId="12C98537"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10 mg tablet, 30</w:t>
            </w:r>
          </w:p>
        </w:tc>
        <w:tc>
          <w:tcPr>
            <w:tcW w:w="993" w:type="dxa"/>
            <w:tcBorders>
              <w:top w:val="single" w:sz="4" w:space="0" w:color="auto"/>
              <w:left w:val="single" w:sz="4" w:space="0" w:color="auto"/>
              <w:bottom w:val="single" w:sz="4" w:space="0" w:color="auto"/>
              <w:right w:val="single" w:sz="4" w:space="0" w:color="auto"/>
            </w:tcBorders>
          </w:tcPr>
          <w:p w14:paraId="58084E25" w14:textId="77777777" w:rsidR="005B0CE6" w:rsidRPr="00AA42BB" w:rsidRDefault="005B0CE6" w:rsidP="00936834">
            <w:pPr>
              <w:keepNext/>
              <w:jc w:val="center"/>
              <w:rPr>
                <w:rFonts w:ascii="Arial Narrow" w:hAnsi="Arial Narrow" w:cs="Arial"/>
                <w:sz w:val="20"/>
                <w:szCs w:val="20"/>
              </w:rPr>
            </w:pPr>
          </w:p>
          <w:p w14:paraId="51AAC000"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10206E</w:t>
            </w:r>
          </w:p>
          <w:p w14:paraId="1E94A2AF"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p w14:paraId="4731CF84" w14:textId="77777777" w:rsidR="005B0CE6" w:rsidRPr="00AA42BB" w:rsidRDefault="005B0CE6" w:rsidP="00936834">
            <w:pPr>
              <w:keepNext/>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F2E0C7" w14:textId="77777777" w:rsidR="005B0CE6" w:rsidRPr="00AA42BB" w:rsidRDefault="005B0CE6" w:rsidP="00936834">
            <w:pPr>
              <w:keepNext/>
              <w:jc w:val="center"/>
              <w:rPr>
                <w:rFonts w:ascii="Arial Narrow" w:hAnsi="Arial Narrow" w:cs="Arial"/>
                <w:sz w:val="20"/>
                <w:szCs w:val="20"/>
              </w:rPr>
            </w:pPr>
          </w:p>
          <w:p w14:paraId="6CA62CB9" w14:textId="77777777" w:rsidR="005B0CE6" w:rsidRPr="00AA42BB" w:rsidRDefault="005B0CE6" w:rsidP="00936834">
            <w:pPr>
              <w:keepNext/>
              <w:rPr>
                <w:rFonts w:ascii="Arial Narrow" w:hAnsi="Arial Narrow" w:cs="Arial"/>
                <w:sz w:val="20"/>
                <w:szCs w:val="20"/>
              </w:rPr>
            </w:pPr>
          </w:p>
          <w:p w14:paraId="3E0EADC4"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542D1C15" w14:textId="77777777" w:rsidR="005B0CE6" w:rsidRPr="00AA42BB" w:rsidRDefault="005B0CE6" w:rsidP="00936834">
            <w:pPr>
              <w:keepNext/>
              <w:ind w:left="-108"/>
              <w:jc w:val="center"/>
              <w:rPr>
                <w:rFonts w:ascii="Arial Narrow" w:hAnsi="Arial Narrow" w:cs="Arial"/>
                <w:sz w:val="20"/>
                <w:szCs w:val="20"/>
              </w:rPr>
            </w:pPr>
          </w:p>
          <w:p w14:paraId="619B3056" w14:textId="77777777" w:rsidR="005B0CE6" w:rsidRPr="00AA42BB" w:rsidRDefault="005B0CE6" w:rsidP="00936834">
            <w:pPr>
              <w:keepNext/>
              <w:rPr>
                <w:rFonts w:ascii="Arial Narrow" w:hAnsi="Arial Narrow" w:cs="Arial"/>
                <w:sz w:val="20"/>
                <w:szCs w:val="20"/>
              </w:rPr>
            </w:pPr>
          </w:p>
          <w:p w14:paraId="199A43DD"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14:paraId="4E2A28FC" w14:textId="77777777" w:rsidR="005B0CE6" w:rsidRPr="00AA42BB" w:rsidRDefault="005B0CE6" w:rsidP="00936834">
            <w:pPr>
              <w:keepNext/>
              <w:ind w:left="-108"/>
              <w:jc w:val="center"/>
              <w:rPr>
                <w:rFonts w:ascii="Arial Narrow" w:hAnsi="Arial Narrow" w:cs="Arial"/>
                <w:sz w:val="20"/>
                <w:szCs w:val="20"/>
              </w:rPr>
            </w:pPr>
          </w:p>
          <w:p w14:paraId="42733220" w14:textId="77777777" w:rsidR="005B0CE6" w:rsidRPr="00AA42BB" w:rsidRDefault="005B0CE6" w:rsidP="00936834">
            <w:pPr>
              <w:keepNext/>
              <w:rPr>
                <w:rFonts w:ascii="Arial Narrow" w:hAnsi="Arial Narrow" w:cs="Arial"/>
                <w:sz w:val="20"/>
                <w:szCs w:val="20"/>
              </w:rPr>
            </w:pPr>
          </w:p>
          <w:p w14:paraId="5856C2A6"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13765005" w14:textId="77777777" w:rsidR="005B0CE6" w:rsidRPr="00AA42BB" w:rsidRDefault="005B0CE6" w:rsidP="00936834">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E89101" w14:textId="77777777" w:rsidR="005B0CE6" w:rsidRPr="00AA42BB" w:rsidRDefault="005B0CE6" w:rsidP="00936834">
            <w:pPr>
              <w:keepNext/>
              <w:rPr>
                <w:rFonts w:ascii="Arial Narrow" w:hAnsi="Arial Narrow" w:cs="Arial"/>
                <w:sz w:val="20"/>
                <w:szCs w:val="20"/>
              </w:rPr>
            </w:pPr>
          </w:p>
          <w:p w14:paraId="410FAE40" w14:textId="77777777" w:rsidR="005B0CE6" w:rsidRPr="00AA42BB" w:rsidRDefault="005B0CE6" w:rsidP="00936834">
            <w:pPr>
              <w:keepNext/>
              <w:rPr>
                <w:rFonts w:ascii="Arial Narrow" w:hAnsi="Arial Narrow" w:cs="Arial"/>
                <w:sz w:val="20"/>
                <w:szCs w:val="20"/>
              </w:rPr>
            </w:pPr>
          </w:p>
          <w:p w14:paraId="43A8B92C" w14:textId="3616A155" w:rsidR="005B0CE6" w:rsidRPr="00AA42BB" w:rsidRDefault="005B0CE6" w:rsidP="0063481B">
            <w:pPr>
              <w:keepNext/>
              <w:rPr>
                <w:rFonts w:ascii="Arial Narrow" w:hAnsi="Arial Narrow" w:cs="Arial"/>
                <w:sz w:val="20"/>
                <w:szCs w:val="20"/>
              </w:rPr>
            </w:pPr>
            <w:r w:rsidRPr="00AA42BB">
              <w:rPr>
                <w:rFonts w:ascii="Arial Narrow" w:hAnsi="Arial Narrow" w:cs="Arial"/>
                <w:sz w:val="20"/>
                <w:szCs w:val="20"/>
              </w:rPr>
              <w:t>Jardiance</w:t>
            </w:r>
          </w:p>
        </w:tc>
      </w:tr>
      <w:tr w:rsidR="005B0CE6" w:rsidRPr="00AA42BB" w14:paraId="5E3AE817" w14:textId="77777777" w:rsidTr="0063481B">
        <w:trPr>
          <w:cantSplit/>
          <w:trHeight w:val="546"/>
        </w:trPr>
        <w:tc>
          <w:tcPr>
            <w:tcW w:w="3964" w:type="dxa"/>
            <w:tcBorders>
              <w:top w:val="single" w:sz="4" w:space="0" w:color="auto"/>
              <w:left w:val="single" w:sz="4" w:space="0" w:color="auto"/>
              <w:bottom w:val="single" w:sz="4" w:space="0" w:color="auto"/>
              <w:right w:val="single" w:sz="4" w:space="0" w:color="auto"/>
            </w:tcBorders>
          </w:tcPr>
          <w:p w14:paraId="0A1C6952"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w:t>
            </w:r>
          </w:p>
          <w:p w14:paraId="7F0126D5" w14:textId="77777777" w:rsidR="005B0CE6" w:rsidRPr="00AA42BB" w:rsidRDefault="005B0CE6" w:rsidP="00936834">
            <w:pPr>
              <w:keepNext/>
              <w:ind w:left="-108"/>
              <w:rPr>
                <w:rFonts w:ascii="Arial Narrow" w:hAnsi="Arial Narrow" w:cs="Arial"/>
                <w:sz w:val="20"/>
                <w:szCs w:val="20"/>
              </w:rPr>
            </w:pPr>
          </w:p>
          <w:p w14:paraId="6A3BB47C"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25 mg tablet, 30</w:t>
            </w:r>
          </w:p>
        </w:tc>
        <w:tc>
          <w:tcPr>
            <w:tcW w:w="993" w:type="dxa"/>
            <w:tcBorders>
              <w:top w:val="single" w:sz="4" w:space="0" w:color="auto"/>
              <w:left w:val="single" w:sz="4" w:space="0" w:color="auto"/>
              <w:bottom w:val="single" w:sz="4" w:space="0" w:color="auto"/>
              <w:right w:val="single" w:sz="4" w:space="0" w:color="auto"/>
            </w:tcBorders>
          </w:tcPr>
          <w:p w14:paraId="0F87E3AC" w14:textId="77777777" w:rsidR="005B0CE6" w:rsidRPr="00AA42BB" w:rsidRDefault="005B0CE6" w:rsidP="00936834">
            <w:pPr>
              <w:keepNext/>
              <w:ind w:left="-108"/>
              <w:jc w:val="center"/>
              <w:rPr>
                <w:rFonts w:ascii="Arial Narrow" w:hAnsi="Arial Narrow" w:cs="Arial"/>
                <w:sz w:val="20"/>
                <w:szCs w:val="20"/>
              </w:rPr>
            </w:pPr>
          </w:p>
          <w:p w14:paraId="6B36032A"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10202Y</w:t>
            </w:r>
          </w:p>
          <w:p w14:paraId="12245F9E"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p w14:paraId="1874DF88" w14:textId="77777777" w:rsidR="005B0CE6" w:rsidRPr="00AA42BB" w:rsidRDefault="005B0CE6" w:rsidP="00936834">
            <w:pPr>
              <w:keepNext/>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B0218C" w14:textId="77777777" w:rsidR="005B0CE6" w:rsidRPr="00AA42BB" w:rsidRDefault="005B0CE6" w:rsidP="00936834">
            <w:pPr>
              <w:keepNext/>
              <w:jc w:val="center"/>
              <w:rPr>
                <w:rFonts w:ascii="Arial Narrow" w:hAnsi="Arial Narrow" w:cs="Arial"/>
                <w:sz w:val="20"/>
                <w:szCs w:val="20"/>
              </w:rPr>
            </w:pPr>
          </w:p>
          <w:p w14:paraId="3E03DA17" w14:textId="77777777" w:rsidR="005B0CE6" w:rsidRPr="00AA42BB" w:rsidRDefault="005B0CE6" w:rsidP="00936834">
            <w:pPr>
              <w:keepNext/>
              <w:rPr>
                <w:rFonts w:ascii="Arial Narrow" w:hAnsi="Arial Narrow" w:cs="Arial"/>
                <w:sz w:val="20"/>
                <w:szCs w:val="20"/>
              </w:rPr>
            </w:pPr>
          </w:p>
          <w:p w14:paraId="34D28337"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0B00AD2D" w14:textId="77777777" w:rsidR="005B0CE6" w:rsidRPr="00AA42BB" w:rsidRDefault="005B0CE6" w:rsidP="00936834">
            <w:pPr>
              <w:keepNext/>
              <w:ind w:left="-108"/>
              <w:jc w:val="center"/>
              <w:rPr>
                <w:rFonts w:ascii="Arial Narrow" w:hAnsi="Arial Narrow" w:cs="Arial"/>
                <w:sz w:val="20"/>
                <w:szCs w:val="20"/>
              </w:rPr>
            </w:pPr>
          </w:p>
          <w:p w14:paraId="340042CF" w14:textId="77777777" w:rsidR="005B0CE6" w:rsidRPr="00AA42BB" w:rsidRDefault="005B0CE6" w:rsidP="00936834">
            <w:pPr>
              <w:keepNext/>
              <w:rPr>
                <w:rFonts w:ascii="Arial Narrow" w:hAnsi="Arial Narrow" w:cs="Arial"/>
                <w:sz w:val="20"/>
                <w:szCs w:val="20"/>
              </w:rPr>
            </w:pPr>
          </w:p>
          <w:p w14:paraId="090FC02A"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14:paraId="3C4BD13E" w14:textId="77777777" w:rsidR="005B0CE6" w:rsidRPr="00AA42BB" w:rsidRDefault="005B0CE6" w:rsidP="00936834">
            <w:pPr>
              <w:keepNext/>
              <w:ind w:left="-108"/>
              <w:jc w:val="center"/>
              <w:rPr>
                <w:rFonts w:ascii="Arial Narrow" w:hAnsi="Arial Narrow" w:cs="Arial"/>
                <w:sz w:val="20"/>
                <w:szCs w:val="20"/>
              </w:rPr>
            </w:pPr>
          </w:p>
          <w:p w14:paraId="43A70406" w14:textId="77777777" w:rsidR="005B0CE6" w:rsidRPr="00AA42BB" w:rsidRDefault="005B0CE6" w:rsidP="00936834">
            <w:pPr>
              <w:keepNext/>
              <w:rPr>
                <w:rFonts w:ascii="Arial Narrow" w:hAnsi="Arial Narrow" w:cs="Arial"/>
                <w:sz w:val="20"/>
                <w:szCs w:val="20"/>
              </w:rPr>
            </w:pPr>
          </w:p>
          <w:p w14:paraId="79524579"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6440375A"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987667" w14:textId="77777777" w:rsidR="005B0CE6" w:rsidRPr="00AA42BB" w:rsidRDefault="005B0CE6" w:rsidP="00936834">
            <w:pPr>
              <w:keepNext/>
              <w:rPr>
                <w:rFonts w:ascii="Arial Narrow" w:hAnsi="Arial Narrow" w:cs="Arial"/>
                <w:sz w:val="20"/>
                <w:szCs w:val="20"/>
              </w:rPr>
            </w:pPr>
          </w:p>
          <w:p w14:paraId="0A0306D1" w14:textId="77777777" w:rsidR="005B0CE6" w:rsidRPr="00AA42BB" w:rsidRDefault="005B0CE6" w:rsidP="00936834">
            <w:pPr>
              <w:keepNext/>
              <w:rPr>
                <w:rFonts w:ascii="Arial Narrow" w:hAnsi="Arial Narrow" w:cs="Arial"/>
                <w:sz w:val="20"/>
                <w:szCs w:val="20"/>
              </w:rPr>
            </w:pPr>
          </w:p>
          <w:p w14:paraId="156EFF0A" w14:textId="17E7D3A1" w:rsidR="005B0CE6" w:rsidRPr="00AA42BB" w:rsidRDefault="005B0CE6" w:rsidP="0063481B">
            <w:pPr>
              <w:keepNext/>
              <w:rPr>
                <w:rFonts w:ascii="Arial Narrow" w:hAnsi="Arial Narrow" w:cs="Arial"/>
                <w:sz w:val="20"/>
                <w:szCs w:val="20"/>
              </w:rPr>
            </w:pPr>
            <w:r w:rsidRPr="00AA42BB">
              <w:rPr>
                <w:rFonts w:ascii="Arial Narrow" w:hAnsi="Arial Narrow" w:cs="Arial"/>
                <w:sz w:val="20"/>
                <w:szCs w:val="20"/>
              </w:rPr>
              <w:t>Jardiance</w:t>
            </w:r>
          </w:p>
        </w:tc>
      </w:tr>
    </w:tbl>
    <w:p w14:paraId="14E6A2CF" w14:textId="77777777" w:rsidR="005B0CE6" w:rsidRPr="00AA42BB" w:rsidRDefault="005B0CE6" w:rsidP="005B0CE6">
      <w:pPr>
        <w:rPr>
          <w:rFonts w:ascii="Arial Narrow" w:hAnsi="Arial Narrow"/>
          <w:sz w:val="20"/>
          <w:szCs w:val="20"/>
        </w:rPr>
      </w:pPr>
    </w:p>
    <w:p w14:paraId="6F009A9D" w14:textId="77777777" w:rsidR="005B0CE6" w:rsidRPr="00AA42BB" w:rsidRDefault="005B0CE6" w:rsidP="005B0CE6">
      <w:pPr>
        <w:rPr>
          <w:rFonts w:ascii="Arial Narrow" w:hAnsi="Arial Narrow"/>
          <w:b/>
          <w:sz w:val="20"/>
          <w:szCs w:val="20"/>
          <w:lang w:val="en-GB"/>
        </w:rPr>
      </w:pPr>
      <w:r w:rsidRPr="00AA42BB">
        <w:rPr>
          <w:rFonts w:ascii="Arial Narrow" w:hAnsi="Arial Narrow"/>
          <w:b/>
          <w:sz w:val="20"/>
          <w:szCs w:val="20"/>
          <w:lang w:val="en-GB"/>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AA42BB" w:rsidRPr="00AA42BB" w14:paraId="65AE6101" w14:textId="77777777" w:rsidTr="0093683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387AD1" w14:textId="77777777" w:rsidR="005B0CE6" w:rsidRPr="00AA42BB" w:rsidRDefault="005B0CE6" w:rsidP="00936834">
            <w:pPr>
              <w:jc w:val="center"/>
              <w:rPr>
                <w:rFonts w:ascii="Arial Narrow" w:hAnsi="Arial Narrow" w:cs="Arial"/>
                <w:b/>
                <w:sz w:val="20"/>
                <w:szCs w:val="20"/>
              </w:rPr>
            </w:pPr>
            <w:r w:rsidRPr="00AA42BB">
              <w:rPr>
                <w:rFonts w:ascii="Arial Narrow" w:hAnsi="Arial Narrow" w:cs="Arial"/>
                <w:b/>
                <w:sz w:val="20"/>
                <w:szCs w:val="20"/>
              </w:rPr>
              <w:t>Concept ID</w:t>
            </w:r>
          </w:p>
          <w:p w14:paraId="62CC481D" w14:textId="77777777" w:rsidR="005B0CE6" w:rsidRPr="00AA42BB" w:rsidRDefault="005B0CE6" w:rsidP="00936834">
            <w:pPr>
              <w:rPr>
                <w:rFonts w:ascii="Arial Narrow" w:hAnsi="Arial Narrow" w:cs="Arial"/>
                <w:i/>
                <w:sz w:val="20"/>
                <w:szCs w:val="20"/>
              </w:rPr>
            </w:pPr>
          </w:p>
          <w:p w14:paraId="00867B84" w14:textId="085BC877" w:rsidR="005B0CE6" w:rsidRPr="00AA42BB" w:rsidRDefault="005B0CE6" w:rsidP="00C40BD6">
            <w:pPr>
              <w:jc w:val="center"/>
              <w:rPr>
                <w:rFonts w:ascii="Arial Narrow" w:hAnsi="Arial Narrow" w:cs="Arial"/>
                <w:b/>
                <w:sz w:val="20"/>
                <w:szCs w:val="20"/>
              </w:rPr>
            </w:pPr>
            <w:r w:rsidRPr="00AA42BB">
              <w:rPr>
                <w:rFonts w:ascii="Arial Narrow" w:hAnsi="Arial Narrow" w:cs="Arial"/>
                <w:sz w:val="20"/>
                <w:szCs w:val="20"/>
              </w:rPr>
              <w:t>(for internal Dept. use)</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3D3272" w14:textId="77777777" w:rsidR="005B0CE6" w:rsidRPr="00AA42BB" w:rsidRDefault="005B0CE6" w:rsidP="00936834">
            <w:pPr>
              <w:rPr>
                <w:rFonts w:ascii="Arial Narrow" w:hAnsi="Arial Narrow" w:cs="Arial"/>
                <w:sz w:val="20"/>
                <w:szCs w:val="20"/>
              </w:rPr>
            </w:pPr>
            <w:r w:rsidRPr="00AA42BB">
              <w:rPr>
                <w:rFonts w:ascii="Arial Narrow" w:hAnsi="Arial Narrow" w:cs="Arial"/>
                <w:b/>
                <w:sz w:val="20"/>
                <w:szCs w:val="20"/>
              </w:rPr>
              <w:t xml:space="preserve">Category / Program:   </w:t>
            </w:r>
          </w:p>
          <w:p w14:paraId="40C521CC" w14:textId="77777777" w:rsidR="005B0CE6" w:rsidRPr="00AA42BB" w:rsidRDefault="005B0CE6" w:rsidP="00936834">
            <w:pPr>
              <w:rPr>
                <w:rFonts w:ascii="Arial Narrow" w:hAnsi="Arial Narrow" w:cs="Arial"/>
                <w:sz w:val="20"/>
                <w:szCs w:val="20"/>
              </w:rPr>
            </w:pPr>
            <w:r w:rsidRPr="00AA42BB">
              <w:rPr>
                <w:rFonts w:ascii="Arial Narrow" w:hAnsi="Arial Narrow" w:cs="Arial"/>
                <w:sz w:val="20"/>
                <w:szCs w:val="20"/>
              </w:rPr>
              <w:t xml:space="preserve">GENERAL – General Schedule (Code GE) </w:t>
            </w:r>
          </w:p>
        </w:tc>
      </w:tr>
      <w:tr w:rsidR="00AA42BB" w:rsidRPr="00AA42BB" w14:paraId="1B42EAEE" w14:textId="77777777" w:rsidTr="009368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C51A8" w14:textId="77777777" w:rsidR="005B0CE6" w:rsidRPr="00AA42BB" w:rsidRDefault="005B0CE6" w:rsidP="00936834">
            <w:pPr>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658241" w14:textId="21318F49" w:rsidR="005B0CE6" w:rsidRPr="00AA42BB" w:rsidRDefault="005B0CE6" w:rsidP="00936834">
            <w:pPr>
              <w:rPr>
                <w:rFonts w:ascii="Arial Narrow" w:hAnsi="Arial Narrow" w:cs="Arial"/>
                <w:b/>
                <w:sz w:val="20"/>
                <w:szCs w:val="20"/>
              </w:rPr>
            </w:pPr>
            <w:r w:rsidRPr="00AA42BB">
              <w:rPr>
                <w:rFonts w:ascii="Arial Narrow" w:hAnsi="Arial Narrow" w:cs="Arial"/>
                <w:b/>
                <w:sz w:val="20"/>
                <w:szCs w:val="20"/>
              </w:rPr>
              <w:t xml:space="preserve">Prescriber type:   </w:t>
            </w:r>
            <w:r w:rsidRPr="00AA42BB">
              <w:rPr>
                <w:rFonts w:ascii="Arial Narrow" w:hAnsi="Arial Narrow" w:cs="Arial"/>
                <w:sz w:val="20"/>
                <w:szCs w:val="20"/>
              </w:rPr>
              <w:fldChar w:fldCharType="begin">
                <w:ffData>
                  <w:name w:val=""/>
                  <w:enabled/>
                  <w:calcOnExit w:val="0"/>
                  <w:checkBox>
                    <w:sizeAuto/>
                    <w:default w:val="1"/>
                  </w:checkBox>
                </w:ffData>
              </w:fldChar>
            </w:r>
            <w:r w:rsidRPr="00AA42BB">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AA42BB">
              <w:rPr>
                <w:rFonts w:ascii="Arial Narrow" w:hAnsi="Arial Narrow" w:cs="Arial"/>
                <w:sz w:val="20"/>
                <w:szCs w:val="20"/>
              </w:rPr>
              <w:fldChar w:fldCharType="end"/>
            </w:r>
            <w:r w:rsidRPr="00AA42BB">
              <w:rPr>
                <w:rFonts w:ascii="Arial Narrow" w:hAnsi="Arial Narrow" w:cs="Arial"/>
                <w:sz w:val="20"/>
                <w:szCs w:val="20"/>
              </w:rPr>
              <w:t xml:space="preserve">Medical Practitioners    </w:t>
            </w:r>
            <w:r w:rsidRPr="00AA42BB">
              <w:rPr>
                <w:rFonts w:ascii="Arial Narrow" w:hAnsi="Arial Narrow" w:cs="Arial"/>
                <w:sz w:val="20"/>
                <w:szCs w:val="20"/>
              </w:rPr>
              <w:fldChar w:fldCharType="begin">
                <w:ffData>
                  <w:name w:val="Check3"/>
                  <w:enabled/>
                  <w:calcOnExit w:val="0"/>
                  <w:checkBox>
                    <w:sizeAuto/>
                    <w:default w:val="1"/>
                  </w:checkBox>
                </w:ffData>
              </w:fldChar>
            </w:r>
            <w:bookmarkStart w:id="4" w:name="Check3"/>
            <w:r w:rsidRPr="00AA42BB">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AA42BB">
              <w:rPr>
                <w:rFonts w:ascii="Arial Narrow" w:hAnsi="Arial Narrow" w:cs="Arial"/>
                <w:sz w:val="20"/>
                <w:szCs w:val="20"/>
              </w:rPr>
              <w:fldChar w:fldCharType="end"/>
            </w:r>
            <w:bookmarkEnd w:id="4"/>
            <w:r w:rsidRPr="00AA42BB">
              <w:rPr>
                <w:rFonts w:ascii="Arial Narrow" w:hAnsi="Arial Narrow" w:cs="Arial"/>
                <w:sz w:val="20"/>
                <w:szCs w:val="20"/>
              </w:rPr>
              <w:t xml:space="preserve">Nurse practitioners     </w:t>
            </w:r>
          </w:p>
        </w:tc>
      </w:tr>
      <w:tr w:rsidR="00AA42BB" w:rsidRPr="00AA42BB" w14:paraId="5A47E3BB" w14:textId="77777777" w:rsidTr="00C40BD6">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B74D7" w14:textId="77777777" w:rsidR="005B0CE6" w:rsidRPr="00AA42BB" w:rsidRDefault="005B0CE6" w:rsidP="00936834">
            <w:pPr>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477E3" w14:textId="370436E8" w:rsidR="005B0CE6" w:rsidRPr="00AA42BB" w:rsidRDefault="005B0CE6" w:rsidP="00C40BD6">
            <w:pPr>
              <w:rPr>
                <w:rFonts w:ascii="Arial Narrow" w:eastAsia="Calibri" w:hAnsi="Arial Narrow" w:cs="Arial"/>
                <w:sz w:val="20"/>
                <w:szCs w:val="20"/>
              </w:rPr>
            </w:pPr>
            <w:r w:rsidRPr="00AA42BB">
              <w:rPr>
                <w:rFonts w:ascii="Arial Narrow" w:hAnsi="Arial Narrow" w:cs="Arial"/>
                <w:b/>
                <w:sz w:val="20"/>
                <w:szCs w:val="20"/>
              </w:rPr>
              <w:t xml:space="preserve">Restriction Type </w:t>
            </w:r>
            <w:r w:rsidRPr="00AA42BB">
              <w:rPr>
                <w:rFonts w:ascii="Arial Narrow" w:eastAsia="Calibri" w:hAnsi="Arial Narrow" w:cs="Arial"/>
                <w:sz w:val="20"/>
                <w:szCs w:val="20"/>
              </w:rPr>
              <w:fldChar w:fldCharType="begin">
                <w:ffData>
                  <w:name w:val=""/>
                  <w:enabled/>
                  <w:calcOnExit w:val="0"/>
                  <w:checkBox>
                    <w:sizeAuto/>
                    <w:default w:val="1"/>
                  </w:checkBox>
                </w:ffData>
              </w:fldChar>
            </w:r>
            <w:r w:rsidRPr="00AA42BB">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A42BB">
              <w:rPr>
                <w:rFonts w:ascii="Arial Narrow" w:eastAsia="Calibri" w:hAnsi="Arial Narrow" w:cs="Arial"/>
                <w:sz w:val="20"/>
                <w:szCs w:val="20"/>
              </w:rPr>
              <w:fldChar w:fldCharType="end"/>
            </w:r>
            <w:r w:rsidRPr="00AA42BB">
              <w:rPr>
                <w:rFonts w:ascii="Arial Narrow" w:eastAsia="Calibri" w:hAnsi="Arial Narrow" w:cs="Arial"/>
                <w:sz w:val="20"/>
                <w:szCs w:val="20"/>
              </w:rPr>
              <w:t xml:space="preserve">Authority Required – Streamlined [new code] </w:t>
            </w:r>
          </w:p>
        </w:tc>
      </w:tr>
      <w:tr w:rsidR="00AA42BB" w:rsidRPr="00AA42BB" w14:paraId="1BFE3281"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E5D48B" w14:textId="77777777" w:rsidR="005B0CE6" w:rsidRPr="00AA42BB" w:rsidRDefault="005B0CE6" w:rsidP="00936834">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7CC1D" w14:textId="77777777" w:rsidR="005B0CE6" w:rsidRPr="00AA42BB" w:rsidRDefault="005B0CE6" w:rsidP="00936834">
            <w:pPr>
              <w:rPr>
                <w:rFonts w:ascii="Arial Narrow" w:hAnsi="Arial Narrow"/>
                <w:b/>
                <w:bCs/>
                <w:sz w:val="20"/>
                <w:szCs w:val="20"/>
              </w:rPr>
            </w:pPr>
            <w:r w:rsidRPr="00AA42BB">
              <w:rPr>
                <w:rFonts w:ascii="Arial Narrow" w:hAnsi="Arial Narrow"/>
                <w:b/>
                <w:bCs/>
                <w:sz w:val="20"/>
                <w:szCs w:val="20"/>
              </w:rPr>
              <w:t xml:space="preserve">Condition: </w:t>
            </w:r>
            <w:r w:rsidRPr="00AA42BB">
              <w:rPr>
                <w:rFonts w:ascii="Arial Narrow" w:hAnsi="Arial Narrow"/>
                <w:sz w:val="20"/>
                <w:szCs w:val="20"/>
              </w:rPr>
              <w:t>Diabetes mellitus type 2</w:t>
            </w:r>
          </w:p>
        </w:tc>
      </w:tr>
      <w:tr w:rsidR="00AA42BB" w:rsidRPr="00AA42BB" w14:paraId="5D9B380C"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E43AA9"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8995</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AB16EC" w14:textId="77777777" w:rsidR="005B0CE6" w:rsidRPr="00AA42BB" w:rsidRDefault="005B0CE6" w:rsidP="00936834">
            <w:pPr>
              <w:rPr>
                <w:rFonts w:ascii="Arial Narrow" w:hAnsi="Arial Narrow"/>
                <w:sz w:val="20"/>
                <w:szCs w:val="20"/>
              </w:rPr>
            </w:pPr>
            <w:r w:rsidRPr="00AA42BB">
              <w:rPr>
                <w:rFonts w:ascii="Arial Narrow" w:hAnsi="Arial Narrow"/>
                <w:b/>
                <w:bCs/>
                <w:sz w:val="20"/>
                <w:szCs w:val="20"/>
              </w:rPr>
              <w:t>Indication:</w:t>
            </w:r>
            <w:r w:rsidRPr="00AA42BB">
              <w:rPr>
                <w:rFonts w:ascii="Arial Narrow" w:hAnsi="Arial Narrow"/>
                <w:sz w:val="20"/>
                <w:szCs w:val="20"/>
              </w:rPr>
              <w:t xml:space="preserve"> Diabetes mellitus type 2</w:t>
            </w:r>
          </w:p>
        </w:tc>
      </w:tr>
      <w:tr w:rsidR="00AA42BB" w:rsidRPr="00AA42BB" w14:paraId="1530B4FA"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92224"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New CC1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F684B" w14:textId="77777777" w:rsidR="005B0CE6" w:rsidRPr="00AA42BB" w:rsidRDefault="005B0CE6" w:rsidP="00936834">
            <w:pPr>
              <w:rPr>
                <w:rFonts w:ascii="Arial Narrow" w:hAnsi="Arial Narrow"/>
                <w:sz w:val="20"/>
                <w:szCs w:val="20"/>
              </w:rPr>
            </w:pPr>
            <w:r w:rsidRPr="00AA42BB">
              <w:rPr>
                <w:rFonts w:ascii="Arial Narrow" w:hAnsi="Arial Narrow"/>
                <w:b/>
                <w:bCs/>
                <w:sz w:val="20"/>
                <w:szCs w:val="20"/>
              </w:rPr>
              <w:t>Clinical criteria:</w:t>
            </w:r>
          </w:p>
        </w:tc>
      </w:tr>
      <w:tr w:rsidR="00AA42BB" w:rsidRPr="00AA42BB" w14:paraId="1804B51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9BA959" w14:textId="3199A39E" w:rsidR="005B0CE6" w:rsidRPr="00AA42BB" w:rsidRDefault="00FF5881" w:rsidP="00936834">
            <w:pPr>
              <w:jc w:val="center"/>
              <w:rPr>
                <w:rFonts w:ascii="Arial Narrow" w:hAnsi="Arial Narrow"/>
                <w:sz w:val="20"/>
                <w:szCs w:val="20"/>
              </w:rPr>
            </w:pPr>
            <w:r>
              <w:rPr>
                <w:rFonts w:ascii="Arial Narrow" w:hAnsi="Arial Narrow"/>
                <w:sz w:val="20"/>
                <w:szCs w:val="20"/>
              </w:rPr>
              <w:t>New CC1.1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BC7C98" w14:textId="77777777" w:rsidR="005B0CE6" w:rsidRPr="00AA42BB" w:rsidRDefault="005B0CE6" w:rsidP="00936834">
            <w:pPr>
              <w:rPr>
                <w:rFonts w:ascii="Arial Narrow" w:hAnsi="Arial Narrow"/>
                <w:sz w:val="20"/>
                <w:szCs w:val="20"/>
              </w:rPr>
            </w:pPr>
            <w:r w:rsidRPr="00AA42BB">
              <w:rPr>
                <w:rFonts w:ascii="Arial Narrow" w:hAnsi="Arial Narrow"/>
                <w:sz w:val="20"/>
                <w:szCs w:val="20"/>
              </w:rPr>
              <w:t xml:space="preserve">The treatment must be in combination with metformin; </w:t>
            </w:r>
            <w:r w:rsidRPr="00AA42BB">
              <w:rPr>
                <w:rFonts w:ascii="Arial Narrow" w:hAnsi="Arial Narrow" w:cstheme="minorHAnsi"/>
                <w:sz w:val="20"/>
                <w:szCs w:val="20"/>
              </w:rPr>
              <w:t>unless contraindicated/intolerant.</w:t>
            </w:r>
          </w:p>
        </w:tc>
      </w:tr>
      <w:tr w:rsidR="00AA42BB" w:rsidRPr="00AA42BB" w14:paraId="2DBADA97"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37C49" w14:textId="77777777" w:rsidR="005B0CE6" w:rsidRPr="00AA42BB" w:rsidRDefault="005B0CE6" w:rsidP="00936834">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E3C2F4" w14:textId="77777777" w:rsidR="005B0CE6" w:rsidRPr="00AA42BB" w:rsidRDefault="005B0CE6" w:rsidP="00936834">
            <w:pPr>
              <w:rPr>
                <w:rFonts w:ascii="Arial Narrow" w:hAnsi="Arial Narrow"/>
                <w:sz w:val="20"/>
                <w:szCs w:val="20"/>
              </w:rPr>
            </w:pPr>
            <w:r w:rsidRPr="00AA42BB">
              <w:rPr>
                <w:rFonts w:ascii="Arial Narrow" w:hAnsi="Arial Narrow"/>
                <w:b/>
                <w:bCs/>
                <w:sz w:val="20"/>
                <w:szCs w:val="20"/>
              </w:rPr>
              <w:t>AND</w:t>
            </w:r>
          </w:p>
        </w:tc>
      </w:tr>
      <w:tr w:rsidR="00AA42BB" w:rsidRPr="00AA42BB" w14:paraId="1F5B6F51"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0A56C"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New CC2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B726E2" w14:textId="77777777" w:rsidR="005B0CE6" w:rsidRPr="00AA42BB" w:rsidRDefault="005B0CE6" w:rsidP="00936834">
            <w:pPr>
              <w:rPr>
                <w:rFonts w:ascii="Arial Narrow" w:hAnsi="Arial Narrow"/>
                <w:sz w:val="20"/>
                <w:szCs w:val="20"/>
              </w:rPr>
            </w:pPr>
            <w:r w:rsidRPr="00AA42BB">
              <w:rPr>
                <w:rFonts w:ascii="Arial Narrow" w:hAnsi="Arial Narrow"/>
                <w:b/>
                <w:bCs/>
                <w:sz w:val="20"/>
                <w:szCs w:val="20"/>
              </w:rPr>
              <w:t>Clinical criteria:</w:t>
            </w:r>
          </w:p>
        </w:tc>
      </w:tr>
      <w:tr w:rsidR="00AA42BB" w:rsidRPr="00AA42BB" w14:paraId="41378412"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CA2748"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CC2.1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51B91F" w14:textId="0B04C6AB" w:rsidR="005B0CE6" w:rsidRPr="00AA42BB" w:rsidRDefault="005B0CE6" w:rsidP="00936834">
            <w:pPr>
              <w:autoSpaceDE w:val="0"/>
              <w:autoSpaceDN w:val="0"/>
              <w:adjustRightInd w:val="0"/>
              <w:rPr>
                <w:rFonts w:ascii="Arial Narrow" w:hAnsi="Arial Narrow"/>
                <w:sz w:val="20"/>
                <w:szCs w:val="20"/>
              </w:rPr>
            </w:pPr>
            <w:r w:rsidRPr="00AA42BB">
              <w:rPr>
                <w:rFonts w:ascii="Arial Narrow" w:hAnsi="Arial Narrow"/>
                <w:sz w:val="20"/>
                <w:szCs w:val="20"/>
              </w:rPr>
              <w:t>Patient must have cardiovascular disease;</w:t>
            </w:r>
            <w:r w:rsidR="006354A8">
              <w:rPr>
                <w:rFonts w:ascii="Arial Narrow" w:hAnsi="Arial Narrow"/>
                <w:sz w:val="20"/>
                <w:szCs w:val="20"/>
              </w:rPr>
              <w:t xml:space="preserve"> or</w:t>
            </w:r>
          </w:p>
        </w:tc>
      </w:tr>
      <w:tr w:rsidR="00AA42BB" w:rsidRPr="00AA42BB" w14:paraId="556C05AB"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C98A79"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CC2.2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D221EA" w14:textId="3391793E" w:rsidR="005B0CE6" w:rsidRPr="00AA42BB" w:rsidRDefault="005B0CE6" w:rsidP="00936834">
            <w:pPr>
              <w:autoSpaceDE w:val="0"/>
              <w:autoSpaceDN w:val="0"/>
              <w:adjustRightInd w:val="0"/>
              <w:rPr>
                <w:rFonts w:ascii="Arial Narrow" w:hAnsi="Arial Narrow"/>
                <w:sz w:val="20"/>
                <w:szCs w:val="20"/>
              </w:rPr>
            </w:pPr>
            <w:r w:rsidRPr="00AA42BB">
              <w:rPr>
                <w:rFonts w:ascii="Arial Narrow" w:hAnsi="Arial Narrow"/>
                <w:sz w:val="20"/>
                <w:szCs w:val="20"/>
              </w:rPr>
              <w:t>Patient must be at high risk of a cardiovascular event;</w:t>
            </w:r>
            <w:r w:rsidR="006354A8">
              <w:rPr>
                <w:rFonts w:ascii="Arial Narrow" w:hAnsi="Arial Narrow"/>
                <w:sz w:val="20"/>
                <w:szCs w:val="20"/>
              </w:rPr>
              <w:t xml:space="preserve"> or</w:t>
            </w:r>
          </w:p>
        </w:tc>
      </w:tr>
      <w:tr w:rsidR="00AA42BB" w:rsidRPr="00AA42BB" w14:paraId="69BCB9E9"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63BAB8"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CC2.3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EF9A9" w14:textId="77777777" w:rsidR="005B0CE6" w:rsidRPr="00AA42BB" w:rsidRDefault="005B0CE6" w:rsidP="00936834">
            <w:pPr>
              <w:rPr>
                <w:rFonts w:ascii="Arial Narrow" w:hAnsi="Arial Narrow"/>
                <w:sz w:val="20"/>
                <w:szCs w:val="20"/>
              </w:rPr>
            </w:pPr>
            <w:r w:rsidRPr="00AA42BB">
              <w:rPr>
                <w:rFonts w:ascii="Arial Narrow" w:hAnsi="Arial Narrow"/>
                <w:sz w:val="20"/>
                <w:szCs w:val="20"/>
              </w:rPr>
              <w:t>Patient must identify as Aboriginal or Torres Strait Islander.</w:t>
            </w:r>
          </w:p>
        </w:tc>
      </w:tr>
      <w:tr w:rsidR="00AA42BB" w:rsidRPr="00AA42BB" w14:paraId="00857DB7"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F10E91" w14:textId="77777777" w:rsidR="005B0CE6" w:rsidRPr="00AA42BB" w:rsidRDefault="005B0CE6" w:rsidP="00936834">
            <w:pPr>
              <w:jc w:val="center"/>
              <w:rPr>
                <w:rFonts w:ascii="Arial Narrow" w:hAnsi="Arial Narrow"/>
                <w:sz w:val="20"/>
                <w:szCs w:val="20"/>
              </w:rPr>
            </w:pPr>
            <w:r w:rsidRPr="00AA42BB">
              <w:rPr>
                <w:rFonts w:ascii="Arial Narrow" w:hAnsi="Arial Narrow" w:cs="Open Sans"/>
                <w:sz w:val="20"/>
                <w:szCs w:val="20"/>
                <w:lang w:eastAsia="en-US"/>
              </w:rPr>
              <w:t>New TC1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C8843A" w14:textId="77777777" w:rsidR="005B0CE6" w:rsidRPr="00AA42BB" w:rsidRDefault="005B0CE6" w:rsidP="00936834">
            <w:pPr>
              <w:rPr>
                <w:rFonts w:ascii="Arial Narrow" w:hAnsi="Arial Narrow"/>
                <w:sz w:val="20"/>
                <w:szCs w:val="20"/>
              </w:rPr>
            </w:pPr>
            <w:r w:rsidRPr="00AA42BB">
              <w:rPr>
                <w:rFonts w:ascii="Arial Narrow" w:hAnsi="Arial Narrow" w:cs="Open Sans"/>
                <w:b/>
                <w:bCs/>
                <w:sz w:val="20"/>
                <w:szCs w:val="20"/>
                <w:lang w:eastAsia="en-US"/>
              </w:rPr>
              <w:t>Treatment criteria:</w:t>
            </w:r>
          </w:p>
        </w:tc>
      </w:tr>
      <w:tr w:rsidR="00AA42BB" w:rsidRPr="00AA42BB" w14:paraId="7534C668"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348463" w14:textId="77777777" w:rsidR="005B0CE6" w:rsidRPr="00AA42BB" w:rsidRDefault="005B0CE6" w:rsidP="00936834">
            <w:pPr>
              <w:jc w:val="center"/>
              <w:rPr>
                <w:rFonts w:ascii="Arial Narrow" w:hAnsi="Arial Narrow"/>
                <w:sz w:val="20"/>
                <w:szCs w:val="20"/>
              </w:rPr>
            </w:pPr>
            <w:r w:rsidRPr="00AA42BB">
              <w:rPr>
                <w:rFonts w:ascii="Arial Narrow" w:hAnsi="Arial Narrow" w:cs="Open Sans"/>
                <w:sz w:val="20"/>
                <w:szCs w:val="20"/>
                <w:lang w:eastAsia="en-US"/>
              </w:rPr>
              <w:t>TC1.1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C79891" w14:textId="7D7C7202" w:rsidR="005B0CE6" w:rsidRPr="00AA42BB" w:rsidRDefault="005B0CE6" w:rsidP="00936834">
            <w:pPr>
              <w:rPr>
                <w:rFonts w:ascii="Arial Narrow" w:hAnsi="Arial Narrow"/>
                <w:sz w:val="20"/>
                <w:szCs w:val="20"/>
              </w:rPr>
            </w:pPr>
            <w:r w:rsidRPr="00AA42BB">
              <w:rPr>
                <w:rFonts w:ascii="Arial Narrow" w:hAnsi="Arial Narrow" w:cs="Open Sans"/>
                <w:sz w:val="20"/>
                <w:szCs w:val="20"/>
                <w:lang w:eastAsia="en-US"/>
              </w:rPr>
              <w:t xml:space="preserve">The patient must not be undergoing concomitant PBS-subsidised treatment </w:t>
            </w:r>
            <w:r w:rsidRPr="00AA42BB">
              <w:rPr>
                <w:rFonts w:ascii="Arial Narrow" w:hAnsi="Arial Narrow" w:cs="Open Sans"/>
                <w:sz w:val="20"/>
                <w:szCs w:val="20"/>
                <w:u w:val="single"/>
                <w:lang w:eastAsia="en-US"/>
              </w:rPr>
              <w:t>for this condition</w:t>
            </w:r>
            <w:r w:rsidRPr="00AA42BB">
              <w:rPr>
                <w:rFonts w:ascii="Arial Narrow" w:hAnsi="Arial Narrow" w:cs="Open Sans"/>
                <w:sz w:val="20"/>
                <w:szCs w:val="20"/>
                <w:lang w:eastAsia="en-US"/>
              </w:rPr>
              <w:t xml:space="preserve"> with any of: </w:t>
            </w:r>
            <w:r w:rsidR="00834CC6">
              <w:rPr>
                <w:rFonts w:ascii="Arial Narrow" w:hAnsi="Arial Narrow" w:cs="Open Sans"/>
                <w:sz w:val="20"/>
                <w:szCs w:val="20"/>
                <w:lang w:eastAsia="en-US"/>
              </w:rPr>
              <w:t>(i)</w:t>
            </w:r>
            <w:r w:rsidRPr="00AA42BB">
              <w:rPr>
                <w:rFonts w:ascii="Arial Narrow" w:hAnsi="Arial Narrow" w:cs="Open Sans"/>
                <w:sz w:val="20"/>
                <w:szCs w:val="20"/>
                <w:lang w:eastAsia="en-US"/>
              </w:rPr>
              <w:t xml:space="preserve">a GLP-1 receptor agonist, </w:t>
            </w:r>
            <w:r w:rsidR="00834CC6">
              <w:rPr>
                <w:rFonts w:ascii="Arial Narrow" w:hAnsi="Arial Narrow" w:cs="Open Sans"/>
                <w:sz w:val="20"/>
                <w:szCs w:val="20"/>
                <w:lang w:eastAsia="en-US"/>
              </w:rPr>
              <w:t xml:space="preserve">(ii) </w:t>
            </w:r>
            <w:r w:rsidRPr="00AA42BB">
              <w:rPr>
                <w:rFonts w:ascii="Arial Narrow" w:hAnsi="Arial Narrow" w:cs="Open Sans"/>
                <w:sz w:val="20"/>
                <w:szCs w:val="20"/>
                <w:lang w:eastAsia="en-US"/>
              </w:rPr>
              <w:t>another SGLT2 inhibitor.</w:t>
            </w:r>
          </w:p>
        </w:tc>
      </w:tr>
      <w:tr w:rsidR="005B0CE6" w:rsidRPr="00CD0476" w14:paraId="6A5A8C11"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D875C" w14:textId="76D3A80E" w:rsidR="005B0CE6" w:rsidRPr="00AA42BB" w:rsidRDefault="005B0CE6" w:rsidP="00936834">
            <w:pPr>
              <w:jc w:val="center"/>
              <w:rPr>
                <w:rFonts w:ascii="Arial Narrow" w:hAnsi="Arial Narrow"/>
                <w:sz w:val="20"/>
                <w:szCs w:val="20"/>
              </w:rPr>
            </w:pPr>
            <w:r w:rsidRPr="00AA42BB">
              <w:rPr>
                <w:rFonts w:ascii="Arial Narrow" w:hAnsi="Arial Narrow"/>
                <w:sz w:val="20"/>
                <w:szCs w:val="20"/>
              </w:rPr>
              <w:t>New AA</w:t>
            </w:r>
            <w:r w:rsidR="00FF5881">
              <w:rPr>
                <w:rFonts w:ascii="Arial Narrow" w:hAnsi="Arial Narrow"/>
                <w:sz w:val="20"/>
                <w:szCs w:val="20"/>
              </w:rPr>
              <w:t>1</w:t>
            </w:r>
          </w:p>
          <w:p w14:paraId="3DBEBB26" w14:textId="77777777" w:rsidR="005B0CE6" w:rsidRPr="00963B51" w:rsidRDefault="005B0CE6" w:rsidP="00936834">
            <w:pPr>
              <w:jc w:val="center"/>
              <w:rPr>
                <w:rFonts w:ascii="Arial Narrow" w:hAnsi="Arial Narrow" w:cs="Open Sans"/>
                <w:i/>
                <w:iCs/>
                <w:sz w:val="20"/>
                <w:szCs w:val="20"/>
                <w:lang w:eastAsia="en-US"/>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560C8" w14:textId="2F2F1393" w:rsidR="00FF5881" w:rsidRDefault="00FF5881" w:rsidP="00936834">
            <w:pPr>
              <w:keepNext/>
              <w:keepLines/>
              <w:rPr>
                <w:rFonts w:ascii="Arial Narrow" w:eastAsia="Calibri" w:hAnsi="Arial Narrow" w:cs="Calibri"/>
                <w:sz w:val="20"/>
                <w:szCs w:val="20"/>
              </w:rPr>
            </w:pPr>
            <w:r w:rsidRPr="00AA42BB">
              <w:rPr>
                <w:rFonts w:ascii="Arial Narrow" w:hAnsi="Arial Narrow" w:cs="Open Sans"/>
                <w:b/>
                <w:bCs/>
                <w:sz w:val="20"/>
                <w:szCs w:val="20"/>
                <w:lang w:eastAsia="en-US"/>
              </w:rPr>
              <w:t>Administrative Advice</w:t>
            </w:r>
          </w:p>
          <w:p w14:paraId="591E7BD7" w14:textId="0871BBFC" w:rsidR="005B0CE6" w:rsidRPr="00CD0476" w:rsidRDefault="005B0CE6" w:rsidP="00936834">
            <w:pPr>
              <w:keepNext/>
              <w:keepLines/>
              <w:rPr>
                <w:rFonts w:ascii="Arial Narrow" w:eastAsiaTheme="minorHAnsi" w:hAnsi="Arial Narrow" w:cstheme="minorBidi"/>
                <w:sz w:val="20"/>
                <w:szCs w:val="20"/>
              </w:rPr>
            </w:pPr>
            <w:r w:rsidRPr="00CD0476">
              <w:rPr>
                <w:rFonts w:ascii="Arial Narrow" w:eastAsia="Calibri" w:hAnsi="Arial Narrow" w:cs="Calibri"/>
                <w:sz w:val="20"/>
                <w:szCs w:val="20"/>
              </w:rPr>
              <w:t xml:space="preserve">The Australian Absolute Cardiovascular Disease Risk Calculator is available at </w:t>
            </w:r>
            <w:hyperlink r:id="rId8" w:history="1">
              <w:r w:rsidRPr="00CD0476">
                <w:rPr>
                  <w:rStyle w:val="Hyperlink"/>
                  <w:rFonts w:eastAsia="Calibri" w:cs="Calibri"/>
                  <w:sz w:val="20"/>
                  <w:szCs w:val="20"/>
                </w:rPr>
                <w:t>www.cvdcheck.org.au</w:t>
              </w:r>
            </w:hyperlink>
            <w:r w:rsidRPr="00CD0476">
              <w:rPr>
                <w:rFonts w:ascii="Arial Narrow" w:hAnsi="Arial Narrow" w:cstheme="minorBidi"/>
                <w:sz w:val="20"/>
                <w:szCs w:val="20"/>
              </w:rPr>
              <w:t>.</w:t>
            </w:r>
          </w:p>
          <w:p w14:paraId="6DD047AC" w14:textId="4512A8D7" w:rsidR="005B0CE6" w:rsidRPr="00C01DEA" w:rsidRDefault="00C01DEA" w:rsidP="00936834">
            <w:pPr>
              <w:contextualSpacing/>
              <w:rPr>
                <w:rFonts w:ascii="Arial Narrow" w:eastAsia="Calibri" w:hAnsi="Arial Narrow" w:cstheme="minorHAnsi"/>
                <w:sz w:val="20"/>
                <w:szCs w:val="20"/>
              </w:rPr>
            </w:pPr>
            <w:r w:rsidRPr="00C01DEA">
              <w:rPr>
                <w:rFonts w:ascii="Arial Narrow" w:hAnsi="Arial Narrow" w:cstheme="minorHAnsi"/>
                <w:sz w:val="20"/>
                <w:szCs w:val="20"/>
              </w:rPr>
              <w:t>High cardiovascular risk is defined as an estimated risk of a cardiovascular event of ≥10% over 5 years</w:t>
            </w:r>
            <w:r>
              <w:rPr>
                <w:rFonts w:ascii="Arial Narrow" w:hAnsi="Arial Narrow" w:cstheme="minorHAnsi"/>
                <w:sz w:val="20"/>
                <w:szCs w:val="20"/>
              </w:rPr>
              <w:t>.</w:t>
            </w:r>
          </w:p>
        </w:tc>
      </w:tr>
      <w:tr w:rsidR="00AA42BB" w:rsidRPr="00AA42BB" w14:paraId="7DAC35EF"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BC53D9" w14:textId="77777777" w:rsidR="005B0CE6" w:rsidRPr="00AA42BB" w:rsidRDefault="005B0CE6" w:rsidP="00936834">
            <w:pPr>
              <w:jc w:val="center"/>
              <w:rPr>
                <w:rFonts w:ascii="Arial Narrow" w:hAnsi="Arial Narrow"/>
                <w:sz w:val="20"/>
                <w:szCs w:val="20"/>
              </w:rPr>
            </w:pPr>
            <w:r w:rsidRPr="00AA42BB">
              <w:rPr>
                <w:rFonts w:ascii="Arial Narrow" w:hAnsi="Arial Narrow"/>
                <w:bCs/>
                <w:sz w:val="20"/>
              </w:rPr>
              <w:t>7703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E98659" w14:textId="77777777" w:rsidR="005B0CE6" w:rsidRPr="00AA42BB" w:rsidRDefault="005B0CE6" w:rsidP="00936834">
            <w:pPr>
              <w:keepNext/>
              <w:keepLines/>
              <w:textAlignment w:val="baseline"/>
              <w:rPr>
                <w:rFonts w:ascii="Arial Narrow" w:hAnsi="Arial Narrow"/>
                <w:b/>
                <w:bCs/>
                <w:sz w:val="20"/>
              </w:rPr>
            </w:pPr>
            <w:r w:rsidRPr="00AA42BB">
              <w:rPr>
                <w:rFonts w:ascii="Arial Narrow" w:hAnsi="Arial Narrow"/>
                <w:b/>
                <w:bCs/>
                <w:sz w:val="20"/>
              </w:rPr>
              <w:t>Continuing Therapy Only:</w:t>
            </w:r>
          </w:p>
          <w:p w14:paraId="5ED3C7FE" w14:textId="77777777" w:rsidR="005B0CE6" w:rsidRPr="00AA42BB" w:rsidRDefault="005B0CE6" w:rsidP="00936834">
            <w:pPr>
              <w:keepNext/>
              <w:keepLines/>
              <w:rPr>
                <w:rFonts w:ascii="Arial Narrow" w:eastAsia="Calibri" w:hAnsi="Arial Narrow" w:cs="Calibri"/>
                <w:sz w:val="20"/>
                <w:szCs w:val="20"/>
              </w:rPr>
            </w:pPr>
            <w:r w:rsidRPr="00AA42BB">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AA42BB" w:rsidRPr="00AA42BB" w14:paraId="6161E125"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9E09C9" w14:textId="7D2B782C" w:rsidR="005B0CE6" w:rsidRPr="00AA42BB" w:rsidRDefault="00B01FCA" w:rsidP="00936834">
            <w:pPr>
              <w:jc w:val="center"/>
              <w:rPr>
                <w:rFonts w:ascii="Arial Narrow" w:hAnsi="Arial Narrow"/>
                <w:bCs/>
                <w:sz w:val="20"/>
              </w:rPr>
            </w:pPr>
            <w:r>
              <w:rPr>
                <w:rFonts w:ascii="Arial Narrow" w:hAnsi="Arial Narrow"/>
                <w:bCs/>
                <w:sz w:val="20"/>
              </w:rPr>
              <w:t>New AA2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CBFEB7" w14:textId="730F8448" w:rsidR="00BC1DE7" w:rsidRDefault="00BC1DE7" w:rsidP="00936834">
            <w:pPr>
              <w:textAlignment w:val="baseline"/>
              <w:rPr>
                <w:rFonts w:ascii="Arial Narrow" w:hAnsi="Arial Narrow"/>
                <w:sz w:val="20"/>
              </w:rPr>
            </w:pPr>
            <w:r w:rsidRPr="00AA42BB">
              <w:rPr>
                <w:rFonts w:ascii="Arial Narrow" w:hAnsi="Arial Narrow"/>
                <w:b/>
                <w:bCs/>
                <w:sz w:val="20"/>
                <w:szCs w:val="20"/>
              </w:rPr>
              <w:t>Administrative Advice</w:t>
            </w:r>
          </w:p>
          <w:p w14:paraId="13EA3685" w14:textId="53F186C4" w:rsidR="005B0CE6" w:rsidRPr="00AA42BB" w:rsidRDefault="005B0CE6" w:rsidP="00936834">
            <w:pPr>
              <w:textAlignment w:val="baseline"/>
              <w:rPr>
                <w:rFonts w:ascii="Arial Narrow" w:hAnsi="Arial Narrow"/>
                <w:sz w:val="20"/>
              </w:rPr>
            </w:pPr>
            <w:r w:rsidRPr="00AA42BB">
              <w:rPr>
                <w:rFonts w:ascii="Arial Narrow" w:hAnsi="Arial Narrow"/>
                <w:sz w:val="20"/>
              </w:rPr>
              <w:t>Abbreviations used in the restriction are as follows:</w:t>
            </w:r>
          </w:p>
          <w:p w14:paraId="1B3A3F45" w14:textId="4A61A95D" w:rsidR="005B0CE6" w:rsidRPr="00AA42BB" w:rsidRDefault="005B0CE6" w:rsidP="00936834">
            <w:pPr>
              <w:textAlignment w:val="baseline"/>
              <w:rPr>
                <w:rFonts w:ascii="Arial Narrow" w:hAnsi="Arial Narrow"/>
                <w:sz w:val="20"/>
              </w:rPr>
            </w:pPr>
            <w:r w:rsidRPr="00AA42BB">
              <w:rPr>
                <w:rFonts w:ascii="Arial Narrow" w:hAnsi="Arial Narrow"/>
                <w:sz w:val="20"/>
              </w:rPr>
              <w:t xml:space="preserve">SGLT2 – sodium glucose </w:t>
            </w:r>
            <w:r w:rsidR="00F4509A">
              <w:rPr>
                <w:rFonts w:ascii="Arial Narrow" w:hAnsi="Arial Narrow"/>
                <w:sz w:val="20"/>
              </w:rPr>
              <w:t>co</w:t>
            </w:r>
            <w:r w:rsidRPr="00AA42BB">
              <w:rPr>
                <w:rFonts w:ascii="Arial Narrow" w:hAnsi="Arial Narrow"/>
                <w:sz w:val="20"/>
              </w:rPr>
              <w:t>transporter 2 inhibitor (drug names ending in ‘</w:t>
            </w:r>
            <w:proofErr w:type="spellStart"/>
            <w:r w:rsidRPr="00AA42BB">
              <w:rPr>
                <w:rFonts w:ascii="Arial Narrow" w:hAnsi="Arial Narrow"/>
                <w:sz w:val="20"/>
              </w:rPr>
              <w:t>flozin</w:t>
            </w:r>
            <w:proofErr w:type="spellEnd"/>
            <w:r w:rsidRPr="00AA42BB">
              <w:rPr>
                <w:rFonts w:ascii="Arial Narrow" w:hAnsi="Arial Narrow"/>
                <w:sz w:val="20"/>
              </w:rPr>
              <w:t>’)</w:t>
            </w:r>
          </w:p>
          <w:p w14:paraId="249A0153" w14:textId="77777777" w:rsidR="005B0CE6" w:rsidRPr="00AA42BB" w:rsidRDefault="005B0CE6" w:rsidP="00936834">
            <w:pPr>
              <w:textAlignment w:val="baseline"/>
              <w:rPr>
                <w:rFonts w:ascii="Arial Narrow" w:hAnsi="Arial Narrow"/>
                <w:sz w:val="20"/>
              </w:rPr>
            </w:pPr>
            <w:r w:rsidRPr="00AA42BB">
              <w:rPr>
                <w:rFonts w:ascii="Arial Narrow" w:hAnsi="Arial Narrow"/>
                <w:sz w:val="20"/>
              </w:rPr>
              <w:t>DPP4 - dipeptidyl peptidase-4 inhibitor (drug names ending in 'gliptin')</w:t>
            </w:r>
          </w:p>
          <w:p w14:paraId="43319D07" w14:textId="77777777" w:rsidR="005B0CE6" w:rsidRPr="00AA42BB" w:rsidRDefault="005B0CE6" w:rsidP="00936834">
            <w:pPr>
              <w:keepNext/>
              <w:keepLines/>
              <w:textAlignment w:val="baseline"/>
              <w:rPr>
                <w:rFonts w:ascii="Arial Narrow" w:hAnsi="Arial Narrow"/>
                <w:b/>
                <w:bCs/>
                <w:sz w:val="20"/>
              </w:rPr>
            </w:pPr>
            <w:r w:rsidRPr="00AA42BB">
              <w:rPr>
                <w:rFonts w:ascii="Arial Narrow" w:hAnsi="Arial Narrow"/>
                <w:sz w:val="20"/>
              </w:rPr>
              <w:t>GLP-1 – glucagon-like peptide-1 receptor agonist</w:t>
            </w:r>
          </w:p>
        </w:tc>
      </w:tr>
    </w:tbl>
    <w:p w14:paraId="71E497E9" w14:textId="77777777" w:rsidR="001B057A" w:rsidRDefault="001B057A" w:rsidP="001B057A">
      <w:pPr>
        <w:pStyle w:val="3Bodytext"/>
        <w:numPr>
          <w:ilvl w:val="0"/>
          <w:numId w:val="0"/>
        </w:numPr>
        <w:ind w:left="720" w:hanging="720"/>
      </w:pPr>
    </w:p>
    <w:p w14:paraId="45504398" w14:textId="663DF4C8" w:rsidR="005B0CE6" w:rsidRPr="00AA42BB" w:rsidRDefault="005B0CE6" w:rsidP="005B0CE6">
      <w:pPr>
        <w:pStyle w:val="4-SubsectionHeading"/>
      </w:pPr>
      <w:r w:rsidRPr="00AA42BB">
        <w:lastRenderedPageBreak/>
        <w:t>SGLT2 inhibitor combinations with metformin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AA42BB" w:rsidRPr="00AA42BB" w14:paraId="4DEF17A0" w14:textId="77777777" w:rsidTr="00936834">
        <w:trPr>
          <w:cantSplit/>
          <w:trHeight w:val="471"/>
          <w:jc w:val="center"/>
        </w:trPr>
        <w:tc>
          <w:tcPr>
            <w:tcW w:w="3964" w:type="dxa"/>
            <w:tcBorders>
              <w:top w:val="single" w:sz="4" w:space="0" w:color="auto"/>
              <w:left w:val="single" w:sz="4" w:space="0" w:color="auto"/>
              <w:bottom w:val="single" w:sz="4" w:space="0" w:color="auto"/>
              <w:right w:val="single" w:sz="4" w:space="0" w:color="auto"/>
            </w:tcBorders>
            <w:hideMark/>
          </w:tcPr>
          <w:p w14:paraId="333DF1FE" w14:textId="77777777" w:rsidR="005B0CE6" w:rsidRPr="00AA42BB" w:rsidRDefault="005B0CE6" w:rsidP="00936834">
            <w:pPr>
              <w:keepNext/>
              <w:keepLines/>
              <w:ind w:left="-108"/>
              <w:rPr>
                <w:rFonts w:ascii="Arial Narrow" w:hAnsi="Arial Narrow" w:cs="Arial"/>
                <w:b/>
                <w:sz w:val="20"/>
                <w:szCs w:val="20"/>
              </w:rPr>
            </w:pPr>
            <w:r w:rsidRPr="00AA42BB">
              <w:rPr>
                <w:rFonts w:ascii="Arial Narrow" w:hAnsi="Arial Narrow" w:cs="Arial"/>
                <w:b/>
                <w:sz w:val="20"/>
                <w:szCs w:val="20"/>
              </w:rPr>
              <w:t>Name, Restriction,</w:t>
            </w:r>
          </w:p>
          <w:p w14:paraId="6A796A99" w14:textId="77777777" w:rsidR="005B0CE6" w:rsidRPr="00AA42BB" w:rsidRDefault="005B0CE6" w:rsidP="00936834">
            <w:pPr>
              <w:keepNext/>
              <w:keepLines/>
              <w:ind w:left="-108"/>
              <w:rPr>
                <w:rFonts w:ascii="Arial Narrow" w:hAnsi="Arial Narrow" w:cs="Arial"/>
                <w:b/>
                <w:sz w:val="20"/>
                <w:szCs w:val="20"/>
              </w:rPr>
            </w:pPr>
            <w:r w:rsidRPr="00AA42BB">
              <w:rPr>
                <w:rFonts w:ascii="Arial Narrow" w:hAnsi="Arial Narrow" w:cs="Arial"/>
                <w:b/>
                <w:sz w:val="20"/>
                <w:szCs w:val="20"/>
              </w:rPr>
              <w:t>Manner of administration and form</w:t>
            </w:r>
          </w:p>
        </w:tc>
        <w:tc>
          <w:tcPr>
            <w:tcW w:w="993" w:type="dxa"/>
            <w:tcBorders>
              <w:top w:val="single" w:sz="4" w:space="0" w:color="auto"/>
              <w:left w:val="single" w:sz="4" w:space="0" w:color="auto"/>
              <w:bottom w:val="single" w:sz="4" w:space="0" w:color="auto"/>
              <w:right w:val="single" w:sz="4" w:space="0" w:color="auto"/>
            </w:tcBorders>
            <w:hideMark/>
          </w:tcPr>
          <w:p w14:paraId="4EFB5ACE"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1BD767E8"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31B9E54E"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439EB9C0"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 of</w:t>
            </w:r>
          </w:p>
          <w:p w14:paraId="3B48E17A" w14:textId="77777777" w:rsidR="005B0CE6" w:rsidRPr="00AA42BB" w:rsidRDefault="005B0CE6" w:rsidP="00936834">
            <w:pPr>
              <w:keepNext/>
              <w:keepLines/>
              <w:ind w:left="-108"/>
              <w:jc w:val="center"/>
              <w:rPr>
                <w:rFonts w:ascii="Arial Narrow" w:hAnsi="Arial Narrow" w:cs="Arial"/>
                <w:b/>
                <w:sz w:val="20"/>
                <w:szCs w:val="20"/>
              </w:rPr>
            </w:pPr>
            <w:proofErr w:type="spellStart"/>
            <w:r w:rsidRPr="00AA42BB">
              <w:rPr>
                <w:rFonts w:ascii="Arial Narrow" w:hAnsi="Arial Narrow" w:cs="Arial"/>
                <w:b/>
                <w:sz w:val="20"/>
                <w:szCs w:val="20"/>
              </w:rPr>
              <w:t>Rpts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5FEE048" w14:textId="77777777" w:rsidR="005B0CE6" w:rsidRPr="00AA42BB" w:rsidRDefault="005B0CE6" w:rsidP="00936834">
            <w:pPr>
              <w:keepNext/>
              <w:keepLines/>
              <w:rPr>
                <w:rFonts w:ascii="Arial Narrow" w:hAnsi="Arial Narrow" w:cs="Arial"/>
                <w:b/>
                <w:sz w:val="20"/>
                <w:szCs w:val="20"/>
                <w:lang w:val="fr-FR"/>
              </w:rPr>
            </w:pPr>
            <w:r w:rsidRPr="00AA42BB">
              <w:rPr>
                <w:rFonts w:ascii="Arial Narrow" w:hAnsi="Arial Narrow" w:cs="Arial"/>
                <w:b/>
                <w:sz w:val="20"/>
                <w:szCs w:val="20"/>
              </w:rPr>
              <w:t>Available brands</w:t>
            </w:r>
          </w:p>
        </w:tc>
      </w:tr>
      <w:tr w:rsidR="00AA42BB" w:rsidRPr="00AA42BB" w14:paraId="46A06172"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686A3D7F"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 METFORMIN</w:t>
            </w:r>
          </w:p>
          <w:p w14:paraId="4EC63250" w14:textId="77777777" w:rsidR="005B0CE6" w:rsidRPr="00AA42BB" w:rsidRDefault="005B0CE6" w:rsidP="00936834">
            <w:pPr>
              <w:keepNext/>
              <w:ind w:left="-108"/>
              <w:rPr>
                <w:rFonts w:ascii="Arial Narrow" w:hAnsi="Arial Narrow" w:cs="Arial"/>
                <w:sz w:val="20"/>
                <w:szCs w:val="20"/>
              </w:rPr>
            </w:pPr>
          </w:p>
          <w:p w14:paraId="24850699"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10 mg + metformin hydrochloride 1 g modified release tablet, 28</w:t>
            </w:r>
          </w:p>
        </w:tc>
        <w:tc>
          <w:tcPr>
            <w:tcW w:w="993" w:type="dxa"/>
            <w:tcBorders>
              <w:top w:val="single" w:sz="4" w:space="0" w:color="auto"/>
              <w:left w:val="single" w:sz="4" w:space="0" w:color="auto"/>
              <w:bottom w:val="single" w:sz="4" w:space="0" w:color="auto"/>
              <w:right w:val="single" w:sz="4" w:space="0" w:color="auto"/>
            </w:tcBorders>
            <w:vAlign w:val="center"/>
          </w:tcPr>
          <w:p w14:paraId="1E5AE5C3"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10515K</w:t>
            </w:r>
          </w:p>
          <w:p w14:paraId="202D3CF0"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02878787" w14:textId="77777777" w:rsidR="005B0CE6" w:rsidRPr="00AA42BB" w:rsidRDefault="005B0CE6" w:rsidP="00936834">
            <w:pPr>
              <w:keepNext/>
              <w:jc w:val="center"/>
              <w:rPr>
                <w:rFonts w:ascii="Arial Narrow" w:hAnsi="Arial Narrow" w:cs="Arial"/>
                <w:sz w:val="20"/>
                <w:szCs w:val="20"/>
              </w:rPr>
            </w:pPr>
          </w:p>
          <w:p w14:paraId="2466EC55" w14:textId="77777777" w:rsidR="005B0CE6" w:rsidRPr="00AA42BB" w:rsidRDefault="005B0CE6" w:rsidP="00936834">
            <w:pPr>
              <w:keepNext/>
              <w:rPr>
                <w:rFonts w:ascii="Arial Narrow" w:hAnsi="Arial Narrow" w:cs="Arial"/>
                <w:sz w:val="20"/>
                <w:szCs w:val="20"/>
              </w:rPr>
            </w:pPr>
          </w:p>
          <w:p w14:paraId="1B854BC1"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63B7F18B" w14:textId="77777777" w:rsidR="005B0CE6" w:rsidRPr="00AA42BB" w:rsidRDefault="005B0CE6" w:rsidP="00936834">
            <w:pPr>
              <w:keepNext/>
              <w:ind w:left="-108"/>
              <w:jc w:val="center"/>
              <w:rPr>
                <w:rFonts w:ascii="Arial Narrow" w:hAnsi="Arial Narrow" w:cs="Arial"/>
                <w:sz w:val="20"/>
                <w:szCs w:val="20"/>
              </w:rPr>
            </w:pPr>
          </w:p>
          <w:p w14:paraId="22BA57CF" w14:textId="77777777" w:rsidR="005B0CE6" w:rsidRPr="00AA42BB" w:rsidRDefault="005B0CE6" w:rsidP="00936834">
            <w:pPr>
              <w:keepNext/>
              <w:rPr>
                <w:rFonts w:ascii="Arial Narrow" w:hAnsi="Arial Narrow" w:cs="Arial"/>
                <w:sz w:val="20"/>
                <w:szCs w:val="20"/>
              </w:rPr>
            </w:pPr>
          </w:p>
          <w:p w14:paraId="61C772C5"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3B8ACFDA" w14:textId="77777777" w:rsidR="005B0CE6" w:rsidRPr="00AA42BB" w:rsidRDefault="005B0CE6" w:rsidP="00936834">
            <w:pPr>
              <w:keepNext/>
              <w:ind w:left="-108"/>
              <w:jc w:val="center"/>
              <w:rPr>
                <w:rFonts w:ascii="Arial Narrow" w:hAnsi="Arial Narrow" w:cs="Arial"/>
                <w:sz w:val="20"/>
                <w:szCs w:val="20"/>
              </w:rPr>
            </w:pPr>
          </w:p>
          <w:p w14:paraId="5754A154" w14:textId="77777777" w:rsidR="005B0CE6" w:rsidRPr="00AA42BB" w:rsidRDefault="005B0CE6" w:rsidP="00936834">
            <w:pPr>
              <w:keepNext/>
              <w:rPr>
                <w:rFonts w:ascii="Arial Narrow" w:hAnsi="Arial Narrow" w:cs="Arial"/>
                <w:sz w:val="20"/>
                <w:szCs w:val="20"/>
              </w:rPr>
            </w:pPr>
          </w:p>
          <w:p w14:paraId="64BE0A20"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69975C11" w14:textId="77777777" w:rsidR="005B0CE6" w:rsidRPr="00AA42BB" w:rsidRDefault="005B0CE6" w:rsidP="00936834">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EB3EE56" w14:textId="77777777" w:rsidR="005B0CE6" w:rsidRPr="00AA42BB" w:rsidRDefault="005B0CE6" w:rsidP="00936834">
            <w:pPr>
              <w:keepNext/>
              <w:rPr>
                <w:rFonts w:ascii="Arial Narrow" w:hAnsi="Arial Narrow" w:cs="Arial"/>
                <w:sz w:val="20"/>
                <w:szCs w:val="20"/>
              </w:rPr>
            </w:pPr>
          </w:p>
          <w:p w14:paraId="07CB443E" w14:textId="77777777" w:rsidR="005B0CE6" w:rsidRPr="00AA42BB" w:rsidRDefault="005B0CE6" w:rsidP="00936834">
            <w:pPr>
              <w:keepNext/>
              <w:rPr>
                <w:rFonts w:ascii="Arial Narrow" w:hAnsi="Arial Narrow" w:cs="Arial"/>
                <w:sz w:val="20"/>
                <w:szCs w:val="20"/>
              </w:rPr>
            </w:pPr>
          </w:p>
          <w:p w14:paraId="23BDE253" w14:textId="28A64685" w:rsidR="005B0CE6" w:rsidRPr="00AA42BB" w:rsidRDefault="005B0CE6" w:rsidP="00431470">
            <w:pPr>
              <w:keepNext/>
              <w:rPr>
                <w:rFonts w:ascii="Arial Narrow" w:hAnsi="Arial Narrow" w:cs="Arial"/>
                <w:sz w:val="20"/>
                <w:szCs w:val="20"/>
              </w:rPr>
            </w:pPr>
            <w:proofErr w:type="spellStart"/>
            <w:r w:rsidRPr="00AA42BB">
              <w:rPr>
                <w:rFonts w:ascii="Arial Narrow" w:hAnsi="Arial Narrow" w:cs="Arial"/>
                <w:sz w:val="20"/>
                <w:szCs w:val="20"/>
              </w:rPr>
              <w:t>Xigduo</w:t>
            </w:r>
            <w:proofErr w:type="spellEnd"/>
            <w:r w:rsidRPr="00AA42BB">
              <w:rPr>
                <w:rFonts w:ascii="Arial Narrow" w:hAnsi="Arial Narrow" w:cs="Arial"/>
                <w:sz w:val="20"/>
                <w:szCs w:val="20"/>
              </w:rPr>
              <w:t xml:space="preserve"> XR 10/1000</w:t>
            </w:r>
          </w:p>
        </w:tc>
      </w:tr>
      <w:tr w:rsidR="00AA42BB" w:rsidRPr="00AA42BB" w14:paraId="1D3AC8FC"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11C71D58"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 METFORMIN</w:t>
            </w:r>
          </w:p>
          <w:p w14:paraId="1EBD8506" w14:textId="77777777" w:rsidR="005B0CE6" w:rsidRPr="00AA42BB" w:rsidRDefault="005B0CE6" w:rsidP="00936834">
            <w:pPr>
              <w:keepNext/>
              <w:ind w:left="-108"/>
              <w:rPr>
                <w:rFonts w:ascii="Arial Narrow" w:hAnsi="Arial Narrow" w:cs="Arial"/>
                <w:sz w:val="20"/>
                <w:szCs w:val="20"/>
              </w:rPr>
            </w:pPr>
          </w:p>
          <w:p w14:paraId="67A4F8AA"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5 mg + metformin hydrochloride 1 g modified release tablet, 56</w:t>
            </w:r>
          </w:p>
        </w:tc>
        <w:tc>
          <w:tcPr>
            <w:tcW w:w="993" w:type="dxa"/>
            <w:tcBorders>
              <w:top w:val="single" w:sz="4" w:space="0" w:color="auto"/>
              <w:left w:val="single" w:sz="4" w:space="0" w:color="auto"/>
              <w:bottom w:val="single" w:sz="4" w:space="0" w:color="auto"/>
              <w:right w:val="single" w:sz="4" w:space="0" w:color="auto"/>
            </w:tcBorders>
            <w:vAlign w:val="center"/>
          </w:tcPr>
          <w:p w14:paraId="3EE48885"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10510E</w:t>
            </w:r>
          </w:p>
          <w:p w14:paraId="60562C55"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64EFA6CC" w14:textId="77777777" w:rsidR="005B0CE6" w:rsidRPr="00AA42BB" w:rsidRDefault="005B0CE6" w:rsidP="00936834">
            <w:pPr>
              <w:keepNext/>
              <w:jc w:val="center"/>
              <w:rPr>
                <w:rFonts w:ascii="Arial Narrow" w:hAnsi="Arial Narrow" w:cs="Arial"/>
                <w:sz w:val="20"/>
                <w:szCs w:val="20"/>
              </w:rPr>
            </w:pPr>
          </w:p>
          <w:p w14:paraId="58DECBDB" w14:textId="77777777" w:rsidR="005B0CE6" w:rsidRPr="00AA42BB" w:rsidRDefault="005B0CE6" w:rsidP="00936834">
            <w:pPr>
              <w:keepNext/>
              <w:rPr>
                <w:rFonts w:ascii="Arial Narrow" w:hAnsi="Arial Narrow" w:cs="Arial"/>
                <w:sz w:val="20"/>
                <w:szCs w:val="20"/>
              </w:rPr>
            </w:pPr>
          </w:p>
          <w:p w14:paraId="763F720A"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7B06CF88" w14:textId="77777777" w:rsidR="005B0CE6" w:rsidRPr="00AA42BB" w:rsidRDefault="005B0CE6" w:rsidP="00936834">
            <w:pPr>
              <w:keepNext/>
              <w:ind w:left="-108"/>
              <w:jc w:val="center"/>
              <w:rPr>
                <w:rFonts w:ascii="Arial Narrow" w:hAnsi="Arial Narrow" w:cs="Arial"/>
                <w:sz w:val="20"/>
                <w:szCs w:val="20"/>
              </w:rPr>
            </w:pPr>
          </w:p>
          <w:p w14:paraId="4F5495CF" w14:textId="77777777" w:rsidR="005B0CE6" w:rsidRPr="00AA42BB" w:rsidRDefault="005B0CE6" w:rsidP="00936834">
            <w:pPr>
              <w:keepNext/>
              <w:rPr>
                <w:rFonts w:ascii="Arial Narrow" w:hAnsi="Arial Narrow" w:cs="Arial"/>
                <w:sz w:val="20"/>
                <w:szCs w:val="20"/>
              </w:rPr>
            </w:pPr>
          </w:p>
          <w:p w14:paraId="7B03F459"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56</w:t>
            </w:r>
          </w:p>
        </w:tc>
        <w:tc>
          <w:tcPr>
            <w:tcW w:w="708" w:type="dxa"/>
            <w:tcBorders>
              <w:top w:val="single" w:sz="4" w:space="0" w:color="auto"/>
              <w:left w:val="single" w:sz="4" w:space="0" w:color="auto"/>
              <w:bottom w:val="single" w:sz="4" w:space="0" w:color="auto"/>
              <w:right w:val="single" w:sz="4" w:space="0" w:color="auto"/>
            </w:tcBorders>
          </w:tcPr>
          <w:p w14:paraId="61C1E57A" w14:textId="77777777" w:rsidR="005B0CE6" w:rsidRPr="00AA42BB" w:rsidRDefault="005B0CE6" w:rsidP="00936834">
            <w:pPr>
              <w:keepNext/>
              <w:ind w:left="-108"/>
              <w:jc w:val="center"/>
              <w:rPr>
                <w:rFonts w:ascii="Arial Narrow" w:hAnsi="Arial Narrow" w:cs="Arial"/>
                <w:sz w:val="20"/>
                <w:szCs w:val="20"/>
              </w:rPr>
            </w:pPr>
          </w:p>
          <w:p w14:paraId="668D6FEE" w14:textId="77777777" w:rsidR="005B0CE6" w:rsidRPr="00AA42BB" w:rsidRDefault="005B0CE6" w:rsidP="00936834">
            <w:pPr>
              <w:keepNext/>
              <w:rPr>
                <w:rFonts w:ascii="Arial Narrow" w:hAnsi="Arial Narrow" w:cs="Arial"/>
                <w:sz w:val="20"/>
                <w:szCs w:val="20"/>
              </w:rPr>
            </w:pPr>
          </w:p>
          <w:p w14:paraId="5B0BEBE7"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7365F314"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92B3144" w14:textId="77777777" w:rsidR="005B0CE6" w:rsidRPr="00AA42BB" w:rsidRDefault="005B0CE6" w:rsidP="00936834">
            <w:pPr>
              <w:keepNext/>
              <w:rPr>
                <w:rFonts w:ascii="Arial Narrow" w:hAnsi="Arial Narrow" w:cs="Arial"/>
                <w:sz w:val="20"/>
                <w:szCs w:val="20"/>
              </w:rPr>
            </w:pPr>
          </w:p>
          <w:p w14:paraId="790DBFDD" w14:textId="77777777" w:rsidR="005B0CE6" w:rsidRPr="00AA42BB" w:rsidRDefault="005B0CE6" w:rsidP="00936834">
            <w:pPr>
              <w:keepNext/>
              <w:rPr>
                <w:rFonts w:ascii="Arial Narrow" w:hAnsi="Arial Narrow" w:cs="Arial"/>
                <w:sz w:val="20"/>
                <w:szCs w:val="20"/>
              </w:rPr>
            </w:pPr>
          </w:p>
          <w:p w14:paraId="1F866A0A"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Xigduo</w:t>
            </w:r>
            <w:proofErr w:type="spellEnd"/>
            <w:r w:rsidRPr="00AA42BB">
              <w:rPr>
                <w:rFonts w:ascii="Arial Narrow" w:hAnsi="Arial Narrow" w:cs="Arial"/>
                <w:sz w:val="20"/>
                <w:szCs w:val="20"/>
              </w:rPr>
              <w:t xml:space="preserve"> XR 5/1000</w:t>
            </w:r>
          </w:p>
          <w:p w14:paraId="029EB2B7" w14:textId="77777777" w:rsidR="005B0CE6" w:rsidRPr="00AA42BB" w:rsidRDefault="005B0CE6" w:rsidP="00936834">
            <w:pPr>
              <w:keepNext/>
              <w:rPr>
                <w:rFonts w:ascii="Arial Narrow" w:hAnsi="Arial Narrow" w:cs="Arial"/>
                <w:sz w:val="20"/>
                <w:szCs w:val="20"/>
              </w:rPr>
            </w:pPr>
          </w:p>
        </w:tc>
      </w:tr>
      <w:tr w:rsidR="00AA42BB" w:rsidRPr="00AA42BB" w14:paraId="522D39EE"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733D2F5B"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 METFORMIN</w:t>
            </w:r>
          </w:p>
          <w:p w14:paraId="0D4EB5AA" w14:textId="77777777" w:rsidR="005B0CE6" w:rsidRPr="00AA42BB" w:rsidRDefault="005B0CE6" w:rsidP="00936834">
            <w:pPr>
              <w:keepNext/>
              <w:ind w:left="-108"/>
              <w:rPr>
                <w:rFonts w:ascii="Arial Narrow" w:hAnsi="Arial Narrow" w:cs="Arial"/>
                <w:sz w:val="20"/>
                <w:szCs w:val="20"/>
              </w:rPr>
            </w:pPr>
          </w:p>
          <w:p w14:paraId="1F9BFB20"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10 mg + metformin hydrochloride 500 mg modified release tablet, 28</w:t>
            </w:r>
          </w:p>
        </w:tc>
        <w:tc>
          <w:tcPr>
            <w:tcW w:w="993" w:type="dxa"/>
            <w:tcBorders>
              <w:top w:val="single" w:sz="4" w:space="0" w:color="auto"/>
              <w:left w:val="single" w:sz="4" w:space="0" w:color="auto"/>
              <w:bottom w:val="single" w:sz="4" w:space="0" w:color="auto"/>
              <w:right w:val="single" w:sz="4" w:space="0" w:color="auto"/>
            </w:tcBorders>
            <w:vAlign w:val="center"/>
          </w:tcPr>
          <w:p w14:paraId="3DFDAF3A"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10516L</w:t>
            </w:r>
          </w:p>
          <w:p w14:paraId="48380B2D"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2911A5A6" w14:textId="77777777" w:rsidR="005B0CE6" w:rsidRPr="00AA42BB" w:rsidRDefault="005B0CE6" w:rsidP="00936834">
            <w:pPr>
              <w:keepNext/>
              <w:jc w:val="center"/>
              <w:rPr>
                <w:rFonts w:ascii="Arial Narrow" w:hAnsi="Arial Narrow" w:cs="Arial"/>
                <w:sz w:val="20"/>
                <w:szCs w:val="20"/>
              </w:rPr>
            </w:pPr>
          </w:p>
          <w:p w14:paraId="250CA527" w14:textId="77777777" w:rsidR="005B0CE6" w:rsidRPr="00AA42BB" w:rsidRDefault="005B0CE6" w:rsidP="00936834">
            <w:pPr>
              <w:keepNext/>
              <w:rPr>
                <w:rFonts w:ascii="Arial Narrow" w:hAnsi="Arial Narrow" w:cs="Arial"/>
                <w:sz w:val="20"/>
                <w:szCs w:val="20"/>
              </w:rPr>
            </w:pPr>
          </w:p>
          <w:p w14:paraId="71288675"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3ABB26AC" w14:textId="77777777" w:rsidR="005B0CE6" w:rsidRPr="00AA42BB" w:rsidRDefault="005B0CE6" w:rsidP="00936834">
            <w:pPr>
              <w:keepNext/>
              <w:ind w:left="-108"/>
              <w:jc w:val="center"/>
              <w:rPr>
                <w:rFonts w:ascii="Arial Narrow" w:hAnsi="Arial Narrow" w:cs="Arial"/>
                <w:sz w:val="20"/>
                <w:szCs w:val="20"/>
              </w:rPr>
            </w:pPr>
          </w:p>
          <w:p w14:paraId="38C76B2D" w14:textId="77777777" w:rsidR="005B0CE6" w:rsidRPr="00AA42BB" w:rsidRDefault="005B0CE6" w:rsidP="00936834">
            <w:pPr>
              <w:keepNext/>
              <w:rPr>
                <w:rFonts w:ascii="Arial Narrow" w:hAnsi="Arial Narrow" w:cs="Arial"/>
                <w:sz w:val="20"/>
                <w:szCs w:val="20"/>
              </w:rPr>
            </w:pPr>
          </w:p>
          <w:p w14:paraId="55677D41"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7E3D13A1" w14:textId="77777777" w:rsidR="005B0CE6" w:rsidRPr="00AA42BB" w:rsidRDefault="005B0CE6" w:rsidP="00936834">
            <w:pPr>
              <w:keepNext/>
              <w:ind w:left="-108"/>
              <w:jc w:val="center"/>
              <w:rPr>
                <w:rFonts w:ascii="Arial Narrow" w:hAnsi="Arial Narrow" w:cs="Arial"/>
                <w:sz w:val="20"/>
                <w:szCs w:val="20"/>
              </w:rPr>
            </w:pPr>
          </w:p>
          <w:p w14:paraId="082712B5" w14:textId="77777777" w:rsidR="005B0CE6" w:rsidRPr="00AA42BB" w:rsidRDefault="005B0CE6" w:rsidP="00936834">
            <w:pPr>
              <w:keepNext/>
              <w:rPr>
                <w:rFonts w:ascii="Arial Narrow" w:hAnsi="Arial Narrow" w:cs="Arial"/>
                <w:sz w:val="20"/>
                <w:szCs w:val="20"/>
              </w:rPr>
            </w:pPr>
          </w:p>
          <w:p w14:paraId="5E05701C"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11AAD185"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348BA5" w14:textId="77777777" w:rsidR="005B0CE6" w:rsidRPr="00AA42BB" w:rsidRDefault="005B0CE6" w:rsidP="00936834">
            <w:pPr>
              <w:keepNext/>
              <w:rPr>
                <w:rFonts w:ascii="Arial Narrow" w:hAnsi="Arial Narrow" w:cs="Arial"/>
                <w:sz w:val="20"/>
                <w:szCs w:val="20"/>
              </w:rPr>
            </w:pPr>
          </w:p>
          <w:p w14:paraId="37DE18DA" w14:textId="77777777" w:rsidR="005B0CE6" w:rsidRPr="00AA42BB" w:rsidRDefault="005B0CE6" w:rsidP="00936834">
            <w:pPr>
              <w:keepNext/>
              <w:rPr>
                <w:rFonts w:ascii="Arial Narrow" w:hAnsi="Arial Narrow" w:cs="Arial"/>
                <w:sz w:val="20"/>
                <w:szCs w:val="20"/>
              </w:rPr>
            </w:pPr>
          </w:p>
          <w:p w14:paraId="5E6C29DA"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Xigduo</w:t>
            </w:r>
            <w:proofErr w:type="spellEnd"/>
            <w:r w:rsidRPr="00AA42BB">
              <w:rPr>
                <w:rFonts w:ascii="Arial Narrow" w:hAnsi="Arial Narrow" w:cs="Arial"/>
                <w:sz w:val="20"/>
                <w:szCs w:val="20"/>
              </w:rPr>
              <w:t xml:space="preserve"> XR 10/500</w:t>
            </w:r>
          </w:p>
          <w:p w14:paraId="768E750C" w14:textId="77777777" w:rsidR="005B0CE6" w:rsidRPr="00AA42BB" w:rsidRDefault="005B0CE6" w:rsidP="00936834">
            <w:pPr>
              <w:keepNext/>
              <w:rPr>
                <w:rFonts w:ascii="Arial Narrow" w:hAnsi="Arial Narrow" w:cs="Arial"/>
                <w:sz w:val="20"/>
                <w:szCs w:val="20"/>
              </w:rPr>
            </w:pPr>
          </w:p>
        </w:tc>
      </w:tr>
      <w:tr w:rsidR="00AA42BB" w:rsidRPr="00AA42BB" w14:paraId="02D2DB09" w14:textId="77777777" w:rsidTr="00431470">
        <w:trPr>
          <w:cantSplit/>
          <w:trHeight w:val="876"/>
          <w:jc w:val="center"/>
        </w:trPr>
        <w:tc>
          <w:tcPr>
            <w:tcW w:w="3964" w:type="dxa"/>
            <w:tcBorders>
              <w:top w:val="single" w:sz="4" w:space="0" w:color="auto"/>
              <w:left w:val="single" w:sz="4" w:space="0" w:color="auto"/>
              <w:bottom w:val="single" w:sz="4" w:space="0" w:color="auto"/>
              <w:right w:val="single" w:sz="4" w:space="0" w:color="auto"/>
            </w:tcBorders>
          </w:tcPr>
          <w:p w14:paraId="2C1440F2"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200C4375" w14:textId="77777777" w:rsidR="005B0CE6" w:rsidRPr="00AA42BB" w:rsidRDefault="005B0CE6" w:rsidP="00936834">
            <w:pPr>
              <w:keepNext/>
              <w:ind w:left="-108"/>
              <w:rPr>
                <w:rFonts w:ascii="Arial Narrow" w:hAnsi="Arial Narrow" w:cs="Arial"/>
                <w:sz w:val="20"/>
                <w:szCs w:val="20"/>
              </w:rPr>
            </w:pPr>
          </w:p>
          <w:p w14:paraId="1184942F"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12.5 mg + metformin hydrochloride 1 g tablet, 60</w:t>
            </w:r>
          </w:p>
        </w:tc>
        <w:tc>
          <w:tcPr>
            <w:tcW w:w="993" w:type="dxa"/>
            <w:tcBorders>
              <w:top w:val="single" w:sz="4" w:space="0" w:color="auto"/>
              <w:left w:val="single" w:sz="4" w:space="0" w:color="auto"/>
              <w:bottom w:val="single" w:sz="4" w:space="0" w:color="auto"/>
              <w:right w:val="single" w:sz="4" w:space="0" w:color="auto"/>
            </w:tcBorders>
            <w:vAlign w:val="center"/>
          </w:tcPr>
          <w:p w14:paraId="263576CA"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10677Y</w:t>
            </w:r>
          </w:p>
          <w:p w14:paraId="6C1AE132"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5E3E35BF" w14:textId="77777777" w:rsidR="005B0CE6" w:rsidRPr="00AA42BB" w:rsidRDefault="005B0CE6" w:rsidP="00936834">
            <w:pPr>
              <w:keepNext/>
              <w:jc w:val="center"/>
              <w:rPr>
                <w:rFonts w:ascii="Arial Narrow" w:hAnsi="Arial Narrow" w:cs="Arial"/>
                <w:sz w:val="20"/>
                <w:szCs w:val="20"/>
              </w:rPr>
            </w:pPr>
          </w:p>
          <w:p w14:paraId="13A0C086" w14:textId="77777777" w:rsidR="005B0CE6" w:rsidRPr="00AA42BB" w:rsidRDefault="005B0CE6" w:rsidP="00936834">
            <w:pPr>
              <w:keepNext/>
              <w:rPr>
                <w:rFonts w:ascii="Arial Narrow" w:hAnsi="Arial Narrow" w:cs="Arial"/>
                <w:sz w:val="20"/>
                <w:szCs w:val="20"/>
              </w:rPr>
            </w:pPr>
          </w:p>
          <w:p w14:paraId="190689E2"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AE4553B" w14:textId="77777777" w:rsidR="005B0CE6" w:rsidRPr="00AA42BB" w:rsidRDefault="005B0CE6" w:rsidP="00936834">
            <w:pPr>
              <w:keepNext/>
              <w:ind w:left="-108"/>
              <w:jc w:val="center"/>
              <w:rPr>
                <w:rFonts w:ascii="Arial Narrow" w:hAnsi="Arial Narrow" w:cs="Arial"/>
                <w:sz w:val="20"/>
                <w:szCs w:val="20"/>
              </w:rPr>
            </w:pPr>
          </w:p>
          <w:p w14:paraId="14A67FC5" w14:textId="77777777" w:rsidR="005B0CE6" w:rsidRPr="00AA42BB" w:rsidRDefault="005B0CE6" w:rsidP="00936834">
            <w:pPr>
              <w:keepNext/>
              <w:rPr>
                <w:rFonts w:ascii="Arial Narrow" w:hAnsi="Arial Narrow" w:cs="Arial"/>
                <w:sz w:val="20"/>
                <w:szCs w:val="20"/>
              </w:rPr>
            </w:pPr>
          </w:p>
          <w:p w14:paraId="5280590B"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20E4E8D8" w14:textId="77777777" w:rsidR="005B0CE6" w:rsidRPr="00AA42BB" w:rsidRDefault="005B0CE6" w:rsidP="00936834">
            <w:pPr>
              <w:keepNext/>
              <w:ind w:left="-108"/>
              <w:jc w:val="center"/>
              <w:rPr>
                <w:rFonts w:ascii="Arial Narrow" w:hAnsi="Arial Narrow" w:cs="Arial"/>
                <w:sz w:val="20"/>
                <w:szCs w:val="20"/>
              </w:rPr>
            </w:pPr>
          </w:p>
          <w:p w14:paraId="08C564E3" w14:textId="77777777" w:rsidR="005B0CE6" w:rsidRPr="00AA42BB" w:rsidRDefault="005B0CE6" w:rsidP="00936834">
            <w:pPr>
              <w:keepNext/>
              <w:rPr>
                <w:rFonts w:ascii="Arial Narrow" w:hAnsi="Arial Narrow" w:cs="Arial"/>
                <w:sz w:val="20"/>
                <w:szCs w:val="20"/>
              </w:rPr>
            </w:pPr>
          </w:p>
          <w:p w14:paraId="17BC17B5"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25E639EC" w14:textId="77777777" w:rsidR="005B0CE6" w:rsidRPr="00AA42BB" w:rsidRDefault="005B0CE6" w:rsidP="00936834">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C48CAEF" w14:textId="77777777" w:rsidR="005B0CE6" w:rsidRPr="00AA42BB" w:rsidRDefault="005B0CE6" w:rsidP="00936834">
            <w:pPr>
              <w:keepNext/>
              <w:rPr>
                <w:rFonts w:ascii="Arial Narrow" w:hAnsi="Arial Narrow" w:cs="Arial"/>
                <w:sz w:val="20"/>
                <w:szCs w:val="20"/>
              </w:rPr>
            </w:pPr>
          </w:p>
          <w:p w14:paraId="5F9DEF24" w14:textId="77777777" w:rsidR="005B0CE6" w:rsidRPr="00AA42BB" w:rsidRDefault="005B0CE6" w:rsidP="00936834">
            <w:pPr>
              <w:keepNext/>
              <w:rPr>
                <w:rFonts w:ascii="Arial Narrow" w:hAnsi="Arial Narrow" w:cs="Arial"/>
                <w:sz w:val="20"/>
                <w:szCs w:val="20"/>
              </w:rPr>
            </w:pPr>
          </w:p>
          <w:p w14:paraId="24BD076E" w14:textId="4DB75D25" w:rsidR="005B0CE6" w:rsidRPr="00AA42BB" w:rsidRDefault="005B0CE6" w:rsidP="00431470">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12.5 mg/1000 mg</w:t>
            </w:r>
          </w:p>
        </w:tc>
      </w:tr>
      <w:tr w:rsidR="00AA42BB" w:rsidRPr="00AA42BB" w14:paraId="2C3200C8"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6E29941A"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4C238D40" w14:textId="77777777" w:rsidR="005B0CE6" w:rsidRPr="00AA42BB" w:rsidRDefault="005B0CE6" w:rsidP="00936834">
            <w:pPr>
              <w:keepNext/>
              <w:ind w:left="-108"/>
              <w:rPr>
                <w:rFonts w:ascii="Arial Narrow" w:hAnsi="Arial Narrow" w:cs="Arial"/>
                <w:sz w:val="20"/>
                <w:szCs w:val="20"/>
              </w:rPr>
            </w:pPr>
          </w:p>
          <w:p w14:paraId="0AEEBF13"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5 mg + metformin hydrochloride 1 g tablet, 60</w:t>
            </w:r>
          </w:p>
        </w:tc>
        <w:tc>
          <w:tcPr>
            <w:tcW w:w="993" w:type="dxa"/>
            <w:tcBorders>
              <w:top w:val="single" w:sz="4" w:space="0" w:color="auto"/>
              <w:left w:val="single" w:sz="4" w:space="0" w:color="auto"/>
              <w:bottom w:val="single" w:sz="4" w:space="0" w:color="auto"/>
              <w:right w:val="single" w:sz="4" w:space="0" w:color="auto"/>
            </w:tcBorders>
            <w:vAlign w:val="center"/>
          </w:tcPr>
          <w:p w14:paraId="0424E1D2"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10627H</w:t>
            </w:r>
          </w:p>
          <w:p w14:paraId="15F7E552"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62253ED2" w14:textId="77777777" w:rsidR="005B0CE6" w:rsidRPr="00AA42BB" w:rsidRDefault="005B0CE6" w:rsidP="00936834">
            <w:pPr>
              <w:keepNext/>
              <w:jc w:val="center"/>
              <w:rPr>
                <w:rFonts w:ascii="Arial Narrow" w:hAnsi="Arial Narrow" w:cs="Arial"/>
                <w:sz w:val="20"/>
                <w:szCs w:val="20"/>
              </w:rPr>
            </w:pPr>
          </w:p>
          <w:p w14:paraId="49E7FBCB" w14:textId="77777777" w:rsidR="005B0CE6" w:rsidRPr="00AA42BB" w:rsidRDefault="005B0CE6" w:rsidP="00936834">
            <w:pPr>
              <w:keepNext/>
              <w:rPr>
                <w:rFonts w:ascii="Arial Narrow" w:hAnsi="Arial Narrow" w:cs="Arial"/>
                <w:sz w:val="20"/>
                <w:szCs w:val="20"/>
              </w:rPr>
            </w:pPr>
          </w:p>
          <w:p w14:paraId="63B37E19"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77F97FBD" w14:textId="77777777" w:rsidR="005B0CE6" w:rsidRPr="00AA42BB" w:rsidRDefault="005B0CE6" w:rsidP="00936834">
            <w:pPr>
              <w:keepNext/>
              <w:ind w:left="-108"/>
              <w:jc w:val="center"/>
              <w:rPr>
                <w:rFonts w:ascii="Arial Narrow" w:hAnsi="Arial Narrow" w:cs="Arial"/>
                <w:sz w:val="20"/>
                <w:szCs w:val="20"/>
              </w:rPr>
            </w:pPr>
          </w:p>
          <w:p w14:paraId="39A65CC3" w14:textId="77777777" w:rsidR="005B0CE6" w:rsidRPr="00AA42BB" w:rsidRDefault="005B0CE6" w:rsidP="00936834">
            <w:pPr>
              <w:keepNext/>
              <w:rPr>
                <w:rFonts w:ascii="Arial Narrow" w:hAnsi="Arial Narrow" w:cs="Arial"/>
                <w:sz w:val="20"/>
                <w:szCs w:val="20"/>
              </w:rPr>
            </w:pPr>
          </w:p>
          <w:p w14:paraId="3E417C48"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7149AF05" w14:textId="77777777" w:rsidR="005B0CE6" w:rsidRPr="00AA42BB" w:rsidRDefault="005B0CE6" w:rsidP="00936834">
            <w:pPr>
              <w:keepNext/>
              <w:ind w:left="-108"/>
              <w:jc w:val="center"/>
              <w:rPr>
                <w:rFonts w:ascii="Arial Narrow" w:hAnsi="Arial Narrow" w:cs="Arial"/>
                <w:sz w:val="20"/>
                <w:szCs w:val="20"/>
              </w:rPr>
            </w:pPr>
          </w:p>
          <w:p w14:paraId="32CC3CFE" w14:textId="77777777" w:rsidR="005B0CE6" w:rsidRPr="00AA42BB" w:rsidRDefault="005B0CE6" w:rsidP="00936834">
            <w:pPr>
              <w:keepNext/>
              <w:rPr>
                <w:rFonts w:ascii="Arial Narrow" w:hAnsi="Arial Narrow" w:cs="Arial"/>
                <w:sz w:val="20"/>
                <w:szCs w:val="20"/>
              </w:rPr>
            </w:pPr>
          </w:p>
          <w:p w14:paraId="604C9E95"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766CB0D0"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C810FA" w14:textId="77777777" w:rsidR="005B0CE6" w:rsidRPr="00AA42BB" w:rsidRDefault="005B0CE6" w:rsidP="00936834">
            <w:pPr>
              <w:keepNext/>
              <w:rPr>
                <w:rFonts w:ascii="Arial Narrow" w:hAnsi="Arial Narrow" w:cs="Arial"/>
                <w:sz w:val="20"/>
                <w:szCs w:val="20"/>
              </w:rPr>
            </w:pPr>
          </w:p>
          <w:p w14:paraId="10401293" w14:textId="77777777" w:rsidR="005B0CE6" w:rsidRPr="00AA42BB" w:rsidRDefault="005B0CE6" w:rsidP="00936834">
            <w:pPr>
              <w:keepNext/>
              <w:rPr>
                <w:rFonts w:ascii="Arial Narrow" w:hAnsi="Arial Narrow" w:cs="Arial"/>
                <w:sz w:val="20"/>
                <w:szCs w:val="20"/>
              </w:rPr>
            </w:pPr>
          </w:p>
          <w:p w14:paraId="1FAC331F" w14:textId="06A4CB57" w:rsidR="005B0CE6" w:rsidRPr="00AA42BB" w:rsidRDefault="005B0CE6" w:rsidP="00431470">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5 mg/1000 mg</w:t>
            </w:r>
          </w:p>
        </w:tc>
      </w:tr>
      <w:tr w:rsidR="00AA42BB" w:rsidRPr="00AA42BB" w14:paraId="34062CBB"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1554CE4D"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717B2B0C" w14:textId="77777777" w:rsidR="005B0CE6" w:rsidRPr="00AA42BB" w:rsidRDefault="005B0CE6" w:rsidP="00936834">
            <w:pPr>
              <w:keepNext/>
              <w:ind w:left="-108"/>
              <w:rPr>
                <w:rFonts w:ascii="Arial Narrow" w:hAnsi="Arial Narrow" w:cs="Arial"/>
                <w:sz w:val="20"/>
                <w:szCs w:val="20"/>
              </w:rPr>
            </w:pPr>
          </w:p>
          <w:p w14:paraId="1D2F6BB7"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12.5 mg + metformin hydrochloride 500 mg tablet, 60</w:t>
            </w:r>
          </w:p>
        </w:tc>
        <w:tc>
          <w:tcPr>
            <w:tcW w:w="993" w:type="dxa"/>
            <w:tcBorders>
              <w:top w:val="single" w:sz="4" w:space="0" w:color="auto"/>
              <w:left w:val="single" w:sz="4" w:space="0" w:color="auto"/>
              <w:bottom w:val="single" w:sz="4" w:space="0" w:color="auto"/>
              <w:right w:val="single" w:sz="4" w:space="0" w:color="auto"/>
            </w:tcBorders>
            <w:vAlign w:val="center"/>
          </w:tcPr>
          <w:p w14:paraId="3F4404CD"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10633P</w:t>
            </w:r>
          </w:p>
          <w:p w14:paraId="2F790497"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50B1DFB5" w14:textId="77777777" w:rsidR="005B0CE6" w:rsidRPr="00AA42BB" w:rsidRDefault="005B0CE6" w:rsidP="00936834">
            <w:pPr>
              <w:keepNext/>
              <w:jc w:val="center"/>
              <w:rPr>
                <w:rFonts w:ascii="Arial Narrow" w:hAnsi="Arial Narrow" w:cs="Arial"/>
                <w:sz w:val="20"/>
                <w:szCs w:val="20"/>
              </w:rPr>
            </w:pPr>
          </w:p>
          <w:p w14:paraId="52E00E33" w14:textId="77777777" w:rsidR="005B0CE6" w:rsidRPr="00AA42BB" w:rsidRDefault="005B0CE6" w:rsidP="00936834">
            <w:pPr>
              <w:keepNext/>
              <w:rPr>
                <w:rFonts w:ascii="Arial Narrow" w:hAnsi="Arial Narrow" w:cs="Arial"/>
                <w:sz w:val="20"/>
                <w:szCs w:val="20"/>
              </w:rPr>
            </w:pPr>
          </w:p>
          <w:p w14:paraId="788DA67F"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6D394C85" w14:textId="77777777" w:rsidR="005B0CE6" w:rsidRPr="00AA42BB" w:rsidRDefault="005B0CE6" w:rsidP="00936834">
            <w:pPr>
              <w:keepNext/>
              <w:ind w:left="-108"/>
              <w:jc w:val="center"/>
              <w:rPr>
                <w:rFonts w:ascii="Arial Narrow" w:hAnsi="Arial Narrow" w:cs="Arial"/>
                <w:sz w:val="20"/>
                <w:szCs w:val="20"/>
              </w:rPr>
            </w:pPr>
          </w:p>
          <w:p w14:paraId="4A398A38" w14:textId="77777777" w:rsidR="005B0CE6" w:rsidRPr="00AA42BB" w:rsidRDefault="005B0CE6" w:rsidP="00936834">
            <w:pPr>
              <w:keepNext/>
              <w:rPr>
                <w:rFonts w:ascii="Arial Narrow" w:hAnsi="Arial Narrow" w:cs="Arial"/>
                <w:sz w:val="20"/>
                <w:szCs w:val="20"/>
              </w:rPr>
            </w:pPr>
          </w:p>
          <w:p w14:paraId="1C786295"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516AB89B" w14:textId="77777777" w:rsidR="005B0CE6" w:rsidRPr="00AA42BB" w:rsidRDefault="005B0CE6" w:rsidP="00936834">
            <w:pPr>
              <w:keepNext/>
              <w:ind w:left="-108"/>
              <w:jc w:val="center"/>
              <w:rPr>
                <w:rFonts w:ascii="Arial Narrow" w:hAnsi="Arial Narrow" w:cs="Arial"/>
                <w:sz w:val="20"/>
                <w:szCs w:val="20"/>
              </w:rPr>
            </w:pPr>
          </w:p>
          <w:p w14:paraId="06390148" w14:textId="77777777" w:rsidR="005B0CE6" w:rsidRPr="00AA42BB" w:rsidRDefault="005B0CE6" w:rsidP="00936834">
            <w:pPr>
              <w:keepNext/>
              <w:rPr>
                <w:rFonts w:ascii="Arial Narrow" w:hAnsi="Arial Narrow" w:cs="Arial"/>
                <w:sz w:val="20"/>
                <w:szCs w:val="20"/>
              </w:rPr>
            </w:pPr>
          </w:p>
          <w:p w14:paraId="53F2DB01"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26C8A9E1"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B29E185" w14:textId="77777777" w:rsidR="005B0CE6" w:rsidRPr="00AA42BB" w:rsidRDefault="005B0CE6" w:rsidP="00936834">
            <w:pPr>
              <w:keepNext/>
              <w:rPr>
                <w:rFonts w:ascii="Arial Narrow" w:hAnsi="Arial Narrow" w:cs="Arial"/>
                <w:sz w:val="20"/>
                <w:szCs w:val="20"/>
              </w:rPr>
            </w:pPr>
          </w:p>
          <w:p w14:paraId="10BDA1C8" w14:textId="77777777" w:rsidR="005B0CE6" w:rsidRPr="00AA42BB" w:rsidRDefault="005B0CE6" w:rsidP="00936834">
            <w:pPr>
              <w:keepNext/>
              <w:rPr>
                <w:rFonts w:ascii="Arial Narrow" w:hAnsi="Arial Narrow" w:cs="Arial"/>
                <w:sz w:val="20"/>
                <w:szCs w:val="20"/>
              </w:rPr>
            </w:pPr>
          </w:p>
          <w:p w14:paraId="13DD8363" w14:textId="38068D15" w:rsidR="005B0CE6" w:rsidRPr="00AA42BB" w:rsidRDefault="005B0CE6" w:rsidP="00431470">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12.5 mg/500 mg</w:t>
            </w:r>
          </w:p>
        </w:tc>
      </w:tr>
      <w:tr w:rsidR="005B0CE6" w:rsidRPr="00AA42BB" w14:paraId="600A64AB"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6BEECB83"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430248AA" w14:textId="77777777" w:rsidR="005B0CE6" w:rsidRPr="00AA42BB" w:rsidRDefault="005B0CE6" w:rsidP="00936834">
            <w:pPr>
              <w:keepNext/>
              <w:ind w:left="-108"/>
              <w:rPr>
                <w:rFonts w:ascii="Arial Narrow" w:hAnsi="Arial Narrow" w:cs="Arial"/>
                <w:sz w:val="20"/>
                <w:szCs w:val="20"/>
              </w:rPr>
            </w:pPr>
          </w:p>
          <w:p w14:paraId="49AA8723"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5 mg + metformin hydrochloride 500 mg tablet, 60</w:t>
            </w:r>
          </w:p>
        </w:tc>
        <w:tc>
          <w:tcPr>
            <w:tcW w:w="993" w:type="dxa"/>
            <w:tcBorders>
              <w:top w:val="single" w:sz="4" w:space="0" w:color="auto"/>
              <w:left w:val="single" w:sz="4" w:space="0" w:color="auto"/>
              <w:bottom w:val="single" w:sz="4" w:space="0" w:color="auto"/>
              <w:right w:val="single" w:sz="4" w:space="0" w:color="auto"/>
            </w:tcBorders>
            <w:vAlign w:val="center"/>
          </w:tcPr>
          <w:p w14:paraId="2E0F1A57"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10626G</w:t>
            </w:r>
          </w:p>
          <w:p w14:paraId="1472402B"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7E146CD0" w14:textId="77777777" w:rsidR="005B0CE6" w:rsidRPr="00AA42BB" w:rsidRDefault="005B0CE6" w:rsidP="00936834">
            <w:pPr>
              <w:keepNext/>
              <w:jc w:val="center"/>
              <w:rPr>
                <w:rFonts w:ascii="Arial Narrow" w:hAnsi="Arial Narrow" w:cs="Arial"/>
                <w:sz w:val="20"/>
                <w:szCs w:val="20"/>
              </w:rPr>
            </w:pPr>
          </w:p>
          <w:p w14:paraId="709F546E" w14:textId="77777777" w:rsidR="005B0CE6" w:rsidRPr="00AA42BB" w:rsidRDefault="005B0CE6" w:rsidP="00936834">
            <w:pPr>
              <w:keepNext/>
              <w:rPr>
                <w:rFonts w:ascii="Arial Narrow" w:hAnsi="Arial Narrow" w:cs="Arial"/>
                <w:sz w:val="20"/>
                <w:szCs w:val="20"/>
              </w:rPr>
            </w:pPr>
          </w:p>
          <w:p w14:paraId="2B76FD51"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0EE0E1EC" w14:textId="77777777" w:rsidR="005B0CE6" w:rsidRPr="00AA42BB" w:rsidRDefault="005B0CE6" w:rsidP="00936834">
            <w:pPr>
              <w:keepNext/>
              <w:ind w:left="-108"/>
              <w:jc w:val="center"/>
              <w:rPr>
                <w:rFonts w:ascii="Arial Narrow" w:hAnsi="Arial Narrow" w:cs="Arial"/>
                <w:sz w:val="20"/>
                <w:szCs w:val="20"/>
              </w:rPr>
            </w:pPr>
          </w:p>
          <w:p w14:paraId="6447D7E0" w14:textId="77777777" w:rsidR="005B0CE6" w:rsidRPr="00AA42BB" w:rsidRDefault="005B0CE6" w:rsidP="00936834">
            <w:pPr>
              <w:keepNext/>
              <w:rPr>
                <w:rFonts w:ascii="Arial Narrow" w:hAnsi="Arial Narrow" w:cs="Arial"/>
                <w:sz w:val="20"/>
                <w:szCs w:val="20"/>
              </w:rPr>
            </w:pPr>
          </w:p>
          <w:p w14:paraId="33318E9B"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0F38AF2C" w14:textId="77777777" w:rsidR="005B0CE6" w:rsidRPr="00AA42BB" w:rsidRDefault="005B0CE6" w:rsidP="00936834">
            <w:pPr>
              <w:keepNext/>
              <w:ind w:left="-108"/>
              <w:jc w:val="center"/>
              <w:rPr>
                <w:rFonts w:ascii="Arial Narrow" w:hAnsi="Arial Narrow" w:cs="Arial"/>
                <w:sz w:val="20"/>
                <w:szCs w:val="20"/>
              </w:rPr>
            </w:pPr>
          </w:p>
          <w:p w14:paraId="0CA4DCD1" w14:textId="77777777" w:rsidR="005B0CE6" w:rsidRPr="00AA42BB" w:rsidRDefault="005B0CE6" w:rsidP="00936834">
            <w:pPr>
              <w:keepNext/>
              <w:rPr>
                <w:rFonts w:ascii="Arial Narrow" w:hAnsi="Arial Narrow" w:cs="Arial"/>
                <w:sz w:val="20"/>
                <w:szCs w:val="20"/>
              </w:rPr>
            </w:pPr>
          </w:p>
          <w:p w14:paraId="2BB7E963"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49813BED"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E4DF71" w14:textId="77777777" w:rsidR="005B0CE6" w:rsidRPr="00AA42BB" w:rsidRDefault="005B0CE6" w:rsidP="00936834">
            <w:pPr>
              <w:keepNext/>
              <w:rPr>
                <w:rFonts w:ascii="Arial Narrow" w:hAnsi="Arial Narrow" w:cs="Arial"/>
                <w:sz w:val="20"/>
                <w:szCs w:val="20"/>
              </w:rPr>
            </w:pPr>
          </w:p>
          <w:p w14:paraId="505CE4EA" w14:textId="77777777" w:rsidR="005B0CE6" w:rsidRPr="00AA42BB" w:rsidRDefault="005B0CE6" w:rsidP="00936834">
            <w:pPr>
              <w:keepNext/>
              <w:rPr>
                <w:rFonts w:ascii="Arial Narrow" w:hAnsi="Arial Narrow" w:cs="Arial"/>
                <w:sz w:val="20"/>
                <w:szCs w:val="20"/>
              </w:rPr>
            </w:pPr>
          </w:p>
          <w:p w14:paraId="6434FE3D" w14:textId="2B3D1A97" w:rsidR="005B0CE6" w:rsidRPr="00AA42BB" w:rsidRDefault="005B0CE6" w:rsidP="00431470">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5 mg/500 mg</w:t>
            </w:r>
          </w:p>
        </w:tc>
      </w:tr>
    </w:tbl>
    <w:p w14:paraId="09C4CD4A" w14:textId="77777777" w:rsidR="005B0CE6" w:rsidRPr="00AA42BB" w:rsidRDefault="005B0CE6" w:rsidP="005B0CE6">
      <w:pPr>
        <w:rPr>
          <w:rFonts w:ascii="Arial Narrow" w:hAnsi="Arial Narrow"/>
          <w:sz w:val="20"/>
          <w:szCs w:val="20"/>
        </w:rPr>
      </w:pPr>
    </w:p>
    <w:p w14:paraId="5E044934" w14:textId="77777777" w:rsidR="005B0CE6" w:rsidRPr="00AA42BB" w:rsidRDefault="005B0CE6" w:rsidP="005B0CE6">
      <w:pPr>
        <w:keepNext/>
        <w:keepLines/>
        <w:rPr>
          <w:rFonts w:ascii="Arial Narrow" w:hAnsi="Arial Narrow"/>
          <w:b/>
          <w:sz w:val="20"/>
          <w:szCs w:val="20"/>
          <w:lang w:val="en-GB"/>
        </w:rPr>
      </w:pPr>
      <w:r w:rsidRPr="00AA42BB">
        <w:rPr>
          <w:rFonts w:ascii="Arial Narrow" w:hAnsi="Arial Narrow"/>
          <w:b/>
          <w:sz w:val="20"/>
          <w:szCs w:val="20"/>
          <w:lang w:val="en-GB"/>
        </w:rPr>
        <w:lastRenderedPageBreak/>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AA42BB" w:rsidRPr="00AA42BB" w14:paraId="01EAAB7F" w14:textId="77777777" w:rsidTr="0093683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792801" w14:textId="77777777" w:rsidR="005B0CE6" w:rsidRPr="00AA42BB" w:rsidRDefault="005B0CE6" w:rsidP="00936834">
            <w:pPr>
              <w:keepNext/>
              <w:keepLines/>
              <w:jc w:val="center"/>
              <w:rPr>
                <w:rFonts w:ascii="Arial Narrow" w:hAnsi="Arial Narrow" w:cs="Arial"/>
                <w:b/>
                <w:sz w:val="20"/>
                <w:szCs w:val="20"/>
              </w:rPr>
            </w:pPr>
            <w:r w:rsidRPr="00AA42BB">
              <w:rPr>
                <w:rFonts w:ascii="Arial Narrow" w:hAnsi="Arial Narrow" w:cs="Arial"/>
                <w:b/>
                <w:sz w:val="20"/>
                <w:szCs w:val="20"/>
              </w:rPr>
              <w:t>Concept ID</w:t>
            </w:r>
          </w:p>
          <w:p w14:paraId="74009F94" w14:textId="77777777" w:rsidR="005B0CE6" w:rsidRPr="00AA42BB" w:rsidRDefault="005B0CE6" w:rsidP="00936834">
            <w:pPr>
              <w:keepNext/>
              <w:keepLines/>
              <w:rPr>
                <w:rFonts w:ascii="Arial Narrow" w:hAnsi="Arial Narrow" w:cs="Arial"/>
                <w:i/>
                <w:sz w:val="20"/>
                <w:szCs w:val="20"/>
              </w:rPr>
            </w:pPr>
          </w:p>
          <w:p w14:paraId="7CA3BC0E" w14:textId="37B0F111" w:rsidR="005B0CE6" w:rsidRPr="00AA42BB" w:rsidRDefault="005B0CE6" w:rsidP="00E11D42">
            <w:pPr>
              <w:keepNext/>
              <w:keepLines/>
              <w:jc w:val="center"/>
              <w:rPr>
                <w:rFonts w:ascii="Arial Narrow" w:hAnsi="Arial Narrow" w:cs="Arial"/>
                <w:b/>
                <w:sz w:val="20"/>
                <w:szCs w:val="20"/>
              </w:rPr>
            </w:pPr>
            <w:r w:rsidRPr="00AA42BB">
              <w:rPr>
                <w:rFonts w:ascii="Arial Narrow" w:hAnsi="Arial Narrow" w:cs="Arial"/>
                <w:sz w:val="20"/>
                <w:szCs w:val="20"/>
              </w:rPr>
              <w:t>(for internal Dept. use)</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72685D" w14:textId="77777777" w:rsidR="005B0CE6" w:rsidRPr="00AA42BB" w:rsidRDefault="005B0CE6" w:rsidP="00936834">
            <w:pPr>
              <w:keepNext/>
              <w:keepLines/>
              <w:rPr>
                <w:rFonts w:ascii="Arial Narrow" w:hAnsi="Arial Narrow" w:cs="Arial"/>
                <w:sz w:val="20"/>
                <w:szCs w:val="20"/>
              </w:rPr>
            </w:pPr>
            <w:r w:rsidRPr="00AA42BB">
              <w:rPr>
                <w:rFonts w:ascii="Arial Narrow" w:hAnsi="Arial Narrow" w:cs="Arial"/>
                <w:b/>
                <w:sz w:val="20"/>
                <w:szCs w:val="20"/>
              </w:rPr>
              <w:t xml:space="preserve">Category / Program:   </w:t>
            </w:r>
          </w:p>
          <w:p w14:paraId="301A7441" w14:textId="77777777" w:rsidR="005B0CE6" w:rsidRPr="00AA42BB" w:rsidRDefault="005B0CE6" w:rsidP="00936834">
            <w:pPr>
              <w:keepNext/>
              <w:keepLines/>
              <w:rPr>
                <w:rFonts w:ascii="Arial Narrow" w:hAnsi="Arial Narrow" w:cs="Arial"/>
                <w:sz w:val="20"/>
                <w:szCs w:val="20"/>
              </w:rPr>
            </w:pPr>
            <w:r w:rsidRPr="00AA42BB">
              <w:rPr>
                <w:rFonts w:ascii="Arial Narrow" w:hAnsi="Arial Narrow" w:cs="Arial"/>
                <w:sz w:val="20"/>
                <w:szCs w:val="20"/>
              </w:rPr>
              <w:t xml:space="preserve">GENERAL – General Schedule (Code GE) </w:t>
            </w:r>
          </w:p>
        </w:tc>
      </w:tr>
      <w:tr w:rsidR="00AA42BB" w:rsidRPr="00AA42BB" w14:paraId="7452E0AD" w14:textId="77777777" w:rsidTr="009368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1DE5C" w14:textId="77777777" w:rsidR="005B0CE6" w:rsidRPr="00AA42BB" w:rsidRDefault="005B0CE6" w:rsidP="00936834">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C443F" w14:textId="6A594294" w:rsidR="005B0CE6" w:rsidRPr="00AA42BB" w:rsidRDefault="005B0CE6" w:rsidP="00936834">
            <w:pPr>
              <w:keepNext/>
              <w:keepLines/>
              <w:rPr>
                <w:rFonts w:ascii="Arial Narrow" w:hAnsi="Arial Narrow" w:cs="Arial"/>
                <w:b/>
                <w:sz w:val="20"/>
                <w:szCs w:val="20"/>
              </w:rPr>
            </w:pPr>
            <w:r w:rsidRPr="00AA42BB">
              <w:rPr>
                <w:rFonts w:ascii="Arial Narrow" w:hAnsi="Arial Narrow" w:cs="Arial"/>
                <w:b/>
                <w:sz w:val="20"/>
                <w:szCs w:val="20"/>
              </w:rPr>
              <w:t xml:space="preserve">Prescriber type:   </w:t>
            </w:r>
            <w:r w:rsidRPr="00AA42BB">
              <w:rPr>
                <w:rFonts w:ascii="Arial Narrow" w:hAnsi="Arial Narrow" w:cs="Arial"/>
                <w:sz w:val="20"/>
                <w:szCs w:val="20"/>
              </w:rPr>
              <w:fldChar w:fldCharType="begin">
                <w:ffData>
                  <w:name w:val=""/>
                  <w:enabled/>
                  <w:calcOnExit w:val="0"/>
                  <w:checkBox>
                    <w:sizeAuto/>
                    <w:default w:val="1"/>
                  </w:checkBox>
                </w:ffData>
              </w:fldChar>
            </w:r>
            <w:r w:rsidRPr="00AA42BB">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AA42BB">
              <w:rPr>
                <w:rFonts w:ascii="Arial Narrow" w:hAnsi="Arial Narrow" w:cs="Arial"/>
                <w:sz w:val="20"/>
                <w:szCs w:val="20"/>
              </w:rPr>
              <w:fldChar w:fldCharType="end"/>
            </w:r>
            <w:r w:rsidRPr="00AA42BB">
              <w:rPr>
                <w:rFonts w:ascii="Arial Narrow" w:hAnsi="Arial Narrow" w:cs="Arial"/>
                <w:sz w:val="20"/>
                <w:szCs w:val="20"/>
              </w:rPr>
              <w:t xml:space="preserve">Medical Practitioners    </w:t>
            </w:r>
            <w:r w:rsidR="00834CC6">
              <w:rPr>
                <w:rFonts w:ascii="Arial Narrow" w:hAnsi="Arial Narrow" w:cs="Arial"/>
                <w:sz w:val="20"/>
                <w:szCs w:val="20"/>
              </w:rPr>
              <w:fldChar w:fldCharType="begin">
                <w:ffData>
                  <w:name w:val=""/>
                  <w:enabled/>
                  <w:calcOnExit w:val="0"/>
                  <w:checkBox>
                    <w:sizeAuto/>
                    <w:default w:val="1"/>
                  </w:checkBox>
                </w:ffData>
              </w:fldChar>
            </w:r>
            <w:r w:rsidR="00834CC6">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00834CC6">
              <w:rPr>
                <w:rFonts w:ascii="Arial Narrow" w:hAnsi="Arial Narrow" w:cs="Arial"/>
                <w:sz w:val="20"/>
                <w:szCs w:val="20"/>
              </w:rPr>
              <w:fldChar w:fldCharType="end"/>
            </w:r>
            <w:r w:rsidRPr="00AA42BB">
              <w:rPr>
                <w:rFonts w:ascii="Arial Narrow" w:hAnsi="Arial Narrow" w:cs="Arial"/>
                <w:sz w:val="20"/>
                <w:szCs w:val="20"/>
              </w:rPr>
              <w:t xml:space="preserve">Nurse practitioners     </w:t>
            </w:r>
          </w:p>
        </w:tc>
      </w:tr>
      <w:tr w:rsidR="00AA42BB" w:rsidRPr="00AA42BB" w14:paraId="7D52BC03" w14:textId="77777777" w:rsidTr="00936834">
        <w:tc>
          <w:tcPr>
            <w:tcW w:w="0" w:type="auto"/>
            <w:vMerge/>
            <w:tcBorders>
              <w:top w:val="single" w:sz="4" w:space="0" w:color="auto"/>
              <w:left w:val="single" w:sz="4" w:space="0" w:color="auto"/>
              <w:bottom w:val="single" w:sz="4" w:space="0" w:color="auto"/>
              <w:right w:val="single" w:sz="4" w:space="0" w:color="auto"/>
            </w:tcBorders>
            <w:vAlign w:val="center"/>
            <w:hideMark/>
          </w:tcPr>
          <w:p w14:paraId="2A824B1B" w14:textId="77777777" w:rsidR="005B0CE6" w:rsidRPr="00AA42BB" w:rsidRDefault="005B0CE6" w:rsidP="00936834">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045C38" w14:textId="3FCADFE7" w:rsidR="005B0CE6" w:rsidRPr="00AA42BB" w:rsidRDefault="005B0CE6" w:rsidP="00E11D42">
            <w:pPr>
              <w:keepNext/>
              <w:keepLines/>
              <w:rPr>
                <w:rFonts w:ascii="Arial Narrow" w:eastAsia="Calibri" w:hAnsi="Arial Narrow" w:cs="Arial"/>
                <w:sz w:val="20"/>
                <w:szCs w:val="20"/>
              </w:rPr>
            </w:pPr>
            <w:r w:rsidRPr="00AA42BB">
              <w:rPr>
                <w:rFonts w:ascii="Arial Narrow" w:hAnsi="Arial Narrow" w:cs="Arial"/>
                <w:b/>
                <w:sz w:val="20"/>
                <w:szCs w:val="20"/>
              </w:rPr>
              <w:t>Restriction Type</w:t>
            </w:r>
            <w:r w:rsidR="00E11D42">
              <w:rPr>
                <w:rFonts w:ascii="Arial Narrow" w:hAnsi="Arial Narrow" w:cs="Arial"/>
                <w:b/>
                <w:sz w:val="20"/>
                <w:szCs w:val="20"/>
              </w:rPr>
              <w:t xml:space="preserve"> </w:t>
            </w:r>
            <w:r w:rsidRPr="00AA42BB">
              <w:rPr>
                <w:rFonts w:ascii="Arial Narrow" w:eastAsia="Calibri" w:hAnsi="Arial Narrow" w:cs="Arial"/>
                <w:sz w:val="20"/>
                <w:szCs w:val="20"/>
              </w:rPr>
              <w:fldChar w:fldCharType="begin">
                <w:ffData>
                  <w:name w:val=""/>
                  <w:enabled/>
                  <w:calcOnExit w:val="0"/>
                  <w:checkBox>
                    <w:sizeAuto/>
                    <w:default w:val="1"/>
                  </w:checkBox>
                </w:ffData>
              </w:fldChar>
            </w:r>
            <w:r w:rsidRPr="00AA42BB">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A42BB">
              <w:rPr>
                <w:rFonts w:ascii="Arial Narrow" w:eastAsia="Calibri" w:hAnsi="Arial Narrow" w:cs="Arial"/>
                <w:sz w:val="20"/>
                <w:szCs w:val="20"/>
              </w:rPr>
              <w:fldChar w:fldCharType="end"/>
            </w:r>
            <w:r w:rsidRPr="00AA42BB">
              <w:rPr>
                <w:rFonts w:ascii="Arial Narrow" w:eastAsia="Calibri" w:hAnsi="Arial Narrow" w:cs="Arial"/>
                <w:sz w:val="20"/>
                <w:szCs w:val="20"/>
              </w:rPr>
              <w:t xml:space="preserve">Authority Required – Streamlined [new code] </w:t>
            </w:r>
          </w:p>
        </w:tc>
      </w:tr>
      <w:tr w:rsidR="00AA42BB" w:rsidRPr="00AA42BB" w14:paraId="2DE895E0"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51BFD" w14:textId="77777777" w:rsidR="005B0CE6" w:rsidRPr="00AA42BB" w:rsidRDefault="005B0CE6" w:rsidP="00936834">
            <w:pPr>
              <w:keepNext/>
              <w:keepLines/>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CF61D3" w14:textId="77777777" w:rsidR="005B0CE6" w:rsidRPr="00AA42BB" w:rsidRDefault="005B0CE6" w:rsidP="00936834">
            <w:pPr>
              <w:keepNext/>
              <w:keepLines/>
              <w:rPr>
                <w:rFonts w:ascii="Arial Narrow" w:hAnsi="Arial Narrow"/>
                <w:b/>
                <w:bCs/>
                <w:sz w:val="20"/>
                <w:szCs w:val="20"/>
              </w:rPr>
            </w:pPr>
            <w:r w:rsidRPr="00AA42BB">
              <w:rPr>
                <w:rFonts w:ascii="Arial Narrow" w:hAnsi="Arial Narrow"/>
                <w:b/>
                <w:bCs/>
                <w:sz w:val="20"/>
                <w:szCs w:val="20"/>
              </w:rPr>
              <w:t xml:space="preserve">Condition: </w:t>
            </w:r>
            <w:r w:rsidRPr="00AA42BB">
              <w:rPr>
                <w:rFonts w:ascii="Arial Narrow" w:hAnsi="Arial Narrow"/>
                <w:sz w:val="20"/>
                <w:szCs w:val="20"/>
              </w:rPr>
              <w:t>Diabetes mellitus type 2</w:t>
            </w:r>
          </w:p>
        </w:tc>
      </w:tr>
      <w:tr w:rsidR="00AA42BB" w:rsidRPr="00AA42BB" w14:paraId="1891017F"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CA6B05" w14:textId="77777777"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8995</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7884F2" w14:textId="77777777" w:rsidR="005B0CE6" w:rsidRPr="00AA42BB" w:rsidRDefault="005B0CE6" w:rsidP="00936834">
            <w:pPr>
              <w:keepNext/>
              <w:keepLines/>
              <w:rPr>
                <w:rFonts w:ascii="Arial Narrow" w:hAnsi="Arial Narrow"/>
                <w:sz w:val="20"/>
                <w:szCs w:val="20"/>
              </w:rPr>
            </w:pPr>
            <w:r w:rsidRPr="00AA42BB">
              <w:rPr>
                <w:rFonts w:ascii="Arial Narrow" w:hAnsi="Arial Narrow"/>
                <w:b/>
                <w:bCs/>
                <w:sz w:val="20"/>
                <w:szCs w:val="20"/>
              </w:rPr>
              <w:t>Indication:</w:t>
            </w:r>
            <w:r w:rsidRPr="00AA42BB">
              <w:rPr>
                <w:rFonts w:ascii="Arial Narrow" w:hAnsi="Arial Narrow"/>
                <w:sz w:val="20"/>
                <w:szCs w:val="20"/>
              </w:rPr>
              <w:t xml:space="preserve"> Diabetes mellitus type 2</w:t>
            </w:r>
          </w:p>
        </w:tc>
      </w:tr>
      <w:tr w:rsidR="00AA42BB" w:rsidRPr="00AA42BB" w14:paraId="2118B29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31E532" w14:textId="407A8659"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New CC</w:t>
            </w:r>
            <w:r w:rsidR="00B01FCA">
              <w:rPr>
                <w:rFonts w:ascii="Arial Narrow" w:hAnsi="Arial Narrow"/>
                <w:sz w:val="20"/>
                <w:szCs w:val="20"/>
              </w:rPr>
              <w:t>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3269FB" w14:textId="77777777" w:rsidR="005B0CE6" w:rsidRPr="00AA42BB" w:rsidRDefault="005B0CE6" w:rsidP="00936834">
            <w:pPr>
              <w:keepNext/>
              <w:keepLines/>
              <w:rPr>
                <w:rFonts w:ascii="Arial Narrow" w:hAnsi="Arial Narrow"/>
                <w:sz w:val="20"/>
                <w:szCs w:val="20"/>
              </w:rPr>
            </w:pPr>
            <w:r w:rsidRPr="00AA42BB">
              <w:rPr>
                <w:rFonts w:ascii="Arial Narrow" w:hAnsi="Arial Narrow"/>
                <w:b/>
                <w:bCs/>
                <w:sz w:val="20"/>
                <w:szCs w:val="20"/>
              </w:rPr>
              <w:t>Clinical criteria:</w:t>
            </w:r>
          </w:p>
        </w:tc>
      </w:tr>
      <w:tr w:rsidR="00AA42BB" w:rsidRPr="00AA42BB" w14:paraId="773944BF"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79CED" w14:textId="617C3DC9"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CC</w:t>
            </w:r>
            <w:r w:rsidR="00B01FCA">
              <w:rPr>
                <w:rFonts w:ascii="Arial Narrow" w:hAnsi="Arial Narrow"/>
                <w:sz w:val="20"/>
                <w:szCs w:val="20"/>
              </w:rPr>
              <w:t>1</w:t>
            </w:r>
            <w:r w:rsidRPr="00AA42BB">
              <w:rPr>
                <w:rFonts w:ascii="Arial Narrow" w:hAnsi="Arial Narrow"/>
                <w:sz w:val="20"/>
                <w:szCs w:val="20"/>
              </w:rPr>
              <w:t>.1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9BFCAD" w14:textId="2B6C18D9" w:rsidR="005B0CE6" w:rsidRPr="00AA42BB" w:rsidRDefault="005B0CE6" w:rsidP="00936834">
            <w:pPr>
              <w:keepNext/>
              <w:keepLines/>
              <w:autoSpaceDE w:val="0"/>
              <w:autoSpaceDN w:val="0"/>
              <w:adjustRightInd w:val="0"/>
              <w:rPr>
                <w:rFonts w:ascii="Arial Narrow" w:hAnsi="Arial Narrow"/>
                <w:sz w:val="20"/>
                <w:szCs w:val="20"/>
              </w:rPr>
            </w:pPr>
            <w:r w:rsidRPr="00AA42BB">
              <w:rPr>
                <w:rFonts w:ascii="Arial Narrow" w:hAnsi="Arial Narrow"/>
                <w:sz w:val="20"/>
                <w:szCs w:val="20"/>
              </w:rPr>
              <w:t>Patient must have cardiovascular disease;</w:t>
            </w:r>
            <w:r w:rsidR="006354A8">
              <w:rPr>
                <w:rFonts w:ascii="Arial Narrow" w:hAnsi="Arial Narrow"/>
                <w:sz w:val="20"/>
                <w:szCs w:val="20"/>
              </w:rPr>
              <w:t xml:space="preserve"> or</w:t>
            </w:r>
          </w:p>
        </w:tc>
      </w:tr>
      <w:tr w:rsidR="00AA42BB" w:rsidRPr="00AA42BB" w14:paraId="2F498EA6"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8C059F" w14:textId="48875C43"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CC</w:t>
            </w:r>
            <w:r w:rsidR="00B01FCA">
              <w:rPr>
                <w:rFonts w:ascii="Arial Narrow" w:hAnsi="Arial Narrow"/>
                <w:sz w:val="20"/>
                <w:szCs w:val="20"/>
              </w:rPr>
              <w:t>1</w:t>
            </w:r>
            <w:r w:rsidRPr="00AA42BB">
              <w:rPr>
                <w:rFonts w:ascii="Arial Narrow" w:hAnsi="Arial Narrow"/>
                <w:sz w:val="20"/>
                <w:szCs w:val="20"/>
              </w:rPr>
              <w:t>.2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08F63" w14:textId="5B4D28B3" w:rsidR="005B0CE6" w:rsidRPr="00AA42BB" w:rsidRDefault="005B0CE6" w:rsidP="00936834">
            <w:pPr>
              <w:keepNext/>
              <w:keepLines/>
              <w:autoSpaceDE w:val="0"/>
              <w:autoSpaceDN w:val="0"/>
              <w:adjustRightInd w:val="0"/>
              <w:rPr>
                <w:rFonts w:ascii="Arial Narrow" w:hAnsi="Arial Narrow"/>
                <w:sz w:val="20"/>
                <w:szCs w:val="20"/>
              </w:rPr>
            </w:pPr>
            <w:r w:rsidRPr="00AA42BB">
              <w:rPr>
                <w:rFonts w:ascii="Arial Narrow" w:hAnsi="Arial Narrow"/>
                <w:sz w:val="20"/>
                <w:szCs w:val="20"/>
              </w:rPr>
              <w:t>Patient must be at high risk of a cardiovascular event;</w:t>
            </w:r>
            <w:r w:rsidR="006354A8">
              <w:rPr>
                <w:rFonts w:ascii="Arial Narrow" w:hAnsi="Arial Narrow"/>
                <w:sz w:val="20"/>
                <w:szCs w:val="20"/>
              </w:rPr>
              <w:t xml:space="preserve"> or</w:t>
            </w:r>
          </w:p>
        </w:tc>
      </w:tr>
      <w:tr w:rsidR="00AA42BB" w:rsidRPr="00AA42BB" w14:paraId="74C9CEDA"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B0CCB1" w14:textId="3A1659C7"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CC</w:t>
            </w:r>
            <w:r w:rsidR="00B01FCA">
              <w:rPr>
                <w:rFonts w:ascii="Arial Narrow" w:hAnsi="Arial Narrow"/>
                <w:sz w:val="20"/>
                <w:szCs w:val="20"/>
              </w:rPr>
              <w:t>1</w:t>
            </w:r>
            <w:r w:rsidRPr="00AA42BB">
              <w:rPr>
                <w:rFonts w:ascii="Arial Narrow" w:hAnsi="Arial Narrow"/>
                <w:sz w:val="20"/>
                <w:szCs w:val="20"/>
              </w:rPr>
              <w:t>.3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987C2" w14:textId="77777777" w:rsidR="005B0CE6" w:rsidRPr="00AA42BB" w:rsidRDefault="005B0CE6" w:rsidP="00936834">
            <w:pPr>
              <w:keepNext/>
              <w:keepLines/>
              <w:rPr>
                <w:rFonts w:ascii="Arial Narrow" w:hAnsi="Arial Narrow"/>
                <w:sz w:val="20"/>
                <w:szCs w:val="20"/>
              </w:rPr>
            </w:pPr>
            <w:r w:rsidRPr="00AA42BB">
              <w:rPr>
                <w:rFonts w:ascii="Arial Narrow" w:hAnsi="Arial Narrow"/>
                <w:sz w:val="20"/>
                <w:szCs w:val="20"/>
              </w:rPr>
              <w:t>Patient must identify as Aboriginal or Torres Strait Islander.</w:t>
            </w:r>
          </w:p>
        </w:tc>
      </w:tr>
      <w:tr w:rsidR="00AA42BB" w:rsidRPr="00AA42BB" w14:paraId="265BAAB1"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A23739" w14:textId="77777777" w:rsidR="005B0CE6" w:rsidRPr="00AA42BB" w:rsidRDefault="005B0CE6" w:rsidP="00936834">
            <w:pPr>
              <w:keepNext/>
              <w:keepLines/>
              <w:jc w:val="center"/>
              <w:rPr>
                <w:rFonts w:ascii="Arial Narrow" w:hAnsi="Arial Narrow"/>
                <w:i/>
                <w:iCs/>
                <w:sz w:val="20"/>
                <w:szCs w:val="20"/>
              </w:rPr>
            </w:pPr>
            <w:r w:rsidRPr="00AA42BB">
              <w:rPr>
                <w:rFonts w:ascii="Arial Narrow" w:hAnsi="Arial Narrow" w:cs="Open Sans"/>
                <w:sz w:val="20"/>
                <w:szCs w:val="20"/>
                <w:lang w:eastAsia="en-US"/>
              </w:rPr>
              <w:t>New TC1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2D4FD0" w14:textId="77777777" w:rsidR="005B0CE6" w:rsidRPr="00AA42BB" w:rsidRDefault="005B0CE6" w:rsidP="00936834">
            <w:pPr>
              <w:keepNext/>
              <w:keepLines/>
              <w:rPr>
                <w:rFonts w:ascii="Arial Narrow" w:hAnsi="Arial Narrow"/>
                <w:b/>
                <w:bCs/>
                <w:sz w:val="20"/>
                <w:szCs w:val="20"/>
              </w:rPr>
            </w:pPr>
            <w:r w:rsidRPr="00AA42BB">
              <w:rPr>
                <w:rFonts w:ascii="Arial Narrow" w:hAnsi="Arial Narrow" w:cs="Open Sans"/>
                <w:b/>
                <w:bCs/>
                <w:sz w:val="20"/>
                <w:szCs w:val="20"/>
                <w:lang w:eastAsia="en-US"/>
              </w:rPr>
              <w:t>Treatment criteria:</w:t>
            </w:r>
          </w:p>
        </w:tc>
      </w:tr>
      <w:tr w:rsidR="00AA42BB" w:rsidRPr="00AA42BB" w14:paraId="335FF882"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B010C2" w14:textId="77777777" w:rsidR="005B0CE6" w:rsidRPr="00AA42BB" w:rsidRDefault="005B0CE6" w:rsidP="00936834">
            <w:pPr>
              <w:keepNext/>
              <w:keepLines/>
              <w:jc w:val="center"/>
              <w:rPr>
                <w:rFonts w:ascii="Arial Narrow" w:hAnsi="Arial Narrow"/>
                <w:i/>
                <w:iCs/>
                <w:sz w:val="20"/>
                <w:szCs w:val="20"/>
              </w:rPr>
            </w:pPr>
            <w:r w:rsidRPr="00AA42BB">
              <w:rPr>
                <w:rFonts w:ascii="Arial Narrow" w:hAnsi="Arial Narrow" w:cs="Open Sans"/>
                <w:sz w:val="20"/>
                <w:szCs w:val="20"/>
                <w:lang w:eastAsia="en-US"/>
              </w:rPr>
              <w:t>TC1.1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FAEC0" w14:textId="548A1642" w:rsidR="005B0CE6" w:rsidRPr="00AA42BB" w:rsidRDefault="005B0CE6" w:rsidP="00936834">
            <w:pPr>
              <w:keepNext/>
              <w:keepLines/>
              <w:rPr>
                <w:rFonts w:ascii="Arial Narrow" w:hAnsi="Arial Narrow"/>
                <w:i/>
                <w:iCs/>
                <w:sz w:val="20"/>
                <w:szCs w:val="20"/>
              </w:rPr>
            </w:pPr>
            <w:r w:rsidRPr="00AA42BB">
              <w:rPr>
                <w:rFonts w:ascii="Arial Narrow" w:hAnsi="Arial Narrow" w:cs="Open Sans"/>
                <w:sz w:val="20"/>
                <w:szCs w:val="20"/>
                <w:lang w:eastAsia="en-US"/>
              </w:rPr>
              <w:t xml:space="preserve">The patient must not be undergoing concomitant PBS-subsidised treatment </w:t>
            </w:r>
            <w:r w:rsidRPr="00AA42BB">
              <w:rPr>
                <w:rFonts w:ascii="Arial Narrow" w:hAnsi="Arial Narrow" w:cs="Open Sans"/>
                <w:sz w:val="20"/>
                <w:szCs w:val="20"/>
                <w:u w:val="single"/>
                <w:lang w:eastAsia="en-US"/>
              </w:rPr>
              <w:t>for this condition</w:t>
            </w:r>
            <w:r w:rsidRPr="00AA42BB">
              <w:rPr>
                <w:rFonts w:ascii="Arial Narrow" w:hAnsi="Arial Narrow" w:cs="Open Sans"/>
                <w:sz w:val="20"/>
                <w:szCs w:val="20"/>
                <w:lang w:eastAsia="en-US"/>
              </w:rPr>
              <w:t xml:space="preserve"> with any of: </w:t>
            </w:r>
            <w:r w:rsidR="00834CC6">
              <w:rPr>
                <w:rFonts w:ascii="Arial Narrow" w:hAnsi="Arial Narrow" w:cs="Open Sans"/>
                <w:sz w:val="20"/>
                <w:szCs w:val="20"/>
                <w:lang w:eastAsia="en-US"/>
              </w:rPr>
              <w:t xml:space="preserve">(i) </w:t>
            </w:r>
            <w:r w:rsidRPr="00AA42BB">
              <w:rPr>
                <w:rFonts w:ascii="Arial Narrow" w:hAnsi="Arial Narrow" w:cs="Open Sans"/>
                <w:sz w:val="20"/>
                <w:szCs w:val="20"/>
                <w:lang w:eastAsia="en-US"/>
              </w:rPr>
              <w:t xml:space="preserve">a GLP-1 receptor agonist, </w:t>
            </w:r>
            <w:r w:rsidR="00834CC6">
              <w:rPr>
                <w:rFonts w:ascii="Arial Narrow" w:hAnsi="Arial Narrow" w:cs="Open Sans"/>
                <w:sz w:val="20"/>
                <w:szCs w:val="20"/>
                <w:lang w:eastAsia="en-US"/>
              </w:rPr>
              <w:t xml:space="preserve">(ii) </w:t>
            </w:r>
            <w:r w:rsidRPr="00AA42BB">
              <w:rPr>
                <w:rFonts w:ascii="Arial Narrow" w:hAnsi="Arial Narrow" w:cs="Open Sans"/>
                <w:sz w:val="20"/>
                <w:szCs w:val="20"/>
                <w:lang w:eastAsia="en-US"/>
              </w:rPr>
              <w:t>another SGLT2 inhibitor.</w:t>
            </w:r>
          </w:p>
        </w:tc>
      </w:tr>
      <w:tr w:rsidR="005B0CE6" w:rsidRPr="00CD0476" w14:paraId="366902F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202251" w14:textId="1E309FDE" w:rsidR="005B0CE6" w:rsidRPr="00963B51" w:rsidRDefault="005B0CE6" w:rsidP="00936834">
            <w:pPr>
              <w:keepNext/>
              <w:keepLines/>
              <w:jc w:val="center"/>
              <w:rPr>
                <w:rFonts w:ascii="Arial Narrow" w:hAnsi="Arial Narrow"/>
                <w:i/>
                <w:iCs/>
                <w:sz w:val="20"/>
                <w:szCs w:val="20"/>
              </w:rPr>
            </w:pPr>
            <w:r w:rsidRPr="00AA42BB">
              <w:rPr>
                <w:rFonts w:ascii="Arial Narrow" w:hAnsi="Arial Narrow"/>
                <w:sz w:val="20"/>
                <w:szCs w:val="20"/>
              </w:rPr>
              <w:t>New AA</w:t>
            </w:r>
            <w:r w:rsidR="00B01FCA">
              <w:rPr>
                <w:rFonts w:ascii="Arial Narrow" w:hAnsi="Arial Narrow"/>
                <w:sz w:val="20"/>
                <w:szCs w:val="20"/>
              </w:rPr>
              <w:t>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397B4F" w14:textId="54028D50" w:rsidR="00B01FCA" w:rsidRDefault="00B01FCA" w:rsidP="00936834">
            <w:pPr>
              <w:keepNext/>
              <w:keepLines/>
              <w:rPr>
                <w:rFonts w:ascii="Arial Narrow" w:eastAsia="Calibri" w:hAnsi="Arial Narrow" w:cs="Calibri"/>
                <w:sz w:val="20"/>
                <w:szCs w:val="20"/>
              </w:rPr>
            </w:pPr>
            <w:r w:rsidRPr="00AA42BB">
              <w:rPr>
                <w:rFonts w:ascii="Arial Narrow" w:hAnsi="Arial Narrow"/>
                <w:b/>
                <w:bCs/>
                <w:sz w:val="20"/>
                <w:szCs w:val="20"/>
              </w:rPr>
              <w:t>Administrative Advice</w:t>
            </w:r>
          </w:p>
          <w:p w14:paraId="4ED15278" w14:textId="01A82253" w:rsidR="005B0CE6" w:rsidRPr="002F4D85" w:rsidRDefault="005B0CE6" w:rsidP="00936834">
            <w:pPr>
              <w:keepNext/>
              <w:keepLines/>
              <w:rPr>
                <w:rFonts w:ascii="Arial Narrow" w:eastAsiaTheme="minorHAnsi" w:hAnsi="Arial Narrow" w:cstheme="minorBidi"/>
                <w:sz w:val="20"/>
                <w:szCs w:val="20"/>
              </w:rPr>
            </w:pPr>
            <w:r w:rsidRPr="002F4D85">
              <w:rPr>
                <w:rFonts w:ascii="Arial Narrow" w:eastAsia="Calibri" w:hAnsi="Arial Narrow" w:cs="Calibri"/>
                <w:sz w:val="20"/>
                <w:szCs w:val="20"/>
              </w:rPr>
              <w:t xml:space="preserve">The Australian Absolute Cardiovascular Disease Risk Calculator is available at </w:t>
            </w:r>
            <w:hyperlink r:id="rId9" w:history="1">
              <w:r w:rsidRPr="002F4D85">
                <w:rPr>
                  <w:rStyle w:val="Hyperlink"/>
                  <w:rFonts w:ascii="Arial Narrow" w:eastAsia="Calibri" w:hAnsi="Arial Narrow" w:cs="Calibri"/>
                  <w:sz w:val="20"/>
                  <w:szCs w:val="20"/>
                </w:rPr>
                <w:t>www.cvdcheck.org.au</w:t>
              </w:r>
            </w:hyperlink>
            <w:r w:rsidRPr="002F4D85">
              <w:rPr>
                <w:rFonts w:ascii="Arial Narrow" w:hAnsi="Arial Narrow" w:cstheme="minorBidi"/>
                <w:sz w:val="20"/>
                <w:szCs w:val="20"/>
              </w:rPr>
              <w:t>.</w:t>
            </w:r>
          </w:p>
          <w:p w14:paraId="23C0CC44" w14:textId="163C0C0A" w:rsidR="005B0CE6" w:rsidRPr="00FA26CD" w:rsidRDefault="00C01DEA" w:rsidP="00936834">
            <w:pPr>
              <w:keepNext/>
              <w:keepLines/>
              <w:rPr>
                <w:rFonts w:ascii="Arial Narrow" w:hAnsi="Arial Narrow"/>
                <w:i/>
                <w:iCs/>
                <w:strike/>
                <w:sz w:val="20"/>
                <w:szCs w:val="20"/>
              </w:rPr>
            </w:pPr>
            <w:r w:rsidRPr="00C01DEA">
              <w:rPr>
                <w:rFonts w:ascii="Arial Narrow" w:hAnsi="Arial Narrow" w:cstheme="minorHAnsi"/>
                <w:sz w:val="20"/>
                <w:szCs w:val="20"/>
              </w:rPr>
              <w:t>High cardiovascular risk is defined as an estimated risk of a cardiovascular event of ≥10% over 5 years</w:t>
            </w:r>
            <w:r>
              <w:rPr>
                <w:rFonts w:ascii="Arial Narrow" w:hAnsi="Arial Narrow" w:cstheme="minorHAnsi"/>
                <w:sz w:val="20"/>
                <w:szCs w:val="20"/>
              </w:rPr>
              <w:t>.</w:t>
            </w:r>
          </w:p>
        </w:tc>
      </w:tr>
      <w:tr w:rsidR="00AA42BB" w:rsidRPr="00AA42BB" w14:paraId="2D24D6A6"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A31198" w14:textId="77777777" w:rsidR="005B0CE6" w:rsidRPr="00AA42BB" w:rsidRDefault="005B0CE6" w:rsidP="00936834">
            <w:pPr>
              <w:keepNext/>
              <w:keepLines/>
              <w:jc w:val="center"/>
              <w:rPr>
                <w:rFonts w:ascii="Arial Narrow" w:hAnsi="Arial Narrow"/>
                <w:sz w:val="20"/>
                <w:szCs w:val="20"/>
              </w:rPr>
            </w:pPr>
            <w:r w:rsidRPr="00AA42BB">
              <w:rPr>
                <w:rFonts w:ascii="Arial Narrow" w:hAnsi="Arial Narrow"/>
                <w:bCs/>
                <w:sz w:val="20"/>
              </w:rPr>
              <w:t>7703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E6F4F3" w14:textId="77777777" w:rsidR="005B0CE6" w:rsidRPr="00AA42BB" w:rsidRDefault="005B0CE6" w:rsidP="00936834">
            <w:pPr>
              <w:keepNext/>
              <w:keepLines/>
              <w:textAlignment w:val="baseline"/>
              <w:rPr>
                <w:rFonts w:ascii="Arial Narrow" w:hAnsi="Arial Narrow"/>
                <w:b/>
                <w:bCs/>
                <w:sz w:val="20"/>
              </w:rPr>
            </w:pPr>
            <w:r w:rsidRPr="00AA42BB">
              <w:rPr>
                <w:rFonts w:ascii="Arial Narrow" w:hAnsi="Arial Narrow"/>
                <w:b/>
                <w:bCs/>
                <w:sz w:val="20"/>
              </w:rPr>
              <w:t>Continuing Therapy Only:</w:t>
            </w:r>
          </w:p>
          <w:p w14:paraId="364FC427" w14:textId="77777777" w:rsidR="005B0CE6" w:rsidRPr="00AA42BB" w:rsidRDefault="005B0CE6" w:rsidP="00936834">
            <w:pPr>
              <w:keepNext/>
              <w:keepLines/>
              <w:rPr>
                <w:rFonts w:ascii="Arial Narrow" w:eastAsia="Calibri" w:hAnsi="Arial Narrow" w:cs="Calibri"/>
                <w:sz w:val="20"/>
                <w:szCs w:val="20"/>
              </w:rPr>
            </w:pPr>
            <w:r w:rsidRPr="00AA42BB">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B0CE6" w:rsidRPr="00AA42BB" w14:paraId="16BB3EDB"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4B66E8" w14:textId="3FC71C8F" w:rsidR="005B0CE6" w:rsidRPr="00AA42BB" w:rsidRDefault="005B0CE6" w:rsidP="00936834">
            <w:pPr>
              <w:keepNext/>
              <w:keepLines/>
              <w:jc w:val="center"/>
              <w:rPr>
                <w:rFonts w:ascii="Arial Narrow" w:hAnsi="Arial Narrow"/>
                <w:sz w:val="20"/>
                <w:szCs w:val="20"/>
              </w:rPr>
            </w:pPr>
            <w:r w:rsidRPr="00AA42BB">
              <w:rPr>
                <w:rFonts w:ascii="Arial Narrow" w:hAnsi="Arial Narrow"/>
                <w:bCs/>
                <w:sz w:val="20"/>
              </w:rPr>
              <w:t>New AA</w:t>
            </w:r>
            <w:r w:rsidR="00B01FCA">
              <w:rPr>
                <w:rFonts w:ascii="Arial Narrow" w:hAnsi="Arial Narrow"/>
                <w:bCs/>
                <w:sz w:val="20"/>
              </w:rPr>
              <w:t>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34E95B" w14:textId="13F2DCB4" w:rsidR="00BC1DE7" w:rsidRDefault="00BC1DE7" w:rsidP="00936834">
            <w:pPr>
              <w:textAlignment w:val="baseline"/>
              <w:rPr>
                <w:rFonts w:ascii="Arial Narrow" w:hAnsi="Arial Narrow"/>
                <w:sz w:val="20"/>
              </w:rPr>
            </w:pPr>
            <w:r w:rsidRPr="00AA42BB">
              <w:rPr>
                <w:rFonts w:ascii="Arial Narrow" w:hAnsi="Arial Narrow"/>
                <w:b/>
                <w:bCs/>
                <w:sz w:val="20"/>
                <w:szCs w:val="20"/>
              </w:rPr>
              <w:t>Administrative Advice</w:t>
            </w:r>
          </w:p>
          <w:p w14:paraId="5CB7D2DB" w14:textId="33FE55F8" w:rsidR="005B0CE6" w:rsidRPr="00AA42BB" w:rsidRDefault="005B0CE6" w:rsidP="00936834">
            <w:pPr>
              <w:textAlignment w:val="baseline"/>
              <w:rPr>
                <w:rFonts w:ascii="Arial Narrow" w:hAnsi="Arial Narrow"/>
                <w:sz w:val="20"/>
              </w:rPr>
            </w:pPr>
            <w:r w:rsidRPr="00AA42BB">
              <w:rPr>
                <w:rFonts w:ascii="Arial Narrow" w:hAnsi="Arial Narrow"/>
                <w:sz w:val="20"/>
              </w:rPr>
              <w:t>Abbreviations used in the restriction are as follows:</w:t>
            </w:r>
          </w:p>
          <w:p w14:paraId="13211013" w14:textId="1DF17EBC" w:rsidR="005B0CE6" w:rsidRPr="00AA42BB" w:rsidRDefault="005B0CE6" w:rsidP="00936834">
            <w:pPr>
              <w:textAlignment w:val="baseline"/>
              <w:rPr>
                <w:rFonts w:ascii="Arial Narrow" w:hAnsi="Arial Narrow"/>
                <w:sz w:val="20"/>
              </w:rPr>
            </w:pPr>
            <w:r w:rsidRPr="00AA42BB">
              <w:rPr>
                <w:rFonts w:ascii="Arial Narrow" w:hAnsi="Arial Narrow"/>
                <w:sz w:val="20"/>
              </w:rPr>
              <w:t xml:space="preserve">SGLT2 – sodium glucose </w:t>
            </w:r>
            <w:r w:rsidR="001A6328">
              <w:rPr>
                <w:rFonts w:ascii="Arial Narrow" w:hAnsi="Arial Narrow"/>
                <w:sz w:val="20"/>
              </w:rPr>
              <w:t>co</w:t>
            </w:r>
            <w:r w:rsidRPr="00AA42BB">
              <w:rPr>
                <w:rFonts w:ascii="Arial Narrow" w:hAnsi="Arial Narrow"/>
                <w:sz w:val="20"/>
              </w:rPr>
              <w:t>transporter-2 inhibitor (drug names ending in ‘</w:t>
            </w:r>
            <w:proofErr w:type="spellStart"/>
            <w:r w:rsidRPr="00AA42BB">
              <w:rPr>
                <w:rFonts w:ascii="Arial Narrow" w:hAnsi="Arial Narrow"/>
                <w:sz w:val="20"/>
              </w:rPr>
              <w:t>flozin</w:t>
            </w:r>
            <w:proofErr w:type="spellEnd"/>
            <w:r w:rsidRPr="00AA42BB">
              <w:rPr>
                <w:rFonts w:ascii="Arial Narrow" w:hAnsi="Arial Narrow"/>
                <w:sz w:val="20"/>
              </w:rPr>
              <w:t>’)</w:t>
            </w:r>
          </w:p>
          <w:p w14:paraId="76726DAF" w14:textId="77777777" w:rsidR="005B0CE6" w:rsidRPr="00AA42BB" w:rsidRDefault="005B0CE6" w:rsidP="00936834">
            <w:pPr>
              <w:textAlignment w:val="baseline"/>
              <w:rPr>
                <w:rFonts w:ascii="Arial Narrow" w:hAnsi="Arial Narrow"/>
                <w:sz w:val="20"/>
              </w:rPr>
            </w:pPr>
            <w:r w:rsidRPr="00AA42BB">
              <w:rPr>
                <w:rFonts w:ascii="Arial Narrow" w:hAnsi="Arial Narrow"/>
                <w:sz w:val="20"/>
              </w:rPr>
              <w:t>DPP4 – dipeptidyl peptidase-4 inhibitor (drug names ending in ‘gliptin’)</w:t>
            </w:r>
          </w:p>
          <w:p w14:paraId="1EE6C90A" w14:textId="77777777" w:rsidR="005B0CE6" w:rsidRPr="00AA42BB" w:rsidRDefault="005B0CE6" w:rsidP="00936834">
            <w:pPr>
              <w:keepNext/>
              <w:keepLines/>
              <w:rPr>
                <w:rFonts w:ascii="Arial Narrow" w:eastAsia="Calibri" w:hAnsi="Arial Narrow" w:cs="Calibri"/>
                <w:sz w:val="20"/>
                <w:szCs w:val="20"/>
              </w:rPr>
            </w:pPr>
            <w:r w:rsidRPr="00AA42BB">
              <w:rPr>
                <w:rFonts w:ascii="Arial Narrow" w:hAnsi="Arial Narrow"/>
                <w:sz w:val="20"/>
              </w:rPr>
              <w:t>GLP-1 – glucagon-like peptide-1 receptor agonist</w:t>
            </w:r>
          </w:p>
        </w:tc>
      </w:tr>
      <w:bookmarkEnd w:id="3"/>
    </w:tbl>
    <w:p w14:paraId="28671035" w14:textId="77777777" w:rsidR="005B0CE6" w:rsidRPr="00AA42BB" w:rsidRDefault="005B0CE6" w:rsidP="005B0CE6">
      <w:pPr>
        <w:rPr>
          <w:rFonts w:cs="Calibri"/>
        </w:rPr>
      </w:pPr>
    </w:p>
    <w:p w14:paraId="14E58105" w14:textId="1F216096" w:rsidR="005B0CE6" w:rsidRPr="00AA42BB" w:rsidRDefault="005B0CE6" w:rsidP="00015C5F">
      <w:pPr>
        <w:pStyle w:val="4-SubsectionHeading"/>
        <w:keepLines/>
      </w:pPr>
      <w:r w:rsidRPr="00AA42BB">
        <w:lastRenderedPageBreak/>
        <w:t xml:space="preserve">MDQ </w:t>
      </w:r>
      <w:r w:rsidR="009A169B">
        <w:t>listings – SGLT2 inhibitor</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AA42BB" w:rsidRPr="00AA42BB" w14:paraId="39D5C3D8" w14:textId="77777777" w:rsidTr="00936834">
        <w:trPr>
          <w:cantSplit/>
          <w:trHeight w:val="471"/>
        </w:trPr>
        <w:tc>
          <w:tcPr>
            <w:tcW w:w="3964" w:type="dxa"/>
            <w:tcBorders>
              <w:top w:val="single" w:sz="4" w:space="0" w:color="auto"/>
              <w:left w:val="single" w:sz="4" w:space="0" w:color="auto"/>
              <w:bottom w:val="single" w:sz="4" w:space="0" w:color="auto"/>
              <w:right w:val="single" w:sz="4" w:space="0" w:color="auto"/>
            </w:tcBorders>
            <w:hideMark/>
          </w:tcPr>
          <w:p w14:paraId="43936665" w14:textId="77777777" w:rsidR="005B0CE6" w:rsidRPr="00AA42BB" w:rsidRDefault="005B0CE6" w:rsidP="00015C5F">
            <w:pPr>
              <w:keepNext/>
              <w:keepLines/>
              <w:ind w:left="-108"/>
              <w:rPr>
                <w:rFonts w:ascii="Arial Narrow" w:hAnsi="Arial Narrow" w:cs="Arial"/>
                <w:b/>
                <w:sz w:val="20"/>
                <w:szCs w:val="20"/>
              </w:rPr>
            </w:pPr>
            <w:r w:rsidRPr="00AA42BB">
              <w:rPr>
                <w:rFonts w:ascii="Arial Narrow" w:hAnsi="Arial Narrow" w:cs="Arial"/>
                <w:b/>
                <w:sz w:val="20"/>
                <w:szCs w:val="20"/>
              </w:rPr>
              <w:t>Name, Restriction,</w:t>
            </w:r>
          </w:p>
          <w:p w14:paraId="08CC18C5" w14:textId="77777777" w:rsidR="005B0CE6" w:rsidRPr="00AA42BB" w:rsidRDefault="005B0CE6" w:rsidP="00015C5F">
            <w:pPr>
              <w:keepNext/>
              <w:keepLines/>
              <w:ind w:left="-108"/>
              <w:rPr>
                <w:rFonts w:ascii="Arial Narrow" w:hAnsi="Arial Narrow" w:cs="Arial"/>
                <w:b/>
                <w:sz w:val="20"/>
                <w:szCs w:val="20"/>
              </w:rPr>
            </w:pPr>
            <w:r w:rsidRPr="00AA42BB">
              <w:rPr>
                <w:rFonts w:ascii="Arial Narrow" w:hAnsi="Arial Narrow" w:cs="Arial"/>
                <w:b/>
                <w:sz w:val="20"/>
                <w:szCs w:val="20"/>
              </w:rPr>
              <w:t>Manner of administration and form</w:t>
            </w:r>
          </w:p>
        </w:tc>
        <w:tc>
          <w:tcPr>
            <w:tcW w:w="993" w:type="dxa"/>
            <w:tcBorders>
              <w:top w:val="single" w:sz="4" w:space="0" w:color="auto"/>
              <w:left w:val="single" w:sz="4" w:space="0" w:color="auto"/>
              <w:bottom w:val="single" w:sz="4" w:space="0" w:color="auto"/>
              <w:right w:val="single" w:sz="4" w:space="0" w:color="auto"/>
            </w:tcBorders>
            <w:hideMark/>
          </w:tcPr>
          <w:p w14:paraId="18DEFC82" w14:textId="77777777" w:rsidR="005B0CE6" w:rsidRPr="00AA42BB" w:rsidRDefault="005B0CE6" w:rsidP="00015C5F">
            <w:pPr>
              <w:keepNext/>
              <w:keepLines/>
              <w:ind w:left="-108"/>
              <w:jc w:val="center"/>
              <w:rPr>
                <w:rFonts w:ascii="Arial Narrow" w:hAnsi="Arial Narrow" w:cs="Arial"/>
                <w:b/>
                <w:sz w:val="20"/>
                <w:szCs w:val="20"/>
              </w:rPr>
            </w:pPr>
            <w:r w:rsidRPr="00AA42BB">
              <w:rPr>
                <w:rFonts w:ascii="Arial Narrow" w:hAnsi="Arial Narrow" w:cs="Arial"/>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3D89D0E2" w14:textId="77777777" w:rsidR="005B0CE6" w:rsidRPr="00AA42BB" w:rsidRDefault="005B0CE6" w:rsidP="00015C5F">
            <w:pPr>
              <w:keepNext/>
              <w:keepLines/>
              <w:ind w:left="-108"/>
              <w:jc w:val="center"/>
              <w:rPr>
                <w:rFonts w:ascii="Arial Narrow" w:hAnsi="Arial Narrow" w:cs="Arial"/>
                <w:b/>
                <w:sz w:val="20"/>
                <w:szCs w:val="20"/>
              </w:rPr>
            </w:pPr>
            <w:r w:rsidRPr="00AA42BB">
              <w:rPr>
                <w:rFonts w:ascii="Arial Narrow" w:hAnsi="Arial Narrow" w:cs="Arial"/>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6B1F36C8" w14:textId="77777777" w:rsidR="005B0CE6" w:rsidRPr="00AA42BB" w:rsidRDefault="005B0CE6" w:rsidP="00015C5F">
            <w:pPr>
              <w:keepNext/>
              <w:keepLines/>
              <w:ind w:left="-108"/>
              <w:jc w:val="center"/>
              <w:rPr>
                <w:rFonts w:ascii="Arial Narrow" w:hAnsi="Arial Narrow" w:cs="Arial"/>
                <w:b/>
                <w:sz w:val="20"/>
                <w:szCs w:val="20"/>
              </w:rPr>
            </w:pPr>
            <w:r w:rsidRPr="00AA42BB">
              <w:rPr>
                <w:rFonts w:ascii="Arial Narrow" w:hAnsi="Arial Narrow" w:cs="Arial"/>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278577D7" w14:textId="77777777" w:rsidR="005B0CE6" w:rsidRPr="00AA42BB" w:rsidRDefault="005B0CE6" w:rsidP="00015C5F">
            <w:pPr>
              <w:keepNext/>
              <w:keepLines/>
              <w:ind w:left="-108"/>
              <w:jc w:val="center"/>
              <w:rPr>
                <w:rFonts w:ascii="Arial Narrow" w:hAnsi="Arial Narrow" w:cs="Arial"/>
                <w:b/>
                <w:sz w:val="20"/>
                <w:szCs w:val="20"/>
              </w:rPr>
            </w:pPr>
            <w:proofErr w:type="gramStart"/>
            <w:r w:rsidRPr="00AA42BB">
              <w:rPr>
                <w:rFonts w:ascii="Arial Narrow" w:hAnsi="Arial Narrow" w:cs="Arial"/>
                <w:b/>
                <w:sz w:val="20"/>
                <w:szCs w:val="20"/>
              </w:rPr>
              <w:t>№.of</w:t>
            </w:r>
            <w:proofErr w:type="gramEnd"/>
          </w:p>
          <w:p w14:paraId="46533D36" w14:textId="77777777" w:rsidR="005B0CE6" w:rsidRPr="00AA42BB" w:rsidRDefault="005B0CE6" w:rsidP="00015C5F">
            <w:pPr>
              <w:keepNext/>
              <w:keepLines/>
              <w:ind w:left="-108"/>
              <w:jc w:val="center"/>
              <w:rPr>
                <w:rFonts w:ascii="Arial Narrow" w:hAnsi="Arial Narrow" w:cs="Arial"/>
                <w:b/>
                <w:sz w:val="20"/>
                <w:szCs w:val="20"/>
              </w:rPr>
            </w:pPr>
            <w:proofErr w:type="spellStart"/>
            <w:r w:rsidRPr="00AA42BB">
              <w:rPr>
                <w:rFonts w:ascii="Arial Narrow" w:hAnsi="Arial Narrow" w:cs="Arial"/>
                <w:b/>
                <w:sz w:val="20"/>
                <w:szCs w:val="20"/>
              </w:rPr>
              <w:t>Rpts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600CC0" w14:textId="77777777" w:rsidR="005B0CE6" w:rsidRPr="00AA42BB" w:rsidRDefault="005B0CE6" w:rsidP="00015C5F">
            <w:pPr>
              <w:keepNext/>
              <w:keepLines/>
              <w:rPr>
                <w:rFonts w:ascii="Arial Narrow" w:hAnsi="Arial Narrow" w:cs="Arial"/>
                <w:b/>
                <w:sz w:val="20"/>
                <w:szCs w:val="20"/>
                <w:lang w:val="fr-FR"/>
              </w:rPr>
            </w:pPr>
            <w:r w:rsidRPr="00AA42BB">
              <w:rPr>
                <w:rFonts w:ascii="Arial Narrow" w:hAnsi="Arial Narrow" w:cs="Arial"/>
                <w:b/>
                <w:sz w:val="20"/>
                <w:szCs w:val="20"/>
              </w:rPr>
              <w:t>Available brands</w:t>
            </w:r>
          </w:p>
        </w:tc>
      </w:tr>
      <w:tr w:rsidR="00AA42BB" w:rsidRPr="00AA42BB" w14:paraId="26B91A23" w14:textId="77777777" w:rsidTr="00936834">
        <w:trPr>
          <w:cantSplit/>
          <w:trHeight w:val="761"/>
        </w:trPr>
        <w:tc>
          <w:tcPr>
            <w:tcW w:w="3964" w:type="dxa"/>
            <w:tcBorders>
              <w:top w:val="single" w:sz="4" w:space="0" w:color="auto"/>
              <w:left w:val="single" w:sz="4" w:space="0" w:color="auto"/>
              <w:bottom w:val="single" w:sz="4" w:space="0" w:color="auto"/>
              <w:right w:val="single" w:sz="4" w:space="0" w:color="auto"/>
            </w:tcBorders>
          </w:tcPr>
          <w:p w14:paraId="58C701BF" w14:textId="77777777" w:rsidR="005B0CE6" w:rsidRPr="00AA42BB" w:rsidRDefault="005B0CE6" w:rsidP="00015C5F">
            <w:pPr>
              <w:keepNext/>
              <w:keepLines/>
              <w:ind w:left="-108"/>
              <w:rPr>
                <w:rFonts w:ascii="Arial Narrow" w:hAnsi="Arial Narrow" w:cs="Arial"/>
                <w:sz w:val="20"/>
                <w:szCs w:val="20"/>
              </w:rPr>
            </w:pPr>
            <w:r w:rsidRPr="00AA42BB">
              <w:rPr>
                <w:rFonts w:ascii="Arial Narrow" w:hAnsi="Arial Narrow" w:cs="Arial"/>
                <w:sz w:val="20"/>
                <w:szCs w:val="20"/>
              </w:rPr>
              <w:t>DAPAGLIFLOZIN</w:t>
            </w:r>
          </w:p>
          <w:p w14:paraId="659AE9C8" w14:textId="77777777" w:rsidR="005B0CE6" w:rsidRPr="00AA42BB" w:rsidRDefault="005B0CE6" w:rsidP="00015C5F">
            <w:pPr>
              <w:keepNext/>
              <w:keepLines/>
              <w:ind w:left="-108"/>
              <w:rPr>
                <w:rFonts w:ascii="Arial Narrow" w:hAnsi="Arial Narrow" w:cs="Arial"/>
                <w:sz w:val="20"/>
                <w:szCs w:val="20"/>
              </w:rPr>
            </w:pPr>
          </w:p>
          <w:p w14:paraId="03077EFE" w14:textId="77777777" w:rsidR="005B0CE6" w:rsidRPr="00AA42BB" w:rsidRDefault="005B0CE6" w:rsidP="00015C5F">
            <w:pPr>
              <w:keepNext/>
              <w:keepLines/>
              <w:ind w:left="-108"/>
              <w:rPr>
                <w:rFonts w:ascii="Arial Narrow" w:hAnsi="Arial Narrow" w:cs="Arial"/>
                <w:sz w:val="20"/>
                <w:szCs w:val="20"/>
              </w:rPr>
            </w:pPr>
            <w:r w:rsidRPr="00AA42BB">
              <w:rPr>
                <w:rFonts w:ascii="Arial Narrow" w:hAnsi="Arial Narrow" w:cs="Arial"/>
                <w:sz w:val="20"/>
                <w:szCs w:val="20"/>
              </w:rPr>
              <w:t>dapagliflozin 10 mg tablet, 28</w:t>
            </w:r>
          </w:p>
        </w:tc>
        <w:tc>
          <w:tcPr>
            <w:tcW w:w="993" w:type="dxa"/>
            <w:tcBorders>
              <w:top w:val="single" w:sz="4" w:space="0" w:color="auto"/>
              <w:left w:val="single" w:sz="4" w:space="0" w:color="auto"/>
              <w:bottom w:val="single" w:sz="4" w:space="0" w:color="auto"/>
              <w:right w:val="single" w:sz="4" w:space="0" w:color="auto"/>
            </w:tcBorders>
          </w:tcPr>
          <w:p w14:paraId="519F87E0" w14:textId="77777777" w:rsidR="005B0CE6" w:rsidRPr="00AA42BB" w:rsidRDefault="005B0CE6" w:rsidP="00015C5F">
            <w:pPr>
              <w:keepNext/>
              <w:keepLines/>
              <w:jc w:val="center"/>
              <w:rPr>
                <w:rFonts w:ascii="Arial Narrow" w:hAnsi="Arial Narrow" w:cs="Arial"/>
                <w:sz w:val="20"/>
                <w:szCs w:val="20"/>
              </w:rPr>
            </w:pPr>
          </w:p>
          <w:p w14:paraId="702C7FA8" w14:textId="77777777" w:rsidR="005B0CE6" w:rsidRPr="00AA42BB" w:rsidRDefault="005B0CE6" w:rsidP="00015C5F">
            <w:pPr>
              <w:keepNext/>
              <w:keepLines/>
              <w:jc w:val="center"/>
              <w:rPr>
                <w:rFonts w:ascii="Arial Narrow" w:hAnsi="Arial Narrow" w:cs="Arial"/>
                <w:sz w:val="20"/>
                <w:szCs w:val="20"/>
              </w:rPr>
            </w:pPr>
            <w:r w:rsidRPr="00AA42BB">
              <w:rPr>
                <w:rFonts w:ascii="Arial Narrow" w:hAnsi="Arial Narrow" w:cs="Arial"/>
                <w:sz w:val="20"/>
                <w:szCs w:val="20"/>
              </w:rPr>
              <w:t>13844P</w:t>
            </w:r>
          </w:p>
          <w:p w14:paraId="762A345B" w14:textId="77777777" w:rsidR="005B0CE6" w:rsidRPr="00AA42BB" w:rsidRDefault="005B0CE6" w:rsidP="00015C5F">
            <w:pPr>
              <w:keepNext/>
              <w:keepLines/>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p w14:paraId="4C278FA7" w14:textId="77777777" w:rsidR="005B0CE6" w:rsidRPr="00AA42BB" w:rsidRDefault="005B0CE6" w:rsidP="00015C5F">
            <w:pPr>
              <w:keepNext/>
              <w:keepLines/>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BED89B" w14:textId="77777777" w:rsidR="005B0CE6" w:rsidRPr="00AA42BB" w:rsidRDefault="005B0CE6" w:rsidP="00015C5F">
            <w:pPr>
              <w:keepNext/>
              <w:keepLines/>
              <w:jc w:val="center"/>
              <w:rPr>
                <w:rFonts w:ascii="Arial Narrow" w:hAnsi="Arial Narrow" w:cs="Arial"/>
                <w:sz w:val="20"/>
                <w:szCs w:val="20"/>
              </w:rPr>
            </w:pPr>
          </w:p>
          <w:p w14:paraId="48886B1B" w14:textId="77777777" w:rsidR="005B0CE6" w:rsidRPr="00AA42BB" w:rsidRDefault="005B0CE6" w:rsidP="00015C5F">
            <w:pPr>
              <w:keepNext/>
              <w:keepLines/>
              <w:rPr>
                <w:rFonts w:ascii="Arial Narrow" w:hAnsi="Arial Narrow" w:cs="Arial"/>
                <w:sz w:val="20"/>
                <w:szCs w:val="20"/>
              </w:rPr>
            </w:pPr>
          </w:p>
          <w:p w14:paraId="3481B883" w14:textId="77777777" w:rsidR="005B0CE6" w:rsidRPr="00AA42BB" w:rsidRDefault="005B0CE6" w:rsidP="00015C5F">
            <w:pPr>
              <w:keepNext/>
              <w:keepLines/>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F903AED" w14:textId="77777777" w:rsidR="005B0CE6" w:rsidRPr="00AA42BB" w:rsidRDefault="005B0CE6" w:rsidP="00015C5F">
            <w:pPr>
              <w:keepNext/>
              <w:keepLines/>
              <w:ind w:left="-108"/>
              <w:jc w:val="center"/>
              <w:rPr>
                <w:rFonts w:ascii="Arial Narrow" w:hAnsi="Arial Narrow" w:cs="Arial"/>
                <w:sz w:val="20"/>
                <w:szCs w:val="20"/>
              </w:rPr>
            </w:pPr>
          </w:p>
          <w:p w14:paraId="0B317EED" w14:textId="77777777" w:rsidR="005B0CE6" w:rsidRPr="00AA42BB" w:rsidRDefault="005B0CE6" w:rsidP="00015C5F">
            <w:pPr>
              <w:keepNext/>
              <w:keepLines/>
              <w:rPr>
                <w:rFonts w:ascii="Arial Narrow" w:hAnsi="Arial Narrow" w:cs="Arial"/>
                <w:sz w:val="20"/>
                <w:szCs w:val="20"/>
              </w:rPr>
            </w:pPr>
          </w:p>
          <w:p w14:paraId="04DF0213" w14:textId="77777777" w:rsidR="005B0CE6" w:rsidRPr="00AA42BB" w:rsidRDefault="005B0CE6" w:rsidP="00015C5F">
            <w:pPr>
              <w:keepNext/>
              <w:keepLines/>
              <w:ind w:left="-108"/>
              <w:jc w:val="center"/>
              <w:rPr>
                <w:rFonts w:ascii="Arial Narrow" w:hAnsi="Arial Narrow" w:cs="Arial"/>
                <w:sz w:val="20"/>
                <w:szCs w:val="20"/>
              </w:rPr>
            </w:pPr>
            <w:r w:rsidRPr="00AA42BB">
              <w:rPr>
                <w:rFonts w:ascii="Arial Narrow" w:hAnsi="Arial Narrow" w:cs="Arial"/>
                <w:sz w:val="20"/>
                <w:szCs w:val="20"/>
              </w:rPr>
              <w:t>56</w:t>
            </w:r>
          </w:p>
        </w:tc>
        <w:tc>
          <w:tcPr>
            <w:tcW w:w="708" w:type="dxa"/>
            <w:tcBorders>
              <w:top w:val="single" w:sz="4" w:space="0" w:color="auto"/>
              <w:left w:val="single" w:sz="4" w:space="0" w:color="auto"/>
              <w:bottom w:val="single" w:sz="4" w:space="0" w:color="auto"/>
              <w:right w:val="single" w:sz="4" w:space="0" w:color="auto"/>
            </w:tcBorders>
          </w:tcPr>
          <w:p w14:paraId="7A5F3A50" w14:textId="77777777" w:rsidR="005B0CE6" w:rsidRPr="00AA42BB" w:rsidRDefault="005B0CE6" w:rsidP="00015C5F">
            <w:pPr>
              <w:keepNext/>
              <w:keepLines/>
              <w:ind w:left="-108"/>
              <w:jc w:val="center"/>
              <w:rPr>
                <w:rFonts w:ascii="Arial Narrow" w:hAnsi="Arial Narrow" w:cs="Arial"/>
                <w:sz w:val="20"/>
                <w:szCs w:val="20"/>
              </w:rPr>
            </w:pPr>
          </w:p>
          <w:p w14:paraId="324CFDBC" w14:textId="77777777" w:rsidR="005B0CE6" w:rsidRPr="00AA42BB" w:rsidRDefault="005B0CE6" w:rsidP="00015C5F">
            <w:pPr>
              <w:keepNext/>
              <w:keepLines/>
              <w:rPr>
                <w:rFonts w:ascii="Arial Narrow" w:hAnsi="Arial Narrow" w:cs="Arial"/>
                <w:sz w:val="20"/>
                <w:szCs w:val="20"/>
              </w:rPr>
            </w:pPr>
          </w:p>
          <w:p w14:paraId="4EAED3B6" w14:textId="77777777" w:rsidR="005B0CE6" w:rsidRPr="00AA42BB" w:rsidRDefault="005B0CE6" w:rsidP="00015C5F">
            <w:pPr>
              <w:keepNext/>
              <w:keepLines/>
              <w:ind w:left="-108"/>
              <w:jc w:val="center"/>
              <w:rPr>
                <w:rFonts w:ascii="Arial Narrow" w:hAnsi="Arial Narrow" w:cs="Arial"/>
                <w:sz w:val="20"/>
                <w:szCs w:val="20"/>
              </w:rPr>
            </w:pPr>
            <w:r w:rsidRPr="00AA42BB">
              <w:rPr>
                <w:rFonts w:ascii="Arial Narrow" w:hAnsi="Arial Narrow" w:cs="Arial"/>
                <w:sz w:val="20"/>
                <w:szCs w:val="20"/>
              </w:rPr>
              <w:t>5</w:t>
            </w:r>
          </w:p>
          <w:p w14:paraId="23FCD2B9" w14:textId="77777777" w:rsidR="005B0CE6" w:rsidRPr="00AA42BB" w:rsidRDefault="005B0CE6" w:rsidP="00015C5F">
            <w:pPr>
              <w:keepNext/>
              <w:keepLines/>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52CC25F" w14:textId="77777777" w:rsidR="005B0CE6" w:rsidRPr="00AA42BB" w:rsidRDefault="005B0CE6" w:rsidP="00015C5F">
            <w:pPr>
              <w:keepNext/>
              <w:keepLines/>
              <w:rPr>
                <w:rFonts w:ascii="Arial Narrow" w:hAnsi="Arial Narrow" w:cs="Arial"/>
                <w:sz w:val="20"/>
                <w:szCs w:val="20"/>
              </w:rPr>
            </w:pPr>
          </w:p>
          <w:p w14:paraId="11299513" w14:textId="77777777" w:rsidR="005B0CE6" w:rsidRPr="00AA42BB" w:rsidRDefault="005B0CE6" w:rsidP="00015C5F">
            <w:pPr>
              <w:keepNext/>
              <w:keepLines/>
              <w:rPr>
                <w:rFonts w:ascii="Arial Narrow" w:hAnsi="Arial Narrow" w:cs="Arial"/>
                <w:sz w:val="20"/>
                <w:szCs w:val="20"/>
              </w:rPr>
            </w:pPr>
          </w:p>
          <w:p w14:paraId="178364A7" w14:textId="640EA86E" w:rsidR="005B0CE6" w:rsidRPr="00AA42BB" w:rsidRDefault="005B0CE6" w:rsidP="00015C5F">
            <w:pPr>
              <w:keepNext/>
              <w:keepLines/>
              <w:rPr>
                <w:rFonts w:ascii="Arial Narrow" w:hAnsi="Arial Narrow" w:cs="Arial"/>
                <w:sz w:val="20"/>
                <w:szCs w:val="20"/>
              </w:rPr>
            </w:pPr>
            <w:proofErr w:type="spellStart"/>
            <w:r w:rsidRPr="00AA42BB">
              <w:rPr>
                <w:rFonts w:ascii="Arial Narrow" w:hAnsi="Arial Narrow" w:cs="Arial"/>
                <w:sz w:val="20"/>
                <w:szCs w:val="20"/>
              </w:rPr>
              <w:t>Forxiga</w:t>
            </w:r>
            <w:proofErr w:type="spellEnd"/>
          </w:p>
        </w:tc>
      </w:tr>
      <w:tr w:rsidR="00AA42BB" w:rsidRPr="00AA42BB" w14:paraId="2F61AF9D" w14:textId="77777777" w:rsidTr="00936834">
        <w:trPr>
          <w:cantSplit/>
          <w:trHeight w:val="761"/>
        </w:trPr>
        <w:tc>
          <w:tcPr>
            <w:tcW w:w="3964" w:type="dxa"/>
            <w:tcBorders>
              <w:top w:val="single" w:sz="4" w:space="0" w:color="auto"/>
              <w:left w:val="single" w:sz="4" w:space="0" w:color="auto"/>
              <w:bottom w:val="single" w:sz="4" w:space="0" w:color="auto"/>
              <w:right w:val="single" w:sz="4" w:space="0" w:color="auto"/>
            </w:tcBorders>
          </w:tcPr>
          <w:p w14:paraId="262C756D" w14:textId="77777777" w:rsidR="005B0CE6" w:rsidRPr="00AA42BB" w:rsidRDefault="005B0CE6" w:rsidP="00015C5F">
            <w:pPr>
              <w:keepNext/>
              <w:keepLines/>
              <w:ind w:left="-108"/>
              <w:rPr>
                <w:rFonts w:ascii="Arial Narrow" w:hAnsi="Arial Narrow" w:cs="Arial"/>
                <w:sz w:val="20"/>
                <w:szCs w:val="20"/>
              </w:rPr>
            </w:pPr>
            <w:r w:rsidRPr="00AA42BB">
              <w:rPr>
                <w:rFonts w:ascii="Arial Narrow" w:hAnsi="Arial Narrow" w:cs="Arial"/>
                <w:sz w:val="20"/>
                <w:szCs w:val="20"/>
              </w:rPr>
              <w:t>EMPAGLIFLOZIN</w:t>
            </w:r>
          </w:p>
          <w:p w14:paraId="12A19FBB" w14:textId="77777777" w:rsidR="005B0CE6" w:rsidRPr="00AA42BB" w:rsidRDefault="005B0CE6" w:rsidP="00015C5F">
            <w:pPr>
              <w:keepNext/>
              <w:keepLines/>
              <w:ind w:left="-108"/>
              <w:rPr>
                <w:rFonts w:ascii="Arial Narrow" w:hAnsi="Arial Narrow" w:cs="Arial"/>
                <w:sz w:val="20"/>
                <w:szCs w:val="20"/>
              </w:rPr>
            </w:pPr>
          </w:p>
          <w:p w14:paraId="5D798733" w14:textId="77777777" w:rsidR="005B0CE6" w:rsidRPr="00AA42BB" w:rsidRDefault="005B0CE6" w:rsidP="00015C5F">
            <w:pPr>
              <w:keepNext/>
              <w:keepLines/>
              <w:ind w:left="-108"/>
              <w:rPr>
                <w:rFonts w:ascii="Arial Narrow" w:hAnsi="Arial Narrow" w:cs="Arial"/>
                <w:sz w:val="20"/>
                <w:szCs w:val="20"/>
              </w:rPr>
            </w:pPr>
            <w:r w:rsidRPr="00AA42BB">
              <w:rPr>
                <w:rFonts w:ascii="Arial Narrow" w:hAnsi="Arial Narrow" w:cs="Arial"/>
                <w:sz w:val="20"/>
                <w:szCs w:val="20"/>
              </w:rPr>
              <w:t>empagliflozin 10 mg tablet, 30</w:t>
            </w:r>
          </w:p>
        </w:tc>
        <w:tc>
          <w:tcPr>
            <w:tcW w:w="993" w:type="dxa"/>
            <w:tcBorders>
              <w:top w:val="single" w:sz="4" w:space="0" w:color="auto"/>
              <w:left w:val="single" w:sz="4" w:space="0" w:color="auto"/>
              <w:bottom w:val="single" w:sz="4" w:space="0" w:color="auto"/>
              <w:right w:val="single" w:sz="4" w:space="0" w:color="auto"/>
            </w:tcBorders>
          </w:tcPr>
          <w:p w14:paraId="1A448732" w14:textId="77777777" w:rsidR="005B0CE6" w:rsidRPr="00AA42BB" w:rsidRDefault="005B0CE6" w:rsidP="00015C5F">
            <w:pPr>
              <w:keepNext/>
              <w:keepLines/>
              <w:jc w:val="center"/>
              <w:rPr>
                <w:rFonts w:ascii="Arial Narrow" w:hAnsi="Arial Narrow" w:cs="Arial"/>
                <w:sz w:val="20"/>
                <w:szCs w:val="20"/>
              </w:rPr>
            </w:pPr>
          </w:p>
          <w:p w14:paraId="52035092" w14:textId="77777777" w:rsidR="005B0CE6" w:rsidRPr="00AA42BB" w:rsidRDefault="005B0CE6" w:rsidP="00015C5F">
            <w:pPr>
              <w:keepNext/>
              <w:keepLines/>
              <w:jc w:val="center"/>
              <w:rPr>
                <w:rFonts w:ascii="Arial Narrow" w:hAnsi="Arial Narrow" w:cs="Arial"/>
                <w:sz w:val="20"/>
                <w:szCs w:val="20"/>
              </w:rPr>
            </w:pPr>
            <w:r w:rsidRPr="00AA42BB">
              <w:rPr>
                <w:rFonts w:ascii="Arial Narrow" w:hAnsi="Arial Narrow" w:cs="Arial"/>
                <w:sz w:val="20"/>
                <w:szCs w:val="20"/>
              </w:rPr>
              <w:t>13845Q</w:t>
            </w:r>
          </w:p>
          <w:p w14:paraId="6436CED9" w14:textId="77777777" w:rsidR="005B0CE6" w:rsidRPr="00AA42BB" w:rsidRDefault="005B0CE6" w:rsidP="00015C5F">
            <w:pPr>
              <w:keepNext/>
              <w:keepLines/>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p w14:paraId="25AA448F" w14:textId="77777777" w:rsidR="005B0CE6" w:rsidRPr="00AA42BB" w:rsidRDefault="005B0CE6" w:rsidP="00015C5F">
            <w:pPr>
              <w:keepNext/>
              <w:keepLines/>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14E0BE" w14:textId="77777777" w:rsidR="005B0CE6" w:rsidRPr="00AA42BB" w:rsidRDefault="005B0CE6" w:rsidP="00015C5F">
            <w:pPr>
              <w:keepNext/>
              <w:keepLines/>
              <w:jc w:val="center"/>
              <w:rPr>
                <w:rFonts w:ascii="Arial Narrow" w:hAnsi="Arial Narrow" w:cs="Arial"/>
                <w:sz w:val="20"/>
                <w:szCs w:val="20"/>
              </w:rPr>
            </w:pPr>
          </w:p>
          <w:p w14:paraId="0BFE94BF" w14:textId="77777777" w:rsidR="005B0CE6" w:rsidRPr="00AA42BB" w:rsidRDefault="005B0CE6" w:rsidP="00015C5F">
            <w:pPr>
              <w:keepNext/>
              <w:keepLines/>
              <w:rPr>
                <w:rFonts w:ascii="Arial Narrow" w:hAnsi="Arial Narrow" w:cs="Arial"/>
                <w:sz w:val="20"/>
                <w:szCs w:val="20"/>
              </w:rPr>
            </w:pPr>
          </w:p>
          <w:p w14:paraId="409D0DF2" w14:textId="77777777" w:rsidR="005B0CE6" w:rsidRPr="00AA42BB" w:rsidRDefault="005B0CE6" w:rsidP="00015C5F">
            <w:pPr>
              <w:keepNext/>
              <w:keepLines/>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42CDD58" w14:textId="77777777" w:rsidR="005B0CE6" w:rsidRPr="00AA42BB" w:rsidRDefault="005B0CE6" w:rsidP="00015C5F">
            <w:pPr>
              <w:keepNext/>
              <w:keepLines/>
              <w:ind w:left="-108"/>
              <w:jc w:val="center"/>
              <w:rPr>
                <w:rFonts w:ascii="Arial Narrow" w:hAnsi="Arial Narrow" w:cs="Arial"/>
                <w:sz w:val="20"/>
                <w:szCs w:val="20"/>
              </w:rPr>
            </w:pPr>
          </w:p>
          <w:p w14:paraId="28347068" w14:textId="77777777" w:rsidR="005B0CE6" w:rsidRPr="00AA42BB" w:rsidRDefault="005B0CE6" w:rsidP="00015C5F">
            <w:pPr>
              <w:keepNext/>
              <w:keepLines/>
              <w:rPr>
                <w:rFonts w:ascii="Arial Narrow" w:hAnsi="Arial Narrow" w:cs="Arial"/>
                <w:sz w:val="20"/>
                <w:szCs w:val="20"/>
              </w:rPr>
            </w:pPr>
          </w:p>
          <w:p w14:paraId="7EC90DC9" w14:textId="77777777" w:rsidR="005B0CE6" w:rsidRPr="00AA42BB" w:rsidRDefault="005B0CE6" w:rsidP="00015C5F">
            <w:pPr>
              <w:keepNext/>
              <w:keepLines/>
              <w:ind w:left="-108"/>
              <w:jc w:val="center"/>
              <w:rPr>
                <w:rFonts w:ascii="Arial Narrow" w:hAnsi="Arial Narrow" w:cs="Arial"/>
                <w:sz w:val="20"/>
                <w:szCs w:val="20"/>
              </w:rPr>
            </w:pPr>
            <w:r w:rsidRPr="00AA42BB">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0222C738" w14:textId="77777777" w:rsidR="005B0CE6" w:rsidRPr="00AA42BB" w:rsidRDefault="005B0CE6" w:rsidP="00015C5F">
            <w:pPr>
              <w:keepNext/>
              <w:keepLines/>
              <w:ind w:left="-108"/>
              <w:jc w:val="center"/>
              <w:rPr>
                <w:rFonts w:ascii="Arial Narrow" w:hAnsi="Arial Narrow" w:cs="Arial"/>
                <w:sz w:val="20"/>
                <w:szCs w:val="20"/>
              </w:rPr>
            </w:pPr>
          </w:p>
          <w:p w14:paraId="0B4151BD" w14:textId="77777777" w:rsidR="005B0CE6" w:rsidRPr="00AA42BB" w:rsidRDefault="005B0CE6" w:rsidP="00015C5F">
            <w:pPr>
              <w:keepNext/>
              <w:keepLines/>
              <w:rPr>
                <w:rFonts w:ascii="Arial Narrow" w:hAnsi="Arial Narrow" w:cs="Arial"/>
                <w:sz w:val="20"/>
                <w:szCs w:val="20"/>
              </w:rPr>
            </w:pPr>
          </w:p>
          <w:p w14:paraId="63E98173" w14:textId="77777777" w:rsidR="005B0CE6" w:rsidRPr="00AA42BB" w:rsidRDefault="005B0CE6" w:rsidP="00015C5F">
            <w:pPr>
              <w:keepNext/>
              <w:keepLines/>
              <w:ind w:left="-108"/>
              <w:jc w:val="center"/>
              <w:rPr>
                <w:rFonts w:ascii="Arial Narrow" w:hAnsi="Arial Narrow" w:cs="Arial"/>
                <w:sz w:val="20"/>
                <w:szCs w:val="20"/>
              </w:rPr>
            </w:pPr>
            <w:r w:rsidRPr="00AA42BB">
              <w:rPr>
                <w:rFonts w:ascii="Arial Narrow" w:hAnsi="Arial Narrow" w:cs="Arial"/>
                <w:sz w:val="20"/>
                <w:szCs w:val="20"/>
              </w:rPr>
              <w:t>5</w:t>
            </w:r>
          </w:p>
          <w:p w14:paraId="1017F5AF" w14:textId="77777777" w:rsidR="005B0CE6" w:rsidRPr="00AA42BB" w:rsidRDefault="005B0CE6" w:rsidP="00015C5F">
            <w:pPr>
              <w:keepNext/>
              <w:keepLines/>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38E7C3" w14:textId="77777777" w:rsidR="005B0CE6" w:rsidRPr="00AA42BB" w:rsidRDefault="005B0CE6" w:rsidP="00015C5F">
            <w:pPr>
              <w:keepNext/>
              <w:keepLines/>
              <w:rPr>
                <w:rFonts w:ascii="Arial Narrow" w:hAnsi="Arial Narrow" w:cs="Arial"/>
                <w:sz w:val="20"/>
                <w:szCs w:val="20"/>
              </w:rPr>
            </w:pPr>
          </w:p>
          <w:p w14:paraId="5C1FC542" w14:textId="77777777" w:rsidR="005B0CE6" w:rsidRPr="00AA42BB" w:rsidRDefault="005B0CE6" w:rsidP="00015C5F">
            <w:pPr>
              <w:keepNext/>
              <w:keepLines/>
              <w:rPr>
                <w:rFonts w:ascii="Arial Narrow" w:hAnsi="Arial Narrow" w:cs="Arial"/>
                <w:sz w:val="20"/>
                <w:szCs w:val="20"/>
              </w:rPr>
            </w:pPr>
          </w:p>
          <w:p w14:paraId="49DF4F44" w14:textId="77777777" w:rsidR="005B0CE6" w:rsidRPr="00AA42BB" w:rsidRDefault="005B0CE6" w:rsidP="00015C5F">
            <w:pPr>
              <w:keepNext/>
              <w:keepLines/>
              <w:rPr>
                <w:rFonts w:ascii="Arial Narrow" w:hAnsi="Arial Narrow" w:cs="Arial"/>
                <w:sz w:val="20"/>
                <w:szCs w:val="20"/>
              </w:rPr>
            </w:pPr>
            <w:r w:rsidRPr="00AA42BB">
              <w:rPr>
                <w:rFonts w:ascii="Arial Narrow" w:hAnsi="Arial Narrow" w:cs="Arial"/>
                <w:sz w:val="20"/>
                <w:szCs w:val="20"/>
              </w:rPr>
              <w:t>Jardiance</w:t>
            </w:r>
          </w:p>
          <w:p w14:paraId="16F0CFD4" w14:textId="77777777" w:rsidR="005B0CE6" w:rsidRPr="00AA42BB" w:rsidRDefault="005B0CE6" w:rsidP="00015C5F">
            <w:pPr>
              <w:keepNext/>
              <w:keepLines/>
              <w:rPr>
                <w:rFonts w:ascii="Arial Narrow" w:hAnsi="Arial Narrow" w:cs="Arial"/>
                <w:sz w:val="20"/>
                <w:szCs w:val="20"/>
              </w:rPr>
            </w:pPr>
          </w:p>
        </w:tc>
      </w:tr>
      <w:tr w:rsidR="005B0CE6" w:rsidRPr="00AA42BB" w14:paraId="2A7BF626" w14:textId="77777777" w:rsidTr="00936834">
        <w:trPr>
          <w:cantSplit/>
          <w:trHeight w:val="761"/>
        </w:trPr>
        <w:tc>
          <w:tcPr>
            <w:tcW w:w="3964" w:type="dxa"/>
            <w:tcBorders>
              <w:top w:val="single" w:sz="4" w:space="0" w:color="auto"/>
              <w:left w:val="single" w:sz="4" w:space="0" w:color="auto"/>
              <w:bottom w:val="single" w:sz="4" w:space="0" w:color="auto"/>
              <w:right w:val="single" w:sz="4" w:space="0" w:color="auto"/>
            </w:tcBorders>
          </w:tcPr>
          <w:p w14:paraId="519AEB55" w14:textId="77777777" w:rsidR="005B0CE6" w:rsidRPr="00AA42BB" w:rsidRDefault="005B0CE6" w:rsidP="00015C5F">
            <w:pPr>
              <w:keepNext/>
              <w:keepLines/>
              <w:ind w:left="-108"/>
              <w:rPr>
                <w:rFonts w:ascii="Arial Narrow" w:hAnsi="Arial Narrow" w:cs="Arial"/>
                <w:sz w:val="20"/>
                <w:szCs w:val="20"/>
              </w:rPr>
            </w:pPr>
            <w:r w:rsidRPr="00AA42BB">
              <w:rPr>
                <w:rFonts w:ascii="Arial Narrow" w:hAnsi="Arial Narrow" w:cs="Arial"/>
                <w:sz w:val="20"/>
                <w:szCs w:val="20"/>
              </w:rPr>
              <w:t>EMPAGLIFLOZIN</w:t>
            </w:r>
          </w:p>
          <w:p w14:paraId="3F42F8CA" w14:textId="77777777" w:rsidR="005B0CE6" w:rsidRPr="00AA42BB" w:rsidRDefault="005B0CE6" w:rsidP="00015C5F">
            <w:pPr>
              <w:keepNext/>
              <w:keepLines/>
              <w:ind w:left="-108"/>
              <w:rPr>
                <w:rFonts w:ascii="Arial Narrow" w:hAnsi="Arial Narrow" w:cs="Arial"/>
                <w:sz w:val="20"/>
                <w:szCs w:val="20"/>
              </w:rPr>
            </w:pPr>
          </w:p>
          <w:p w14:paraId="074F4038" w14:textId="77777777" w:rsidR="005B0CE6" w:rsidRPr="00AA42BB" w:rsidRDefault="005B0CE6" w:rsidP="00015C5F">
            <w:pPr>
              <w:keepNext/>
              <w:keepLines/>
              <w:ind w:left="-108"/>
              <w:rPr>
                <w:rFonts w:ascii="Arial Narrow" w:hAnsi="Arial Narrow" w:cs="Arial"/>
                <w:sz w:val="20"/>
                <w:szCs w:val="20"/>
              </w:rPr>
            </w:pPr>
            <w:r w:rsidRPr="00AA42BB">
              <w:rPr>
                <w:rFonts w:ascii="Arial Narrow" w:hAnsi="Arial Narrow" w:cs="Arial"/>
                <w:sz w:val="20"/>
                <w:szCs w:val="20"/>
              </w:rPr>
              <w:t>empagliflozin 25 mg tablet, 30</w:t>
            </w:r>
          </w:p>
        </w:tc>
        <w:tc>
          <w:tcPr>
            <w:tcW w:w="993" w:type="dxa"/>
            <w:tcBorders>
              <w:top w:val="single" w:sz="4" w:space="0" w:color="auto"/>
              <w:left w:val="single" w:sz="4" w:space="0" w:color="auto"/>
              <w:bottom w:val="single" w:sz="4" w:space="0" w:color="auto"/>
              <w:right w:val="single" w:sz="4" w:space="0" w:color="auto"/>
            </w:tcBorders>
          </w:tcPr>
          <w:p w14:paraId="065F47DD" w14:textId="77777777" w:rsidR="005B0CE6" w:rsidRPr="00AA42BB" w:rsidRDefault="005B0CE6" w:rsidP="00015C5F">
            <w:pPr>
              <w:keepNext/>
              <w:keepLines/>
              <w:ind w:left="-108"/>
              <w:jc w:val="center"/>
              <w:rPr>
                <w:rFonts w:ascii="Arial Narrow" w:hAnsi="Arial Narrow" w:cs="Arial"/>
                <w:sz w:val="20"/>
                <w:szCs w:val="20"/>
              </w:rPr>
            </w:pPr>
          </w:p>
          <w:p w14:paraId="1054A083" w14:textId="77777777" w:rsidR="005B0CE6" w:rsidRPr="00AA42BB" w:rsidRDefault="005B0CE6" w:rsidP="00015C5F">
            <w:pPr>
              <w:keepNext/>
              <w:keepLines/>
              <w:ind w:left="-108"/>
              <w:jc w:val="center"/>
              <w:rPr>
                <w:rFonts w:ascii="Arial Narrow" w:hAnsi="Arial Narrow" w:cs="Arial"/>
                <w:sz w:val="20"/>
                <w:szCs w:val="20"/>
              </w:rPr>
            </w:pPr>
            <w:r w:rsidRPr="00AA42BB">
              <w:rPr>
                <w:rFonts w:ascii="Arial Narrow" w:hAnsi="Arial Narrow" w:cs="Arial"/>
                <w:sz w:val="20"/>
                <w:szCs w:val="20"/>
              </w:rPr>
              <w:t>13920P</w:t>
            </w:r>
          </w:p>
          <w:p w14:paraId="199E700C" w14:textId="77777777" w:rsidR="005B0CE6" w:rsidRPr="00AA42BB" w:rsidRDefault="005B0CE6" w:rsidP="00015C5F">
            <w:pPr>
              <w:keepNext/>
              <w:keepLines/>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p w14:paraId="6E3D4783" w14:textId="77777777" w:rsidR="005B0CE6" w:rsidRPr="00AA42BB" w:rsidRDefault="005B0CE6" w:rsidP="00015C5F">
            <w:pPr>
              <w:keepNext/>
              <w:keepLines/>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FED4D8C" w14:textId="77777777" w:rsidR="005B0CE6" w:rsidRPr="00AA42BB" w:rsidRDefault="005B0CE6" w:rsidP="00015C5F">
            <w:pPr>
              <w:keepNext/>
              <w:keepLines/>
              <w:jc w:val="center"/>
              <w:rPr>
                <w:rFonts w:ascii="Arial Narrow" w:hAnsi="Arial Narrow" w:cs="Arial"/>
                <w:sz w:val="20"/>
                <w:szCs w:val="20"/>
              </w:rPr>
            </w:pPr>
          </w:p>
          <w:p w14:paraId="0DC4CF80" w14:textId="77777777" w:rsidR="005B0CE6" w:rsidRPr="00AA42BB" w:rsidRDefault="005B0CE6" w:rsidP="00015C5F">
            <w:pPr>
              <w:keepNext/>
              <w:keepLines/>
              <w:rPr>
                <w:rFonts w:ascii="Arial Narrow" w:hAnsi="Arial Narrow" w:cs="Arial"/>
                <w:sz w:val="20"/>
                <w:szCs w:val="20"/>
              </w:rPr>
            </w:pPr>
          </w:p>
          <w:p w14:paraId="52591A98" w14:textId="77777777" w:rsidR="005B0CE6" w:rsidRPr="00AA42BB" w:rsidRDefault="005B0CE6" w:rsidP="00015C5F">
            <w:pPr>
              <w:keepNext/>
              <w:keepLines/>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F5E22CB" w14:textId="77777777" w:rsidR="005B0CE6" w:rsidRPr="00AA42BB" w:rsidRDefault="005B0CE6" w:rsidP="00015C5F">
            <w:pPr>
              <w:keepNext/>
              <w:keepLines/>
              <w:ind w:left="-108"/>
              <w:jc w:val="center"/>
              <w:rPr>
                <w:rFonts w:ascii="Arial Narrow" w:hAnsi="Arial Narrow" w:cs="Arial"/>
                <w:sz w:val="20"/>
                <w:szCs w:val="20"/>
              </w:rPr>
            </w:pPr>
          </w:p>
          <w:p w14:paraId="19699CF7" w14:textId="77777777" w:rsidR="005B0CE6" w:rsidRPr="00AA42BB" w:rsidRDefault="005B0CE6" w:rsidP="00015C5F">
            <w:pPr>
              <w:keepNext/>
              <w:keepLines/>
              <w:rPr>
                <w:rFonts w:ascii="Arial Narrow" w:hAnsi="Arial Narrow" w:cs="Arial"/>
                <w:sz w:val="20"/>
                <w:szCs w:val="20"/>
              </w:rPr>
            </w:pPr>
          </w:p>
          <w:p w14:paraId="03B773B2" w14:textId="77777777" w:rsidR="005B0CE6" w:rsidRPr="00AA42BB" w:rsidRDefault="005B0CE6" w:rsidP="00015C5F">
            <w:pPr>
              <w:keepNext/>
              <w:keepLines/>
              <w:ind w:left="-108"/>
              <w:jc w:val="center"/>
              <w:rPr>
                <w:rFonts w:ascii="Arial Narrow" w:hAnsi="Arial Narrow" w:cs="Arial"/>
                <w:sz w:val="20"/>
                <w:szCs w:val="20"/>
              </w:rPr>
            </w:pPr>
            <w:r w:rsidRPr="00AA42BB">
              <w:rPr>
                <w:rFonts w:ascii="Arial Narrow" w:hAnsi="Arial Narrow"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2FDE1D7A" w14:textId="77777777" w:rsidR="005B0CE6" w:rsidRPr="00AA42BB" w:rsidRDefault="005B0CE6" w:rsidP="00015C5F">
            <w:pPr>
              <w:keepNext/>
              <w:keepLines/>
              <w:ind w:left="-108"/>
              <w:jc w:val="center"/>
              <w:rPr>
                <w:rFonts w:ascii="Arial Narrow" w:hAnsi="Arial Narrow" w:cs="Arial"/>
                <w:sz w:val="20"/>
                <w:szCs w:val="20"/>
              </w:rPr>
            </w:pPr>
          </w:p>
          <w:p w14:paraId="771D926E" w14:textId="77777777" w:rsidR="005B0CE6" w:rsidRPr="00AA42BB" w:rsidRDefault="005B0CE6" w:rsidP="00015C5F">
            <w:pPr>
              <w:keepNext/>
              <w:keepLines/>
              <w:rPr>
                <w:rFonts w:ascii="Arial Narrow" w:hAnsi="Arial Narrow" w:cs="Arial"/>
                <w:sz w:val="20"/>
                <w:szCs w:val="20"/>
              </w:rPr>
            </w:pPr>
          </w:p>
          <w:p w14:paraId="4487803E" w14:textId="77777777" w:rsidR="005B0CE6" w:rsidRPr="00AA42BB" w:rsidRDefault="005B0CE6" w:rsidP="00015C5F">
            <w:pPr>
              <w:keepNext/>
              <w:keepLines/>
              <w:ind w:left="-108"/>
              <w:jc w:val="center"/>
              <w:rPr>
                <w:rFonts w:ascii="Arial Narrow" w:hAnsi="Arial Narrow" w:cs="Arial"/>
                <w:sz w:val="20"/>
                <w:szCs w:val="20"/>
              </w:rPr>
            </w:pPr>
            <w:r w:rsidRPr="00AA42BB">
              <w:rPr>
                <w:rFonts w:ascii="Arial Narrow" w:hAnsi="Arial Narrow" w:cs="Arial"/>
                <w:sz w:val="20"/>
                <w:szCs w:val="20"/>
              </w:rPr>
              <w:t>5</w:t>
            </w:r>
          </w:p>
          <w:p w14:paraId="1D4FB526" w14:textId="77777777" w:rsidR="005B0CE6" w:rsidRPr="00AA42BB" w:rsidRDefault="005B0CE6" w:rsidP="00015C5F">
            <w:pPr>
              <w:keepNext/>
              <w:keepLines/>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E5387E" w14:textId="77777777" w:rsidR="005B0CE6" w:rsidRPr="00AA42BB" w:rsidRDefault="005B0CE6" w:rsidP="00015C5F">
            <w:pPr>
              <w:keepNext/>
              <w:keepLines/>
              <w:rPr>
                <w:rFonts w:ascii="Arial Narrow" w:hAnsi="Arial Narrow" w:cs="Arial"/>
                <w:sz w:val="20"/>
                <w:szCs w:val="20"/>
              </w:rPr>
            </w:pPr>
          </w:p>
          <w:p w14:paraId="15B4EA68" w14:textId="77777777" w:rsidR="005B0CE6" w:rsidRPr="00AA42BB" w:rsidRDefault="005B0CE6" w:rsidP="00015C5F">
            <w:pPr>
              <w:keepNext/>
              <w:keepLines/>
              <w:rPr>
                <w:rFonts w:ascii="Arial Narrow" w:hAnsi="Arial Narrow" w:cs="Arial"/>
                <w:sz w:val="20"/>
                <w:szCs w:val="20"/>
              </w:rPr>
            </w:pPr>
          </w:p>
          <w:p w14:paraId="589146D6" w14:textId="77777777" w:rsidR="005B0CE6" w:rsidRPr="00AA42BB" w:rsidRDefault="005B0CE6" w:rsidP="00015C5F">
            <w:pPr>
              <w:keepNext/>
              <w:keepLines/>
              <w:rPr>
                <w:rFonts w:ascii="Arial Narrow" w:hAnsi="Arial Narrow" w:cs="Arial"/>
                <w:sz w:val="20"/>
                <w:szCs w:val="20"/>
              </w:rPr>
            </w:pPr>
            <w:r w:rsidRPr="00AA42BB">
              <w:rPr>
                <w:rFonts w:ascii="Arial Narrow" w:hAnsi="Arial Narrow" w:cs="Arial"/>
                <w:sz w:val="20"/>
                <w:szCs w:val="20"/>
              </w:rPr>
              <w:t>Jardiance</w:t>
            </w:r>
          </w:p>
          <w:p w14:paraId="58575C47" w14:textId="77777777" w:rsidR="005B0CE6" w:rsidRPr="00AA42BB" w:rsidRDefault="005B0CE6" w:rsidP="00015C5F">
            <w:pPr>
              <w:keepNext/>
              <w:keepLines/>
              <w:rPr>
                <w:rFonts w:ascii="Arial Narrow" w:hAnsi="Arial Narrow" w:cs="Arial"/>
                <w:sz w:val="20"/>
                <w:szCs w:val="20"/>
              </w:rPr>
            </w:pPr>
          </w:p>
        </w:tc>
      </w:tr>
    </w:tbl>
    <w:p w14:paraId="709EC7EC" w14:textId="77777777" w:rsidR="005B0CE6" w:rsidRPr="00AA42BB" w:rsidRDefault="005B0CE6" w:rsidP="00015C5F">
      <w:pPr>
        <w:keepNext/>
        <w:keepLines/>
        <w:rPr>
          <w:rFonts w:ascii="Arial Narrow" w:hAnsi="Arial Narrow"/>
          <w:sz w:val="20"/>
          <w:szCs w:val="20"/>
        </w:rPr>
      </w:pPr>
    </w:p>
    <w:p w14:paraId="1668AAD0" w14:textId="77777777" w:rsidR="005B0CE6" w:rsidRPr="00AA42BB" w:rsidRDefault="005B0CE6" w:rsidP="00015C5F">
      <w:pPr>
        <w:keepNext/>
        <w:keepLines/>
        <w:rPr>
          <w:rFonts w:ascii="Arial Narrow" w:hAnsi="Arial Narrow"/>
          <w:b/>
          <w:sz w:val="20"/>
          <w:szCs w:val="20"/>
          <w:lang w:val="en-GB"/>
        </w:rPr>
      </w:pPr>
      <w:r w:rsidRPr="00AA42BB">
        <w:rPr>
          <w:rFonts w:ascii="Arial Narrow" w:hAnsi="Arial Narrow"/>
          <w:b/>
          <w:sz w:val="20"/>
          <w:szCs w:val="20"/>
          <w:lang w:val="en-GB"/>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AA42BB" w:rsidRPr="00AA42BB" w14:paraId="2A51299F" w14:textId="77777777" w:rsidTr="0093683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6DADA0" w14:textId="77777777" w:rsidR="005B0CE6" w:rsidRPr="00AA42BB" w:rsidRDefault="005B0CE6" w:rsidP="00015C5F">
            <w:pPr>
              <w:keepNext/>
              <w:keepLines/>
              <w:jc w:val="center"/>
              <w:rPr>
                <w:rFonts w:ascii="Arial Narrow" w:hAnsi="Arial Narrow" w:cs="Arial"/>
                <w:b/>
                <w:sz w:val="20"/>
                <w:szCs w:val="20"/>
              </w:rPr>
            </w:pPr>
            <w:r w:rsidRPr="00AA42BB">
              <w:rPr>
                <w:rFonts w:ascii="Arial Narrow" w:hAnsi="Arial Narrow" w:cs="Arial"/>
                <w:b/>
                <w:sz w:val="20"/>
                <w:szCs w:val="20"/>
              </w:rPr>
              <w:t>Concept ID</w:t>
            </w:r>
          </w:p>
          <w:p w14:paraId="32AAB894" w14:textId="77777777" w:rsidR="005B0CE6" w:rsidRPr="00AA42BB" w:rsidRDefault="005B0CE6" w:rsidP="00015C5F">
            <w:pPr>
              <w:keepNext/>
              <w:keepLines/>
              <w:rPr>
                <w:rFonts w:ascii="Arial Narrow" w:hAnsi="Arial Narrow" w:cs="Arial"/>
                <w:i/>
                <w:sz w:val="20"/>
                <w:szCs w:val="20"/>
              </w:rPr>
            </w:pPr>
          </w:p>
          <w:p w14:paraId="4D6D23DA" w14:textId="2B9CE6AE" w:rsidR="005B0CE6" w:rsidRPr="00AA42BB" w:rsidRDefault="005B0CE6" w:rsidP="00015C5F">
            <w:pPr>
              <w:keepNext/>
              <w:keepLines/>
              <w:jc w:val="center"/>
              <w:rPr>
                <w:rFonts w:ascii="Arial Narrow" w:hAnsi="Arial Narrow" w:cs="Arial"/>
                <w:i/>
                <w:sz w:val="20"/>
                <w:szCs w:val="20"/>
              </w:rPr>
            </w:pPr>
            <w:r w:rsidRPr="00AA42BB">
              <w:rPr>
                <w:rFonts w:ascii="Arial Narrow" w:hAnsi="Arial Narrow" w:cs="Arial"/>
                <w:sz w:val="20"/>
                <w:szCs w:val="20"/>
              </w:rPr>
              <w:t>(for internal Dept. use)</w:t>
            </w:r>
          </w:p>
          <w:p w14:paraId="6F054B8B" w14:textId="77777777" w:rsidR="005B0CE6" w:rsidRPr="00AA42BB" w:rsidRDefault="005B0CE6" w:rsidP="00015C5F">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2FFC2C" w14:textId="77777777" w:rsidR="005B0CE6" w:rsidRPr="00AA42BB" w:rsidRDefault="005B0CE6" w:rsidP="00015C5F">
            <w:pPr>
              <w:keepNext/>
              <w:keepLines/>
              <w:rPr>
                <w:rFonts w:ascii="Arial Narrow" w:hAnsi="Arial Narrow" w:cs="Arial"/>
                <w:sz w:val="20"/>
                <w:szCs w:val="20"/>
              </w:rPr>
            </w:pPr>
            <w:r w:rsidRPr="00AA42BB">
              <w:rPr>
                <w:rFonts w:ascii="Arial Narrow" w:hAnsi="Arial Narrow" w:cs="Arial"/>
                <w:b/>
                <w:sz w:val="20"/>
                <w:szCs w:val="20"/>
              </w:rPr>
              <w:t xml:space="preserve">Category / Program:   </w:t>
            </w:r>
          </w:p>
          <w:p w14:paraId="00E9F463" w14:textId="77777777" w:rsidR="005B0CE6" w:rsidRPr="00AA42BB" w:rsidRDefault="005B0CE6" w:rsidP="00015C5F">
            <w:pPr>
              <w:keepNext/>
              <w:keepLines/>
              <w:rPr>
                <w:rFonts w:ascii="Arial Narrow" w:hAnsi="Arial Narrow" w:cs="Arial"/>
                <w:sz w:val="20"/>
                <w:szCs w:val="20"/>
              </w:rPr>
            </w:pPr>
            <w:r w:rsidRPr="00AA42BB">
              <w:rPr>
                <w:rFonts w:ascii="Arial Narrow" w:hAnsi="Arial Narrow" w:cs="Arial"/>
                <w:sz w:val="20"/>
                <w:szCs w:val="20"/>
              </w:rPr>
              <w:t xml:space="preserve">GENERAL – General Schedule (Code GE) </w:t>
            </w:r>
          </w:p>
        </w:tc>
      </w:tr>
      <w:tr w:rsidR="00AA42BB" w:rsidRPr="00AA42BB" w14:paraId="2EEBA89E" w14:textId="77777777" w:rsidTr="009368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68053" w14:textId="77777777" w:rsidR="005B0CE6" w:rsidRPr="00AA42BB" w:rsidRDefault="005B0CE6" w:rsidP="00015C5F">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659AAD" w14:textId="630F62BD" w:rsidR="005B0CE6" w:rsidRPr="00AA42BB" w:rsidRDefault="005B0CE6" w:rsidP="00015C5F">
            <w:pPr>
              <w:keepNext/>
              <w:keepLines/>
              <w:rPr>
                <w:rFonts w:ascii="Arial Narrow" w:hAnsi="Arial Narrow" w:cs="Arial"/>
                <w:b/>
                <w:sz w:val="20"/>
                <w:szCs w:val="20"/>
              </w:rPr>
            </w:pPr>
            <w:r w:rsidRPr="00AA42BB">
              <w:rPr>
                <w:rFonts w:ascii="Arial Narrow" w:hAnsi="Arial Narrow" w:cs="Arial"/>
                <w:b/>
                <w:sz w:val="20"/>
                <w:szCs w:val="20"/>
              </w:rPr>
              <w:t xml:space="preserve">Prescriber type:   </w:t>
            </w:r>
            <w:r w:rsidRPr="00AA42BB">
              <w:rPr>
                <w:rFonts w:ascii="Arial Narrow" w:hAnsi="Arial Narrow" w:cs="Arial"/>
                <w:sz w:val="20"/>
                <w:szCs w:val="20"/>
              </w:rPr>
              <w:fldChar w:fldCharType="begin">
                <w:ffData>
                  <w:name w:val=""/>
                  <w:enabled/>
                  <w:calcOnExit w:val="0"/>
                  <w:checkBox>
                    <w:sizeAuto/>
                    <w:default w:val="1"/>
                  </w:checkBox>
                </w:ffData>
              </w:fldChar>
            </w:r>
            <w:r w:rsidRPr="00AA42BB">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AA42BB">
              <w:rPr>
                <w:rFonts w:ascii="Arial Narrow" w:hAnsi="Arial Narrow" w:cs="Arial"/>
                <w:sz w:val="20"/>
                <w:szCs w:val="20"/>
              </w:rPr>
              <w:fldChar w:fldCharType="end"/>
            </w:r>
            <w:r w:rsidRPr="00AA42BB">
              <w:rPr>
                <w:rFonts w:ascii="Arial Narrow" w:hAnsi="Arial Narrow" w:cs="Arial"/>
                <w:sz w:val="20"/>
                <w:szCs w:val="20"/>
              </w:rPr>
              <w:t xml:space="preserve">Medical Practitioners    </w:t>
            </w:r>
            <w:r w:rsidRPr="00AA42BB">
              <w:rPr>
                <w:rFonts w:ascii="Arial Narrow" w:hAnsi="Arial Narrow" w:cs="Arial"/>
                <w:sz w:val="20"/>
                <w:szCs w:val="20"/>
              </w:rPr>
              <w:fldChar w:fldCharType="begin">
                <w:ffData>
                  <w:name w:val="Check3"/>
                  <w:enabled/>
                  <w:calcOnExit w:val="0"/>
                  <w:checkBox>
                    <w:sizeAuto/>
                    <w:default w:val="1"/>
                  </w:checkBox>
                </w:ffData>
              </w:fldChar>
            </w:r>
            <w:r w:rsidRPr="00AA42BB">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AA42BB">
              <w:rPr>
                <w:rFonts w:ascii="Arial Narrow" w:hAnsi="Arial Narrow" w:cs="Arial"/>
                <w:sz w:val="20"/>
                <w:szCs w:val="20"/>
              </w:rPr>
              <w:fldChar w:fldCharType="end"/>
            </w:r>
            <w:r w:rsidRPr="00AA42BB">
              <w:rPr>
                <w:rFonts w:ascii="Arial Narrow" w:hAnsi="Arial Narrow" w:cs="Arial"/>
                <w:sz w:val="20"/>
                <w:szCs w:val="20"/>
              </w:rPr>
              <w:t xml:space="preserve">Nurse practitioners     </w:t>
            </w:r>
          </w:p>
        </w:tc>
      </w:tr>
      <w:tr w:rsidR="00AA42BB" w:rsidRPr="00AA42BB" w14:paraId="265071BD" w14:textId="77777777" w:rsidTr="00936834">
        <w:tc>
          <w:tcPr>
            <w:tcW w:w="0" w:type="auto"/>
            <w:vMerge/>
            <w:tcBorders>
              <w:top w:val="single" w:sz="4" w:space="0" w:color="auto"/>
              <w:left w:val="single" w:sz="4" w:space="0" w:color="auto"/>
              <w:bottom w:val="single" w:sz="4" w:space="0" w:color="auto"/>
              <w:right w:val="single" w:sz="4" w:space="0" w:color="auto"/>
            </w:tcBorders>
            <w:vAlign w:val="center"/>
            <w:hideMark/>
          </w:tcPr>
          <w:p w14:paraId="21B0755A" w14:textId="77777777" w:rsidR="005B0CE6" w:rsidRPr="00AA42BB" w:rsidRDefault="005B0CE6" w:rsidP="00431470">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B0238B" w14:textId="678CD370" w:rsidR="005B0CE6" w:rsidRPr="00AA42BB" w:rsidRDefault="005B0CE6" w:rsidP="00431470">
            <w:pPr>
              <w:keepNext/>
              <w:keepLines/>
              <w:rPr>
                <w:rFonts w:ascii="Arial Narrow" w:eastAsia="Calibri" w:hAnsi="Arial Narrow" w:cs="Arial"/>
                <w:sz w:val="20"/>
                <w:szCs w:val="20"/>
              </w:rPr>
            </w:pPr>
            <w:r w:rsidRPr="00AA42BB">
              <w:rPr>
                <w:rFonts w:ascii="Arial Narrow" w:hAnsi="Arial Narrow" w:cs="Arial"/>
                <w:b/>
                <w:sz w:val="20"/>
                <w:szCs w:val="20"/>
              </w:rPr>
              <w:t xml:space="preserve">Restriction Type </w:t>
            </w:r>
            <w:r w:rsidRPr="00AA42BB">
              <w:rPr>
                <w:rFonts w:ascii="Arial Narrow" w:eastAsia="Calibri" w:hAnsi="Arial Narrow" w:cs="Arial"/>
                <w:sz w:val="20"/>
                <w:szCs w:val="20"/>
              </w:rPr>
              <w:fldChar w:fldCharType="begin">
                <w:ffData>
                  <w:name w:val=""/>
                  <w:enabled/>
                  <w:calcOnExit w:val="0"/>
                  <w:checkBox>
                    <w:sizeAuto/>
                    <w:default w:val="1"/>
                  </w:checkBox>
                </w:ffData>
              </w:fldChar>
            </w:r>
            <w:r w:rsidRPr="00AA42BB">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A42BB">
              <w:rPr>
                <w:rFonts w:ascii="Arial Narrow" w:eastAsia="Calibri" w:hAnsi="Arial Narrow" w:cs="Arial"/>
                <w:sz w:val="20"/>
                <w:szCs w:val="20"/>
              </w:rPr>
              <w:fldChar w:fldCharType="end"/>
            </w:r>
            <w:r w:rsidRPr="00AA42BB">
              <w:rPr>
                <w:rFonts w:ascii="Arial Narrow" w:eastAsia="Calibri" w:hAnsi="Arial Narrow" w:cs="Arial"/>
                <w:sz w:val="20"/>
                <w:szCs w:val="20"/>
              </w:rPr>
              <w:t xml:space="preserve">Authority Required – Streamlined [new code] </w:t>
            </w:r>
          </w:p>
        </w:tc>
      </w:tr>
      <w:tr w:rsidR="00AA42BB" w:rsidRPr="00AA42BB" w14:paraId="231A78DD"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20E773" w14:textId="77777777" w:rsidR="005B0CE6" w:rsidRPr="00AA42BB" w:rsidRDefault="005B0CE6" w:rsidP="00431470">
            <w:pPr>
              <w:keepNext/>
              <w:keepLines/>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5C0436" w14:textId="77777777" w:rsidR="005B0CE6" w:rsidRPr="00AA42BB" w:rsidRDefault="005B0CE6" w:rsidP="00431470">
            <w:pPr>
              <w:keepNext/>
              <w:keepLines/>
              <w:rPr>
                <w:rFonts w:ascii="Arial Narrow" w:hAnsi="Arial Narrow"/>
                <w:b/>
                <w:bCs/>
                <w:sz w:val="20"/>
                <w:szCs w:val="20"/>
              </w:rPr>
            </w:pPr>
            <w:r w:rsidRPr="00AA42BB">
              <w:rPr>
                <w:rFonts w:ascii="Arial Narrow" w:hAnsi="Arial Narrow"/>
                <w:b/>
                <w:bCs/>
                <w:sz w:val="20"/>
                <w:szCs w:val="20"/>
              </w:rPr>
              <w:t xml:space="preserve">Condition: </w:t>
            </w:r>
            <w:r w:rsidRPr="00AA42BB">
              <w:rPr>
                <w:rFonts w:ascii="Arial Narrow" w:hAnsi="Arial Narrow"/>
                <w:sz w:val="20"/>
                <w:szCs w:val="20"/>
              </w:rPr>
              <w:t>Diabetes mellitus type 2</w:t>
            </w:r>
          </w:p>
        </w:tc>
      </w:tr>
      <w:tr w:rsidR="00AA42BB" w:rsidRPr="00AA42BB" w14:paraId="1698C368"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9B89AE" w14:textId="77777777" w:rsidR="005B0CE6" w:rsidRPr="00AA42BB" w:rsidRDefault="005B0CE6" w:rsidP="00431470">
            <w:pPr>
              <w:keepNext/>
              <w:keepLines/>
              <w:jc w:val="center"/>
              <w:rPr>
                <w:rFonts w:ascii="Arial Narrow" w:hAnsi="Arial Narrow"/>
                <w:sz w:val="20"/>
                <w:szCs w:val="20"/>
              </w:rPr>
            </w:pPr>
            <w:r w:rsidRPr="00AA42BB">
              <w:rPr>
                <w:rFonts w:ascii="Arial Narrow" w:hAnsi="Arial Narrow"/>
                <w:sz w:val="20"/>
                <w:szCs w:val="20"/>
              </w:rPr>
              <w:t>8995</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FDB86B" w14:textId="77777777" w:rsidR="005B0CE6" w:rsidRPr="00AA42BB" w:rsidRDefault="005B0CE6" w:rsidP="00431470">
            <w:pPr>
              <w:keepNext/>
              <w:keepLines/>
              <w:rPr>
                <w:rFonts w:ascii="Arial Narrow" w:hAnsi="Arial Narrow"/>
                <w:sz w:val="20"/>
                <w:szCs w:val="20"/>
              </w:rPr>
            </w:pPr>
            <w:r w:rsidRPr="00AA42BB">
              <w:rPr>
                <w:rFonts w:ascii="Arial Narrow" w:hAnsi="Arial Narrow"/>
                <w:b/>
                <w:bCs/>
                <w:sz w:val="20"/>
                <w:szCs w:val="20"/>
              </w:rPr>
              <w:t>Indication:</w:t>
            </w:r>
            <w:r w:rsidRPr="00AA42BB">
              <w:rPr>
                <w:rFonts w:ascii="Arial Narrow" w:hAnsi="Arial Narrow"/>
                <w:sz w:val="20"/>
                <w:szCs w:val="20"/>
              </w:rPr>
              <w:t xml:space="preserve"> Diabetes mellitus type 2</w:t>
            </w:r>
          </w:p>
        </w:tc>
      </w:tr>
      <w:tr w:rsidR="00AA42BB" w:rsidRPr="00AA42BB" w14:paraId="156AD8FE"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179E08" w14:textId="4F3FD165" w:rsidR="005B0CE6" w:rsidRPr="00AA42BB" w:rsidRDefault="00B01FCA" w:rsidP="00431470">
            <w:pPr>
              <w:keepNext/>
              <w:keepLines/>
              <w:jc w:val="center"/>
              <w:rPr>
                <w:rFonts w:ascii="Arial Narrow" w:hAnsi="Arial Narrow"/>
                <w:sz w:val="20"/>
                <w:szCs w:val="20"/>
              </w:rPr>
            </w:pPr>
            <w:r>
              <w:rPr>
                <w:rFonts w:ascii="Arial Narrow" w:hAnsi="Arial Narrow"/>
                <w:sz w:val="20"/>
                <w:szCs w:val="20"/>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673F2" w14:textId="77777777" w:rsidR="005B0CE6" w:rsidRPr="00AA42BB" w:rsidRDefault="005B0CE6" w:rsidP="00431470">
            <w:pPr>
              <w:keepNext/>
              <w:keepLines/>
              <w:rPr>
                <w:rFonts w:ascii="Arial Narrow" w:hAnsi="Arial Narrow"/>
                <w:b/>
                <w:bCs/>
                <w:sz w:val="20"/>
                <w:szCs w:val="20"/>
              </w:rPr>
            </w:pPr>
            <w:r w:rsidRPr="00AA42BB">
              <w:rPr>
                <w:rFonts w:ascii="Arial Narrow" w:hAnsi="Arial Narrow"/>
                <w:b/>
                <w:bCs/>
                <w:sz w:val="20"/>
                <w:szCs w:val="20"/>
              </w:rPr>
              <w:t>Clinical criteria</w:t>
            </w:r>
          </w:p>
        </w:tc>
      </w:tr>
      <w:tr w:rsidR="00AA42BB" w:rsidRPr="00AA42BB" w14:paraId="55404B89"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34617" w14:textId="5A9D1030" w:rsidR="005B0CE6" w:rsidRPr="00AA42BB" w:rsidRDefault="00B01FCA" w:rsidP="00431470">
            <w:pPr>
              <w:keepNext/>
              <w:keepLines/>
              <w:jc w:val="center"/>
              <w:rPr>
                <w:rFonts w:ascii="Arial Narrow" w:hAnsi="Arial Narrow"/>
                <w:sz w:val="20"/>
                <w:szCs w:val="20"/>
              </w:rPr>
            </w:pPr>
            <w:r>
              <w:rPr>
                <w:rFonts w:ascii="Arial Narrow" w:hAnsi="Arial Narrow"/>
                <w:sz w:val="20"/>
                <w:szCs w:val="20"/>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4B493" w14:textId="77777777" w:rsidR="005B0CE6" w:rsidRPr="00AA42BB" w:rsidRDefault="005B0CE6" w:rsidP="00431470">
            <w:pPr>
              <w:keepNext/>
              <w:keepLines/>
              <w:rPr>
                <w:rFonts w:ascii="Arial Narrow" w:hAnsi="Arial Narrow"/>
                <w:sz w:val="20"/>
                <w:szCs w:val="20"/>
              </w:rPr>
            </w:pPr>
            <w:r w:rsidRPr="00AA42BB">
              <w:rPr>
                <w:rFonts w:ascii="Arial Narrow" w:hAnsi="Arial Narrow"/>
                <w:sz w:val="20"/>
                <w:szCs w:val="20"/>
              </w:rPr>
              <w:t>The condition must be stable for the prescriber to consider the listed maximum quantity of this medicine suitable for this patient,</w:t>
            </w:r>
          </w:p>
        </w:tc>
      </w:tr>
      <w:tr w:rsidR="00AA42BB" w:rsidRPr="00AA42BB" w14:paraId="45AB56D8"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9EA256" w14:textId="77777777" w:rsidR="005B0CE6" w:rsidRPr="00AA42BB" w:rsidRDefault="005B0CE6" w:rsidP="00431470">
            <w:pPr>
              <w:keepNext/>
              <w:keepLines/>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66F5E" w14:textId="77777777" w:rsidR="005B0CE6" w:rsidRPr="00AA42BB" w:rsidRDefault="005B0CE6" w:rsidP="00431470">
            <w:pPr>
              <w:keepNext/>
              <w:keepLines/>
              <w:rPr>
                <w:rFonts w:ascii="Arial Narrow" w:hAnsi="Arial Narrow"/>
                <w:b/>
                <w:bCs/>
                <w:sz w:val="20"/>
                <w:szCs w:val="20"/>
              </w:rPr>
            </w:pPr>
            <w:r w:rsidRPr="00AA42BB">
              <w:rPr>
                <w:rFonts w:ascii="Arial Narrow" w:hAnsi="Arial Narrow"/>
                <w:b/>
                <w:bCs/>
                <w:sz w:val="20"/>
                <w:szCs w:val="20"/>
              </w:rPr>
              <w:t>AND</w:t>
            </w:r>
          </w:p>
        </w:tc>
      </w:tr>
      <w:tr w:rsidR="00AA42BB" w:rsidRPr="00AA42BB" w14:paraId="7B613845"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2F734F" w14:textId="77777777" w:rsidR="005B0CE6" w:rsidRPr="00AA42BB" w:rsidRDefault="005B0CE6" w:rsidP="00431470">
            <w:pPr>
              <w:keepNext/>
              <w:keepLines/>
              <w:jc w:val="center"/>
              <w:rPr>
                <w:rFonts w:ascii="Arial Narrow" w:hAnsi="Arial Narrow"/>
                <w:sz w:val="20"/>
                <w:szCs w:val="20"/>
              </w:rPr>
            </w:pPr>
            <w:r w:rsidRPr="00AA42BB">
              <w:rPr>
                <w:rFonts w:ascii="Arial Narrow" w:hAnsi="Arial Narrow"/>
                <w:sz w:val="20"/>
                <w:szCs w:val="20"/>
              </w:rPr>
              <w:t>New CC1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678B8C" w14:textId="77777777" w:rsidR="005B0CE6" w:rsidRPr="00AA42BB" w:rsidRDefault="005B0CE6" w:rsidP="00431470">
            <w:pPr>
              <w:keepNext/>
              <w:keepLines/>
              <w:rPr>
                <w:rFonts w:ascii="Arial Narrow" w:hAnsi="Arial Narrow"/>
                <w:sz w:val="20"/>
                <w:szCs w:val="20"/>
              </w:rPr>
            </w:pPr>
            <w:r w:rsidRPr="00AA42BB">
              <w:rPr>
                <w:rFonts w:ascii="Arial Narrow" w:hAnsi="Arial Narrow"/>
                <w:b/>
                <w:bCs/>
                <w:sz w:val="20"/>
                <w:szCs w:val="20"/>
              </w:rPr>
              <w:t>Clinical criteria:</w:t>
            </w:r>
          </w:p>
        </w:tc>
      </w:tr>
      <w:tr w:rsidR="00AA42BB" w:rsidRPr="00AA42BB" w14:paraId="71E60BE2"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B8BB08" w14:textId="31B72581" w:rsidR="005B0CE6" w:rsidRPr="00AA42BB" w:rsidRDefault="00B01FCA" w:rsidP="00431470">
            <w:pPr>
              <w:keepNext/>
              <w:keepLines/>
              <w:jc w:val="center"/>
              <w:rPr>
                <w:rFonts w:ascii="Arial Narrow" w:hAnsi="Arial Narrow"/>
                <w:sz w:val="20"/>
                <w:szCs w:val="20"/>
              </w:rPr>
            </w:pPr>
            <w:r>
              <w:rPr>
                <w:rFonts w:ascii="Arial Narrow" w:hAnsi="Arial Narrow"/>
                <w:sz w:val="20"/>
                <w:szCs w:val="20"/>
              </w:rPr>
              <w:t>New CC1.1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EC076F" w14:textId="77777777" w:rsidR="005B0CE6" w:rsidRPr="00AA42BB" w:rsidRDefault="005B0CE6" w:rsidP="00431470">
            <w:pPr>
              <w:keepNext/>
              <w:keepLines/>
              <w:rPr>
                <w:rFonts w:ascii="Arial Narrow" w:hAnsi="Arial Narrow"/>
                <w:sz w:val="20"/>
                <w:szCs w:val="20"/>
              </w:rPr>
            </w:pPr>
            <w:r w:rsidRPr="00AA42BB">
              <w:rPr>
                <w:rFonts w:ascii="Arial Narrow" w:hAnsi="Arial Narrow"/>
                <w:sz w:val="20"/>
                <w:szCs w:val="20"/>
              </w:rPr>
              <w:t xml:space="preserve">The treatment must be in combination with metformin; </w:t>
            </w:r>
            <w:r w:rsidRPr="00AA42BB">
              <w:rPr>
                <w:rFonts w:ascii="Arial Narrow" w:hAnsi="Arial Narrow" w:cstheme="minorHAnsi"/>
                <w:sz w:val="20"/>
                <w:szCs w:val="20"/>
              </w:rPr>
              <w:t>unless contraindicated/intolerant,</w:t>
            </w:r>
          </w:p>
        </w:tc>
      </w:tr>
      <w:tr w:rsidR="00AA42BB" w:rsidRPr="00AA42BB" w14:paraId="74ACCC10"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62BFC9" w14:textId="77777777" w:rsidR="005B0CE6" w:rsidRPr="00AA42BB" w:rsidRDefault="005B0CE6" w:rsidP="00431470">
            <w:pPr>
              <w:keepNext/>
              <w:keepLines/>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643E09" w14:textId="77777777" w:rsidR="005B0CE6" w:rsidRPr="00AA42BB" w:rsidRDefault="005B0CE6" w:rsidP="00431470">
            <w:pPr>
              <w:keepNext/>
              <w:keepLines/>
              <w:rPr>
                <w:rFonts w:ascii="Arial Narrow" w:hAnsi="Arial Narrow"/>
                <w:sz w:val="20"/>
                <w:szCs w:val="20"/>
              </w:rPr>
            </w:pPr>
            <w:r w:rsidRPr="00AA42BB">
              <w:rPr>
                <w:rFonts w:ascii="Arial Narrow" w:hAnsi="Arial Narrow"/>
                <w:b/>
                <w:bCs/>
                <w:sz w:val="20"/>
                <w:szCs w:val="20"/>
              </w:rPr>
              <w:t>AND</w:t>
            </w:r>
          </w:p>
        </w:tc>
      </w:tr>
      <w:tr w:rsidR="00AA42BB" w:rsidRPr="00AA42BB" w14:paraId="32ACDC52"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1D7820" w14:textId="77777777" w:rsidR="005B0CE6" w:rsidRPr="00AA42BB" w:rsidRDefault="005B0CE6" w:rsidP="00431470">
            <w:pPr>
              <w:keepNext/>
              <w:keepLines/>
              <w:jc w:val="center"/>
              <w:rPr>
                <w:rFonts w:ascii="Arial Narrow" w:hAnsi="Arial Narrow"/>
                <w:sz w:val="20"/>
                <w:szCs w:val="20"/>
              </w:rPr>
            </w:pPr>
            <w:r w:rsidRPr="00AA42BB">
              <w:rPr>
                <w:rFonts w:ascii="Arial Narrow" w:hAnsi="Arial Narrow"/>
                <w:sz w:val="20"/>
                <w:szCs w:val="20"/>
              </w:rPr>
              <w:t>New CC2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963646" w14:textId="77777777" w:rsidR="005B0CE6" w:rsidRPr="00AA42BB" w:rsidRDefault="005B0CE6" w:rsidP="00431470">
            <w:pPr>
              <w:keepNext/>
              <w:keepLines/>
              <w:rPr>
                <w:rFonts w:ascii="Arial Narrow" w:hAnsi="Arial Narrow"/>
                <w:sz w:val="20"/>
                <w:szCs w:val="20"/>
              </w:rPr>
            </w:pPr>
            <w:r w:rsidRPr="00AA42BB">
              <w:rPr>
                <w:rFonts w:ascii="Arial Narrow" w:hAnsi="Arial Narrow"/>
                <w:b/>
                <w:bCs/>
                <w:sz w:val="20"/>
                <w:szCs w:val="20"/>
              </w:rPr>
              <w:t>Clinical criteria:</w:t>
            </w:r>
          </w:p>
        </w:tc>
      </w:tr>
      <w:tr w:rsidR="00AA42BB" w:rsidRPr="00AA42BB" w14:paraId="0CC69A6E"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CF4CE"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CC2.1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85376" w14:textId="4110B20A" w:rsidR="005B0CE6" w:rsidRPr="00AA42BB" w:rsidRDefault="005B0CE6" w:rsidP="00936834">
            <w:pPr>
              <w:autoSpaceDE w:val="0"/>
              <w:autoSpaceDN w:val="0"/>
              <w:adjustRightInd w:val="0"/>
              <w:rPr>
                <w:rFonts w:ascii="Arial Narrow" w:hAnsi="Arial Narrow"/>
                <w:sz w:val="20"/>
                <w:szCs w:val="20"/>
              </w:rPr>
            </w:pPr>
            <w:r w:rsidRPr="00AA42BB">
              <w:rPr>
                <w:rFonts w:ascii="Arial Narrow" w:hAnsi="Arial Narrow"/>
                <w:sz w:val="20"/>
                <w:szCs w:val="20"/>
              </w:rPr>
              <w:t>Patient must have cardiovascular disease;</w:t>
            </w:r>
            <w:r w:rsidR="006354A8">
              <w:rPr>
                <w:rFonts w:ascii="Arial Narrow" w:hAnsi="Arial Narrow"/>
                <w:sz w:val="20"/>
                <w:szCs w:val="20"/>
              </w:rPr>
              <w:t xml:space="preserve"> or</w:t>
            </w:r>
          </w:p>
        </w:tc>
      </w:tr>
      <w:tr w:rsidR="00AA42BB" w:rsidRPr="00AA42BB" w14:paraId="5403F500"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CA7AC"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CC2.2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95238" w14:textId="17EF2976" w:rsidR="005B0CE6" w:rsidRPr="00AA42BB" w:rsidRDefault="005B0CE6" w:rsidP="00936834">
            <w:pPr>
              <w:autoSpaceDE w:val="0"/>
              <w:autoSpaceDN w:val="0"/>
              <w:adjustRightInd w:val="0"/>
              <w:rPr>
                <w:rFonts w:ascii="Arial Narrow" w:hAnsi="Arial Narrow"/>
                <w:sz w:val="20"/>
                <w:szCs w:val="20"/>
              </w:rPr>
            </w:pPr>
            <w:r w:rsidRPr="00AA42BB">
              <w:rPr>
                <w:rFonts w:ascii="Arial Narrow" w:hAnsi="Arial Narrow"/>
                <w:sz w:val="20"/>
                <w:szCs w:val="20"/>
              </w:rPr>
              <w:t>Patient must be at high risk of a cardiovascular event;</w:t>
            </w:r>
            <w:r w:rsidR="006354A8">
              <w:rPr>
                <w:rFonts w:ascii="Arial Narrow" w:hAnsi="Arial Narrow"/>
                <w:sz w:val="20"/>
                <w:szCs w:val="20"/>
              </w:rPr>
              <w:t xml:space="preserve"> or</w:t>
            </w:r>
          </w:p>
        </w:tc>
      </w:tr>
      <w:tr w:rsidR="00AA42BB" w:rsidRPr="00AA42BB" w14:paraId="4688DD4B"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72879B" w14:textId="77777777" w:rsidR="005B0CE6" w:rsidRPr="00AA42BB" w:rsidRDefault="005B0CE6" w:rsidP="00936834">
            <w:pPr>
              <w:jc w:val="center"/>
              <w:rPr>
                <w:rFonts w:ascii="Arial Narrow" w:hAnsi="Arial Narrow"/>
                <w:sz w:val="20"/>
                <w:szCs w:val="20"/>
              </w:rPr>
            </w:pPr>
            <w:r w:rsidRPr="00AA42BB">
              <w:rPr>
                <w:rFonts w:ascii="Arial Narrow" w:hAnsi="Arial Narrow"/>
                <w:sz w:val="20"/>
                <w:szCs w:val="20"/>
              </w:rPr>
              <w:t>CC2.3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C92478" w14:textId="77777777" w:rsidR="005B0CE6" w:rsidRPr="00AA42BB" w:rsidRDefault="005B0CE6" w:rsidP="00936834">
            <w:pPr>
              <w:rPr>
                <w:rFonts w:ascii="Arial Narrow" w:hAnsi="Arial Narrow"/>
                <w:sz w:val="20"/>
                <w:szCs w:val="20"/>
              </w:rPr>
            </w:pPr>
            <w:r w:rsidRPr="00AA42BB">
              <w:rPr>
                <w:rFonts w:ascii="Arial Narrow" w:hAnsi="Arial Narrow"/>
                <w:sz w:val="20"/>
                <w:szCs w:val="20"/>
              </w:rPr>
              <w:t>Patient must identify as Aboriginal or Torres Strait Islander.</w:t>
            </w:r>
          </w:p>
        </w:tc>
      </w:tr>
      <w:tr w:rsidR="00AA42BB" w:rsidRPr="00AA42BB" w14:paraId="24656B11"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9E418A" w14:textId="77777777" w:rsidR="005B0CE6" w:rsidRPr="00AA42BB" w:rsidRDefault="005B0CE6" w:rsidP="00936834">
            <w:pPr>
              <w:jc w:val="center"/>
              <w:rPr>
                <w:rFonts w:ascii="Arial Narrow" w:hAnsi="Arial Narrow"/>
                <w:sz w:val="20"/>
                <w:szCs w:val="20"/>
              </w:rPr>
            </w:pPr>
            <w:r w:rsidRPr="00AA42BB">
              <w:rPr>
                <w:rFonts w:ascii="Arial Narrow" w:hAnsi="Arial Narrow" w:cs="Open Sans"/>
                <w:sz w:val="20"/>
                <w:szCs w:val="20"/>
                <w:lang w:eastAsia="en-US"/>
              </w:rPr>
              <w:t>New TC1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453DEC" w14:textId="77777777" w:rsidR="005B0CE6" w:rsidRPr="00AA42BB" w:rsidRDefault="005B0CE6" w:rsidP="00936834">
            <w:pPr>
              <w:rPr>
                <w:rFonts w:ascii="Arial Narrow" w:hAnsi="Arial Narrow"/>
                <w:sz w:val="20"/>
                <w:szCs w:val="20"/>
              </w:rPr>
            </w:pPr>
            <w:r w:rsidRPr="00AA42BB">
              <w:rPr>
                <w:rFonts w:ascii="Arial Narrow" w:hAnsi="Arial Narrow" w:cs="Open Sans"/>
                <w:b/>
                <w:bCs/>
                <w:sz w:val="20"/>
                <w:szCs w:val="20"/>
                <w:lang w:eastAsia="en-US"/>
              </w:rPr>
              <w:t>Treatment criteria:</w:t>
            </w:r>
          </w:p>
        </w:tc>
      </w:tr>
      <w:tr w:rsidR="00AA42BB" w:rsidRPr="00AA42BB" w14:paraId="0A7FD2DD"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C926F8" w14:textId="77777777" w:rsidR="005B0CE6" w:rsidRPr="00AA42BB" w:rsidRDefault="005B0CE6" w:rsidP="00936834">
            <w:pPr>
              <w:jc w:val="center"/>
              <w:rPr>
                <w:rFonts w:ascii="Arial Narrow" w:hAnsi="Arial Narrow"/>
                <w:sz w:val="20"/>
                <w:szCs w:val="20"/>
              </w:rPr>
            </w:pPr>
            <w:r w:rsidRPr="00AA42BB">
              <w:rPr>
                <w:rFonts w:ascii="Arial Narrow" w:hAnsi="Arial Narrow" w:cs="Open Sans"/>
                <w:sz w:val="20"/>
                <w:szCs w:val="20"/>
                <w:lang w:eastAsia="en-US"/>
              </w:rPr>
              <w:t>TC1.1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E8CFFB" w14:textId="29FCB661" w:rsidR="005B0CE6" w:rsidRPr="00AA42BB" w:rsidRDefault="005B0CE6" w:rsidP="00936834">
            <w:pPr>
              <w:rPr>
                <w:rFonts w:ascii="Arial Narrow" w:hAnsi="Arial Narrow"/>
                <w:sz w:val="20"/>
                <w:szCs w:val="20"/>
              </w:rPr>
            </w:pPr>
            <w:r w:rsidRPr="00AA42BB">
              <w:rPr>
                <w:rFonts w:ascii="Arial Narrow" w:hAnsi="Arial Narrow" w:cs="Open Sans"/>
                <w:sz w:val="20"/>
                <w:szCs w:val="20"/>
                <w:lang w:eastAsia="en-US"/>
              </w:rPr>
              <w:t xml:space="preserve">The patient must not be undergoing concomitant PBS-subsidised treatment </w:t>
            </w:r>
            <w:r w:rsidRPr="00AA42BB">
              <w:rPr>
                <w:rFonts w:ascii="Arial Narrow" w:hAnsi="Arial Narrow" w:cs="Open Sans"/>
                <w:sz w:val="20"/>
                <w:szCs w:val="20"/>
                <w:u w:val="single"/>
                <w:lang w:eastAsia="en-US"/>
              </w:rPr>
              <w:t>for this condition</w:t>
            </w:r>
            <w:r w:rsidRPr="00AA42BB">
              <w:rPr>
                <w:rFonts w:ascii="Arial Narrow" w:hAnsi="Arial Narrow" w:cs="Open Sans"/>
                <w:sz w:val="20"/>
                <w:szCs w:val="20"/>
                <w:lang w:eastAsia="en-US"/>
              </w:rPr>
              <w:t xml:space="preserve"> with any of: </w:t>
            </w:r>
            <w:r w:rsidR="00834CC6">
              <w:rPr>
                <w:rFonts w:ascii="Arial Narrow" w:hAnsi="Arial Narrow" w:cs="Open Sans"/>
                <w:sz w:val="20"/>
                <w:szCs w:val="20"/>
                <w:lang w:eastAsia="en-US"/>
              </w:rPr>
              <w:t xml:space="preserve">(i) </w:t>
            </w:r>
            <w:r w:rsidRPr="00AA42BB">
              <w:rPr>
                <w:rFonts w:ascii="Arial Narrow" w:hAnsi="Arial Narrow" w:cs="Open Sans"/>
                <w:sz w:val="20"/>
                <w:szCs w:val="20"/>
                <w:lang w:eastAsia="en-US"/>
              </w:rPr>
              <w:t xml:space="preserve">a GLP-1 receptor agonist, </w:t>
            </w:r>
            <w:r w:rsidR="00834CC6">
              <w:rPr>
                <w:rFonts w:ascii="Arial Narrow" w:hAnsi="Arial Narrow" w:cs="Open Sans"/>
                <w:sz w:val="20"/>
                <w:szCs w:val="20"/>
                <w:lang w:eastAsia="en-US"/>
              </w:rPr>
              <w:t xml:space="preserve">(ii) </w:t>
            </w:r>
            <w:r w:rsidRPr="00AA42BB">
              <w:rPr>
                <w:rFonts w:ascii="Arial Narrow" w:hAnsi="Arial Narrow" w:cs="Open Sans"/>
                <w:sz w:val="20"/>
                <w:szCs w:val="20"/>
                <w:lang w:eastAsia="en-US"/>
              </w:rPr>
              <w:t>another SGLT2 inhibitor.</w:t>
            </w:r>
          </w:p>
        </w:tc>
      </w:tr>
      <w:tr w:rsidR="005B0CE6" w:rsidRPr="00CD0476" w14:paraId="5437A740"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402B5B" w14:textId="51B23960" w:rsidR="005B0CE6" w:rsidRPr="00CD0476" w:rsidRDefault="005B0CE6" w:rsidP="00936834">
            <w:pPr>
              <w:jc w:val="center"/>
              <w:rPr>
                <w:rFonts w:ascii="Arial Narrow" w:hAnsi="Arial Narrow"/>
                <w:color w:val="333333"/>
                <w:sz w:val="20"/>
                <w:szCs w:val="20"/>
              </w:rPr>
            </w:pPr>
            <w:r w:rsidRPr="00CD0476">
              <w:rPr>
                <w:rFonts w:ascii="Arial Narrow" w:hAnsi="Arial Narrow"/>
                <w:color w:val="333333"/>
                <w:sz w:val="20"/>
                <w:szCs w:val="20"/>
              </w:rPr>
              <w:t>New</w:t>
            </w:r>
            <w:r>
              <w:rPr>
                <w:rFonts w:ascii="Arial Narrow" w:hAnsi="Arial Narrow"/>
                <w:color w:val="333333"/>
                <w:sz w:val="20"/>
                <w:szCs w:val="20"/>
              </w:rPr>
              <w:t xml:space="preserve"> AA</w:t>
            </w:r>
            <w:r w:rsidR="00B01FCA">
              <w:rPr>
                <w:rFonts w:ascii="Arial Narrow" w:hAnsi="Arial Narrow"/>
                <w:color w:val="333333"/>
                <w:sz w:val="20"/>
                <w:szCs w:val="20"/>
              </w:rPr>
              <w:t>1</w:t>
            </w:r>
          </w:p>
          <w:p w14:paraId="75CC2937" w14:textId="77777777" w:rsidR="005B0CE6" w:rsidRPr="00963B51" w:rsidRDefault="005B0CE6" w:rsidP="00936834">
            <w:pPr>
              <w:jc w:val="center"/>
              <w:rPr>
                <w:rFonts w:ascii="Arial Narrow" w:hAnsi="Arial Narrow" w:cs="Open Sans"/>
                <w:i/>
                <w:iCs/>
                <w:sz w:val="20"/>
                <w:szCs w:val="20"/>
                <w:lang w:eastAsia="en-US"/>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654BA" w14:textId="6DD230BB" w:rsidR="00B01FCA" w:rsidRDefault="00B01FCA" w:rsidP="00936834">
            <w:pPr>
              <w:keepNext/>
              <w:keepLines/>
              <w:rPr>
                <w:rFonts w:ascii="Arial Narrow" w:eastAsia="Calibri" w:hAnsi="Arial Narrow" w:cs="Calibri"/>
                <w:sz w:val="20"/>
                <w:szCs w:val="20"/>
              </w:rPr>
            </w:pPr>
            <w:r w:rsidRPr="00AA42BB">
              <w:rPr>
                <w:rFonts w:ascii="Arial Narrow" w:hAnsi="Arial Narrow" w:cs="Open Sans"/>
                <w:b/>
                <w:bCs/>
                <w:sz w:val="20"/>
                <w:szCs w:val="20"/>
                <w:lang w:eastAsia="en-US"/>
              </w:rPr>
              <w:t>Administrative Advice</w:t>
            </w:r>
          </w:p>
          <w:p w14:paraId="34560942" w14:textId="40B0908D" w:rsidR="005B0CE6" w:rsidRPr="00CD0476" w:rsidRDefault="005B0CE6" w:rsidP="00936834">
            <w:pPr>
              <w:keepNext/>
              <w:keepLines/>
              <w:rPr>
                <w:rFonts w:ascii="Arial Narrow" w:eastAsiaTheme="minorHAnsi" w:hAnsi="Arial Narrow" w:cstheme="minorBidi"/>
                <w:sz w:val="20"/>
                <w:szCs w:val="20"/>
              </w:rPr>
            </w:pPr>
            <w:r w:rsidRPr="00CD0476">
              <w:rPr>
                <w:rFonts w:ascii="Arial Narrow" w:eastAsia="Calibri" w:hAnsi="Arial Narrow" w:cs="Calibri"/>
                <w:sz w:val="20"/>
                <w:szCs w:val="20"/>
              </w:rPr>
              <w:t xml:space="preserve">The Australian Absolute Cardiovascular Disease Risk Calculator is available at </w:t>
            </w:r>
            <w:hyperlink r:id="rId10" w:history="1">
              <w:r w:rsidRPr="00CD0476">
                <w:rPr>
                  <w:rStyle w:val="Hyperlink"/>
                  <w:rFonts w:eastAsia="Calibri" w:cs="Calibri"/>
                  <w:sz w:val="20"/>
                  <w:szCs w:val="20"/>
                </w:rPr>
                <w:t>www.cvdcheck.org.au</w:t>
              </w:r>
            </w:hyperlink>
            <w:r w:rsidRPr="00CD0476">
              <w:rPr>
                <w:rFonts w:ascii="Arial Narrow" w:hAnsi="Arial Narrow" w:cstheme="minorBidi"/>
                <w:sz w:val="20"/>
                <w:szCs w:val="20"/>
              </w:rPr>
              <w:t>.</w:t>
            </w:r>
          </w:p>
          <w:p w14:paraId="2558A17B" w14:textId="4AA461A2" w:rsidR="005B0CE6" w:rsidRPr="00FA26CD" w:rsidRDefault="00C01DEA" w:rsidP="00936834">
            <w:pPr>
              <w:rPr>
                <w:rFonts w:ascii="Arial Narrow" w:hAnsi="Arial Narrow" w:cs="Open Sans"/>
                <w:i/>
                <w:iCs/>
                <w:strike/>
                <w:sz w:val="20"/>
                <w:szCs w:val="20"/>
                <w:lang w:eastAsia="en-US"/>
              </w:rPr>
            </w:pPr>
            <w:r w:rsidRPr="00C01DEA">
              <w:rPr>
                <w:rFonts w:ascii="Arial Narrow" w:hAnsi="Arial Narrow" w:cstheme="minorHAnsi"/>
                <w:sz w:val="20"/>
                <w:szCs w:val="20"/>
              </w:rPr>
              <w:t>High cardiovascular risk is defined as an estimated risk of a cardiovascular event of ≥10% over 5 years</w:t>
            </w:r>
            <w:r>
              <w:rPr>
                <w:rFonts w:ascii="Arial Narrow" w:hAnsi="Arial Narrow" w:cstheme="minorHAnsi"/>
                <w:sz w:val="20"/>
                <w:szCs w:val="20"/>
              </w:rPr>
              <w:t>.</w:t>
            </w:r>
          </w:p>
        </w:tc>
      </w:tr>
      <w:tr w:rsidR="00AA42BB" w:rsidRPr="00AA42BB" w14:paraId="604479E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182B99" w14:textId="77777777" w:rsidR="005B0CE6" w:rsidRPr="00AA42BB" w:rsidRDefault="005B0CE6" w:rsidP="00936834">
            <w:pPr>
              <w:jc w:val="center"/>
              <w:rPr>
                <w:rFonts w:ascii="Arial Narrow" w:hAnsi="Arial Narrow"/>
                <w:sz w:val="20"/>
                <w:szCs w:val="20"/>
              </w:rPr>
            </w:pPr>
            <w:r w:rsidRPr="00AA42BB">
              <w:rPr>
                <w:rFonts w:ascii="Arial Narrow" w:hAnsi="Arial Narrow"/>
                <w:bCs/>
                <w:sz w:val="20"/>
              </w:rPr>
              <w:t>7703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4D7542" w14:textId="77777777" w:rsidR="005B0CE6" w:rsidRPr="00AA42BB" w:rsidRDefault="005B0CE6" w:rsidP="00936834">
            <w:pPr>
              <w:keepNext/>
              <w:keepLines/>
              <w:textAlignment w:val="baseline"/>
              <w:rPr>
                <w:rFonts w:ascii="Arial Narrow" w:hAnsi="Arial Narrow"/>
                <w:b/>
                <w:bCs/>
                <w:sz w:val="20"/>
              </w:rPr>
            </w:pPr>
            <w:r w:rsidRPr="00AA42BB">
              <w:rPr>
                <w:rFonts w:ascii="Arial Narrow" w:hAnsi="Arial Narrow"/>
                <w:b/>
                <w:bCs/>
                <w:sz w:val="20"/>
              </w:rPr>
              <w:t>Continuing Therapy Only:</w:t>
            </w:r>
          </w:p>
          <w:p w14:paraId="6E98355F" w14:textId="77777777" w:rsidR="005B0CE6" w:rsidRPr="00AA42BB" w:rsidRDefault="005B0CE6" w:rsidP="00936834">
            <w:pPr>
              <w:keepNext/>
              <w:keepLines/>
              <w:rPr>
                <w:rFonts w:ascii="Arial Narrow" w:eastAsia="Calibri" w:hAnsi="Arial Narrow" w:cs="Calibri"/>
                <w:sz w:val="20"/>
                <w:szCs w:val="20"/>
              </w:rPr>
            </w:pPr>
            <w:r w:rsidRPr="00AA42BB">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B0CE6" w:rsidRPr="00AA42BB" w14:paraId="5798B73D"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050DC0" w14:textId="486F7120" w:rsidR="005B0CE6" w:rsidRPr="00AA42BB" w:rsidRDefault="00B01FCA" w:rsidP="00936834">
            <w:pPr>
              <w:jc w:val="center"/>
              <w:rPr>
                <w:rFonts w:ascii="Arial Narrow" w:hAnsi="Arial Narrow"/>
                <w:bCs/>
                <w:sz w:val="20"/>
              </w:rPr>
            </w:pPr>
            <w:r>
              <w:rPr>
                <w:rFonts w:ascii="Arial Narrow" w:hAnsi="Arial Narrow"/>
                <w:bCs/>
                <w:sz w:val="20"/>
              </w:rPr>
              <w:t>New AA2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FE33CE" w14:textId="1C6D2638" w:rsidR="00BC1DE7" w:rsidRDefault="00BC1DE7" w:rsidP="00936834">
            <w:pPr>
              <w:textAlignment w:val="baseline"/>
              <w:rPr>
                <w:rFonts w:ascii="Arial Narrow" w:hAnsi="Arial Narrow"/>
                <w:sz w:val="20"/>
              </w:rPr>
            </w:pPr>
            <w:r w:rsidRPr="00AA42BB">
              <w:rPr>
                <w:rFonts w:ascii="Arial Narrow" w:hAnsi="Arial Narrow"/>
                <w:b/>
                <w:bCs/>
                <w:sz w:val="20"/>
                <w:szCs w:val="20"/>
              </w:rPr>
              <w:t>Administrative Advice</w:t>
            </w:r>
          </w:p>
          <w:p w14:paraId="62ED4422" w14:textId="04BB281B" w:rsidR="005B0CE6" w:rsidRPr="00AA42BB" w:rsidRDefault="005B0CE6" w:rsidP="00936834">
            <w:pPr>
              <w:textAlignment w:val="baseline"/>
              <w:rPr>
                <w:rFonts w:ascii="Arial Narrow" w:hAnsi="Arial Narrow"/>
                <w:sz w:val="20"/>
              </w:rPr>
            </w:pPr>
            <w:r w:rsidRPr="00AA42BB">
              <w:rPr>
                <w:rFonts w:ascii="Arial Narrow" w:hAnsi="Arial Narrow"/>
                <w:sz w:val="20"/>
              </w:rPr>
              <w:t>Abbreviations used in the restriction are as follows:</w:t>
            </w:r>
          </w:p>
          <w:p w14:paraId="435BADD5" w14:textId="6A92466D" w:rsidR="005B0CE6" w:rsidRPr="00AA42BB" w:rsidRDefault="005B0CE6" w:rsidP="00936834">
            <w:pPr>
              <w:textAlignment w:val="baseline"/>
              <w:rPr>
                <w:rFonts w:ascii="Arial Narrow" w:hAnsi="Arial Narrow"/>
                <w:sz w:val="20"/>
              </w:rPr>
            </w:pPr>
            <w:r w:rsidRPr="00AA42BB">
              <w:rPr>
                <w:rFonts w:ascii="Arial Narrow" w:hAnsi="Arial Narrow"/>
                <w:sz w:val="20"/>
              </w:rPr>
              <w:t xml:space="preserve">SGLT2 – sodium glucose </w:t>
            </w:r>
            <w:r w:rsidR="001A6328">
              <w:rPr>
                <w:rFonts w:ascii="Arial Narrow" w:hAnsi="Arial Narrow"/>
                <w:sz w:val="20"/>
              </w:rPr>
              <w:t>co</w:t>
            </w:r>
            <w:r w:rsidRPr="00AA42BB">
              <w:rPr>
                <w:rFonts w:ascii="Arial Narrow" w:hAnsi="Arial Narrow"/>
                <w:sz w:val="20"/>
              </w:rPr>
              <w:t>transporter 2 inhibitor (drug names ending in ‘</w:t>
            </w:r>
            <w:proofErr w:type="spellStart"/>
            <w:r w:rsidRPr="00AA42BB">
              <w:rPr>
                <w:rFonts w:ascii="Arial Narrow" w:hAnsi="Arial Narrow"/>
                <w:sz w:val="20"/>
              </w:rPr>
              <w:t>flozin</w:t>
            </w:r>
            <w:proofErr w:type="spellEnd"/>
            <w:r w:rsidRPr="00AA42BB">
              <w:rPr>
                <w:rFonts w:ascii="Arial Narrow" w:hAnsi="Arial Narrow"/>
                <w:sz w:val="20"/>
              </w:rPr>
              <w:t>’)</w:t>
            </w:r>
          </w:p>
          <w:p w14:paraId="2F28AA48" w14:textId="77777777" w:rsidR="005B0CE6" w:rsidRPr="00AA42BB" w:rsidRDefault="005B0CE6" w:rsidP="00936834">
            <w:pPr>
              <w:textAlignment w:val="baseline"/>
              <w:rPr>
                <w:rFonts w:ascii="Arial Narrow" w:hAnsi="Arial Narrow"/>
                <w:sz w:val="20"/>
              </w:rPr>
            </w:pPr>
            <w:r w:rsidRPr="00AA42BB">
              <w:rPr>
                <w:rFonts w:ascii="Arial Narrow" w:hAnsi="Arial Narrow"/>
                <w:sz w:val="20"/>
              </w:rPr>
              <w:t>DPP4 - dipeptidyl peptidase-4 inhibitor (drug names ending in 'gliptin')</w:t>
            </w:r>
          </w:p>
          <w:p w14:paraId="46196732" w14:textId="77777777" w:rsidR="005B0CE6" w:rsidRPr="00AA42BB" w:rsidRDefault="005B0CE6" w:rsidP="00936834">
            <w:pPr>
              <w:keepNext/>
              <w:keepLines/>
              <w:textAlignment w:val="baseline"/>
              <w:rPr>
                <w:rFonts w:ascii="Arial Narrow" w:hAnsi="Arial Narrow"/>
                <w:b/>
                <w:bCs/>
                <w:sz w:val="20"/>
              </w:rPr>
            </w:pPr>
            <w:r w:rsidRPr="00AA42BB">
              <w:rPr>
                <w:rFonts w:ascii="Arial Narrow" w:hAnsi="Arial Narrow"/>
                <w:sz w:val="20"/>
              </w:rPr>
              <w:t>GLP-1 – glucagon-like peptide-1 receptor agonist</w:t>
            </w:r>
          </w:p>
        </w:tc>
      </w:tr>
    </w:tbl>
    <w:p w14:paraId="18BA8358" w14:textId="77777777" w:rsidR="005B0CE6" w:rsidRPr="00AA42BB" w:rsidRDefault="005B0CE6" w:rsidP="005B0CE6">
      <w:pPr>
        <w:pStyle w:val="3Bodytext"/>
        <w:numPr>
          <w:ilvl w:val="0"/>
          <w:numId w:val="0"/>
        </w:numPr>
        <w:ind w:left="720" w:hanging="720"/>
      </w:pPr>
    </w:p>
    <w:p w14:paraId="464D74D3" w14:textId="59F23E32" w:rsidR="005B0CE6" w:rsidRPr="00AA42BB" w:rsidRDefault="005B0CE6" w:rsidP="005B0CE6">
      <w:pPr>
        <w:pStyle w:val="4-SubsectionHeading"/>
      </w:pPr>
      <w:r w:rsidRPr="00AA42BB">
        <w:t xml:space="preserve">MDQ </w:t>
      </w:r>
      <w:r w:rsidR="009A169B">
        <w:t xml:space="preserve">listings - </w:t>
      </w:r>
      <w:r w:rsidRPr="00AA42BB">
        <w:t>SGLT2 inhibitor combinations with metformin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AA42BB" w:rsidRPr="00AA42BB" w14:paraId="23121460" w14:textId="77777777" w:rsidTr="00936834">
        <w:trPr>
          <w:cantSplit/>
          <w:trHeight w:val="471"/>
          <w:jc w:val="center"/>
        </w:trPr>
        <w:tc>
          <w:tcPr>
            <w:tcW w:w="3964" w:type="dxa"/>
            <w:tcBorders>
              <w:top w:val="single" w:sz="4" w:space="0" w:color="auto"/>
              <w:left w:val="single" w:sz="4" w:space="0" w:color="auto"/>
              <w:bottom w:val="single" w:sz="4" w:space="0" w:color="auto"/>
              <w:right w:val="single" w:sz="4" w:space="0" w:color="auto"/>
            </w:tcBorders>
            <w:hideMark/>
          </w:tcPr>
          <w:p w14:paraId="2487A2CA" w14:textId="77777777" w:rsidR="005B0CE6" w:rsidRPr="00AA42BB" w:rsidRDefault="005B0CE6" w:rsidP="00936834">
            <w:pPr>
              <w:keepNext/>
              <w:keepLines/>
              <w:ind w:left="-108"/>
              <w:rPr>
                <w:rFonts w:ascii="Arial Narrow" w:hAnsi="Arial Narrow" w:cs="Arial"/>
                <w:b/>
                <w:sz w:val="20"/>
                <w:szCs w:val="20"/>
              </w:rPr>
            </w:pPr>
            <w:r w:rsidRPr="00AA42BB">
              <w:rPr>
                <w:rFonts w:ascii="Arial Narrow" w:hAnsi="Arial Narrow" w:cs="Arial"/>
                <w:b/>
                <w:sz w:val="20"/>
                <w:szCs w:val="20"/>
              </w:rPr>
              <w:t>Name, Restriction,</w:t>
            </w:r>
          </w:p>
          <w:p w14:paraId="027CD496" w14:textId="77777777" w:rsidR="005B0CE6" w:rsidRPr="00AA42BB" w:rsidRDefault="005B0CE6" w:rsidP="00936834">
            <w:pPr>
              <w:keepNext/>
              <w:keepLines/>
              <w:ind w:left="-108"/>
              <w:rPr>
                <w:rFonts w:ascii="Arial Narrow" w:hAnsi="Arial Narrow" w:cs="Arial"/>
                <w:b/>
                <w:sz w:val="20"/>
                <w:szCs w:val="20"/>
              </w:rPr>
            </w:pPr>
            <w:r w:rsidRPr="00AA42BB">
              <w:rPr>
                <w:rFonts w:ascii="Arial Narrow" w:hAnsi="Arial Narrow" w:cs="Arial"/>
                <w:b/>
                <w:sz w:val="20"/>
                <w:szCs w:val="20"/>
              </w:rPr>
              <w:t>Manner of administration and form</w:t>
            </w:r>
          </w:p>
        </w:tc>
        <w:tc>
          <w:tcPr>
            <w:tcW w:w="993" w:type="dxa"/>
            <w:tcBorders>
              <w:top w:val="single" w:sz="4" w:space="0" w:color="auto"/>
              <w:left w:val="single" w:sz="4" w:space="0" w:color="auto"/>
              <w:bottom w:val="single" w:sz="4" w:space="0" w:color="auto"/>
              <w:right w:val="single" w:sz="4" w:space="0" w:color="auto"/>
            </w:tcBorders>
            <w:hideMark/>
          </w:tcPr>
          <w:p w14:paraId="09F4309F"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77FA0B18"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4E88858E"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66786E3A" w14:textId="77777777" w:rsidR="005B0CE6" w:rsidRPr="00AA42BB" w:rsidRDefault="005B0CE6" w:rsidP="00936834">
            <w:pPr>
              <w:keepNext/>
              <w:keepLines/>
              <w:ind w:left="-108"/>
              <w:jc w:val="center"/>
              <w:rPr>
                <w:rFonts w:ascii="Arial Narrow" w:hAnsi="Arial Narrow" w:cs="Arial"/>
                <w:b/>
                <w:sz w:val="20"/>
                <w:szCs w:val="20"/>
              </w:rPr>
            </w:pPr>
            <w:r w:rsidRPr="00AA42BB">
              <w:rPr>
                <w:rFonts w:ascii="Arial Narrow" w:hAnsi="Arial Narrow" w:cs="Arial"/>
                <w:b/>
                <w:sz w:val="20"/>
                <w:szCs w:val="20"/>
              </w:rPr>
              <w:t>№. of</w:t>
            </w:r>
          </w:p>
          <w:p w14:paraId="35299883" w14:textId="77777777" w:rsidR="005B0CE6" w:rsidRPr="00AA42BB" w:rsidRDefault="005B0CE6" w:rsidP="00936834">
            <w:pPr>
              <w:keepNext/>
              <w:keepLines/>
              <w:ind w:left="-108"/>
              <w:jc w:val="center"/>
              <w:rPr>
                <w:rFonts w:ascii="Arial Narrow" w:hAnsi="Arial Narrow" w:cs="Arial"/>
                <w:b/>
                <w:sz w:val="20"/>
                <w:szCs w:val="20"/>
              </w:rPr>
            </w:pPr>
            <w:proofErr w:type="spellStart"/>
            <w:r w:rsidRPr="00AA42BB">
              <w:rPr>
                <w:rFonts w:ascii="Arial Narrow" w:hAnsi="Arial Narrow" w:cs="Arial"/>
                <w:b/>
                <w:sz w:val="20"/>
                <w:szCs w:val="20"/>
              </w:rPr>
              <w:t>Rpts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7CCB395" w14:textId="77777777" w:rsidR="005B0CE6" w:rsidRPr="00AA42BB" w:rsidRDefault="005B0CE6" w:rsidP="00936834">
            <w:pPr>
              <w:keepNext/>
              <w:keepLines/>
              <w:rPr>
                <w:rFonts w:ascii="Arial Narrow" w:hAnsi="Arial Narrow" w:cs="Arial"/>
                <w:b/>
                <w:sz w:val="20"/>
                <w:szCs w:val="20"/>
                <w:lang w:val="fr-FR"/>
              </w:rPr>
            </w:pPr>
            <w:r w:rsidRPr="00AA42BB">
              <w:rPr>
                <w:rFonts w:ascii="Arial Narrow" w:hAnsi="Arial Narrow" w:cs="Arial"/>
                <w:b/>
                <w:sz w:val="20"/>
                <w:szCs w:val="20"/>
              </w:rPr>
              <w:t>Available brands</w:t>
            </w:r>
          </w:p>
        </w:tc>
      </w:tr>
      <w:tr w:rsidR="00AA42BB" w:rsidRPr="00AA42BB" w14:paraId="4C512996"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07A47807"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 METFORMIN</w:t>
            </w:r>
          </w:p>
          <w:p w14:paraId="4B9D4D27" w14:textId="77777777" w:rsidR="005B0CE6" w:rsidRPr="00AA42BB" w:rsidRDefault="005B0CE6" w:rsidP="00936834">
            <w:pPr>
              <w:keepNext/>
              <w:ind w:left="-108"/>
              <w:rPr>
                <w:rFonts w:ascii="Arial Narrow" w:hAnsi="Arial Narrow" w:cs="Arial"/>
                <w:sz w:val="20"/>
                <w:szCs w:val="20"/>
              </w:rPr>
            </w:pPr>
          </w:p>
          <w:p w14:paraId="6CA5BC3D"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10 mg + metformin hydrochloride 1 g modified release tablet, 28</w:t>
            </w:r>
          </w:p>
        </w:tc>
        <w:tc>
          <w:tcPr>
            <w:tcW w:w="993" w:type="dxa"/>
            <w:tcBorders>
              <w:top w:val="single" w:sz="4" w:space="0" w:color="auto"/>
              <w:left w:val="single" w:sz="4" w:space="0" w:color="auto"/>
              <w:bottom w:val="single" w:sz="4" w:space="0" w:color="auto"/>
              <w:right w:val="single" w:sz="4" w:space="0" w:color="auto"/>
            </w:tcBorders>
            <w:vAlign w:val="center"/>
          </w:tcPr>
          <w:p w14:paraId="2D335FA8"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13875G</w:t>
            </w:r>
          </w:p>
          <w:p w14:paraId="26E96E4C"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64393146" w14:textId="77777777" w:rsidR="005B0CE6" w:rsidRPr="00AA42BB" w:rsidRDefault="005B0CE6" w:rsidP="00936834">
            <w:pPr>
              <w:keepNext/>
              <w:jc w:val="center"/>
              <w:rPr>
                <w:rFonts w:ascii="Arial Narrow" w:hAnsi="Arial Narrow" w:cs="Arial"/>
                <w:sz w:val="20"/>
                <w:szCs w:val="20"/>
              </w:rPr>
            </w:pPr>
          </w:p>
          <w:p w14:paraId="01243834" w14:textId="77777777" w:rsidR="005B0CE6" w:rsidRPr="00AA42BB" w:rsidRDefault="005B0CE6" w:rsidP="00936834">
            <w:pPr>
              <w:keepNext/>
              <w:rPr>
                <w:rFonts w:ascii="Arial Narrow" w:hAnsi="Arial Narrow" w:cs="Arial"/>
                <w:sz w:val="20"/>
                <w:szCs w:val="20"/>
              </w:rPr>
            </w:pPr>
          </w:p>
          <w:p w14:paraId="658CDA56"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7A0FEF7" w14:textId="77777777" w:rsidR="005B0CE6" w:rsidRPr="00AA42BB" w:rsidRDefault="005B0CE6" w:rsidP="00936834">
            <w:pPr>
              <w:keepNext/>
              <w:ind w:left="-108"/>
              <w:jc w:val="center"/>
              <w:rPr>
                <w:rFonts w:ascii="Arial Narrow" w:hAnsi="Arial Narrow" w:cs="Arial"/>
                <w:sz w:val="20"/>
                <w:szCs w:val="20"/>
              </w:rPr>
            </w:pPr>
          </w:p>
          <w:p w14:paraId="26623A59" w14:textId="77777777" w:rsidR="005B0CE6" w:rsidRPr="00AA42BB" w:rsidRDefault="005B0CE6" w:rsidP="00936834">
            <w:pPr>
              <w:keepNext/>
              <w:rPr>
                <w:rFonts w:ascii="Arial Narrow" w:hAnsi="Arial Narrow" w:cs="Arial"/>
                <w:sz w:val="20"/>
                <w:szCs w:val="20"/>
              </w:rPr>
            </w:pPr>
          </w:p>
          <w:p w14:paraId="21654266"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56</w:t>
            </w:r>
          </w:p>
        </w:tc>
        <w:tc>
          <w:tcPr>
            <w:tcW w:w="708" w:type="dxa"/>
            <w:tcBorders>
              <w:top w:val="single" w:sz="4" w:space="0" w:color="auto"/>
              <w:left w:val="single" w:sz="4" w:space="0" w:color="auto"/>
              <w:bottom w:val="single" w:sz="4" w:space="0" w:color="auto"/>
              <w:right w:val="single" w:sz="4" w:space="0" w:color="auto"/>
            </w:tcBorders>
          </w:tcPr>
          <w:p w14:paraId="44B10345" w14:textId="77777777" w:rsidR="005B0CE6" w:rsidRPr="00AA42BB" w:rsidRDefault="005B0CE6" w:rsidP="00936834">
            <w:pPr>
              <w:keepNext/>
              <w:ind w:left="-108"/>
              <w:jc w:val="center"/>
              <w:rPr>
                <w:rFonts w:ascii="Arial Narrow" w:hAnsi="Arial Narrow" w:cs="Arial"/>
                <w:sz w:val="20"/>
                <w:szCs w:val="20"/>
              </w:rPr>
            </w:pPr>
          </w:p>
          <w:p w14:paraId="55D73B17" w14:textId="77777777" w:rsidR="005B0CE6" w:rsidRPr="00AA42BB" w:rsidRDefault="005B0CE6" w:rsidP="00936834">
            <w:pPr>
              <w:keepNext/>
              <w:rPr>
                <w:rFonts w:ascii="Arial Narrow" w:hAnsi="Arial Narrow" w:cs="Arial"/>
                <w:sz w:val="20"/>
                <w:szCs w:val="20"/>
              </w:rPr>
            </w:pPr>
          </w:p>
          <w:p w14:paraId="3D02D711"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31018EBA" w14:textId="77777777" w:rsidR="005B0CE6" w:rsidRPr="00AA42BB" w:rsidRDefault="005B0CE6" w:rsidP="00936834">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3CD5076" w14:textId="77777777" w:rsidR="005B0CE6" w:rsidRPr="00AA42BB" w:rsidRDefault="005B0CE6" w:rsidP="00936834">
            <w:pPr>
              <w:keepNext/>
              <w:rPr>
                <w:rFonts w:ascii="Arial Narrow" w:hAnsi="Arial Narrow" w:cs="Arial"/>
                <w:sz w:val="20"/>
                <w:szCs w:val="20"/>
              </w:rPr>
            </w:pPr>
          </w:p>
          <w:p w14:paraId="16947F02" w14:textId="77777777" w:rsidR="005B0CE6" w:rsidRPr="00AA42BB" w:rsidRDefault="005B0CE6" w:rsidP="00936834">
            <w:pPr>
              <w:keepNext/>
              <w:rPr>
                <w:rFonts w:ascii="Arial Narrow" w:hAnsi="Arial Narrow" w:cs="Arial"/>
                <w:sz w:val="20"/>
                <w:szCs w:val="20"/>
              </w:rPr>
            </w:pPr>
          </w:p>
          <w:p w14:paraId="59D935C9"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Xigduo</w:t>
            </w:r>
            <w:proofErr w:type="spellEnd"/>
            <w:r w:rsidRPr="00AA42BB">
              <w:rPr>
                <w:rFonts w:ascii="Arial Narrow" w:hAnsi="Arial Narrow" w:cs="Arial"/>
                <w:sz w:val="20"/>
                <w:szCs w:val="20"/>
              </w:rPr>
              <w:t xml:space="preserve"> XR 10/1000</w:t>
            </w:r>
          </w:p>
          <w:p w14:paraId="7CF1337C" w14:textId="77777777" w:rsidR="005B0CE6" w:rsidRPr="00AA42BB" w:rsidRDefault="005B0CE6" w:rsidP="00936834">
            <w:pPr>
              <w:keepNext/>
              <w:rPr>
                <w:rFonts w:ascii="Arial Narrow" w:hAnsi="Arial Narrow" w:cs="Arial"/>
                <w:sz w:val="20"/>
                <w:szCs w:val="20"/>
              </w:rPr>
            </w:pPr>
          </w:p>
        </w:tc>
      </w:tr>
      <w:tr w:rsidR="00AA42BB" w:rsidRPr="00AA42BB" w14:paraId="7E8EE31A"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60B53DFA"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 METFORMIN</w:t>
            </w:r>
          </w:p>
          <w:p w14:paraId="24177B89" w14:textId="77777777" w:rsidR="005B0CE6" w:rsidRPr="00AA42BB" w:rsidRDefault="005B0CE6" w:rsidP="00936834">
            <w:pPr>
              <w:keepNext/>
              <w:ind w:left="-108"/>
              <w:rPr>
                <w:rFonts w:ascii="Arial Narrow" w:hAnsi="Arial Narrow" w:cs="Arial"/>
                <w:sz w:val="20"/>
                <w:szCs w:val="20"/>
              </w:rPr>
            </w:pPr>
          </w:p>
          <w:p w14:paraId="33EAF6D6"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5 mg + metformin hydrochloride 1 g modified release tablet, 56</w:t>
            </w:r>
          </w:p>
        </w:tc>
        <w:tc>
          <w:tcPr>
            <w:tcW w:w="993" w:type="dxa"/>
            <w:tcBorders>
              <w:top w:val="single" w:sz="4" w:space="0" w:color="auto"/>
              <w:left w:val="single" w:sz="4" w:space="0" w:color="auto"/>
              <w:bottom w:val="single" w:sz="4" w:space="0" w:color="auto"/>
              <w:right w:val="single" w:sz="4" w:space="0" w:color="auto"/>
            </w:tcBorders>
            <w:vAlign w:val="center"/>
          </w:tcPr>
          <w:p w14:paraId="580C2ED5"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13851B</w:t>
            </w:r>
          </w:p>
          <w:p w14:paraId="666D78F8"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10C6A8E6" w14:textId="77777777" w:rsidR="005B0CE6" w:rsidRPr="00AA42BB" w:rsidRDefault="005B0CE6" w:rsidP="00936834">
            <w:pPr>
              <w:keepNext/>
              <w:jc w:val="center"/>
              <w:rPr>
                <w:rFonts w:ascii="Arial Narrow" w:hAnsi="Arial Narrow" w:cs="Arial"/>
                <w:sz w:val="20"/>
                <w:szCs w:val="20"/>
              </w:rPr>
            </w:pPr>
          </w:p>
          <w:p w14:paraId="304A3B20" w14:textId="77777777" w:rsidR="005B0CE6" w:rsidRPr="00AA42BB" w:rsidRDefault="005B0CE6" w:rsidP="00936834">
            <w:pPr>
              <w:keepNext/>
              <w:rPr>
                <w:rFonts w:ascii="Arial Narrow" w:hAnsi="Arial Narrow" w:cs="Arial"/>
                <w:sz w:val="20"/>
                <w:szCs w:val="20"/>
              </w:rPr>
            </w:pPr>
          </w:p>
          <w:p w14:paraId="2ACAFD9D"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8703259" w14:textId="77777777" w:rsidR="005B0CE6" w:rsidRPr="00AA42BB" w:rsidRDefault="005B0CE6" w:rsidP="00936834">
            <w:pPr>
              <w:keepNext/>
              <w:ind w:left="-108"/>
              <w:jc w:val="center"/>
              <w:rPr>
                <w:rFonts w:ascii="Arial Narrow" w:hAnsi="Arial Narrow" w:cs="Arial"/>
                <w:sz w:val="20"/>
                <w:szCs w:val="20"/>
              </w:rPr>
            </w:pPr>
          </w:p>
          <w:p w14:paraId="134850A9" w14:textId="77777777" w:rsidR="005B0CE6" w:rsidRPr="00AA42BB" w:rsidRDefault="005B0CE6" w:rsidP="00936834">
            <w:pPr>
              <w:keepNext/>
              <w:rPr>
                <w:rFonts w:ascii="Arial Narrow" w:hAnsi="Arial Narrow" w:cs="Arial"/>
                <w:sz w:val="20"/>
                <w:szCs w:val="20"/>
              </w:rPr>
            </w:pPr>
          </w:p>
          <w:p w14:paraId="584B0C14"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112</w:t>
            </w:r>
          </w:p>
        </w:tc>
        <w:tc>
          <w:tcPr>
            <w:tcW w:w="708" w:type="dxa"/>
            <w:tcBorders>
              <w:top w:val="single" w:sz="4" w:space="0" w:color="auto"/>
              <w:left w:val="single" w:sz="4" w:space="0" w:color="auto"/>
              <w:bottom w:val="single" w:sz="4" w:space="0" w:color="auto"/>
              <w:right w:val="single" w:sz="4" w:space="0" w:color="auto"/>
            </w:tcBorders>
          </w:tcPr>
          <w:p w14:paraId="521B4D4E" w14:textId="77777777" w:rsidR="005B0CE6" w:rsidRPr="00AA42BB" w:rsidRDefault="005B0CE6" w:rsidP="00936834">
            <w:pPr>
              <w:keepNext/>
              <w:ind w:left="-108"/>
              <w:jc w:val="center"/>
              <w:rPr>
                <w:rFonts w:ascii="Arial Narrow" w:hAnsi="Arial Narrow" w:cs="Arial"/>
                <w:sz w:val="20"/>
                <w:szCs w:val="20"/>
              </w:rPr>
            </w:pPr>
          </w:p>
          <w:p w14:paraId="7C7194B4" w14:textId="77777777" w:rsidR="005B0CE6" w:rsidRPr="00AA42BB" w:rsidRDefault="005B0CE6" w:rsidP="00936834">
            <w:pPr>
              <w:keepNext/>
              <w:rPr>
                <w:rFonts w:ascii="Arial Narrow" w:hAnsi="Arial Narrow" w:cs="Arial"/>
                <w:sz w:val="20"/>
                <w:szCs w:val="20"/>
              </w:rPr>
            </w:pPr>
          </w:p>
          <w:p w14:paraId="2C62C8C2"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64BC8E9E"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B842ED" w14:textId="77777777" w:rsidR="005B0CE6" w:rsidRPr="00AA42BB" w:rsidRDefault="005B0CE6" w:rsidP="00936834">
            <w:pPr>
              <w:keepNext/>
              <w:rPr>
                <w:rFonts w:ascii="Arial Narrow" w:hAnsi="Arial Narrow" w:cs="Arial"/>
                <w:sz w:val="20"/>
                <w:szCs w:val="20"/>
              </w:rPr>
            </w:pPr>
          </w:p>
          <w:p w14:paraId="27EC5DC8" w14:textId="77777777" w:rsidR="005B0CE6" w:rsidRPr="00AA42BB" w:rsidRDefault="005B0CE6" w:rsidP="00936834">
            <w:pPr>
              <w:keepNext/>
              <w:rPr>
                <w:rFonts w:ascii="Arial Narrow" w:hAnsi="Arial Narrow" w:cs="Arial"/>
                <w:sz w:val="20"/>
                <w:szCs w:val="20"/>
              </w:rPr>
            </w:pPr>
          </w:p>
          <w:p w14:paraId="31D699C6"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Xigduo</w:t>
            </w:r>
            <w:proofErr w:type="spellEnd"/>
            <w:r w:rsidRPr="00AA42BB">
              <w:rPr>
                <w:rFonts w:ascii="Arial Narrow" w:hAnsi="Arial Narrow" w:cs="Arial"/>
                <w:sz w:val="20"/>
                <w:szCs w:val="20"/>
              </w:rPr>
              <w:t xml:space="preserve"> XR 5/1000</w:t>
            </w:r>
          </w:p>
          <w:p w14:paraId="10D60BC9" w14:textId="77777777" w:rsidR="005B0CE6" w:rsidRPr="00AA42BB" w:rsidRDefault="005B0CE6" w:rsidP="00936834">
            <w:pPr>
              <w:keepNext/>
              <w:rPr>
                <w:rFonts w:ascii="Arial Narrow" w:hAnsi="Arial Narrow" w:cs="Arial"/>
                <w:sz w:val="20"/>
                <w:szCs w:val="20"/>
              </w:rPr>
            </w:pPr>
          </w:p>
        </w:tc>
      </w:tr>
      <w:tr w:rsidR="00AA42BB" w:rsidRPr="00AA42BB" w14:paraId="21B0E258"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4AAB486B"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 METFORMIN</w:t>
            </w:r>
          </w:p>
          <w:p w14:paraId="280600F9" w14:textId="77777777" w:rsidR="005B0CE6" w:rsidRPr="00AA42BB" w:rsidRDefault="005B0CE6" w:rsidP="00936834">
            <w:pPr>
              <w:keepNext/>
              <w:ind w:left="-108"/>
              <w:rPr>
                <w:rFonts w:ascii="Arial Narrow" w:hAnsi="Arial Narrow" w:cs="Arial"/>
                <w:sz w:val="20"/>
                <w:szCs w:val="20"/>
              </w:rPr>
            </w:pPr>
          </w:p>
          <w:p w14:paraId="09600A9B"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dapagliflozin 10 mg + metformin hydrochloride 500 mg modified release tablet, 28</w:t>
            </w:r>
          </w:p>
        </w:tc>
        <w:tc>
          <w:tcPr>
            <w:tcW w:w="993" w:type="dxa"/>
            <w:tcBorders>
              <w:top w:val="single" w:sz="4" w:space="0" w:color="auto"/>
              <w:left w:val="single" w:sz="4" w:space="0" w:color="auto"/>
              <w:bottom w:val="single" w:sz="4" w:space="0" w:color="auto"/>
              <w:right w:val="single" w:sz="4" w:space="0" w:color="auto"/>
            </w:tcBorders>
            <w:vAlign w:val="center"/>
          </w:tcPr>
          <w:p w14:paraId="44838DFC"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14028H</w:t>
            </w:r>
          </w:p>
          <w:p w14:paraId="05EAE6CD"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1FA4E951" w14:textId="77777777" w:rsidR="005B0CE6" w:rsidRPr="00AA42BB" w:rsidRDefault="005B0CE6" w:rsidP="00936834">
            <w:pPr>
              <w:keepNext/>
              <w:jc w:val="center"/>
              <w:rPr>
                <w:rFonts w:ascii="Arial Narrow" w:hAnsi="Arial Narrow" w:cs="Arial"/>
                <w:sz w:val="20"/>
                <w:szCs w:val="20"/>
              </w:rPr>
            </w:pPr>
          </w:p>
          <w:p w14:paraId="14978DAA" w14:textId="77777777" w:rsidR="005B0CE6" w:rsidRPr="00AA42BB" w:rsidRDefault="005B0CE6" w:rsidP="00936834">
            <w:pPr>
              <w:keepNext/>
              <w:rPr>
                <w:rFonts w:ascii="Arial Narrow" w:hAnsi="Arial Narrow" w:cs="Arial"/>
                <w:sz w:val="20"/>
                <w:szCs w:val="20"/>
              </w:rPr>
            </w:pPr>
          </w:p>
          <w:p w14:paraId="15225FF1"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2C76855" w14:textId="77777777" w:rsidR="005B0CE6" w:rsidRPr="00AA42BB" w:rsidRDefault="005B0CE6" w:rsidP="00936834">
            <w:pPr>
              <w:keepNext/>
              <w:ind w:left="-108"/>
              <w:jc w:val="center"/>
              <w:rPr>
                <w:rFonts w:ascii="Arial Narrow" w:hAnsi="Arial Narrow" w:cs="Arial"/>
                <w:sz w:val="20"/>
                <w:szCs w:val="20"/>
              </w:rPr>
            </w:pPr>
          </w:p>
          <w:p w14:paraId="16FA5F2C" w14:textId="77777777" w:rsidR="005B0CE6" w:rsidRPr="00AA42BB" w:rsidRDefault="005B0CE6" w:rsidP="00936834">
            <w:pPr>
              <w:keepNext/>
              <w:rPr>
                <w:rFonts w:ascii="Arial Narrow" w:hAnsi="Arial Narrow" w:cs="Arial"/>
                <w:sz w:val="20"/>
                <w:szCs w:val="20"/>
              </w:rPr>
            </w:pPr>
          </w:p>
          <w:p w14:paraId="1E21C9BE"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56</w:t>
            </w:r>
          </w:p>
        </w:tc>
        <w:tc>
          <w:tcPr>
            <w:tcW w:w="708" w:type="dxa"/>
            <w:tcBorders>
              <w:top w:val="single" w:sz="4" w:space="0" w:color="auto"/>
              <w:left w:val="single" w:sz="4" w:space="0" w:color="auto"/>
              <w:bottom w:val="single" w:sz="4" w:space="0" w:color="auto"/>
              <w:right w:val="single" w:sz="4" w:space="0" w:color="auto"/>
            </w:tcBorders>
          </w:tcPr>
          <w:p w14:paraId="11453EB1" w14:textId="77777777" w:rsidR="005B0CE6" w:rsidRPr="00AA42BB" w:rsidRDefault="005B0CE6" w:rsidP="00936834">
            <w:pPr>
              <w:keepNext/>
              <w:ind w:left="-108"/>
              <w:jc w:val="center"/>
              <w:rPr>
                <w:rFonts w:ascii="Arial Narrow" w:hAnsi="Arial Narrow" w:cs="Arial"/>
                <w:sz w:val="20"/>
                <w:szCs w:val="20"/>
              </w:rPr>
            </w:pPr>
          </w:p>
          <w:p w14:paraId="2882B66A" w14:textId="77777777" w:rsidR="005B0CE6" w:rsidRPr="00AA42BB" w:rsidRDefault="005B0CE6" w:rsidP="00936834">
            <w:pPr>
              <w:keepNext/>
              <w:rPr>
                <w:rFonts w:ascii="Arial Narrow" w:hAnsi="Arial Narrow" w:cs="Arial"/>
                <w:sz w:val="20"/>
                <w:szCs w:val="20"/>
              </w:rPr>
            </w:pPr>
          </w:p>
          <w:p w14:paraId="399CB722"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4C2A56C9"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504925" w14:textId="77777777" w:rsidR="005B0CE6" w:rsidRPr="00AA42BB" w:rsidRDefault="005B0CE6" w:rsidP="00936834">
            <w:pPr>
              <w:keepNext/>
              <w:rPr>
                <w:rFonts w:ascii="Arial Narrow" w:hAnsi="Arial Narrow" w:cs="Arial"/>
                <w:sz w:val="20"/>
                <w:szCs w:val="20"/>
              </w:rPr>
            </w:pPr>
          </w:p>
          <w:p w14:paraId="1612C80B" w14:textId="77777777" w:rsidR="005B0CE6" w:rsidRPr="00AA42BB" w:rsidRDefault="005B0CE6" w:rsidP="00936834">
            <w:pPr>
              <w:keepNext/>
              <w:rPr>
                <w:rFonts w:ascii="Arial Narrow" w:hAnsi="Arial Narrow" w:cs="Arial"/>
                <w:sz w:val="20"/>
                <w:szCs w:val="20"/>
              </w:rPr>
            </w:pPr>
          </w:p>
          <w:p w14:paraId="6990F8EE"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Xigduo</w:t>
            </w:r>
            <w:proofErr w:type="spellEnd"/>
            <w:r w:rsidRPr="00AA42BB">
              <w:rPr>
                <w:rFonts w:ascii="Arial Narrow" w:hAnsi="Arial Narrow" w:cs="Arial"/>
                <w:sz w:val="20"/>
                <w:szCs w:val="20"/>
              </w:rPr>
              <w:t xml:space="preserve"> XR 10/500</w:t>
            </w:r>
          </w:p>
          <w:p w14:paraId="79AA9F5E" w14:textId="77777777" w:rsidR="005B0CE6" w:rsidRPr="00AA42BB" w:rsidRDefault="005B0CE6" w:rsidP="00936834">
            <w:pPr>
              <w:keepNext/>
              <w:rPr>
                <w:rFonts w:ascii="Arial Narrow" w:hAnsi="Arial Narrow" w:cs="Arial"/>
                <w:sz w:val="20"/>
                <w:szCs w:val="20"/>
              </w:rPr>
            </w:pPr>
          </w:p>
        </w:tc>
      </w:tr>
      <w:tr w:rsidR="00AA42BB" w:rsidRPr="00AA42BB" w14:paraId="411F3AA4"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19E813ED"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77512949" w14:textId="77777777" w:rsidR="005B0CE6" w:rsidRPr="00AA42BB" w:rsidRDefault="005B0CE6" w:rsidP="00936834">
            <w:pPr>
              <w:keepNext/>
              <w:ind w:left="-108"/>
              <w:rPr>
                <w:rFonts w:ascii="Arial Narrow" w:hAnsi="Arial Narrow" w:cs="Arial"/>
                <w:sz w:val="20"/>
                <w:szCs w:val="20"/>
              </w:rPr>
            </w:pPr>
          </w:p>
          <w:p w14:paraId="7FA9CC94"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12.5 mg + metformin hydrochloride 1 g tablet, 60</w:t>
            </w:r>
          </w:p>
        </w:tc>
        <w:tc>
          <w:tcPr>
            <w:tcW w:w="993" w:type="dxa"/>
            <w:tcBorders>
              <w:top w:val="single" w:sz="4" w:space="0" w:color="auto"/>
              <w:left w:val="single" w:sz="4" w:space="0" w:color="auto"/>
              <w:bottom w:val="single" w:sz="4" w:space="0" w:color="auto"/>
              <w:right w:val="single" w:sz="4" w:space="0" w:color="auto"/>
            </w:tcBorders>
            <w:vAlign w:val="center"/>
          </w:tcPr>
          <w:p w14:paraId="301A3BBC"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13987E</w:t>
            </w:r>
          </w:p>
          <w:p w14:paraId="79725969"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32DD013D" w14:textId="77777777" w:rsidR="005B0CE6" w:rsidRPr="00AA42BB" w:rsidRDefault="005B0CE6" w:rsidP="00936834">
            <w:pPr>
              <w:keepNext/>
              <w:jc w:val="center"/>
              <w:rPr>
                <w:rFonts w:ascii="Arial Narrow" w:hAnsi="Arial Narrow" w:cs="Arial"/>
                <w:sz w:val="20"/>
                <w:szCs w:val="20"/>
              </w:rPr>
            </w:pPr>
          </w:p>
          <w:p w14:paraId="638550CF" w14:textId="77777777" w:rsidR="005B0CE6" w:rsidRPr="00AA42BB" w:rsidRDefault="005B0CE6" w:rsidP="00936834">
            <w:pPr>
              <w:keepNext/>
              <w:rPr>
                <w:rFonts w:ascii="Arial Narrow" w:hAnsi="Arial Narrow" w:cs="Arial"/>
                <w:sz w:val="20"/>
                <w:szCs w:val="20"/>
              </w:rPr>
            </w:pPr>
          </w:p>
          <w:p w14:paraId="0C79F243"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D4FBEBE" w14:textId="77777777" w:rsidR="005B0CE6" w:rsidRPr="00AA42BB" w:rsidRDefault="005B0CE6" w:rsidP="00936834">
            <w:pPr>
              <w:keepNext/>
              <w:ind w:left="-108"/>
              <w:jc w:val="center"/>
              <w:rPr>
                <w:rFonts w:ascii="Arial Narrow" w:hAnsi="Arial Narrow" w:cs="Arial"/>
                <w:sz w:val="20"/>
                <w:szCs w:val="20"/>
              </w:rPr>
            </w:pPr>
          </w:p>
          <w:p w14:paraId="37556706" w14:textId="77777777" w:rsidR="005B0CE6" w:rsidRPr="00AA42BB" w:rsidRDefault="005B0CE6" w:rsidP="00936834">
            <w:pPr>
              <w:keepNext/>
              <w:rPr>
                <w:rFonts w:ascii="Arial Narrow" w:hAnsi="Arial Narrow" w:cs="Arial"/>
                <w:sz w:val="20"/>
                <w:szCs w:val="20"/>
              </w:rPr>
            </w:pPr>
          </w:p>
          <w:p w14:paraId="625E2F83"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120</w:t>
            </w:r>
          </w:p>
        </w:tc>
        <w:tc>
          <w:tcPr>
            <w:tcW w:w="708" w:type="dxa"/>
            <w:tcBorders>
              <w:top w:val="single" w:sz="4" w:space="0" w:color="auto"/>
              <w:left w:val="single" w:sz="4" w:space="0" w:color="auto"/>
              <w:bottom w:val="single" w:sz="4" w:space="0" w:color="auto"/>
              <w:right w:val="single" w:sz="4" w:space="0" w:color="auto"/>
            </w:tcBorders>
          </w:tcPr>
          <w:p w14:paraId="5251A8BA" w14:textId="77777777" w:rsidR="005B0CE6" w:rsidRPr="00AA42BB" w:rsidRDefault="005B0CE6" w:rsidP="00936834">
            <w:pPr>
              <w:keepNext/>
              <w:ind w:left="-108"/>
              <w:jc w:val="center"/>
              <w:rPr>
                <w:rFonts w:ascii="Arial Narrow" w:hAnsi="Arial Narrow" w:cs="Arial"/>
                <w:sz w:val="20"/>
                <w:szCs w:val="20"/>
              </w:rPr>
            </w:pPr>
          </w:p>
          <w:p w14:paraId="21C2D63E" w14:textId="77777777" w:rsidR="005B0CE6" w:rsidRPr="00AA42BB" w:rsidRDefault="005B0CE6" w:rsidP="00936834">
            <w:pPr>
              <w:keepNext/>
              <w:rPr>
                <w:rFonts w:ascii="Arial Narrow" w:hAnsi="Arial Narrow" w:cs="Arial"/>
                <w:sz w:val="20"/>
                <w:szCs w:val="20"/>
              </w:rPr>
            </w:pPr>
          </w:p>
          <w:p w14:paraId="4AA1C6DD"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3B56EAEC" w14:textId="77777777" w:rsidR="005B0CE6" w:rsidRPr="00AA42BB" w:rsidRDefault="005B0CE6" w:rsidP="00936834">
            <w:pPr>
              <w:keepNext/>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7F2306" w14:textId="77777777" w:rsidR="005B0CE6" w:rsidRPr="00AA42BB" w:rsidRDefault="005B0CE6" w:rsidP="00936834">
            <w:pPr>
              <w:keepNext/>
              <w:rPr>
                <w:rFonts w:ascii="Arial Narrow" w:hAnsi="Arial Narrow" w:cs="Arial"/>
                <w:sz w:val="20"/>
                <w:szCs w:val="20"/>
              </w:rPr>
            </w:pPr>
          </w:p>
          <w:p w14:paraId="786F5500" w14:textId="77777777" w:rsidR="005B0CE6" w:rsidRPr="00AA42BB" w:rsidRDefault="005B0CE6" w:rsidP="00936834">
            <w:pPr>
              <w:keepNext/>
              <w:rPr>
                <w:rFonts w:ascii="Arial Narrow" w:hAnsi="Arial Narrow" w:cs="Arial"/>
                <w:sz w:val="20"/>
                <w:szCs w:val="20"/>
              </w:rPr>
            </w:pPr>
          </w:p>
          <w:p w14:paraId="621CC733"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12.5 mg/1000 mg</w:t>
            </w:r>
          </w:p>
          <w:p w14:paraId="0512E671" w14:textId="77777777" w:rsidR="005B0CE6" w:rsidRPr="00AA42BB" w:rsidRDefault="005B0CE6" w:rsidP="00936834">
            <w:pPr>
              <w:keepNext/>
              <w:rPr>
                <w:rFonts w:ascii="Arial Narrow" w:hAnsi="Arial Narrow" w:cs="Arial"/>
                <w:sz w:val="20"/>
                <w:szCs w:val="20"/>
              </w:rPr>
            </w:pPr>
          </w:p>
        </w:tc>
      </w:tr>
      <w:tr w:rsidR="00AA42BB" w:rsidRPr="00AA42BB" w14:paraId="1795FDD5"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66198B41"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7D00291B" w14:textId="77777777" w:rsidR="005B0CE6" w:rsidRPr="00AA42BB" w:rsidRDefault="005B0CE6" w:rsidP="00936834">
            <w:pPr>
              <w:keepNext/>
              <w:ind w:left="-108"/>
              <w:rPr>
                <w:rFonts w:ascii="Arial Narrow" w:hAnsi="Arial Narrow" w:cs="Arial"/>
                <w:sz w:val="20"/>
                <w:szCs w:val="20"/>
              </w:rPr>
            </w:pPr>
          </w:p>
          <w:p w14:paraId="0A35F19D"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5 mg + metformin hydrochloride 1 g tablet, 60</w:t>
            </w:r>
          </w:p>
        </w:tc>
        <w:tc>
          <w:tcPr>
            <w:tcW w:w="993" w:type="dxa"/>
            <w:tcBorders>
              <w:top w:val="single" w:sz="4" w:space="0" w:color="auto"/>
              <w:left w:val="single" w:sz="4" w:space="0" w:color="auto"/>
              <w:bottom w:val="single" w:sz="4" w:space="0" w:color="auto"/>
              <w:right w:val="single" w:sz="4" w:space="0" w:color="auto"/>
            </w:tcBorders>
            <w:vAlign w:val="center"/>
          </w:tcPr>
          <w:p w14:paraId="5282D0CD"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13852C</w:t>
            </w:r>
          </w:p>
          <w:p w14:paraId="7F912E39"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7FA7342B" w14:textId="77777777" w:rsidR="005B0CE6" w:rsidRPr="00AA42BB" w:rsidRDefault="005B0CE6" w:rsidP="00936834">
            <w:pPr>
              <w:keepNext/>
              <w:jc w:val="center"/>
              <w:rPr>
                <w:rFonts w:ascii="Arial Narrow" w:hAnsi="Arial Narrow" w:cs="Arial"/>
                <w:sz w:val="20"/>
                <w:szCs w:val="20"/>
              </w:rPr>
            </w:pPr>
          </w:p>
          <w:p w14:paraId="4C895260" w14:textId="77777777" w:rsidR="005B0CE6" w:rsidRPr="00AA42BB" w:rsidRDefault="005B0CE6" w:rsidP="00936834">
            <w:pPr>
              <w:keepNext/>
              <w:rPr>
                <w:rFonts w:ascii="Arial Narrow" w:hAnsi="Arial Narrow" w:cs="Arial"/>
                <w:sz w:val="20"/>
                <w:szCs w:val="20"/>
              </w:rPr>
            </w:pPr>
          </w:p>
          <w:p w14:paraId="4B2A1759"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8CE8F72" w14:textId="77777777" w:rsidR="005B0CE6" w:rsidRPr="00AA42BB" w:rsidRDefault="005B0CE6" w:rsidP="00936834">
            <w:pPr>
              <w:keepNext/>
              <w:ind w:left="-108"/>
              <w:jc w:val="center"/>
              <w:rPr>
                <w:rFonts w:ascii="Arial Narrow" w:hAnsi="Arial Narrow" w:cs="Arial"/>
                <w:sz w:val="20"/>
                <w:szCs w:val="20"/>
              </w:rPr>
            </w:pPr>
          </w:p>
          <w:p w14:paraId="1761C14A" w14:textId="77777777" w:rsidR="005B0CE6" w:rsidRPr="00AA42BB" w:rsidRDefault="005B0CE6" w:rsidP="00936834">
            <w:pPr>
              <w:keepNext/>
              <w:rPr>
                <w:rFonts w:ascii="Arial Narrow" w:hAnsi="Arial Narrow" w:cs="Arial"/>
                <w:sz w:val="20"/>
                <w:szCs w:val="20"/>
              </w:rPr>
            </w:pPr>
          </w:p>
          <w:p w14:paraId="1C40E231"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120</w:t>
            </w:r>
          </w:p>
        </w:tc>
        <w:tc>
          <w:tcPr>
            <w:tcW w:w="708" w:type="dxa"/>
            <w:tcBorders>
              <w:top w:val="single" w:sz="4" w:space="0" w:color="auto"/>
              <w:left w:val="single" w:sz="4" w:space="0" w:color="auto"/>
              <w:bottom w:val="single" w:sz="4" w:space="0" w:color="auto"/>
              <w:right w:val="single" w:sz="4" w:space="0" w:color="auto"/>
            </w:tcBorders>
          </w:tcPr>
          <w:p w14:paraId="00322F05" w14:textId="77777777" w:rsidR="005B0CE6" w:rsidRPr="00AA42BB" w:rsidRDefault="005B0CE6" w:rsidP="00936834">
            <w:pPr>
              <w:keepNext/>
              <w:ind w:left="-108"/>
              <w:jc w:val="center"/>
              <w:rPr>
                <w:rFonts w:ascii="Arial Narrow" w:hAnsi="Arial Narrow" w:cs="Arial"/>
                <w:sz w:val="20"/>
                <w:szCs w:val="20"/>
              </w:rPr>
            </w:pPr>
          </w:p>
          <w:p w14:paraId="204295A8" w14:textId="77777777" w:rsidR="005B0CE6" w:rsidRPr="00AA42BB" w:rsidRDefault="005B0CE6" w:rsidP="00936834">
            <w:pPr>
              <w:keepNext/>
              <w:rPr>
                <w:rFonts w:ascii="Arial Narrow" w:hAnsi="Arial Narrow" w:cs="Arial"/>
                <w:sz w:val="20"/>
                <w:szCs w:val="20"/>
              </w:rPr>
            </w:pPr>
          </w:p>
          <w:p w14:paraId="35740269"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3E8D36BC"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A7993CD" w14:textId="77777777" w:rsidR="005B0CE6" w:rsidRPr="00AA42BB" w:rsidRDefault="005B0CE6" w:rsidP="00936834">
            <w:pPr>
              <w:keepNext/>
              <w:rPr>
                <w:rFonts w:ascii="Arial Narrow" w:hAnsi="Arial Narrow" w:cs="Arial"/>
                <w:sz w:val="20"/>
                <w:szCs w:val="20"/>
              </w:rPr>
            </w:pPr>
          </w:p>
          <w:p w14:paraId="35280095" w14:textId="77777777" w:rsidR="005B0CE6" w:rsidRPr="00AA42BB" w:rsidRDefault="005B0CE6" w:rsidP="00936834">
            <w:pPr>
              <w:keepNext/>
              <w:rPr>
                <w:rFonts w:ascii="Arial Narrow" w:hAnsi="Arial Narrow" w:cs="Arial"/>
                <w:sz w:val="20"/>
                <w:szCs w:val="20"/>
              </w:rPr>
            </w:pPr>
          </w:p>
          <w:p w14:paraId="5AAB1730"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5 mg/1000 mg</w:t>
            </w:r>
          </w:p>
          <w:p w14:paraId="70A57C14" w14:textId="77777777" w:rsidR="005B0CE6" w:rsidRPr="00AA42BB" w:rsidRDefault="005B0CE6" w:rsidP="00936834">
            <w:pPr>
              <w:keepNext/>
              <w:rPr>
                <w:rFonts w:ascii="Arial Narrow" w:hAnsi="Arial Narrow" w:cs="Arial"/>
                <w:sz w:val="20"/>
                <w:szCs w:val="20"/>
              </w:rPr>
            </w:pPr>
          </w:p>
        </w:tc>
      </w:tr>
      <w:tr w:rsidR="00AA42BB" w:rsidRPr="00AA42BB" w14:paraId="0CF92702"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7037A3E0"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2196BDDD" w14:textId="77777777" w:rsidR="005B0CE6" w:rsidRPr="00AA42BB" w:rsidRDefault="005B0CE6" w:rsidP="00936834">
            <w:pPr>
              <w:keepNext/>
              <w:ind w:left="-108"/>
              <w:rPr>
                <w:rFonts w:ascii="Arial Narrow" w:hAnsi="Arial Narrow" w:cs="Arial"/>
                <w:sz w:val="20"/>
                <w:szCs w:val="20"/>
              </w:rPr>
            </w:pPr>
          </w:p>
          <w:p w14:paraId="2EFE99EF"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12.5 mg + metformin hydrochloride 500 mg tablet, 60</w:t>
            </w:r>
          </w:p>
        </w:tc>
        <w:tc>
          <w:tcPr>
            <w:tcW w:w="993" w:type="dxa"/>
            <w:tcBorders>
              <w:top w:val="single" w:sz="4" w:space="0" w:color="auto"/>
              <w:left w:val="single" w:sz="4" w:space="0" w:color="auto"/>
              <w:bottom w:val="single" w:sz="4" w:space="0" w:color="auto"/>
              <w:right w:val="single" w:sz="4" w:space="0" w:color="auto"/>
            </w:tcBorders>
            <w:vAlign w:val="center"/>
          </w:tcPr>
          <w:p w14:paraId="786426B6"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13903R</w:t>
            </w:r>
          </w:p>
          <w:p w14:paraId="352DF97F"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3FC94DD6" w14:textId="77777777" w:rsidR="005B0CE6" w:rsidRPr="00AA42BB" w:rsidRDefault="005B0CE6" w:rsidP="00936834">
            <w:pPr>
              <w:keepNext/>
              <w:jc w:val="center"/>
              <w:rPr>
                <w:rFonts w:ascii="Arial Narrow" w:hAnsi="Arial Narrow" w:cs="Arial"/>
                <w:sz w:val="20"/>
                <w:szCs w:val="20"/>
              </w:rPr>
            </w:pPr>
          </w:p>
          <w:p w14:paraId="28BBD646" w14:textId="77777777" w:rsidR="005B0CE6" w:rsidRPr="00AA42BB" w:rsidRDefault="005B0CE6" w:rsidP="00936834">
            <w:pPr>
              <w:keepNext/>
              <w:rPr>
                <w:rFonts w:ascii="Arial Narrow" w:hAnsi="Arial Narrow" w:cs="Arial"/>
                <w:sz w:val="20"/>
                <w:szCs w:val="20"/>
              </w:rPr>
            </w:pPr>
          </w:p>
          <w:p w14:paraId="4917F280"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6BF05BF" w14:textId="77777777" w:rsidR="005B0CE6" w:rsidRPr="00AA42BB" w:rsidRDefault="005B0CE6" w:rsidP="00936834">
            <w:pPr>
              <w:keepNext/>
              <w:ind w:left="-108"/>
              <w:jc w:val="center"/>
              <w:rPr>
                <w:rFonts w:ascii="Arial Narrow" w:hAnsi="Arial Narrow" w:cs="Arial"/>
                <w:sz w:val="20"/>
                <w:szCs w:val="20"/>
              </w:rPr>
            </w:pPr>
          </w:p>
          <w:p w14:paraId="594C43C8" w14:textId="77777777" w:rsidR="005B0CE6" w:rsidRPr="00AA42BB" w:rsidRDefault="005B0CE6" w:rsidP="00936834">
            <w:pPr>
              <w:keepNext/>
              <w:rPr>
                <w:rFonts w:ascii="Arial Narrow" w:hAnsi="Arial Narrow" w:cs="Arial"/>
                <w:sz w:val="20"/>
                <w:szCs w:val="20"/>
              </w:rPr>
            </w:pPr>
          </w:p>
          <w:p w14:paraId="5DD12FDD"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120</w:t>
            </w:r>
          </w:p>
        </w:tc>
        <w:tc>
          <w:tcPr>
            <w:tcW w:w="708" w:type="dxa"/>
            <w:tcBorders>
              <w:top w:val="single" w:sz="4" w:space="0" w:color="auto"/>
              <w:left w:val="single" w:sz="4" w:space="0" w:color="auto"/>
              <w:bottom w:val="single" w:sz="4" w:space="0" w:color="auto"/>
              <w:right w:val="single" w:sz="4" w:space="0" w:color="auto"/>
            </w:tcBorders>
          </w:tcPr>
          <w:p w14:paraId="3D2613D1" w14:textId="77777777" w:rsidR="005B0CE6" w:rsidRPr="00AA42BB" w:rsidRDefault="005B0CE6" w:rsidP="00936834">
            <w:pPr>
              <w:keepNext/>
              <w:ind w:left="-108"/>
              <w:jc w:val="center"/>
              <w:rPr>
                <w:rFonts w:ascii="Arial Narrow" w:hAnsi="Arial Narrow" w:cs="Arial"/>
                <w:sz w:val="20"/>
                <w:szCs w:val="20"/>
              </w:rPr>
            </w:pPr>
          </w:p>
          <w:p w14:paraId="78D30D4B" w14:textId="77777777" w:rsidR="005B0CE6" w:rsidRPr="00AA42BB" w:rsidRDefault="005B0CE6" w:rsidP="00936834">
            <w:pPr>
              <w:keepNext/>
              <w:rPr>
                <w:rFonts w:ascii="Arial Narrow" w:hAnsi="Arial Narrow" w:cs="Arial"/>
                <w:sz w:val="20"/>
                <w:szCs w:val="20"/>
              </w:rPr>
            </w:pPr>
          </w:p>
          <w:p w14:paraId="53B1E451"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6A90CAD2"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C1BA7F" w14:textId="77777777" w:rsidR="005B0CE6" w:rsidRPr="00AA42BB" w:rsidRDefault="005B0CE6" w:rsidP="00936834">
            <w:pPr>
              <w:keepNext/>
              <w:rPr>
                <w:rFonts w:ascii="Arial Narrow" w:hAnsi="Arial Narrow" w:cs="Arial"/>
                <w:sz w:val="20"/>
                <w:szCs w:val="20"/>
              </w:rPr>
            </w:pPr>
          </w:p>
          <w:p w14:paraId="561C7CAB" w14:textId="77777777" w:rsidR="005B0CE6" w:rsidRPr="00AA42BB" w:rsidRDefault="005B0CE6" w:rsidP="00936834">
            <w:pPr>
              <w:keepNext/>
              <w:rPr>
                <w:rFonts w:ascii="Arial Narrow" w:hAnsi="Arial Narrow" w:cs="Arial"/>
                <w:sz w:val="20"/>
                <w:szCs w:val="20"/>
              </w:rPr>
            </w:pPr>
          </w:p>
          <w:p w14:paraId="1DE7807E"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12.5 mg/500 mg</w:t>
            </w:r>
          </w:p>
          <w:p w14:paraId="5539297B" w14:textId="77777777" w:rsidR="005B0CE6" w:rsidRPr="00AA42BB" w:rsidRDefault="005B0CE6" w:rsidP="00936834">
            <w:pPr>
              <w:keepNext/>
              <w:rPr>
                <w:rFonts w:ascii="Arial Narrow" w:hAnsi="Arial Narrow" w:cs="Arial"/>
                <w:sz w:val="20"/>
                <w:szCs w:val="20"/>
              </w:rPr>
            </w:pPr>
          </w:p>
        </w:tc>
      </w:tr>
      <w:tr w:rsidR="005B0CE6" w:rsidRPr="00AA42BB" w14:paraId="60337249" w14:textId="77777777" w:rsidTr="00936834">
        <w:trPr>
          <w:cantSplit/>
          <w:trHeight w:val="761"/>
          <w:jc w:val="center"/>
        </w:trPr>
        <w:tc>
          <w:tcPr>
            <w:tcW w:w="3964" w:type="dxa"/>
            <w:tcBorders>
              <w:top w:val="single" w:sz="4" w:space="0" w:color="auto"/>
              <w:left w:val="single" w:sz="4" w:space="0" w:color="auto"/>
              <w:bottom w:val="single" w:sz="4" w:space="0" w:color="auto"/>
              <w:right w:val="single" w:sz="4" w:space="0" w:color="auto"/>
            </w:tcBorders>
          </w:tcPr>
          <w:p w14:paraId="4D5A2A9A"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 METFORMIN</w:t>
            </w:r>
          </w:p>
          <w:p w14:paraId="17213C9A" w14:textId="77777777" w:rsidR="005B0CE6" w:rsidRPr="00AA42BB" w:rsidRDefault="005B0CE6" w:rsidP="00936834">
            <w:pPr>
              <w:keepNext/>
              <w:ind w:left="-108"/>
              <w:rPr>
                <w:rFonts w:ascii="Arial Narrow" w:hAnsi="Arial Narrow" w:cs="Arial"/>
                <w:sz w:val="20"/>
                <w:szCs w:val="20"/>
              </w:rPr>
            </w:pPr>
          </w:p>
          <w:p w14:paraId="711E8D93" w14:textId="77777777" w:rsidR="005B0CE6" w:rsidRPr="00AA42BB" w:rsidRDefault="005B0CE6" w:rsidP="00936834">
            <w:pPr>
              <w:keepNext/>
              <w:ind w:left="-108"/>
              <w:rPr>
                <w:rFonts w:ascii="Arial Narrow" w:hAnsi="Arial Narrow" w:cs="Arial"/>
                <w:sz w:val="20"/>
                <w:szCs w:val="20"/>
              </w:rPr>
            </w:pPr>
            <w:r w:rsidRPr="00AA42BB">
              <w:rPr>
                <w:rFonts w:ascii="Arial Narrow" w:hAnsi="Arial Narrow" w:cs="Arial"/>
                <w:sz w:val="20"/>
                <w:szCs w:val="20"/>
              </w:rPr>
              <w:t>empagliflozin 5 mg + metformin hydrochloride 500 mg tablet, 60</w:t>
            </w:r>
          </w:p>
        </w:tc>
        <w:tc>
          <w:tcPr>
            <w:tcW w:w="993" w:type="dxa"/>
            <w:tcBorders>
              <w:top w:val="single" w:sz="4" w:space="0" w:color="auto"/>
              <w:left w:val="single" w:sz="4" w:space="0" w:color="auto"/>
              <w:bottom w:val="single" w:sz="4" w:space="0" w:color="auto"/>
              <w:right w:val="single" w:sz="4" w:space="0" w:color="auto"/>
            </w:tcBorders>
            <w:vAlign w:val="center"/>
          </w:tcPr>
          <w:p w14:paraId="3C2A31FF"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14029J</w:t>
            </w:r>
          </w:p>
          <w:p w14:paraId="39CCC533" w14:textId="77777777" w:rsidR="005B0CE6" w:rsidRPr="00AA42BB" w:rsidRDefault="005B0CE6" w:rsidP="00936834">
            <w:pPr>
              <w:keepNext/>
              <w:jc w:val="center"/>
              <w:rPr>
                <w:rFonts w:ascii="Arial Narrow" w:hAnsi="Arial Narrow" w:cs="Arial"/>
                <w:sz w:val="16"/>
                <w:szCs w:val="16"/>
              </w:rPr>
            </w:pPr>
            <w:proofErr w:type="gramStart"/>
            <w:r w:rsidRPr="00AA42BB">
              <w:rPr>
                <w:rFonts w:ascii="Arial Narrow" w:hAnsi="Arial Narrow" w:cs="Arial"/>
                <w:sz w:val="16"/>
                <w:szCs w:val="16"/>
              </w:rPr>
              <w:t>MP  NP</w:t>
            </w:r>
            <w:proofErr w:type="gramEnd"/>
          </w:p>
        </w:tc>
        <w:tc>
          <w:tcPr>
            <w:tcW w:w="850" w:type="dxa"/>
            <w:tcBorders>
              <w:top w:val="single" w:sz="4" w:space="0" w:color="auto"/>
              <w:left w:val="single" w:sz="4" w:space="0" w:color="auto"/>
              <w:bottom w:val="single" w:sz="4" w:space="0" w:color="auto"/>
              <w:right w:val="single" w:sz="4" w:space="0" w:color="auto"/>
            </w:tcBorders>
          </w:tcPr>
          <w:p w14:paraId="7FB60CE4" w14:textId="77777777" w:rsidR="005B0CE6" w:rsidRPr="00AA42BB" w:rsidRDefault="005B0CE6" w:rsidP="00936834">
            <w:pPr>
              <w:keepNext/>
              <w:jc w:val="center"/>
              <w:rPr>
                <w:rFonts w:ascii="Arial Narrow" w:hAnsi="Arial Narrow" w:cs="Arial"/>
                <w:sz w:val="20"/>
                <w:szCs w:val="20"/>
              </w:rPr>
            </w:pPr>
          </w:p>
          <w:p w14:paraId="06197F18" w14:textId="77777777" w:rsidR="005B0CE6" w:rsidRPr="00AA42BB" w:rsidRDefault="005B0CE6" w:rsidP="00936834">
            <w:pPr>
              <w:keepNext/>
              <w:rPr>
                <w:rFonts w:ascii="Arial Narrow" w:hAnsi="Arial Narrow" w:cs="Arial"/>
                <w:sz w:val="20"/>
                <w:szCs w:val="20"/>
              </w:rPr>
            </w:pPr>
          </w:p>
          <w:p w14:paraId="1B2D5D5D" w14:textId="77777777" w:rsidR="005B0CE6" w:rsidRPr="00AA42BB" w:rsidRDefault="005B0CE6" w:rsidP="00936834">
            <w:pPr>
              <w:keepNext/>
              <w:jc w:val="center"/>
              <w:rPr>
                <w:rFonts w:ascii="Arial Narrow" w:hAnsi="Arial Narrow" w:cs="Arial"/>
                <w:sz w:val="20"/>
                <w:szCs w:val="20"/>
              </w:rPr>
            </w:pPr>
            <w:r w:rsidRPr="00AA42BB">
              <w:rPr>
                <w:rFonts w:ascii="Arial Narrow"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663819E" w14:textId="77777777" w:rsidR="005B0CE6" w:rsidRPr="00AA42BB" w:rsidRDefault="005B0CE6" w:rsidP="00936834">
            <w:pPr>
              <w:keepNext/>
              <w:ind w:left="-108"/>
              <w:jc w:val="center"/>
              <w:rPr>
                <w:rFonts w:ascii="Arial Narrow" w:hAnsi="Arial Narrow" w:cs="Arial"/>
                <w:sz w:val="20"/>
                <w:szCs w:val="20"/>
              </w:rPr>
            </w:pPr>
          </w:p>
          <w:p w14:paraId="22705328" w14:textId="77777777" w:rsidR="005B0CE6" w:rsidRPr="00AA42BB" w:rsidRDefault="005B0CE6" w:rsidP="00936834">
            <w:pPr>
              <w:keepNext/>
              <w:rPr>
                <w:rFonts w:ascii="Arial Narrow" w:hAnsi="Arial Narrow" w:cs="Arial"/>
                <w:sz w:val="20"/>
                <w:szCs w:val="20"/>
              </w:rPr>
            </w:pPr>
          </w:p>
          <w:p w14:paraId="4A32E751"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120</w:t>
            </w:r>
          </w:p>
        </w:tc>
        <w:tc>
          <w:tcPr>
            <w:tcW w:w="708" w:type="dxa"/>
            <w:tcBorders>
              <w:top w:val="single" w:sz="4" w:space="0" w:color="auto"/>
              <w:left w:val="single" w:sz="4" w:space="0" w:color="auto"/>
              <w:bottom w:val="single" w:sz="4" w:space="0" w:color="auto"/>
              <w:right w:val="single" w:sz="4" w:space="0" w:color="auto"/>
            </w:tcBorders>
          </w:tcPr>
          <w:p w14:paraId="1DE0FAB3" w14:textId="77777777" w:rsidR="005B0CE6" w:rsidRPr="00AA42BB" w:rsidRDefault="005B0CE6" w:rsidP="00936834">
            <w:pPr>
              <w:keepNext/>
              <w:ind w:left="-108"/>
              <w:jc w:val="center"/>
              <w:rPr>
                <w:rFonts w:ascii="Arial Narrow" w:hAnsi="Arial Narrow" w:cs="Arial"/>
                <w:sz w:val="20"/>
                <w:szCs w:val="20"/>
              </w:rPr>
            </w:pPr>
          </w:p>
          <w:p w14:paraId="5AFE6A8F" w14:textId="77777777" w:rsidR="005B0CE6" w:rsidRPr="00AA42BB" w:rsidRDefault="005B0CE6" w:rsidP="00936834">
            <w:pPr>
              <w:keepNext/>
              <w:rPr>
                <w:rFonts w:ascii="Arial Narrow" w:hAnsi="Arial Narrow" w:cs="Arial"/>
                <w:sz w:val="20"/>
                <w:szCs w:val="20"/>
              </w:rPr>
            </w:pPr>
          </w:p>
          <w:p w14:paraId="6D4ADF5D" w14:textId="77777777" w:rsidR="005B0CE6" w:rsidRPr="00AA42BB" w:rsidRDefault="005B0CE6" w:rsidP="00936834">
            <w:pPr>
              <w:keepNext/>
              <w:ind w:left="-108"/>
              <w:jc w:val="center"/>
              <w:rPr>
                <w:rFonts w:ascii="Arial Narrow" w:hAnsi="Arial Narrow" w:cs="Arial"/>
                <w:sz w:val="20"/>
                <w:szCs w:val="20"/>
              </w:rPr>
            </w:pPr>
            <w:r w:rsidRPr="00AA42BB">
              <w:rPr>
                <w:rFonts w:ascii="Arial Narrow" w:hAnsi="Arial Narrow" w:cs="Arial"/>
                <w:sz w:val="20"/>
                <w:szCs w:val="20"/>
              </w:rPr>
              <w:t>5</w:t>
            </w:r>
          </w:p>
          <w:p w14:paraId="6C67F6CE" w14:textId="77777777" w:rsidR="005B0CE6" w:rsidRPr="00AA42BB" w:rsidRDefault="005B0CE6" w:rsidP="0093683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B743F22" w14:textId="77777777" w:rsidR="005B0CE6" w:rsidRPr="00AA42BB" w:rsidRDefault="005B0CE6" w:rsidP="00936834">
            <w:pPr>
              <w:keepNext/>
              <w:rPr>
                <w:rFonts w:ascii="Arial Narrow" w:hAnsi="Arial Narrow" w:cs="Arial"/>
                <w:sz w:val="20"/>
                <w:szCs w:val="20"/>
              </w:rPr>
            </w:pPr>
          </w:p>
          <w:p w14:paraId="65A6F6C2" w14:textId="77777777" w:rsidR="005B0CE6" w:rsidRPr="00AA42BB" w:rsidRDefault="005B0CE6" w:rsidP="00936834">
            <w:pPr>
              <w:keepNext/>
              <w:rPr>
                <w:rFonts w:ascii="Arial Narrow" w:hAnsi="Arial Narrow" w:cs="Arial"/>
                <w:sz w:val="20"/>
                <w:szCs w:val="20"/>
              </w:rPr>
            </w:pPr>
          </w:p>
          <w:p w14:paraId="5155509C" w14:textId="77777777" w:rsidR="005B0CE6" w:rsidRPr="00AA42BB" w:rsidRDefault="005B0CE6" w:rsidP="00936834">
            <w:pPr>
              <w:keepNext/>
              <w:rPr>
                <w:rFonts w:ascii="Arial Narrow" w:hAnsi="Arial Narrow" w:cs="Arial"/>
                <w:sz w:val="20"/>
                <w:szCs w:val="20"/>
              </w:rPr>
            </w:pPr>
            <w:proofErr w:type="spellStart"/>
            <w:r w:rsidRPr="00AA42BB">
              <w:rPr>
                <w:rFonts w:ascii="Arial Narrow" w:hAnsi="Arial Narrow" w:cs="Arial"/>
                <w:sz w:val="20"/>
                <w:szCs w:val="20"/>
              </w:rPr>
              <w:t>Jardiamet</w:t>
            </w:r>
            <w:proofErr w:type="spellEnd"/>
            <w:r w:rsidRPr="00AA42BB">
              <w:rPr>
                <w:rFonts w:ascii="Arial Narrow" w:hAnsi="Arial Narrow" w:cs="Arial"/>
                <w:sz w:val="20"/>
                <w:szCs w:val="20"/>
              </w:rPr>
              <w:t xml:space="preserve"> 5 mg/500 mg</w:t>
            </w:r>
          </w:p>
          <w:p w14:paraId="51024C3C" w14:textId="77777777" w:rsidR="005B0CE6" w:rsidRPr="00AA42BB" w:rsidRDefault="005B0CE6" w:rsidP="00936834">
            <w:pPr>
              <w:keepNext/>
              <w:rPr>
                <w:rFonts w:ascii="Arial Narrow" w:hAnsi="Arial Narrow" w:cs="Arial"/>
                <w:sz w:val="20"/>
                <w:szCs w:val="20"/>
              </w:rPr>
            </w:pPr>
          </w:p>
        </w:tc>
      </w:tr>
    </w:tbl>
    <w:p w14:paraId="30B44837" w14:textId="77777777" w:rsidR="005B0CE6" w:rsidRPr="00AA42BB" w:rsidRDefault="005B0CE6" w:rsidP="005B0CE6">
      <w:pPr>
        <w:rPr>
          <w:rFonts w:ascii="Arial Narrow" w:hAnsi="Arial Narrow"/>
          <w:sz w:val="20"/>
          <w:szCs w:val="20"/>
        </w:rPr>
      </w:pPr>
    </w:p>
    <w:p w14:paraId="0F433CD3" w14:textId="77777777" w:rsidR="005B0CE6" w:rsidRPr="00AA42BB" w:rsidRDefault="005B0CE6" w:rsidP="005B0CE6">
      <w:pPr>
        <w:keepNext/>
        <w:keepLines/>
        <w:rPr>
          <w:rFonts w:ascii="Arial Narrow" w:hAnsi="Arial Narrow"/>
          <w:b/>
          <w:sz w:val="20"/>
          <w:szCs w:val="20"/>
          <w:lang w:val="en-GB"/>
        </w:rPr>
      </w:pPr>
      <w:r w:rsidRPr="00AA42BB">
        <w:rPr>
          <w:rFonts w:ascii="Arial Narrow" w:hAnsi="Arial Narrow"/>
          <w:b/>
          <w:sz w:val="20"/>
          <w:szCs w:val="20"/>
          <w:lang w:val="en-GB"/>
        </w:rPr>
        <w:lastRenderedPageBreak/>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AA42BB" w:rsidRPr="00AA42BB" w14:paraId="53073B33" w14:textId="77777777" w:rsidTr="0093683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813223" w14:textId="77777777" w:rsidR="005B0CE6" w:rsidRPr="00AA42BB" w:rsidRDefault="005B0CE6" w:rsidP="00936834">
            <w:pPr>
              <w:keepNext/>
              <w:keepLines/>
              <w:jc w:val="center"/>
              <w:rPr>
                <w:rFonts w:ascii="Arial Narrow" w:hAnsi="Arial Narrow" w:cs="Arial"/>
                <w:b/>
                <w:sz w:val="20"/>
                <w:szCs w:val="20"/>
              </w:rPr>
            </w:pPr>
            <w:r w:rsidRPr="00AA42BB">
              <w:rPr>
                <w:rFonts w:ascii="Arial Narrow" w:hAnsi="Arial Narrow" w:cs="Arial"/>
                <w:b/>
                <w:sz w:val="20"/>
                <w:szCs w:val="20"/>
              </w:rPr>
              <w:t>Concept ID</w:t>
            </w:r>
          </w:p>
          <w:p w14:paraId="746D2721" w14:textId="77777777" w:rsidR="005B0CE6" w:rsidRPr="00AA42BB" w:rsidRDefault="005B0CE6" w:rsidP="00936834">
            <w:pPr>
              <w:keepNext/>
              <w:keepLines/>
              <w:rPr>
                <w:rFonts w:ascii="Arial Narrow" w:hAnsi="Arial Narrow" w:cs="Arial"/>
                <w:i/>
                <w:sz w:val="20"/>
                <w:szCs w:val="20"/>
              </w:rPr>
            </w:pPr>
          </w:p>
          <w:p w14:paraId="443DCE29" w14:textId="717BE35F" w:rsidR="005B0CE6" w:rsidRPr="00AA42BB" w:rsidRDefault="005B0CE6" w:rsidP="00727C01">
            <w:pPr>
              <w:keepNext/>
              <w:keepLines/>
              <w:jc w:val="center"/>
              <w:rPr>
                <w:rFonts w:ascii="Arial Narrow" w:hAnsi="Arial Narrow" w:cs="Arial"/>
                <w:i/>
                <w:sz w:val="20"/>
                <w:szCs w:val="20"/>
              </w:rPr>
            </w:pPr>
            <w:r w:rsidRPr="00AA42BB">
              <w:rPr>
                <w:rFonts w:ascii="Arial Narrow" w:hAnsi="Arial Narrow" w:cs="Arial"/>
                <w:sz w:val="20"/>
                <w:szCs w:val="20"/>
              </w:rPr>
              <w:t>(for internal Dept. use)</w:t>
            </w:r>
          </w:p>
          <w:p w14:paraId="121ADD94" w14:textId="77777777" w:rsidR="005B0CE6" w:rsidRPr="00AA42BB" w:rsidRDefault="005B0CE6" w:rsidP="00936834">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B332B6" w14:textId="77777777" w:rsidR="005B0CE6" w:rsidRPr="00AA42BB" w:rsidRDefault="005B0CE6" w:rsidP="00936834">
            <w:pPr>
              <w:keepNext/>
              <w:keepLines/>
              <w:rPr>
                <w:rFonts w:ascii="Arial Narrow" w:hAnsi="Arial Narrow" w:cs="Arial"/>
                <w:sz w:val="20"/>
                <w:szCs w:val="20"/>
              </w:rPr>
            </w:pPr>
            <w:r w:rsidRPr="00AA42BB">
              <w:rPr>
                <w:rFonts w:ascii="Arial Narrow" w:hAnsi="Arial Narrow" w:cs="Arial"/>
                <w:b/>
                <w:sz w:val="20"/>
                <w:szCs w:val="20"/>
              </w:rPr>
              <w:t xml:space="preserve">Category / Program:   </w:t>
            </w:r>
          </w:p>
          <w:p w14:paraId="14AD2F96" w14:textId="77777777" w:rsidR="005B0CE6" w:rsidRPr="00AA42BB" w:rsidRDefault="005B0CE6" w:rsidP="00936834">
            <w:pPr>
              <w:keepNext/>
              <w:keepLines/>
              <w:rPr>
                <w:rFonts w:ascii="Arial Narrow" w:hAnsi="Arial Narrow" w:cs="Arial"/>
                <w:sz w:val="20"/>
                <w:szCs w:val="20"/>
              </w:rPr>
            </w:pPr>
            <w:r w:rsidRPr="00AA42BB">
              <w:rPr>
                <w:rFonts w:ascii="Arial Narrow" w:hAnsi="Arial Narrow" w:cs="Arial"/>
                <w:sz w:val="20"/>
                <w:szCs w:val="20"/>
              </w:rPr>
              <w:t xml:space="preserve">GENERAL – General Schedule (Code GE) </w:t>
            </w:r>
          </w:p>
        </w:tc>
      </w:tr>
      <w:tr w:rsidR="00AA42BB" w:rsidRPr="00AA42BB" w14:paraId="4E8720D5" w14:textId="77777777" w:rsidTr="009368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6E5B9" w14:textId="77777777" w:rsidR="005B0CE6" w:rsidRPr="00AA42BB" w:rsidRDefault="005B0CE6" w:rsidP="00936834">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57CE04" w14:textId="0A554A95" w:rsidR="005B0CE6" w:rsidRPr="00AA42BB" w:rsidRDefault="005B0CE6" w:rsidP="00936834">
            <w:pPr>
              <w:keepNext/>
              <w:keepLines/>
              <w:rPr>
                <w:rFonts w:ascii="Arial Narrow" w:hAnsi="Arial Narrow" w:cs="Arial"/>
                <w:b/>
                <w:sz w:val="20"/>
                <w:szCs w:val="20"/>
              </w:rPr>
            </w:pPr>
            <w:r w:rsidRPr="00AA42BB">
              <w:rPr>
                <w:rFonts w:ascii="Arial Narrow" w:hAnsi="Arial Narrow" w:cs="Arial"/>
                <w:b/>
                <w:sz w:val="20"/>
                <w:szCs w:val="20"/>
              </w:rPr>
              <w:t xml:space="preserve">Prescriber type:   </w:t>
            </w:r>
            <w:r w:rsidRPr="00AA42BB">
              <w:rPr>
                <w:rFonts w:ascii="Arial Narrow" w:hAnsi="Arial Narrow" w:cs="Arial"/>
                <w:sz w:val="20"/>
                <w:szCs w:val="20"/>
              </w:rPr>
              <w:fldChar w:fldCharType="begin">
                <w:ffData>
                  <w:name w:val=""/>
                  <w:enabled/>
                  <w:calcOnExit w:val="0"/>
                  <w:checkBox>
                    <w:sizeAuto/>
                    <w:default w:val="1"/>
                  </w:checkBox>
                </w:ffData>
              </w:fldChar>
            </w:r>
            <w:r w:rsidRPr="00AA42BB">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AA42BB">
              <w:rPr>
                <w:rFonts w:ascii="Arial Narrow" w:hAnsi="Arial Narrow" w:cs="Arial"/>
                <w:sz w:val="20"/>
                <w:szCs w:val="20"/>
              </w:rPr>
              <w:fldChar w:fldCharType="end"/>
            </w:r>
            <w:r w:rsidRPr="00AA42BB">
              <w:rPr>
                <w:rFonts w:ascii="Arial Narrow" w:hAnsi="Arial Narrow" w:cs="Arial"/>
                <w:sz w:val="20"/>
                <w:szCs w:val="20"/>
              </w:rPr>
              <w:t xml:space="preserve">Medical Practitioners    </w:t>
            </w:r>
            <w:r w:rsidR="00834CC6">
              <w:rPr>
                <w:rFonts w:ascii="Arial Narrow" w:hAnsi="Arial Narrow" w:cs="Arial"/>
                <w:sz w:val="20"/>
                <w:szCs w:val="20"/>
              </w:rPr>
              <w:fldChar w:fldCharType="begin">
                <w:ffData>
                  <w:name w:val=""/>
                  <w:enabled/>
                  <w:calcOnExit w:val="0"/>
                  <w:checkBox>
                    <w:sizeAuto/>
                    <w:default w:val="1"/>
                  </w:checkBox>
                </w:ffData>
              </w:fldChar>
            </w:r>
            <w:r w:rsidR="00834CC6">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00834CC6">
              <w:rPr>
                <w:rFonts w:ascii="Arial Narrow" w:hAnsi="Arial Narrow" w:cs="Arial"/>
                <w:sz w:val="20"/>
                <w:szCs w:val="20"/>
              </w:rPr>
              <w:fldChar w:fldCharType="end"/>
            </w:r>
            <w:r w:rsidRPr="00AA42BB">
              <w:rPr>
                <w:rFonts w:ascii="Arial Narrow" w:hAnsi="Arial Narrow" w:cs="Arial"/>
                <w:sz w:val="20"/>
                <w:szCs w:val="20"/>
              </w:rPr>
              <w:t xml:space="preserve">Nurse practitioners     </w:t>
            </w:r>
          </w:p>
        </w:tc>
      </w:tr>
      <w:tr w:rsidR="00AA42BB" w:rsidRPr="00AA42BB" w14:paraId="06DE06AD" w14:textId="77777777" w:rsidTr="00936834">
        <w:tc>
          <w:tcPr>
            <w:tcW w:w="0" w:type="auto"/>
            <w:vMerge/>
            <w:tcBorders>
              <w:top w:val="single" w:sz="4" w:space="0" w:color="auto"/>
              <w:left w:val="single" w:sz="4" w:space="0" w:color="auto"/>
              <w:bottom w:val="single" w:sz="4" w:space="0" w:color="auto"/>
              <w:right w:val="single" w:sz="4" w:space="0" w:color="auto"/>
            </w:tcBorders>
            <w:vAlign w:val="center"/>
            <w:hideMark/>
          </w:tcPr>
          <w:p w14:paraId="310359C1" w14:textId="77777777" w:rsidR="005B0CE6" w:rsidRPr="00AA42BB" w:rsidRDefault="005B0CE6" w:rsidP="00936834">
            <w:pPr>
              <w:keepNext/>
              <w:keepLines/>
              <w:rPr>
                <w:rFonts w:ascii="Arial Narrow" w:hAnsi="Arial Narrow" w:cs="Arial"/>
                <w:b/>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EC1493" w14:textId="7D73A823" w:rsidR="005B0CE6" w:rsidRPr="00AA42BB" w:rsidRDefault="005B0CE6" w:rsidP="00727C01">
            <w:pPr>
              <w:keepNext/>
              <w:keepLines/>
              <w:rPr>
                <w:rFonts w:ascii="Arial Narrow" w:eastAsia="Calibri" w:hAnsi="Arial Narrow" w:cs="Arial"/>
                <w:sz w:val="20"/>
                <w:szCs w:val="20"/>
              </w:rPr>
            </w:pPr>
            <w:r w:rsidRPr="00AA42BB">
              <w:rPr>
                <w:rFonts w:ascii="Arial Narrow" w:hAnsi="Arial Narrow" w:cs="Arial"/>
                <w:b/>
                <w:sz w:val="20"/>
                <w:szCs w:val="20"/>
              </w:rPr>
              <w:t xml:space="preserve">Restriction Type </w:t>
            </w:r>
            <w:r w:rsidRPr="00AA42BB">
              <w:rPr>
                <w:rFonts w:ascii="Arial Narrow" w:eastAsia="Calibri" w:hAnsi="Arial Narrow" w:cs="Arial"/>
                <w:sz w:val="20"/>
                <w:szCs w:val="20"/>
              </w:rPr>
              <w:fldChar w:fldCharType="begin">
                <w:ffData>
                  <w:name w:val=""/>
                  <w:enabled/>
                  <w:calcOnExit w:val="0"/>
                  <w:checkBox>
                    <w:sizeAuto/>
                    <w:default w:val="1"/>
                  </w:checkBox>
                </w:ffData>
              </w:fldChar>
            </w:r>
            <w:r w:rsidRPr="00AA42BB">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AA42BB">
              <w:rPr>
                <w:rFonts w:ascii="Arial Narrow" w:eastAsia="Calibri" w:hAnsi="Arial Narrow" w:cs="Arial"/>
                <w:sz w:val="20"/>
                <w:szCs w:val="20"/>
              </w:rPr>
              <w:fldChar w:fldCharType="end"/>
            </w:r>
            <w:r w:rsidRPr="00AA42BB">
              <w:rPr>
                <w:rFonts w:ascii="Arial Narrow" w:eastAsia="Calibri" w:hAnsi="Arial Narrow" w:cs="Arial"/>
                <w:sz w:val="20"/>
                <w:szCs w:val="20"/>
              </w:rPr>
              <w:t xml:space="preserve">Authority Required – Streamlined [new code] </w:t>
            </w:r>
          </w:p>
        </w:tc>
      </w:tr>
      <w:tr w:rsidR="00AA42BB" w:rsidRPr="00AA42BB" w14:paraId="6DEACC47"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569C4" w14:textId="77777777" w:rsidR="005B0CE6" w:rsidRPr="00AA42BB" w:rsidRDefault="005B0CE6" w:rsidP="00936834">
            <w:pPr>
              <w:keepNext/>
              <w:keepLines/>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875594" w14:textId="77777777" w:rsidR="005B0CE6" w:rsidRPr="00AA42BB" w:rsidRDefault="005B0CE6" w:rsidP="00936834">
            <w:pPr>
              <w:keepNext/>
              <w:keepLines/>
              <w:rPr>
                <w:rFonts w:ascii="Arial Narrow" w:hAnsi="Arial Narrow"/>
                <w:b/>
                <w:bCs/>
                <w:sz w:val="20"/>
                <w:szCs w:val="20"/>
              </w:rPr>
            </w:pPr>
            <w:r w:rsidRPr="00AA42BB">
              <w:rPr>
                <w:rFonts w:ascii="Arial Narrow" w:hAnsi="Arial Narrow"/>
                <w:b/>
                <w:bCs/>
                <w:sz w:val="20"/>
                <w:szCs w:val="20"/>
              </w:rPr>
              <w:t xml:space="preserve">Condition: </w:t>
            </w:r>
            <w:r w:rsidRPr="00AA42BB">
              <w:rPr>
                <w:rFonts w:ascii="Arial Narrow" w:hAnsi="Arial Narrow"/>
                <w:sz w:val="20"/>
                <w:szCs w:val="20"/>
              </w:rPr>
              <w:t>Diabetes mellitus type 2</w:t>
            </w:r>
          </w:p>
        </w:tc>
      </w:tr>
      <w:tr w:rsidR="00AA42BB" w:rsidRPr="00AA42BB" w14:paraId="1E8F71FC"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BC4DD" w14:textId="77777777"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8995</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AC42E7" w14:textId="77777777" w:rsidR="005B0CE6" w:rsidRPr="00AA42BB" w:rsidRDefault="005B0CE6" w:rsidP="00936834">
            <w:pPr>
              <w:keepNext/>
              <w:keepLines/>
              <w:rPr>
                <w:rFonts w:ascii="Arial Narrow" w:hAnsi="Arial Narrow"/>
                <w:sz w:val="20"/>
                <w:szCs w:val="20"/>
              </w:rPr>
            </w:pPr>
            <w:r w:rsidRPr="00AA42BB">
              <w:rPr>
                <w:rFonts w:ascii="Arial Narrow" w:hAnsi="Arial Narrow"/>
                <w:b/>
                <w:bCs/>
                <w:sz w:val="20"/>
                <w:szCs w:val="20"/>
              </w:rPr>
              <w:t>Indication:</w:t>
            </w:r>
            <w:r w:rsidRPr="00AA42BB">
              <w:rPr>
                <w:rFonts w:ascii="Arial Narrow" w:hAnsi="Arial Narrow"/>
                <w:sz w:val="20"/>
                <w:szCs w:val="20"/>
              </w:rPr>
              <w:t xml:space="preserve"> Diabetes mellitus type 2</w:t>
            </w:r>
          </w:p>
        </w:tc>
      </w:tr>
      <w:tr w:rsidR="00AA42BB" w:rsidRPr="00AA42BB" w14:paraId="3D5A4CC1"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57CFD4" w14:textId="143F35E0" w:rsidR="005B0CE6" w:rsidRPr="00AA42BB" w:rsidRDefault="00B01FCA" w:rsidP="00936834">
            <w:pPr>
              <w:keepNext/>
              <w:keepLines/>
              <w:jc w:val="center"/>
              <w:rPr>
                <w:rFonts w:ascii="Arial Narrow" w:hAnsi="Arial Narrow"/>
                <w:sz w:val="20"/>
                <w:szCs w:val="20"/>
              </w:rPr>
            </w:pPr>
            <w:r>
              <w:rPr>
                <w:rFonts w:ascii="Arial Narrow" w:hAnsi="Arial Narrow"/>
                <w:sz w:val="20"/>
                <w:szCs w:val="20"/>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CCAEC9" w14:textId="77777777" w:rsidR="005B0CE6" w:rsidRPr="00AA42BB" w:rsidRDefault="005B0CE6" w:rsidP="00936834">
            <w:pPr>
              <w:keepNext/>
              <w:keepLines/>
              <w:rPr>
                <w:rFonts w:ascii="Arial Narrow" w:hAnsi="Arial Narrow"/>
                <w:b/>
                <w:bCs/>
                <w:sz w:val="20"/>
                <w:szCs w:val="20"/>
              </w:rPr>
            </w:pPr>
            <w:r w:rsidRPr="00AA42BB">
              <w:rPr>
                <w:rFonts w:ascii="Arial Narrow" w:hAnsi="Arial Narrow"/>
                <w:b/>
                <w:bCs/>
                <w:sz w:val="20"/>
                <w:szCs w:val="20"/>
              </w:rPr>
              <w:t>Clinical criteria</w:t>
            </w:r>
          </w:p>
        </w:tc>
      </w:tr>
      <w:tr w:rsidR="00AA42BB" w:rsidRPr="00AA42BB" w14:paraId="6D5DDA9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F6C24" w14:textId="06F7AFD8" w:rsidR="005B0CE6" w:rsidRPr="00AA42BB" w:rsidRDefault="00B01FCA" w:rsidP="00936834">
            <w:pPr>
              <w:keepNext/>
              <w:keepLines/>
              <w:jc w:val="center"/>
              <w:rPr>
                <w:rFonts w:ascii="Arial Narrow" w:hAnsi="Arial Narrow"/>
                <w:sz w:val="20"/>
                <w:szCs w:val="20"/>
              </w:rPr>
            </w:pPr>
            <w:r>
              <w:rPr>
                <w:rFonts w:ascii="Arial Narrow" w:hAnsi="Arial Narrow"/>
                <w:sz w:val="20"/>
                <w:szCs w:val="20"/>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48DBA" w14:textId="77777777" w:rsidR="005B0CE6" w:rsidRPr="00AA42BB" w:rsidRDefault="005B0CE6" w:rsidP="00936834">
            <w:pPr>
              <w:keepNext/>
              <w:keepLines/>
              <w:rPr>
                <w:rFonts w:ascii="Arial Narrow" w:hAnsi="Arial Narrow"/>
                <w:b/>
                <w:bCs/>
                <w:sz w:val="20"/>
                <w:szCs w:val="20"/>
              </w:rPr>
            </w:pPr>
            <w:r w:rsidRPr="00AA42BB">
              <w:rPr>
                <w:rFonts w:ascii="Arial Narrow" w:hAnsi="Arial Narrow"/>
                <w:sz w:val="20"/>
                <w:szCs w:val="20"/>
              </w:rPr>
              <w:t>The condition must be stable for the prescriber to consider the listed maximum quantity of this medicine suitable for this patient,</w:t>
            </w:r>
          </w:p>
        </w:tc>
      </w:tr>
      <w:tr w:rsidR="00AA42BB" w:rsidRPr="00AA42BB" w14:paraId="7E245F2B"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760F1" w14:textId="77777777" w:rsidR="005B0CE6" w:rsidRPr="00AA42BB" w:rsidRDefault="005B0CE6" w:rsidP="00936834">
            <w:pPr>
              <w:keepNext/>
              <w:keepLines/>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6EDD15" w14:textId="77777777" w:rsidR="005B0CE6" w:rsidRPr="00AA42BB" w:rsidRDefault="005B0CE6" w:rsidP="00936834">
            <w:pPr>
              <w:keepNext/>
              <w:keepLines/>
              <w:rPr>
                <w:rFonts w:ascii="Arial Narrow" w:hAnsi="Arial Narrow"/>
                <w:b/>
                <w:bCs/>
                <w:sz w:val="20"/>
                <w:szCs w:val="20"/>
              </w:rPr>
            </w:pPr>
            <w:r w:rsidRPr="00AA42BB">
              <w:rPr>
                <w:rFonts w:ascii="Arial Narrow" w:hAnsi="Arial Narrow"/>
                <w:b/>
                <w:bCs/>
                <w:sz w:val="20"/>
                <w:szCs w:val="20"/>
              </w:rPr>
              <w:t>AND</w:t>
            </w:r>
          </w:p>
        </w:tc>
      </w:tr>
      <w:tr w:rsidR="00AA42BB" w:rsidRPr="00AA42BB" w14:paraId="444B0709"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3EE3B" w14:textId="6095F953"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New CC</w:t>
            </w:r>
            <w:r w:rsidR="00B01FCA">
              <w:rPr>
                <w:rFonts w:ascii="Arial Narrow" w:hAnsi="Arial Narrow"/>
                <w:sz w:val="20"/>
                <w:szCs w:val="20"/>
              </w:rPr>
              <w:t>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B71FC8" w14:textId="77777777" w:rsidR="005B0CE6" w:rsidRPr="00AA42BB" w:rsidRDefault="005B0CE6" w:rsidP="00936834">
            <w:pPr>
              <w:keepNext/>
              <w:keepLines/>
              <w:rPr>
                <w:rFonts w:ascii="Arial Narrow" w:hAnsi="Arial Narrow"/>
                <w:sz w:val="20"/>
                <w:szCs w:val="20"/>
              </w:rPr>
            </w:pPr>
            <w:r w:rsidRPr="00AA42BB">
              <w:rPr>
                <w:rFonts w:ascii="Arial Narrow" w:hAnsi="Arial Narrow"/>
                <w:b/>
                <w:bCs/>
                <w:sz w:val="20"/>
                <w:szCs w:val="20"/>
              </w:rPr>
              <w:t>Clinical criteria:</w:t>
            </w:r>
          </w:p>
        </w:tc>
      </w:tr>
      <w:tr w:rsidR="00AA42BB" w:rsidRPr="00AA42BB" w14:paraId="039467F3"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59B3C6" w14:textId="1F56C496"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CC</w:t>
            </w:r>
            <w:r w:rsidR="00B01FCA">
              <w:rPr>
                <w:rFonts w:ascii="Arial Narrow" w:hAnsi="Arial Narrow"/>
                <w:sz w:val="20"/>
                <w:szCs w:val="20"/>
              </w:rPr>
              <w:t>1</w:t>
            </w:r>
            <w:r w:rsidRPr="00AA42BB">
              <w:rPr>
                <w:rFonts w:ascii="Arial Narrow" w:hAnsi="Arial Narrow"/>
                <w:sz w:val="20"/>
                <w:szCs w:val="20"/>
              </w:rPr>
              <w:t>.1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525BB1" w14:textId="01599177" w:rsidR="005B0CE6" w:rsidRPr="00AA42BB" w:rsidRDefault="005B0CE6" w:rsidP="00936834">
            <w:pPr>
              <w:keepNext/>
              <w:keepLines/>
              <w:autoSpaceDE w:val="0"/>
              <w:autoSpaceDN w:val="0"/>
              <w:adjustRightInd w:val="0"/>
              <w:rPr>
                <w:rFonts w:ascii="Arial Narrow" w:hAnsi="Arial Narrow"/>
                <w:sz w:val="20"/>
                <w:szCs w:val="20"/>
              </w:rPr>
            </w:pPr>
            <w:r w:rsidRPr="00AA42BB">
              <w:rPr>
                <w:rFonts w:ascii="Arial Narrow" w:hAnsi="Arial Narrow"/>
                <w:sz w:val="20"/>
                <w:szCs w:val="20"/>
              </w:rPr>
              <w:t>Patient must have cardiovascular disease;</w:t>
            </w:r>
            <w:r w:rsidR="006354A8">
              <w:rPr>
                <w:rFonts w:ascii="Arial Narrow" w:hAnsi="Arial Narrow"/>
                <w:sz w:val="20"/>
                <w:szCs w:val="20"/>
              </w:rPr>
              <w:t xml:space="preserve"> or</w:t>
            </w:r>
          </w:p>
        </w:tc>
      </w:tr>
      <w:tr w:rsidR="00AA42BB" w:rsidRPr="00AA42BB" w14:paraId="6A921038"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6CA38A" w14:textId="6AB2486B"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CC</w:t>
            </w:r>
            <w:r w:rsidR="00B01FCA">
              <w:rPr>
                <w:rFonts w:ascii="Arial Narrow" w:hAnsi="Arial Narrow"/>
                <w:sz w:val="20"/>
                <w:szCs w:val="20"/>
              </w:rPr>
              <w:t>1</w:t>
            </w:r>
            <w:r w:rsidRPr="00AA42BB">
              <w:rPr>
                <w:rFonts w:ascii="Arial Narrow" w:hAnsi="Arial Narrow"/>
                <w:sz w:val="20"/>
                <w:szCs w:val="20"/>
              </w:rPr>
              <w:t>.2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CAA7BF" w14:textId="0853A5E4" w:rsidR="005B0CE6" w:rsidRPr="00AA42BB" w:rsidRDefault="005B0CE6" w:rsidP="00936834">
            <w:pPr>
              <w:keepNext/>
              <w:keepLines/>
              <w:autoSpaceDE w:val="0"/>
              <w:autoSpaceDN w:val="0"/>
              <w:adjustRightInd w:val="0"/>
              <w:rPr>
                <w:rFonts w:ascii="Arial Narrow" w:hAnsi="Arial Narrow"/>
                <w:sz w:val="20"/>
                <w:szCs w:val="20"/>
              </w:rPr>
            </w:pPr>
            <w:r w:rsidRPr="00AA42BB">
              <w:rPr>
                <w:rFonts w:ascii="Arial Narrow" w:hAnsi="Arial Narrow"/>
                <w:sz w:val="20"/>
                <w:szCs w:val="20"/>
              </w:rPr>
              <w:t>Patient must be at high risk of a cardiovascular event;</w:t>
            </w:r>
            <w:r w:rsidR="006354A8">
              <w:rPr>
                <w:rFonts w:ascii="Arial Narrow" w:hAnsi="Arial Narrow"/>
                <w:sz w:val="20"/>
                <w:szCs w:val="20"/>
              </w:rPr>
              <w:t xml:space="preserve"> or</w:t>
            </w:r>
          </w:p>
        </w:tc>
      </w:tr>
      <w:tr w:rsidR="00AA42BB" w:rsidRPr="00AA42BB" w14:paraId="1C3C56F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B6A408" w14:textId="1FF1CE20" w:rsidR="005B0CE6" w:rsidRPr="00AA42BB" w:rsidRDefault="005B0CE6" w:rsidP="00936834">
            <w:pPr>
              <w:keepNext/>
              <w:keepLines/>
              <w:jc w:val="center"/>
              <w:rPr>
                <w:rFonts w:ascii="Arial Narrow" w:hAnsi="Arial Narrow"/>
                <w:sz w:val="20"/>
                <w:szCs w:val="20"/>
              </w:rPr>
            </w:pPr>
            <w:r w:rsidRPr="00AA42BB">
              <w:rPr>
                <w:rFonts w:ascii="Arial Narrow" w:hAnsi="Arial Narrow"/>
                <w:sz w:val="20"/>
                <w:szCs w:val="20"/>
              </w:rPr>
              <w:t>CC</w:t>
            </w:r>
            <w:r w:rsidR="00B01FCA">
              <w:rPr>
                <w:rFonts w:ascii="Arial Narrow" w:hAnsi="Arial Narrow"/>
                <w:sz w:val="20"/>
                <w:szCs w:val="20"/>
              </w:rPr>
              <w:t>1</w:t>
            </w:r>
            <w:r w:rsidRPr="00AA42BB">
              <w:rPr>
                <w:rFonts w:ascii="Arial Narrow" w:hAnsi="Arial Narrow"/>
                <w:sz w:val="20"/>
                <w:szCs w:val="20"/>
              </w:rPr>
              <w:t>.3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BF8ACB" w14:textId="77777777" w:rsidR="005B0CE6" w:rsidRPr="00AA42BB" w:rsidRDefault="005B0CE6" w:rsidP="00936834">
            <w:pPr>
              <w:keepNext/>
              <w:keepLines/>
              <w:rPr>
                <w:rFonts w:ascii="Arial Narrow" w:hAnsi="Arial Narrow"/>
                <w:sz w:val="20"/>
                <w:szCs w:val="20"/>
              </w:rPr>
            </w:pPr>
            <w:r w:rsidRPr="00AA42BB">
              <w:rPr>
                <w:rFonts w:ascii="Arial Narrow" w:hAnsi="Arial Narrow"/>
                <w:sz w:val="20"/>
                <w:szCs w:val="20"/>
              </w:rPr>
              <w:t>Patient must identify as Aboriginal or Torres Strait Islander.</w:t>
            </w:r>
          </w:p>
        </w:tc>
      </w:tr>
      <w:tr w:rsidR="00AA42BB" w:rsidRPr="00AA42BB" w14:paraId="1ED2639B"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97763F" w14:textId="77777777" w:rsidR="005B0CE6" w:rsidRPr="00AA42BB" w:rsidRDefault="005B0CE6" w:rsidP="00936834">
            <w:pPr>
              <w:keepNext/>
              <w:keepLines/>
              <w:jc w:val="center"/>
              <w:rPr>
                <w:rFonts w:ascii="Arial Narrow" w:hAnsi="Arial Narrow"/>
                <w:i/>
                <w:iCs/>
                <w:sz w:val="20"/>
                <w:szCs w:val="20"/>
              </w:rPr>
            </w:pPr>
            <w:r w:rsidRPr="00AA42BB">
              <w:rPr>
                <w:rFonts w:ascii="Arial Narrow" w:hAnsi="Arial Narrow" w:cs="Open Sans"/>
                <w:sz w:val="20"/>
                <w:szCs w:val="20"/>
                <w:lang w:eastAsia="en-US"/>
              </w:rPr>
              <w:t>New TC1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9FFDA5" w14:textId="77777777" w:rsidR="005B0CE6" w:rsidRPr="00AA42BB" w:rsidRDefault="005B0CE6" w:rsidP="00936834">
            <w:pPr>
              <w:keepNext/>
              <w:keepLines/>
              <w:rPr>
                <w:rFonts w:ascii="Arial Narrow" w:hAnsi="Arial Narrow"/>
                <w:b/>
                <w:bCs/>
                <w:sz w:val="20"/>
                <w:szCs w:val="20"/>
              </w:rPr>
            </w:pPr>
            <w:r w:rsidRPr="00AA42BB">
              <w:rPr>
                <w:rFonts w:ascii="Arial Narrow" w:hAnsi="Arial Narrow" w:cs="Open Sans"/>
                <w:b/>
                <w:bCs/>
                <w:sz w:val="20"/>
                <w:szCs w:val="20"/>
                <w:lang w:eastAsia="en-US"/>
              </w:rPr>
              <w:t>Treatment criteria:</w:t>
            </w:r>
          </w:p>
        </w:tc>
      </w:tr>
      <w:tr w:rsidR="00AA42BB" w:rsidRPr="00AA42BB" w14:paraId="4674A760"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4401C9" w14:textId="77777777" w:rsidR="005B0CE6" w:rsidRPr="00AA42BB" w:rsidRDefault="005B0CE6" w:rsidP="00936834">
            <w:pPr>
              <w:keepNext/>
              <w:keepLines/>
              <w:jc w:val="center"/>
              <w:rPr>
                <w:rFonts w:ascii="Arial Narrow" w:hAnsi="Arial Narrow"/>
                <w:i/>
                <w:iCs/>
                <w:sz w:val="20"/>
                <w:szCs w:val="20"/>
              </w:rPr>
            </w:pPr>
            <w:r w:rsidRPr="00AA42BB">
              <w:rPr>
                <w:rFonts w:ascii="Arial Narrow" w:hAnsi="Arial Narrow" w:cs="Open Sans"/>
                <w:sz w:val="20"/>
                <w:szCs w:val="20"/>
                <w:lang w:eastAsia="en-US"/>
              </w:rPr>
              <w:t>TC1.1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0532A5" w14:textId="411E57C3" w:rsidR="005B0CE6" w:rsidRPr="00AA42BB" w:rsidRDefault="005B0CE6" w:rsidP="00936834">
            <w:pPr>
              <w:keepNext/>
              <w:keepLines/>
              <w:rPr>
                <w:rFonts w:ascii="Arial Narrow" w:hAnsi="Arial Narrow"/>
                <w:i/>
                <w:iCs/>
                <w:sz w:val="20"/>
                <w:szCs w:val="20"/>
              </w:rPr>
            </w:pPr>
            <w:r w:rsidRPr="00AA42BB">
              <w:rPr>
                <w:rFonts w:ascii="Arial Narrow" w:hAnsi="Arial Narrow" w:cs="Open Sans"/>
                <w:sz w:val="20"/>
                <w:szCs w:val="20"/>
                <w:lang w:eastAsia="en-US"/>
              </w:rPr>
              <w:t xml:space="preserve">The patient must not be undergoing concomitant PBS-subsidised treatment </w:t>
            </w:r>
            <w:r w:rsidRPr="00AA42BB">
              <w:rPr>
                <w:rFonts w:ascii="Arial Narrow" w:hAnsi="Arial Narrow" w:cs="Open Sans"/>
                <w:sz w:val="20"/>
                <w:szCs w:val="20"/>
                <w:u w:val="single"/>
                <w:lang w:eastAsia="en-US"/>
              </w:rPr>
              <w:t>for this condition</w:t>
            </w:r>
            <w:r w:rsidRPr="00AA42BB">
              <w:rPr>
                <w:rFonts w:ascii="Arial Narrow" w:hAnsi="Arial Narrow" w:cs="Open Sans"/>
                <w:sz w:val="20"/>
                <w:szCs w:val="20"/>
                <w:lang w:eastAsia="en-US"/>
              </w:rPr>
              <w:t xml:space="preserve"> with any of: </w:t>
            </w:r>
            <w:r w:rsidR="00834CC6">
              <w:rPr>
                <w:rFonts w:ascii="Arial Narrow" w:hAnsi="Arial Narrow" w:cs="Open Sans"/>
                <w:sz w:val="20"/>
                <w:szCs w:val="20"/>
                <w:lang w:eastAsia="en-US"/>
              </w:rPr>
              <w:t xml:space="preserve">(i) </w:t>
            </w:r>
            <w:r w:rsidRPr="00AA42BB">
              <w:rPr>
                <w:rFonts w:ascii="Arial Narrow" w:hAnsi="Arial Narrow" w:cs="Open Sans"/>
                <w:sz w:val="20"/>
                <w:szCs w:val="20"/>
                <w:lang w:eastAsia="en-US"/>
              </w:rPr>
              <w:t xml:space="preserve">a GLP-1 receptor agonist, </w:t>
            </w:r>
            <w:r w:rsidR="00834CC6">
              <w:rPr>
                <w:rFonts w:ascii="Arial Narrow" w:hAnsi="Arial Narrow" w:cs="Open Sans"/>
                <w:sz w:val="20"/>
                <w:szCs w:val="20"/>
                <w:lang w:eastAsia="en-US"/>
              </w:rPr>
              <w:t xml:space="preserve">(ii) </w:t>
            </w:r>
            <w:r w:rsidRPr="00AA42BB">
              <w:rPr>
                <w:rFonts w:ascii="Arial Narrow" w:hAnsi="Arial Narrow" w:cs="Open Sans"/>
                <w:sz w:val="20"/>
                <w:szCs w:val="20"/>
                <w:lang w:eastAsia="en-US"/>
              </w:rPr>
              <w:t>another SGLT2 inhibitor.</w:t>
            </w:r>
          </w:p>
        </w:tc>
      </w:tr>
      <w:tr w:rsidR="005B0CE6" w:rsidRPr="00CD0476" w14:paraId="3ADDBF4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C57ECD" w14:textId="400D560C" w:rsidR="005B0CE6" w:rsidRPr="00963B51" w:rsidRDefault="005B0CE6" w:rsidP="00936834">
            <w:pPr>
              <w:keepNext/>
              <w:keepLines/>
              <w:jc w:val="center"/>
              <w:rPr>
                <w:rFonts w:ascii="Arial Narrow" w:hAnsi="Arial Narrow"/>
                <w:i/>
                <w:iCs/>
                <w:sz w:val="20"/>
                <w:szCs w:val="20"/>
              </w:rPr>
            </w:pPr>
            <w:r w:rsidRPr="002F4D85">
              <w:rPr>
                <w:rFonts w:ascii="Arial Narrow" w:hAnsi="Arial Narrow"/>
                <w:color w:val="333333"/>
                <w:sz w:val="20"/>
                <w:szCs w:val="20"/>
              </w:rPr>
              <w:t>New</w:t>
            </w:r>
            <w:r>
              <w:rPr>
                <w:rFonts w:ascii="Arial Narrow" w:hAnsi="Arial Narrow"/>
                <w:color w:val="333333"/>
                <w:sz w:val="20"/>
                <w:szCs w:val="20"/>
              </w:rPr>
              <w:t xml:space="preserve"> </w:t>
            </w:r>
            <w:r w:rsidRPr="002F4D85">
              <w:rPr>
                <w:rFonts w:ascii="Arial Narrow" w:hAnsi="Arial Narrow"/>
                <w:color w:val="333333"/>
                <w:sz w:val="20"/>
                <w:szCs w:val="20"/>
              </w:rPr>
              <w:t>AA</w:t>
            </w:r>
            <w:r w:rsidR="00B01FCA">
              <w:rPr>
                <w:rFonts w:ascii="Arial Narrow" w:hAnsi="Arial Narrow"/>
                <w:color w:val="333333"/>
                <w:sz w:val="20"/>
                <w:szCs w:val="20"/>
              </w:rPr>
              <w:t>1</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B1BA6C" w14:textId="3AD64B5C" w:rsidR="00B01FCA" w:rsidRDefault="00B01FCA" w:rsidP="00936834">
            <w:pPr>
              <w:keepNext/>
              <w:keepLines/>
              <w:rPr>
                <w:rFonts w:ascii="Arial Narrow" w:eastAsia="Calibri" w:hAnsi="Arial Narrow" w:cs="Calibri"/>
                <w:sz w:val="20"/>
                <w:szCs w:val="20"/>
              </w:rPr>
            </w:pPr>
            <w:r w:rsidRPr="00AA42BB">
              <w:rPr>
                <w:rFonts w:ascii="Arial Narrow" w:hAnsi="Arial Narrow"/>
                <w:b/>
                <w:bCs/>
                <w:sz w:val="20"/>
                <w:szCs w:val="20"/>
              </w:rPr>
              <w:t>Administrative Advice</w:t>
            </w:r>
          </w:p>
          <w:p w14:paraId="7B9E79A7" w14:textId="486CBD94" w:rsidR="005B0CE6" w:rsidRPr="002F4D85" w:rsidRDefault="005B0CE6" w:rsidP="00936834">
            <w:pPr>
              <w:keepNext/>
              <w:keepLines/>
              <w:rPr>
                <w:rFonts w:ascii="Arial Narrow" w:eastAsiaTheme="minorHAnsi" w:hAnsi="Arial Narrow" w:cstheme="minorBidi"/>
                <w:sz w:val="20"/>
                <w:szCs w:val="20"/>
              </w:rPr>
            </w:pPr>
            <w:r w:rsidRPr="002F4D85">
              <w:rPr>
                <w:rFonts w:ascii="Arial Narrow" w:eastAsia="Calibri" w:hAnsi="Arial Narrow" w:cs="Calibri"/>
                <w:sz w:val="20"/>
                <w:szCs w:val="20"/>
              </w:rPr>
              <w:t xml:space="preserve">The Australian Absolute Cardiovascular Disease Risk Calculator is available at </w:t>
            </w:r>
            <w:hyperlink r:id="rId11" w:history="1">
              <w:r w:rsidRPr="002F4D85">
                <w:rPr>
                  <w:rStyle w:val="Hyperlink"/>
                  <w:rFonts w:ascii="Arial Narrow" w:eastAsia="Calibri" w:hAnsi="Arial Narrow" w:cs="Calibri"/>
                  <w:sz w:val="20"/>
                  <w:szCs w:val="20"/>
                </w:rPr>
                <w:t>www.cvdcheck.org.au</w:t>
              </w:r>
            </w:hyperlink>
            <w:r w:rsidRPr="002F4D85">
              <w:rPr>
                <w:rFonts w:ascii="Arial Narrow" w:hAnsi="Arial Narrow" w:cstheme="minorBidi"/>
                <w:sz w:val="20"/>
                <w:szCs w:val="20"/>
              </w:rPr>
              <w:t>.</w:t>
            </w:r>
          </w:p>
          <w:p w14:paraId="7071051B" w14:textId="2F221D27" w:rsidR="005B0CE6" w:rsidRPr="00FA26CD" w:rsidRDefault="00C01DEA" w:rsidP="00936834">
            <w:pPr>
              <w:keepNext/>
              <w:keepLines/>
              <w:rPr>
                <w:rFonts w:ascii="Arial Narrow" w:hAnsi="Arial Narrow"/>
                <w:i/>
                <w:iCs/>
                <w:strike/>
                <w:sz w:val="20"/>
                <w:szCs w:val="20"/>
              </w:rPr>
            </w:pPr>
            <w:r w:rsidRPr="00C01DEA">
              <w:rPr>
                <w:rFonts w:ascii="Arial Narrow" w:hAnsi="Arial Narrow" w:cstheme="minorHAnsi"/>
                <w:sz w:val="20"/>
                <w:szCs w:val="20"/>
              </w:rPr>
              <w:t>High cardiovascular risk is defined as an estimated risk of a cardiovascular event of ≥10% over 5 years</w:t>
            </w:r>
            <w:r>
              <w:rPr>
                <w:rFonts w:ascii="Arial Narrow" w:hAnsi="Arial Narrow" w:cstheme="minorHAnsi"/>
                <w:sz w:val="20"/>
                <w:szCs w:val="20"/>
              </w:rPr>
              <w:t>.</w:t>
            </w:r>
          </w:p>
        </w:tc>
      </w:tr>
      <w:tr w:rsidR="00AA42BB" w:rsidRPr="00AA42BB" w14:paraId="1C6C9610"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F6140" w14:textId="77777777" w:rsidR="005B0CE6" w:rsidRPr="00AA42BB" w:rsidRDefault="005B0CE6" w:rsidP="00936834">
            <w:pPr>
              <w:keepNext/>
              <w:keepLines/>
              <w:jc w:val="center"/>
              <w:rPr>
                <w:rFonts w:ascii="Arial Narrow" w:hAnsi="Arial Narrow"/>
                <w:sz w:val="20"/>
                <w:szCs w:val="20"/>
              </w:rPr>
            </w:pPr>
            <w:r w:rsidRPr="00AA42BB">
              <w:rPr>
                <w:rFonts w:ascii="Arial Narrow" w:hAnsi="Arial Narrow"/>
                <w:bCs/>
                <w:sz w:val="20"/>
              </w:rPr>
              <w:t>7703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42D461" w14:textId="77777777" w:rsidR="005B0CE6" w:rsidRPr="00AA42BB" w:rsidRDefault="005B0CE6" w:rsidP="00936834">
            <w:pPr>
              <w:keepNext/>
              <w:keepLines/>
              <w:textAlignment w:val="baseline"/>
              <w:rPr>
                <w:rFonts w:ascii="Arial Narrow" w:hAnsi="Arial Narrow"/>
                <w:b/>
                <w:bCs/>
                <w:sz w:val="20"/>
              </w:rPr>
            </w:pPr>
            <w:r w:rsidRPr="00AA42BB">
              <w:rPr>
                <w:rFonts w:ascii="Arial Narrow" w:hAnsi="Arial Narrow"/>
                <w:b/>
                <w:bCs/>
                <w:sz w:val="20"/>
              </w:rPr>
              <w:t>Continuing Therapy Only:</w:t>
            </w:r>
          </w:p>
          <w:p w14:paraId="5DDA57F1" w14:textId="77777777" w:rsidR="005B0CE6" w:rsidRPr="00AA42BB" w:rsidRDefault="005B0CE6" w:rsidP="00936834">
            <w:pPr>
              <w:keepNext/>
              <w:keepLines/>
              <w:rPr>
                <w:rFonts w:ascii="Arial Narrow" w:eastAsia="Calibri" w:hAnsi="Arial Narrow" w:cs="Calibri"/>
                <w:sz w:val="20"/>
                <w:szCs w:val="20"/>
              </w:rPr>
            </w:pPr>
            <w:r w:rsidRPr="00AA42BB">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B0CE6" w:rsidRPr="00AA42BB" w14:paraId="764B5B94" w14:textId="77777777" w:rsidTr="0093683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C5B1AB" w14:textId="047A5BA5" w:rsidR="005B0CE6" w:rsidRPr="00AA42BB" w:rsidRDefault="005B0CE6" w:rsidP="00936834">
            <w:pPr>
              <w:keepNext/>
              <w:keepLines/>
              <w:jc w:val="center"/>
              <w:rPr>
                <w:rFonts w:ascii="Arial Narrow" w:hAnsi="Arial Narrow"/>
                <w:sz w:val="20"/>
                <w:szCs w:val="20"/>
              </w:rPr>
            </w:pPr>
            <w:r w:rsidRPr="00AA42BB">
              <w:rPr>
                <w:rFonts w:ascii="Arial Narrow" w:hAnsi="Arial Narrow"/>
                <w:bCs/>
                <w:sz w:val="20"/>
              </w:rPr>
              <w:t>New AA</w:t>
            </w:r>
            <w:r w:rsidR="00B01FCA">
              <w:rPr>
                <w:rFonts w:ascii="Arial Narrow" w:hAnsi="Arial Narrow"/>
                <w:bCs/>
                <w:sz w:val="20"/>
              </w:rPr>
              <w:t>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7D6C7C" w14:textId="66299936" w:rsidR="00B01FCA" w:rsidRDefault="00B01FCA" w:rsidP="00936834">
            <w:pPr>
              <w:textAlignment w:val="baseline"/>
              <w:rPr>
                <w:rFonts w:ascii="Arial Narrow" w:hAnsi="Arial Narrow"/>
                <w:sz w:val="20"/>
              </w:rPr>
            </w:pPr>
            <w:r w:rsidRPr="00AA42BB">
              <w:rPr>
                <w:rFonts w:ascii="Arial Narrow" w:hAnsi="Arial Narrow"/>
                <w:b/>
                <w:bCs/>
                <w:sz w:val="20"/>
                <w:szCs w:val="20"/>
              </w:rPr>
              <w:t>Administrative Advice</w:t>
            </w:r>
          </w:p>
          <w:p w14:paraId="173D9609" w14:textId="47EE353E" w:rsidR="005B0CE6" w:rsidRPr="00AA42BB" w:rsidRDefault="005B0CE6" w:rsidP="00936834">
            <w:pPr>
              <w:textAlignment w:val="baseline"/>
              <w:rPr>
                <w:rFonts w:ascii="Arial Narrow" w:hAnsi="Arial Narrow"/>
                <w:sz w:val="20"/>
              </w:rPr>
            </w:pPr>
            <w:r w:rsidRPr="00AA42BB">
              <w:rPr>
                <w:rFonts w:ascii="Arial Narrow" w:hAnsi="Arial Narrow"/>
                <w:sz w:val="20"/>
              </w:rPr>
              <w:t>Abbreviations used in the restriction are as follows:</w:t>
            </w:r>
          </w:p>
          <w:p w14:paraId="30B1917D" w14:textId="5A6B3FD3" w:rsidR="005B0CE6" w:rsidRPr="00AA42BB" w:rsidRDefault="005B0CE6" w:rsidP="00936834">
            <w:pPr>
              <w:textAlignment w:val="baseline"/>
              <w:rPr>
                <w:rFonts w:ascii="Arial Narrow" w:hAnsi="Arial Narrow"/>
                <w:sz w:val="20"/>
              </w:rPr>
            </w:pPr>
            <w:r w:rsidRPr="00AA42BB">
              <w:rPr>
                <w:rFonts w:ascii="Arial Narrow" w:hAnsi="Arial Narrow"/>
                <w:sz w:val="20"/>
              </w:rPr>
              <w:t xml:space="preserve">SGLT2 – sodium glucose </w:t>
            </w:r>
            <w:r w:rsidR="001A6328">
              <w:rPr>
                <w:rFonts w:ascii="Arial Narrow" w:hAnsi="Arial Narrow"/>
                <w:sz w:val="20"/>
              </w:rPr>
              <w:t>co</w:t>
            </w:r>
            <w:r w:rsidRPr="00AA42BB">
              <w:rPr>
                <w:rFonts w:ascii="Arial Narrow" w:hAnsi="Arial Narrow"/>
                <w:sz w:val="20"/>
              </w:rPr>
              <w:t>transporter-2 inhibitor (drug names ending in ‘</w:t>
            </w:r>
            <w:proofErr w:type="spellStart"/>
            <w:r w:rsidRPr="00AA42BB">
              <w:rPr>
                <w:rFonts w:ascii="Arial Narrow" w:hAnsi="Arial Narrow"/>
                <w:sz w:val="20"/>
              </w:rPr>
              <w:t>flozin</w:t>
            </w:r>
            <w:proofErr w:type="spellEnd"/>
            <w:r w:rsidRPr="00AA42BB">
              <w:rPr>
                <w:rFonts w:ascii="Arial Narrow" w:hAnsi="Arial Narrow"/>
                <w:sz w:val="20"/>
              </w:rPr>
              <w:t>’)</w:t>
            </w:r>
          </w:p>
          <w:p w14:paraId="2727476C" w14:textId="77777777" w:rsidR="005B0CE6" w:rsidRPr="00AA42BB" w:rsidRDefault="005B0CE6" w:rsidP="00936834">
            <w:pPr>
              <w:textAlignment w:val="baseline"/>
              <w:rPr>
                <w:rFonts w:ascii="Arial Narrow" w:hAnsi="Arial Narrow"/>
                <w:sz w:val="20"/>
              </w:rPr>
            </w:pPr>
            <w:r w:rsidRPr="00AA42BB">
              <w:rPr>
                <w:rFonts w:ascii="Arial Narrow" w:hAnsi="Arial Narrow"/>
                <w:sz w:val="20"/>
              </w:rPr>
              <w:t>DPP4 – dipeptidyl peptidase-4 inhibitor (drug names ending in ‘gliptin’)</w:t>
            </w:r>
          </w:p>
          <w:p w14:paraId="28EBBA00" w14:textId="77777777" w:rsidR="005B0CE6" w:rsidRPr="00AA42BB" w:rsidRDefault="005B0CE6" w:rsidP="00936834">
            <w:pPr>
              <w:keepNext/>
              <w:keepLines/>
              <w:rPr>
                <w:rFonts w:ascii="Arial Narrow" w:eastAsia="Calibri" w:hAnsi="Arial Narrow" w:cs="Calibri"/>
                <w:sz w:val="20"/>
                <w:szCs w:val="20"/>
              </w:rPr>
            </w:pPr>
            <w:r w:rsidRPr="00AA42BB">
              <w:rPr>
                <w:rFonts w:ascii="Arial Narrow" w:hAnsi="Arial Narrow"/>
                <w:sz w:val="20"/>
              </w:rPr>
              <w:t>GLP-1 – glucagon-like peptide-1 receptor agonist</w:t>
            </w:r>
          </w:p>
        </w:tc>
      </w:tr>
    </w:tbl>
    <w:p w14:paraId="440524D7" w14:textId="77777777" w:rsidR="005B0CE6" w:rsidRPr="00AA42BB" w:rsidRDefault="005B0CE6" w:rsidP="005B0CE6"/>
    <w:p w14:paraId="5B8B814D" w14:textId="77777777" w:rsidR="00F33AEA" w:rsidRPr="002A20D3" w:rsidRDefault="00F33AEA" w:rsidP="00F33AEA">
      <w:pPr>
        <w:spacing w:before="120"/>
        <w:rPr>
          <w:rFonts w:asciiTheme="minorHAnsi" w:hAnsiTheme="minorHAnsi" w:cs="Arial"/>
          <w:bCs/>
          <w:i/>
          <w:iCs/>
          <w:snapToGrid w:val="0"/>
          <w:lang w:val="en-GB"/>
        </w:rPr>
      </w:pPr>
      <w:r w:rsidRPr="002A20D3">
        <w:rPr>
          <w:rFonts w:asciiTheme="minorHAnsi" w:hAnsiTheme="minorHAnsi" w:cs="Arial"/>
          <w:bCs/>
          <w:i/>
          <w:iCs/>
          <w:snapToGrid w:val="0"/>
          <w:lang w:val="en-GB"/>
        </w:rPr>
        <w:t>These restrictions may be subject to further review. Should there be any changes made to the restriction the sponsor will be informed.</w:t>
      </w:r>
    </w:p>
    <w:p w14:paraId="17F7FEA2" w14:textId="77777777" w:rsidR="000F6E42" w:rsidRDefault="000F6E42" w:rsidP="000F6E42">
      <w:pPr>
        <w:rPr>
          <w:rFonts w:cs="Calibri"/>
        </w:rPr>
      </w:pPr>
    </w:p>
    <w:p w14:paraId="75C7A9A8" w14:textId="77777777" w:rsidR="00104C38" w:rsidRPr="00974587" w:rsidRDefault="00104C38" w:rsidP="00104C38">
      <w:pPr>
        <w:pStyle w:val="2Sections"/>
        <w:numPr>
          <w:ilvl w:val="0"/>
          <w:numId w:val="1"/>
        </w:numPr>
        <w:rPr>
          <w:rFonts w:eastAsiaTheme="minorHAnsi"/>
          <w:lang w:val="en-GB"/>
        </w:rPr>
      </w:pPr>
      <w:r w:rsidRPr="00974587">
        <w:rPr>
          <w:rFonts w:eastAsiaTheme="minorHAnsi"/>
        </w:rPr>
        <w:t>Context for Decision</w:t>
      </w:r>
    </w:p>
    <w:p w14:paraId="07C4820E" w14:textId="77777777" w:rsidR="00104C38" w:rsidRPr="00974587" w:rsidRDefault="00104C38" w:rsidP="00104C38">
      <w:pPr>
        <w:pStyle w:val="4Bodytextnumbered"/>
        <w:ind w:left="0" w:firstLine="0"/>
        <w:rPr>
          <w:bCs/>
          <w:szCs w:val="24"/>
          <w:lang w:val="en-GB"/>
        </w:rPr>
      </w:pPr>
      <w:r w:rsidRPr="00974587">
        <w:rPr>
          <w:bCs/>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8BDF57B" w14:textId="77777777" w:rsidR="00104C38" w:rsidRPr="009E3B07" w:rsidRDefault="00104C38" w:rsidP="00104C38">
      <w:pPr>
        <w:pStyle w:val="4Bodytextnumbered"/>
        <w:ind w:left="0" w:firstLine="0"/>
        <w:rPr>
          <w:i/>
          <w:iCs/>
        </w:rPr>
      </w:pPr>
    </w:p>
    <w:p w14:paraId="253B7A18" w14:textId="77777777" w:rsidR="00104C38" w:rsidRPr="00AA42BB" w:rsidRDefault="00104C38" w:rsidP="000F6E42">
      <w:pPr>
        <w:rPr>
          <w:rFonts w:cs="Calibri"/>
        </w:rPr>
      </w:pPr>
    </w:p>
    <w:sectPr w:rsidR="00104C38" w:rsidRPr="00AA42BB" w:rsidSect="00C27B58">
      <w:headerReference w:type="even" r:id="rId12"/>
      <w:headerReference w:type="default" r:id="rId13"/>
      <w:footerReference w:type="even" r:id="rId14"/>
      <w:footerReference w:type="defaul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0D691" w14:textId="77777777" w:rsidR="000A3658" w:rsidRDefault="000A3658">
      <w:r>
        <w:separator/>
      </w:r>
    </w:p>
    <w:p w14:paraId="1BB45883" w14:textId="77777777" w:rsidR="000A3658" w:rsidRDefault="000A3658"/>
  </w:endnote>
  <w:endnote w:type="continuationSeparator" w:id="0">
    <w:p w14:paraId="51D1E1C4" w14:textId="77777777" w:rsidR="000A3658" w:rsidRDefault="000A3658">
      <w:r>
        <w:continuationSeparator/>
      </w:r>
    </w:p>
    <w:p w14:paraId="7BCF0879" w14:textId="77777777" w:rsidR="000A3658" w:rsidRDefault="000A3658"/>
  </w:endnote>
  <w:endnote w:type="continuationNotice" w:id="1">
    <w:p w14:paraId="17D89B9E" w14:textId="77777777" w:rsidR="000A3658" w:rsidRDefault="000A3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7918" w14:textId="77777777" w:rsidR="000A3658" w:rsidRDefault="000A3658">
      <w:r>
        <w:separator/>
      </w:r>
    </w:p>
    <w:p w14:paraId="0A045F8B" w14:textId="77777777" w:rsidR="000A3658" w:rsidRDefault="000A3658"/>
  </w:footnote>
  <w:footnote w:type="continuationSeparator" w:id="0">
    <w:p w14:paraId="6B012CD9" w14:textId="77777777" w:rsidR="000A3658" w:rsidRDefault="000A3658">
      <w:r>
        <w:continuationSeparator/>
      </w:r>
    </w:p>
    <w:p w14:paraId="272273B3" w14:textId="77777777" w:rsidR="000A3658" w:rsidRDefault="000A3658"/>
  </w:footnote>
  <w:footnote w:type="continuationNotice" w:id="1">
    <w:p w14:paraId="4EF3C146" w14:textId="77777777" w:rsidR="000A3658" w:rsidRDefault="000A3658"/>
  </w:footnote>
  <w:footnote w:id="2">
    <w:p w14:paraId="7C523606" w14:textId="62AE9AA5" w:rsidR="00302357" w:rsidRDefault="00302357">
      <w:pPr>
        <w:pStyle w:val="FootnoteText"/>
      </w:pPr>
      <w:r>
        <w:rPr>
          <w:rStyle w:val="FootnoteReference"/>
        </w:rPr>
        <w:footnoteRef/>
      </w:r>
      <w:r>
        <w:t xml:space="preserve"> Australian Institute of Health and Welfare, </w:t>
      </w:r>
      <w:hyperlink r:id="rId1" w:history="1">
        <w:r w:rsidRPr="00A80FEE">
          <w:rPr>
            <w:rStyle w:val="Hyperlink"/>
          </w:rPr>
          <w:t>Diabetes: Australian facts</w:t>
        </w:r>
      </w:hyperlink>
      <w:r w:rsidR="00A80FEE">
        <w:t>, accessed 21 February 2024.</w:t>
      </w:r>
    </w:p>
  </w:footnote>
  <w:footnote w:id="3">
    <w:p w14:paraId="36E15D28" w14:textId="0BFF5233" w:rsidR="002F7236" w:rsidRDefault="002F7236">
      <w:pPr>
        <w:pStyle w:val="FootnoteText"/>
      </w:pPr>
      <w:r>
        <w:rPr>
          <w:rStyle w:val="FootnoteReference"/>
        </w:rPr>
        <w:footnoteRef/>
      </w:r>
      <w:r>
        <w:t xml:space="preserve"> NPS MedicineWise, ‘</w:t>
      </w:r>
      <w:hyperlink r:id="rId2" w:history="1">
        <w:r w:rsidRPr="002F7236">
          <w:rPr>
            <w:rStyle w:val="Hyperlink"/>
          </w:rPr>
          <w:t>General Practice Insights Report July 2020-June 2021</w:t>
        </w:r>
      </w:hyperlink>
      <w:r>
        <w:t>’, Sydney: NPS MedicineWise, 2022.</w:t>
      </w:r>
    </w:p>
  </w:footnote>
  <w:footnote w:id="4">
    <w:p w14:paraId="2CC6A374" w14:textId="39716953" w:rsidR="005E35A1" w:rsidRPr="005E35A1" w:rsidRDefault="005E35A1">
      <w:pPr>
        <w:pStyle w:val="FootnoteText"/>
      </w:pPr>
      <w:r>
        <w:rPr>
          <w:rStyle w:val="FootnoteReference"/>
        </w:rPr>
        <w:footnoteRef/>
      </w:r>
      <w:r>
        <w:t xml:space="preserve"> Chiang JI et al. (2020), ‘</w:t>
      </w:r>
      <w:hyperlink r:id="rId3" w:history="1">
        <w:r w:rsidRPr="005E35A1">
          <w:rPr>
            <w:rStyle w:val="Hyperlink"/>
          </w:rPr>
          <w:t>Associations between multimorbidity and glycaemia (HbA1c) in people with type 2 diabetes: cross-sectional study in Australian general practice</w:t>
        </w:r>
      </w:hyperlink>
      <w:r>
        <w:t xml:space="preserve">’, </w:t>
      </w:r>
      <w:r>
        <w:rPr>
          <w:i/>
          <w:iCs/>
        </w:rPr>
        <w:t>BMJ Open</w:t>
      </w:r>
      <w:r>
        <w:t>, 10(11): e039625.</w:t>
      </w:r>
    </w:p>
  </w:footnote>
  <w:footnote w:id="5">
    <w:p w14:paraId="23E0FB6D" w14:textId="098950A7" w:rsidR="00893DD8" w:rsidRPr="003744FD" w:rsidRDefault="00893DD8">
      <w:pPr>
        <w:pStyle w:val="FootnoteText"/>
      </w:pPr>
      <w:r>
        <w:rPr>
          <w:rStyle w:val="FootnoteReference"/>
        </w:rPr>
        <w:footnoteRef/>
      </w:r>
      <w:r>
        <w:t xml:space="preserve"> Imai, C et al (2021)</w:t>
      </w:r>
      <w:r w:rsidR="00386CF5">
        <w:t>, ‘</w:t>
      </w:r>
      <w:hyperlink r:id="rId4" w:history="1">
        <w:r w:rsidR="00386CF5" w:rsidRPr="00356921">
          <w:rPr>
            <w:rStyle w:val="Hyperlink"/>
          </w:rPr>
          <w:t xml:space="preserve">Adherence to guideline-recommended HbA1c testing frequency and better outcomes in patients with type 2 diabetes: a 5-year </w:t>
        </w:r>
        <w:r w:rsidR="005714CB" w:rsidRPr="00356921">
          <w:rPr>
            <w:rStyle w:val="Hyperlink"/>
          </w:rPr>
          <w:t>retrospective cohort study in Australian general practice</w:t>
        </w:r>
      </w:hyperlink>
      <w:r w:rsidR="005714CB">
        <w:t xml:space="preserve">’, </w:t>
      </w:r>
      <w:r w:rsidR="00DD0E9A" w:rsidRPr="003744FD">
        <w:rPr>
          <w:i/>
          <w:iCs/>
        </w:rPr>
        <w:t>BMJ Qual</w:t>
      </w:r>
      <w:r w:rsidR="00356921">
        <w:rPr>
          <w:i/>
          <w:iCs/>
        </w:rPr>
        <w:t>ity &amp;</w:t>
      </w:r>
      <w:r w:rsidR="00DD0E9A" w:rsidRPr="003744FD">
        <w:rPr>
          <w:i/>
          <w:iCs/>
        </w:rPr>
        <w:t xml:space="preserve"> Saf</w:t>
      </w:r>
      <w:r w:rsidR="00356921">
        <w:rPr>
          <w:i/>
          <w:iCs/>
        </w:rPr>
        <w:t>ety</w:t>
      </w:r>
      <w:r w:rsidR="003744FD">
        <w:rPr>
          <w:i/>
          <w:iCs/>
        </w:rPr>
        <w:t xml:space="preserve">, </w:t>
      </w:r>
      <w:r w:rsidR="003744FD" w:rsidRPr="003744FD">
        <w:t>30(9):706-714.</w:t>
      </w:r>
    </w:p>
  </w:footnote>
  <w:footnote w:id="6">
    <w:p w14:paraId="4225DD77" w14:textId="05F0DACA" w:rsidR="002074A1" w:rsidRDefault="002074A1">
      <w:pPr>
        <w:pStyle w:val="FootnoteText"/>
      </w:pPr>
      <w:r>
        <w:rPr>
          <w:rStyle w:val="FootnoteReference"/>
        </w:rPr>
        <w:footnoteRef/>
      </w:r>
      <w:r>
        <w:t xml:space="preserve"> </w:t>
      </w:r>
      <w:r w:rsidR="00321887">
        <w:t xml:space="preserve">Australian Bureau of Statistics, </w:t>
      </w:r>
      <w:hyperlink r:id="rId5" w:anchor="diabetes" w:history="1">
        <w:r w:rsidR="00321887" w:rsidRPr="00321887">
          <w:rPr>
            <w:rStyle w:val="Hyperlink"/>
          </w:rPr>
          <w:t>Australian Health Survey: Biomedical results for Chronic Diseases – Diabetes</w:t>
        </w:r>
      </w:hyperlink>
      <w:r w:rsidR="00321887">
        <w:t xml:space="preserve"> (2011-12), accessed 23 February 2024. </w:t>
      </w:r>
    </w:p>
  </w:footnote>
  <w:footnote w:id="7">
    <w:p w14:paraId="1066C07E" w14:textId="331B1D0F" w:rsidR="006F17CD" w:rsidRDefault="006F17CD" w:rsidP="006F17CD">
      <w:pPr>
        <w:pStyle w:val="FootnoteText"/>
      </w:pPr>
      <w:r>
        <w:rPr>
          <w:rStyle w:val="FootnoteReference"/>
        </w:rPr>
        <w:footnoteRef/>
      </w:r>
      <w:r>
        <w:t xml:space="preserve"> Turner RC, et al. (1999) ‘Glycaemic control with diet, sulfonylurea, metformin, or insulin in patients with type 2 diabetes mellitus – Progressive requirement for multiple therapies (UKPDS 49)’, </w:t>
      </w:r>
    </w:p>
  </w:footnote>
  <w:footnote w:id="8">
    <w:p w14:paraId="3069671F" w14:textId="1A7C7181" w:rsidR="00CE1C77" w:rsidRPr="00CE1C77" w:rsidRDefault="00CE1C77">
      <w:pPr>
        <w:pStyle w:val="FootnoteText"/>
      </w:pPr>
      <w:r>
        <w:rPr>
          <w:rStyle w:val="FootnoteReference"/>
        </w:rPr>
        <w:footnoteRef/>
      </w:r>
      <w:r>
        <w:t xml:space="preserve"> Pantalone KM et al (2016) ‘Intensification of diabetes therapy and time until A1c goal attainment among patients with newly diagnosed type 2 diabetes who fail metformin monotherapy within a large integrated health system’, </w:t>
      </w:r>
      <w:r>
        <w:rPr>
          <w:i/>
          <w:iCs/>
        </w:rPr>
        <w:t>Diabetes Care</w:t>
      </w:r>
      <w:r>
        <w:t>, 39(9): 1527-1534.</w:t>
      </w:r>
    </w:p>
  </w:footnote>
  <w:footnote w:id="9">
    <w:p w14:paraId="2EB332D2" w14:textId="7FF68F98" w:rsidR="00C96335" w:rsidRDefault="00C96335">
      <w:pPr>
        <w:pStyle w:val="FootnoteText"/>
      </w:pPr>
      <w:r>
        <w:rPr>
          <w:rStyle w:val="FootnoteReference"/>
        </w:rPr>
        <w:footnoteRef/>
      </w:r>
      <w:r>
        <w:t xml:space="preserve"> Gerstein HC (2007) ‘Annual incidence and relative risk of diabetes in people with various categories of </w:t>
      </w:r>
      <w:proofErr w:type="spellStart"/>
      <w:r>
        <w:t>dysglycaemia</w:t>
      </w:r>
      <w:proofErr w:type="spellEnd"/>
      <w:r>
        <w:t>: a systematic review and meta-analysis of prospective studies’</w:t>
      </w:r>
    </w:p>
  </w:footnote>
  <w:footnote w:id="10">
    <w:p w14:paraId="27380DB3" w14:textId="7EAC2DE4" w:rsidR="0057419C" w:rsidRPr="0057419C" w:rsidRDefault="0057419C">
      <w:pPr>
        <w:pStyle w:val="FootnoteText"/>
      </w:pPr>
      <w:r>
        <w:rPr>
          <w:rStyle w:val="FootnoteReference"/>
        </w:rPr>
        <w:footnoteRef/>
      </w:r>
      <w:r>
        <w:t xml:space="preserve"> Morris DH et al (2013) ‘Progression rates from HbA1c 6.0-6.4% and other prediabetes definitions to type 2 diabetes: a meta-analysis’, </w:t>
      </w:r>
      <w:proofErr w:type="spellStart"/>
      <w:r>
        <w:rPr>
          <w:i/>
          <w:iCs/>
        </w:rPr>
        <w:t>Diabetologica</w:t>
      </w:r>
      <w:proofErr w:type="spellEnd"/>
      <w:r>
        <w:t>, 56(7):1489-93.</w:t>
      </w:r>
    </w:p>
  </w:footnote>
  <w:footnote w:id="11">
    <w:p w14:paraId="0EDD722D" w14:textId="17E1A20D" w:rsidR="003F0F69" w:rsidRPr="003F0F69" w:rsidRDefault="003F0F69">
      <w:pPr>
        <w:pStyle w:val="FootnoteText"/>
      </w:pPr>
      <w:r>
        <w:rPr>
          <w:rStyle w:val="FootnoteReference"/>
        </w:rPr>
        <w:footnoteRef/>
      </w:r>
      <w:r>
        <w:t xml:space="preserve"> Nichols GA et al. (2007) ‘Progression from newly acquired impaired fasting glucose to type 2 diabetes’, </w:t>
      </w:r>
      <w:r>
        <w:rPr>
          <w:i/>
          <w:iCs/>
        </w:rPr>
        <w:t>Diabetes Care</w:t>
      </w:r>
      <w:r>
        <w:t>, 30(2):228-233.</w:t>
      </w:r>
    </w:p>
  </w:footnote>
  <w:footnote w:id="12">
    <w:p w14:paraId="2212EA9A" w14:textId="48E7C6C8" w:rsidR="00AA36D6" w:rsidRPr="00AA36D6" w:rsidRDefault="00AA36D6">
      <w:pPr>
        <w:pStyle w:val="FootnoteText"/>
      </w:pPr>
      <w:r>
        <w:rPr>
          <w:rStyle w:val="FootnoteReference"/>
        </w:rPr>
        <w:footnoteRef/>
      </w:r>
      <w:r>
        <w:t xml:space="preserve"> De Vegt F, Dekker JM and Jager A (2001) ‘Relation of impaired fasting and </w:t>
      </w:r>
      <w:proofErr w:type="spellStart"/>
      <w:r>
        <w:t>postload</w:t>
      </w:r>
      <w:proofErr w:type="spellEnd"/>
      <w:r>
        <w:t xml:space="preserve"> glucose with incident type 2 diabetes in a Dutch population: The Hoorn Study’ </w:t>
      </w:r>
      <w:r>
        <w:rPr>
          <w:i/>
          <w:iCs/>
        </w:rPr>
        <w:t>JAMA</w:t>
      </w:r>
      <w:r>
        <w:t>, 285(16):2109-13.</w:t>
      </w:r>
    </w:p>
  </w:footnote>
  <w:footnote w:id="13">
    <w:p w14:paraId="62C4E3B2" w14:textId="77777777" w:rsidR="00B069C1" w:rsidRPr="00523343" w:rsidRDefault="00B069C1" w:rsidP="00B069C1">
      <w:pPr>
        <w:pStyle w:val="FootnoteText"/>
      </w:pPr>
      <w:r>
        <w:rPr>
          <w:rStyle w:val="FootnoteReference"/>
        </w:rPr>
        <w:footnoteRef/>
      </w:r>
      <w:r>
        <w:t xml:space="preserve"> Diabetes Prevention Program Research Group (2002), ‘</w:t>
      </w:r>
      <w:hyperlink r:id="rId6" w:history="1">
        <w:r w:rsidRPr="00523343">
          <w:rPr>
            <w:rStyle w:val="Hyperlink"/>
          </w:rPr>
          <w:t>Reduction in the incidence of type 2 diabetes with lifestyle intervention or metformin</w:t>
        </w:r>
      </w:hyperlink>
      <w:r>
        <w:t xml:space="preserve">’, </w:t>
      </w:r>
      <w:r>
        <w:rPr>
          <w:i/>
          <w:iCs/>
        </w:rPr>
        <w:t>New England Journal of Medicine</w:t>
      </w:r>
      <w:r>
        <w:t>, 346:393-403.</w:t>
      </w:r>
    </w:p>
  </w:footnote>
  <w:footnote w:id="14">
    <w:p w14:paraId="52DECFB5" w14:textId="0E2AC087" w:rsidR="008F1980" w:rsidRPr="008F1980" w:rsidRDefault="008F1980">
      <w:pPr>
        <w:pStyle w:val="FootnoteText"/>
      </w:pPr>
      <w:r>
        <w:rPr>
          <w:rStyle w:val="FootnoteReference"/>
        </w:rPr>
        <w:footnoteRef/>
      </w:r>
      <w:r>
        <w:t xml:space="preserve"> American Diabetes Association (20</w:t>
      </w:r>
      <w:r w:rsidR="00D27836">
        <w:t>24</w:t>
      </w:r>
      <w:r>
        <w:t xml:space="preserve">) </w:t>
      </w:r>
      <w:r w:rsidR="00D27836">
        <w:t>’13. Older Adults: Standards of care in diabetes - 2024</w:t>
      </w:r>
      <w:r>
        <w:t xml:space="preserve">’, </w:t>
      </w:r>
      <w:r>
        <w:rPr>
          <w:i/>
          <w:iCs/>
        </w:rPr>
        <w:t>Diabetes Care</w:t>
      </w:r>
      <w:r>
        <w:t>, 4</w:t>
      </w:r>
      <w:r w:rsidR="00D27836">
        <w:t>7</w:t>
      </w:r>
      <w:r>
        <w:t>(Supplement 1</w:t>
      </w:r>
      <w:proofErr w:type="gramStart"/>
      <w:r>
        <w:t>):S</w:t>
      </w:r>
      <w:proofErr w:type="gramEnd"/>
      <w:r w:rsidR="00D27836">
        <w:t>244</w:t>
      </w:r>
      <w:r>
        <w:t>-</w:t>
      </w:r>
      <w:r w:rsidR="00D27836">
        <w:t>25</w:t>
      </w:r>
      <w:r>
        <w:t>7.</w:t>
      </w:r>
    </w:p>
  </w:footnote>
  <w:footnote w:id="15">
    <w:p w14:paraId="200A0B44" w14:textId="5A5790D0" w:rsidR="00FA568C" w:rsidRDefault="00FA568C">
      <w:pPr>
        <w:pStyle w:val="FootnoteText"/>
      </w:pPr>
      <w:r>
        <w:rPr>
          <w:rStyle w:val="FootnoteReference"/>
        </w:rPr>
        <w:footnoteRef/>
      </w:r>
      <w:r>
        <w:t xml:space="preserve"> The Royal Australian College of General Practitioners (2020) ‘</w:t>
      </w:r>
      <w:hyperlink r:id="rId7" w:history="1">
        <w:r w:rsidRPr="00FA568C">
          <w:rPr>
            <w:rStyle w:val="Hyperlink"/>
          </w:rPr>
          <w:t>Management of type 2 diabetes. A handbook for general practice</w:t>
        </w:r>
      </w:hyperlink>
      <w:r>
        <w:t>’. East Melbourne, Victoria: RACGP. March 2021 update.</w:t>
      </w:r>
    </w:p>
  </w:footnote>
  <w:footnote w:id="16">
    <w:p w14:paraId="7AD3CD22" w14:textId="77777777" w:rsidR="00C54660" w:rsidRPr="00127092" w:rsidRDefault="00C54660" w:rsidP="00C54660">
      <w:pPr>
        <w:pStyle w:val="FootnoteText"/>
      </w:pPr>
      <w:r>
        <w:rPr>
          <w:rStyle w:val="FootnoteReference"/>
        </w:rPr>
        <w:footnoteRef/>
      </w:r>
      <w:r>
        <w:t xml:space="preserve"> Westall SL et al. (2022) ‘</w:t>
      </w:r>
      <w:hyperlink r:id="rId8" w:history="1">
        <w:r w:rsidRPr="00127092">
          <w:rPr>
            <w:rStyle w:val="Hyperlink"/>
          </w:rPr>
          <w:t>The individualisation of glycaemic targets in response to patient characteristics in type 2 diabetes: a scoping review</w:t>
        </w:r>
      </w:hyperlink>
      <w:r>
        <w:t xml:space="preserve">’, </w:t>
      </w:r>
      <w:r>
        <w:rPr>
          <w:i/>
          <w:iCs/>
        </w:rPr>
        <w:t>Clinical Medicine</w:t>
      </w:r>
      <w:r>
        <w:t>, 22(3): 257-65.</w:t>
      </w:r>
    </w:p>
  </w:footnote>
  <w:footnote w:id="17">
    <w:p w14:paraId="5D261EB2" w14:textId="2980DB3A" w:rsidR="00AC2B31" w:rsidRDefault="00AC2B31">
      <w:pPr>
        <w:pStyle w:val="FootnoteText"/>
      </w:pPr>
      <w:r>
        <w:rPr>
          <w:rStyle w:val="FootnoteReference"/>
        </w:rPr>
        <w:footnoteRef/>
      </w:r>
      <w:r>
        <w:t xml:space="preserve"> </w:t>
      </w:r>
      <w:r w:rsidR="008406DD">
        <w:t>Rodriguez-Gutierrez R et al (</w:t>
      </w:r>
      <w:r w:rsidR="00C240D9">
        <w:t>2019) ‘</w:t>
      </w:r>
      <w:hyperlink r:id="rId9" w:history="1">
        <w:r w:rsidR="00C240D9" w:rsidRPr="004F6FEF">
          <w:rPr>
            <w:rStyle w:val="Hyperlink"/>
          </w:rPr>
          <w:t>Benefits and harms of intensive glycaemic control in patients with type 2 diabetes</w:t>
        </w:r>
      </w:hyperlink>
      <w:r w:rsidR="00C240D9">
        <w:t>’</w:t>
      </w:r>
      <w:r w:rsidR="00CB3307">
        <w:t>, 367:</w:t>
      </w:r>
      <w:r w:rsidR="004F6FEF">
        <w:t>15887.</w:t>
      </w:r>
    </w:p>
  </w:footnote>
  <w:footnote w:id="18">
    <w:p w14:paraId="50348053" w14:textId="140C27CB" w:rsidR="00A04F24" w:rsidRPr="00436D32" w:rsidRDefault="00A04F24" w:rsidP="00A04F24">
      <w:pPr>
        <w:pStyle w:val="FootnoteText"/>
      </w:pPr>
      <w:r>
        <w:rPr>
          <w:rStyle w:val="FootnoteReference"/>
        </w:rPr>
        <w:footnoteRef/>
      </w:r>
      <w:r>
        <w:t xml:space="preserve"> Qaseem A et al. (2024) ‘</w:t>
      </w:r>
      <w:hyperlink r:id="rId10" w:history="1">
        <w:r w:rsidRPr="00A04F24">
          <w:rPr>
            <w:rStyle w:val="Hyperlink"/>
          </w:rPr>
          <w:t>Newer Pharmacologic Treatments in Adults with Type 2 Diabetes: A clinical Guidelines From the American College of Physicians</w:t>
        </w:r>
      </w:hyperlink>
      <w:r>
        <w:t>’</w:t>
      </w:r>
      <w:r w:rsidR="00436D32">
        <w:t xml:space="preserve">, </w:t>
      </w:r>
      <w:r w:rsidR="00436D32">
        <w:rPr>
          <w:i/>
          <w:iCs/>
        </w:rPr>
        <w:t>Annals of Internal Medicine</w:t>
      </w:r>
      <w:r w:rsidR="00436D32">
        <w:t>, 177(5): 658-68.</w:t>
      </w:r>
    </w:p>
  </w:footnote>
  <w:footnote w:id="19">
    <w:p w14:paraId="502FFBE9" w14:textId="235E8690" w:rsidR="00262CFC" w:rsidRPr="00C93045" w:rsidRDefault="00262CFC">
      <w:pPr>
        <w:pStyle w:val="FootnoteText"/>
      </w:pPr>
      <w:r>
        <w:rPr>
          <w:rStyle w:val="FootnoteReference"/>
        </w:rPr>
        <w:footnoteRef/>
      </w:r>
      <w:r>
        <w:t xml:space="preserve"> </w:t>
      </w:r>
      <w:proofErr w:type="spellStart"/>
      <w:r>
        <w:t>Almigbal</w:t>
      </w:r>
      <w:proofErr w:type="spellEnd"/>
      <w:r>
        <w:t xml:space="preserve"> TH et al.</w:t>
      </w:r>
      <w:r w:rsidR="00C93045">
        <w:t xml:space="preserve"> (2023) ‘Clinical inertia in the management of type 2 diabetes mellitus: A systematic review’, </w:t>
      </w:r>
      <w:proofErr w:type="spellStart"/>
      <w:r w:rsidR="00C93045">
        <w:rPr>
          <w:i/>
          <w:iCs/>
        </w:rPr>
        <w:t>Medicina</w:t>
      </w:r>
      <w:proofErr w:type="spellEnd"/>
      <w:r w:rsidR="00C93045">
        <w:t>, 59</w:t>
      </w:r>
      <w:r w:rsidR="00791B84">
        <w:t>(1)</w:t>
      </w:r>
      <w:r w:rsidR="00C93045">
        <w:t>:182.</w:t>
      </w:r>
    </w:p>
  </w:footnote>
  <w:footnote w:id="20">
    <w:p w14:paraId="02B0729A" w14:textId="77777777" w:rsidR="00262CFC" w:rsidRPr="00156BE2" w:rsidRDefault="00262CFC" w:rsidP="00262CFC">
      <w:pPr>
        <w:pStyle w:val="FootnoteText"/>
      </w:pPr>
      <w:r>
        <w:rPr>
          <w:rStyle w:val="FootnoteReference"/>
        </w:rPr>
        <w:footnoteRef/>
      </w:r>
      <w:r>
        <w:t xml:space="preserve"> </w:t>
      </w:r>
      <w:proofErr w:type="spellStart"/>
      <w:r>
        <w:t>Rattleman</w:t>
      </w:r>
      <w:proofErr w:type="spellEnd"/>
      <w:r>
        <w:t xml:space="preserve"> CR et al. (2021) ‘</w:t>
      </w:r>
      <w:hyperlink r:id="rId11" w:history="1">
        <w:r w:rsidRPr="00156BE2">
          <w:rPr>
            <w:rStyle w:val="Hyperlink"/>
          </w:rPr>
          <w:t>A retrospective analysis of therapeutic inertia in type 2 diabetes management across diverse population of health care organizations in the USA’</w:t>
        </w:r>
      </w:hyperlink>
      <w:r>
        <w:t xml:space="preserve">, </w:t>
      </w:r>
      <w:r>
        <w:rPr>
          <w:i/>
          <w:iCs/>
        </w:rPr>
        <w:t>Diabetes Therapy</w:t>
      </w:r>
      <w:r>
        <w:t>, 12(2):581-94.</w:t>
      </w:r>
    </w:p>
  </w:footnote>
  <w:footnote w:id="21">
    <w:p w14:paraId="0436F20A" w14:textId="5AC8D055" w:rsidR="0046305E" w:rsidRPr="00950AB9" w:rsidRDefault="0046305E">
      <w:pPr>
        <w:pStyle w:val="FootnoteText"/>
      </w:pPr>
      <w:r>
        <w:rPr>
          <w:rStyle w:val="FootnoteReference"/>
        </w:rPr>
        <w:footnoteRef/>
      </w:r>
      <w:r>
        <w:t xml:space="preserve"> </w:t>
      </w:r>
      <w:r w:rsidR="00C26779">
        <w:t>Aznar-Lou, I. (2017) ‘Initial medication non-adherence:</w:t>
      </w:r>
      <w:r w:rsidR="00302428">
        <w:t xml:space="preserve"> </w:t>
      </w:r>
      <w:r w:rsidR="00C26779">
        <w:t xml:space="preserve">prevalence and predictive </w:t>
      </w:r>
      <w:r w:rsidR="00302428">
        <w:t xml:space="preserve">factors in a cohort of 1.6 million primary care patients’, </w:t>
      </w:r>
      <w:r w:rsidR="00302428">
        <w:rPr>
          <w:i/>
          <w:iCs/>
        </w:rPr>
        <w:t xml:space="preserve">Br J Clinical </w:t>
      </w:r>
      <w:proofErr w:type="spellStart"/>
      <w:r w:rsidR="00950AB9">
        <w:rPr>
          <w:i/>
          <w:iCs/>
        </w:rPr>
        <w:t>Pharmacol</w:t>
      </w:r>
      <w:proofErr w:type="spellEnd"/>
      <w:r w:rsidR="00950AB9">
        <w:t>, 83(6):1328-40.</w:t>
      </w:r>
    </w:p>
  </w:footnote>
  <w:footnote w:id="22">
    <w:p w14:paraId="6D70A979" w14:textId="34E3448D" w:rsidR="00754FAB" w:rsidRDefault="00754FAB">
      <w:pPr>
        <w:pStyle w:val="FootnoteText"/>
      </w:pPr>
      <w:r>
        <w:rPr>
          <w:rStyle w:val="FootnoteReference"/>
        </w:rPr>
        <w:footnoteRef/>
      </w:r>
      <w:r>
        <w:t xml:space="preserve"> Commonwealth of Australia as represented by the Department of Health and Aged Care. (2023) </w:t>
      </w:r>
      <w:hyperlink r:id="rId12" w:history="1">
        <w:r w:rsidRPr="00754FAB">
          <w:rPr>
            <w:rStyle w:val="Hyperlink"/>
          </w:rPr>
          <w:t>Australian Guidelines for assessing and managing cardiovascular disease risk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4D53D9" w:rsidRDefault="009C26AA" w:rsidP="00A06225">
          <w:pPr>
            <w:pStyle w:val="MediumGrid21"/>
            <w:rPr>
              <w:rFonts w:ascii="Cambria" w:hAnsi="Cambria"/>
              <w:szCs w:val="20"/>
            </w:rPr>
          </w:pPr>
          <w:r w:rsidRPr="004D53D9">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4B42" w14:textId="2424C013" w:rsidR="00C56D78" w:rsidRPr="00ED2CD3" w:rsidRDefault="00896E72" w:rsidP="00C56D78">
    <w:pPr>
      <w:keepNext/>
      <w:tabs>
        <w:tab w:val="center" w:pos="4513"/>
        <w:tab w:val="right" w:pos="9026"/>
      </w:tabs>
      <w:jc w:val="center"/>
      <w:rPr>
        <w:rFonts w:asciiTheme="minorHAnsi" w:eastAsiaTheme="minorEastAsia" w:hAnsiTheme="minorHAnsi" w:cstheme="minorHAnsi"/>
        <w:i/>
      </w:rPr>
    </w:pPr>
    <w:r w:rsidRPr="00ED2CD3">
      <w:rPr>
        <w:rFonts w:asciiTheme="minorHAnsi" w:eastAsiaTheme="minorEastAsia" w:hAnsiTheme="minorHAnsi" w:cstheme="minorHAnsi"/>
        <w:i/>
      </w:rPr>
      <w:t>Public Summary Document</w:t>
    </w:r>
    <w:r w:rsidR="005851E6" w:rsidRPr="00ED2CD3">
      <w:rPr>
        <w:rFonts w:asciiTheme="minorHAnsi" w:eastAsiaTheme="minorEastAsia" w:hAnsiTheme="minorHAnsi" w:cstheme="minorHAnsi"/>
        <w:i/>
      </w:rPr>
      <w:t xml:space="preserve"> </w:t>
    </w:r>
    <w:r w:rsidR="00464C74" w:rsidRPr="00ED2CD3">
      <w:rPr>
        <w:rFonts w:asciiTheme="minorHAnsi" w:eastAsiaTheme="minorEastAsia" w:hAnsiTheme="minorHAnsi" w:cstheme="minorHAnsi"/>
        <w:i/>
      </w:rPr>
      <w:t>–</w:t>
    </w:r>
    <w:r w:rsidR="005851E6" w:rsidRPr="00ED2CD3">
      <w:rPr>
        <w:rFonts w:asciiTheme="minorHAnsi" w:eastAsiaTheme="minorEastAsia" w:hAnsiTheme="minorHAnsi" w:cstheme="minorHAnsi"/>
        <w:i/>
      </w:rPr>
      <w:t xml:space="preserve"> </w:t>
    </w:r>
    <w:r w:rsidR="00BF3F7B" w:rsidRPr="00ED2CD3">
      <w:rPr>
        <w:rFonts w:asciiTheme="minorHAnsi" w:eastAsiaTheme="minorEastAsia" w:hAnsiTheme="minorHAnsi" w:cstheme="minorHAnsi"/>
        <w:i/>
      </w:rPr>
      <w:t>July</w:t>
    </w:r>
    <w:r w:rsidR="00C56D78" w:rsidRPr="00ED2CD3">
      <w:rPr>
        <w:rFonts w:asciiTheme="minorHAnsi" w:eastAsiaTheme="minorEastAsia" w:hAnsiTheme="minorHAnsi" w:cstheme="minorHAnsi"/>
        <w:i/>
      </w:rPr>
      <w:t xml:space="preserve"> 202</w:t>
    </w:r>
    <w:r w:rsidR="00F629E7" w:rsidRPr="00ED2CD3">
      <w:rPr>
        <w:rFonts w:asciiTheme="minorHAnsi" w:eastAsiaTheme="minorEastAsia" w:hAnsiTheme="minorHAnsi" w:cstheme="minorHAnsi"/>
        <w:i/>
      </w:rPr>
      <w:t>4</w:t>
    </w:r>
    <w:r w:rsidR="00C56D78" w:rsidRPr="00ED2CD3">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45A2087"/>
    <w:multiLevelType w:val="hybridMultilevel"/>
    <w:tmpl w:val="4CA24868"/>
    <w:lvl w:ilvl="0" w:tplc="7D801ACA">
      <w:start w:val="1"/>
      <w:numFmt w:val="decimal"/>
      <w:lvlRestart w:val="0"/>
      <w:lvlText w:val="%1"/>
      <w:lvlJc w:val="left"/>
      <w:pPr>
        <w:tabs>
          <w:tab w:val="num" w:pos="850"/>
        </w:tabs>
        <w:ind w:left="850" w:hanging="85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563272"/>
    <w:multiLevelType w:val="multilevel"/>
    <w:tmpl w:val="664ABF2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bullet"/>
      <w:lvlText w:val=""/>
      <w:lvlJc w:val="left"/>
      <w:pPr>
        <w:ind w:left="1494"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9FC0111"/>
    <w:multiLevelType w:val="hybridMultilevel"/>
    <w:tmpl w:val="2B42F1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A05CEB"/>
    <w:multiLevelType w:val="singleLevel"/>
    <w:tmpl w:val="0C090011"/>
    <w:lvl w:ilvl="0">
      <w:start w:val="1"/>
      <w:numFmt w:val="decimal"/>
      <w:lvlText w:val="%1)"/>
      <w:lvlJc w:val="left"/>
      <w:pPr>
        <w:ind w:left="360" w:hanging="360"/>
      </w:pPr>
      <w:rPr>
        <w:rFonts w:hint="default"/>
      </w:r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F9C3BC6"/>
    <w:multiLevelType w:val="hybridMultilevel"/>
    <w:tmpl w:val="D92E424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81C4DBE"/>
    <w:multiLevelType w:val="hybridMultilevel"/>
    <w:tmpl w:val="9DF2CA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2C415D3"/>
    <w:multiLevelType w:val="hybridMultilevel"/>
    <w:tmpl w:val="0CE067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84D033C"/>
    <w:multiLevelType w:val="multilevel"/>
    <w:tmpl w:val="C5E6C2EA"/>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Calibri" w:hAnsi="Calibri" w:cs="Calibri" w:hint="default"/>
        <w:b w:val="0"/>
        <w:i w:val="0"/>
        <w:color w:val="auto"/>
        <w:sz w:val="24"/>
        <w:szCs w:val="24"/>
      </w:rPr>
    </w:lvl>
    <w:lvl w:ilvl="2">
      <w:start w:val="1"/>
      <w:numFmt w:val="bullet"/>
      <w:lvlText w:val=""/>
      <w:lvlJc w:val="left"/>
      <w:pPr>
        <w:ind w:left="1494"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14957744">
    <w:abstractNumId w:val="14"/>
  </w:num>
  <w:num w:numId="2" w16cid:durableId="196967904">
    <w:abstractNumId w:val="0"/>
  </w:num>
  <w:num w:numId="3" w16cid:durableId="1987397982">
    <w:abstractNumId w:val="8"/>
  </w:num>
  <w:num w:numId="4" w16cid:durableId="1014455711">
    <w:abstractNumId w:val="6"/>
  </w:num>
  <w:num w:numId="5" w16cid:durableId="183373801">
    <w:abstractNumId w:val="1"/>
  </w:num>
  <w:num w:numId="6" w16cid:durableId="218639501">
    <w:abstractNumId w:val="9"/>
  </w:num>
  <w:num w:numId="7" w16cid:durableId="1216114372">
    <w:abstractNumId w:val="4"/>
  </w:num>
  <w:num w:numId="8" w16cid:durableId="1171094397">
    <w:abstractNumId w:val="11"/>
  </w:num>
  <w:num w:numId="9" w16cid:durableId="253590325">
    <w:abstractNumId w:val="2"/>
  </w:num>
  <w:num w:numId="10" w16cid:durableId="1067649896">
    <w:abstractNumId w:val="12"/>
  </w:num>
  <w:num w:numId="11" w16cid:durableId="2092503073">
    <w:abstractNumId w:val="7"/>
  </w:num>
  <w:num w:numId="12" w16cid:durableId="129744317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4753594">
    <w:abstractNumId w:val="5"/>
  </w:num>
  <w:num w:numId="14" w16cid:durableId="2092582217">
    <w:abstractNumId w:val="3"/>
  </w:num>
  <w:num w:numId="15" w16cid:durableId="146927683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8E5"/>
    <w:rsid w:val="0000335D"/>
    <w:rsid w:val="00003EC5"/>
    <w:rsid w:val="00006782"/>
    <w:rsid w:val="00007AB8"/>
    <w:rsid w:val="0001179A"/>
    <w:rsid w:val="00011A59"/>
    <w:rsid w:val="00011F65"/>
    <w:rsid w:val="00013C04"/>
    <w:rsid w:val="00014D69"/>
    <w:rsid w:val="00015C5F"/>
    <w:rsid w:val="00016A41"/>
    <w:rsid w:val="00017CDD"/>
    <w:rsid w:val="00020B06"/>
    <w:rsid w:val="000214D1"/>
    <w:rsid w:val="00021F20"/>
    <w:rsid w:val="000227CB"/>
    <w:rsid w:val="00023CA2"/>
    <w:rsid w:val="0002464A"/>
    <w:rsid w:val="000247C5"/>
    <w:rsid w:val="00025A04"/>
    <w:rsid w:val="00025C67"/>
    <w:rsid w:val="0002693D"/>
    <w:rsid w:val="00026BBD"/>
    <w:rsid w:val="000302F4"/>
    <w:rsid w:val="0003050E"/>
    <w:rsid w:val="0003106B"/>
    <w:rsid w:val="000335B9"/>
    <w:rsid w:val="00033A00"/>
    <w:rsid w:val="00034905"/>
    <w:rsid w:val="00035CCB"/>
    <w:rsid w:val="0003606A"/>
    <w:rsid w:val="00036A15"/>
    <w:rsid w:val="00037718"/>
    <w:rsid w:val="00037906"/>
    <w:rsid w:val="000402E7"/>
    <w:rsid w:val="00040A30"/>
    <w:rsid w:val="000421A1"/>
    <w:rsid w:val="0004240E"/>
    <w:rsid w:val="000425A2"/>
    <w:rsid w:val="00043128"/>
    <w:rsid w:val="00044E52"/>
    <w:rsid w:val="00044EC4"/>
    <w:rsid w:val="00045E26"/>
    <w:rsid w:val="00046903"/>
    <w:rsid w:val="00047247"/>
    <w:rsid w:val="00050AA7"/>
    <w:rsid w:val="000514B5"/>
    <w:rsid w:val="00051811"/>
    <w:rsid w:val="000521ED"/>
    <w:rsid w:val="0005270B"/>
    <w:rsid w:val="0005322E"/>
    <w:rsid w:val="00053C8A"/>
    <w:rsid w:val="00054E2B"/>
    <w:rsid w:val="0005657B"/>
    <w:rsid w:val="0005725B"/>
    <w:rsid w:val="0006003D"/>
    <w:rsid w:val="00060E64"/>
    <w:rsid w:val="000621AB"/>
    <w:rsid w:val="00062C03"/>
    <w:rsid w:val="00062E88"/>
    <w:rsid w:val="00063220"/>
    <w:rsid w:val="00065F82"/>
    <w:rsid w:val="00066193"/>
    <w:rsid w:val="00066755"/>
    <w:rsid w:val="00071A5B"/>
    <w:rsid w:val="00072565"/>
    <w:rsid w:val="00072730"/>
    <w:rsid w:val="0007337F"/>
    <w:rsid w:val="00073A8C"/>
    <w:rsid w:val="00074320"/>
    <w:rsid w:val="000763D5"/>
    <w:rsid w:val="00076C38"/>
    <w:rsid w:val="00077143"/>
    <w:rsid w:val="00077DF7"/>
    <w:rsid w:val="0008050C"/>
    <w:rsid w:val="00082169"/>
    <w:rsid w:val="00082D09"/>
    <w:rsid w:val="00083365"/>
    <w:rsid w:val="000834BE"/>
    <w:rsid w:val="00083EE7"/>
    <w:rsid w:val="00083F01"/>
    <w:rsid w:val="00084368"/>
    <w:rsid w:val="000849F4"/>
    <w:rsid w:val="00086135"/>
    <w:rsid w:val="00087C4C"/>
    <w:rsid w:val="00087FCD"/>
    <w:rsid w:val="000907B2"/>
    <w:rsid w:val="000918CB"/>
    <w:rsid w:val="00091B06"/>
    <w:rsid w:val="00093768"/>
    <w:rsid w:val="000951C4"/>
    <w:rsid w:val="00095ADA"/>
    <w:rsid w:val="00095F3A"/>
    <w:rsid w:val="000969AD"/>
    <w:rsid w:val="000975FB"/>
    <w:rsid w:val="000A02F8"/>
    <w:rsid w:val="000A0E2C"/>
    <w:rsid w:val="000A1A98"/>
    <w:rsid w:val="000A1C5F"/>
    <w:rsid w:val="000A3658"/>
    <w:rsid w:val="000A3AA2"/>
    <w:rsid w:val="000A3D41"/>
    <w:rsid w:val="000A42EF"/>
    <w:rsid w:val="000A44B2"/>
    <w:rsid w:val="000A52F6"/>
    <w:rsid w:val="000A58B8"/>
    <w:rsid w:val="000A71CC"/>
    <w:rsid w:val="000B0F8F"/>
    <w:rsid w:val="000B44C3"/>
    <w:rsid w:val="000B558D"/>
    <w:rsid w:val="000B5A89"/>
    <w:rsid w:val="000B65F6"/>
    <w:rsid w:val="000B7767"/>
    <w:rsid w:val="000C1AFF"/>
    <w:rsid w:val="000C5740"/>
    <w:rsid w:val="000C5F95"/>
    <w:rsid w:val="000C6996"/>
    <w:rsid w:val="000C77A6"/>
    <w:rsid w:val="000C7C46"/>
    <w:rsid w:val="000D09E9"/>
    <w:rsid w:val="000D113F"/>
    <w:rsid w:val="000D1B7A"/>
    <w:rsid w:val="000D1E5D"/>
    <w:rsid w:val="000D23BA"/>
    <w:rsid w:val="000D4F18"/>
    <w:rsid w:val="000E134E"/>
    <w:rsid w:val="000E19B7"/>
    <w:rsid w:val="000E20FC"/>
    <w:rsid w:val="000E3168"/>
    <w:rsid w:val="000E3C1D"/>
    <w:rsid w:val="000E3DFB"/>
    <w:rsid w:val="000E5EA1"/>
    <w:rsid w:val="000E681E"/>
    <w:rsid w:val="000E696B"/>
    <w:rsid w:val="000E7E52"/>
    <w:rsid w:val="000E7E90"/>
    <w:rsid w:val="000EE1C7"/>
    <w:rsid w:val="000F0003"/>
    <w:rsid w:val="000F0E95"/>
    <w:rsid w:val="000F20A2"/>
    <w:rsid w:val="000F3384"/>
    <w:rsid w:val="000F35EA"/>
    <w:rsid w:val="000F48C2"/>
    <w:rsid w:val="000F4E6A"/>
    <w:rsid w:val="000F6ABB"/>
    <w:rsid w:val="000F6E42"/>
    <w:rsid w:val="000F7354"/>
    <w:rsid w:val="000F7467"/>
    <w:rsid w:val="000F78BE"/>
    <w:rsid w:val="000F7C27"/>
    <w:rsid w:val="00100DD8"/>
    <w:rsid w:val="00101ABE"/>
    <w:rsid w:val="00102202"/>
    <w:rsid w:val="00102700"/>
    <w:rsid w:val="00102A73"/>
    <w:rsid w:val="00102A78"/>
    <w:rsid w:val="00103118"/>
    <w:rsid w:val="00103F1B"/>
    <w:rsid w:val="00104227"/>
    <w:rsid w:val="00104C38"/>
    <w:rsid w:val="001053D5"/>
    <w:rsid w:val="00107409"/>
    <w:rsid w:val="00107F12"/>
    <w:rsid w:val="001107BF"/>
    <w:rsid w:val="00113649"/>
    <w:rsid w:val="00113D5C"/>
    <w:rsid w:val="00116B03"/>
    <w:rsid w:val="00120AA6"/>
    <w:rsid w:val="001239DB"/>
    <w:rsid w:val="0012417C"/>
    <w:rsid w:val="00124BF2"/>
    <w:rsid w:val="00125837"/>
    <w:rsid w:val="0012597F"/>
    <w:rsid w:val="00125B77"/>
    <w:rsid w:val="00126B19"/>
    <w:rsid w:val="00126D3A"/>
    <w:rsid w:val="0012701B"/>
    <w:rsid w:val="00127092"/>
    <w:rsid w:val="0012749D"/>
    <w:rsid w:val="00127A23"/>
    <w:rsid w:val="001306A5"/>
    <w:rsid w:val="00130918"/>
    <w:rsid w:val="001311AE"/>
    <w:rsid w:val="00132939"/>
    <w:rsid w:val="001338AA"/>
    <w:rsid w:val="00134994"/>
    <w:rsid w:val="00134ED5"/>
    <w:rsid w:val="001366C2"/>
    <w:rsid w:val="00136C17"/>
    <w:rsid w:val="001375D3"/>
    <w:rsid w:val="00137722"/>
    <w:rsid w:val="00140B74"/>
    <w:rsid w:val="00140D94"/>
    <w:rsid w:val="001420A6"/>
    <w:rsid w:val="00142395"/>
    <w:rsid w:val="0014250D"/>
    <w:rsid w:val="00142714"/>
    <w:rsid w:val="00144D09"/>
    <w:rsid w:val="00144E06"/>
    <w:rsid w:val="001452ED"/>
    <w:rsid w:val="00147D84"/>
    <w:rsid w:val="00151CBD"/>
    <w:rsid w:val="00151D79"/>
    <w:rsid w:val="001533C3"/>
    <w:rsid w:val="001549C1"/>
    <w:rsid w:val="00156BE2"/>
    <w:rsid w:val="00156C8D"/>
    <w:rsid w:val="00157A0C"/>
    <w:rsid w:val="00160F4D"/>
    <w:rsid w:val="00161047"/>
    <w:rsid w:val="00162BDD"/>
    <w:rsid w:val="00162D4E"/>
    <w:rsid w:val="00163118"/>
    <w:rsid w:val="00163329"/>
    <w:rsid w:val="00164139"/>
    <w:rsid w:val="00164623"/>
    <w:rsid w:val="00164BCC"/>
    <w:rsid w:val="001652DE"/>
    <w:rsid w:val="001653EC"/>
    <w:rsid w:val="00165B64"/>
    <w:rsid w:val="001661B5"/>
    <w:rsid w:val="00167C39"/>
    <w:rsid w:val="00170C4D"/>
    <w:rsid w:val="001731F6"/>
    <w:rsid w:val="001748FC"/>
    <w:rsid w:val="00174EB8"/>
    <w:rsid w:val="00176811"/>
    <w:rsid w:val="00176B9D"/>
    <w:rsid w:val="00180713"/>
    <w:rsid w:val="00180720"/>
    <w:rsid w:val="001830CE"/>
    <w:rsid w:val="0018315F"/>
    <w:rsid w:val="001836E3"/>
    <w:rsid w:val="00184659"/>
    <w:rsid w:val="001860E5"/>
    <w:rsid w:val="0018643B"/>
    <w:rsid w:val="00187856"/>
    <w:rsid w:val="00196307"/>
    <w:rsid w:val="00196592"/>
    <w:rsid w:val="001977D1"/>
    <w:rsid w:val="00197C70"/>
    <w:rsid w:val="00197F03"/>
    <w:rsid w:val="001A0C71"/>
    <w:rsid w:val="001A0D10"/>
    <w:rsid w:val="001A33EA"/>
    <w:rsid w:val="001A3615"/>
    <w:rsid w:val="001A43E6"/>
    <w:rsid w:val="001A4413"/>
    <w:rsid w:val="001A4C4F"/>
    <w:rsid w:val="001A5A2B"/>
    <w:rsid w:val="001A6328"/>
    <w:rsid w:val="001A7121"/>
    <w:rsid w:val="001A76FB"/>
    <w:rsid w:val="001B017F"/>
    <w:rsid w:val="001B057A"/>
    <w:rsid w:val="001B0B79"/>
    <w:rsid w:val="001B19EA"/>
    <w:rsid w:val="001B2BBC"/>
    <w:rsid w:val="001B2BCD"/>
    <w:rsid w:val="001B3928"/>
    <w:rsid w:val="001B3A40"/>
    <w:rsid w:val="001B3FFE"/>
    <w:rsid w:val="001B4AB8"/>
    <w:rsid w:val="001B5129"/>
    <w:rsid w:val="001B6076"/>
    <w:rsid w:val="001B6E3D"/>
    <w:rsid w:val="001C0B4C"/>
    <w:rsid w:val="001C0EC4"/>
    <w:rsid w:val="001C1195"/>
    <w:rsid w:val="001C12AE"/>
    <w:rsid w:val="001C155D"/>
    <w:rsid w:val="001C1E84"/>
    <w:rsid w:val="001C20E1"/>
    <w:rsid w:val="001C2A0F"/>
    <w:rsid w:val="001C2E42"/>
    <w:rsid w:val="001C3E50"/>
    <w:rsid w:val="001C40E4"/>
    <w:rsid w:val="001C5B5F"/>
    <w:rsid w:val="001C64F0"/>
    <w:rsid w:val="001D093D"/>
    <w:rsid w:val="001D16CE"/>
    <w:rsid w:val="001D1F5F"/>
    <w:rsid w:val="001D54FC"/>
    <w:rsid w:val="001E06D2"/>
    <w:rsid w:val="001E17C4"/>
    <w:rsid w:val="001E2A47"/>
    <w:rsid w:val="001E2D65"/>
    <w:rsid w:val="001E716F"/>
    <w:rsid w:val="001F005B"/>
    <w:rsid w:val="001F1850"/>
    <w:rsid w:val="001F1FBF"/>
    <w:rsid w:val="001F2311"/>
    <w:rsid w:val="001F2B80"/>
    <w:rsid w:val="001F2F1C"/>
    <w:rsid w:val="001F3189"/>
    <w:rsid w:val="001F3CE3"/>
    <w:rsid w:val="001F42FF"/>
    <w:rsid w:val="00200BEA"/>
    <w:rsid w:val="00201FB8"/>
    <w:rsid w:val="00203FAC"/>
    <w:rsid w:val="002066D5"/>
    <w:rsid w:val="002074A1"/>
    <w:rsid w:val="00212015"/>
    <w:rsid w:val="00212FC0"/>
    <w:rsid w:val="002133FB"/>
    <w:rsid w:val="00213CFB"/>
    <w:rsid w:val="00213EC6"/>
    <w:rsid w:val="0021553C"/>
    <w:rsid w:val="0021557B"/>
    <w:rsid w:val="0021689C"/>
    <w:rsid w:val="00216B87"/>
    <w:rsid w:val="002174FD"/>
    <w:rsid w:val="00217BE1"/>
    <w:rsid w:val="00217D4E"/>
    <w:rsid w:val="002205A5"/>
    <w:rsid w:val="00220662"/>
    <w:rsid w:val="002206D5"/>
    <w:rsid w:val="00220DAC"/>
    <w:rsid w:val="00221361"/>
    <w:rsid w:val="002214B9"/>
    <w:rsid w:val="00222680"/>
    <w:rsid w:val="00223370"/>
    <w:rsid w:val="00224D1E"/>
    <w:rsid w:val="002261D0"/>
    <w:rsid w:val="00226611"/>
    <w:rsid w:val="00227BC5"/>
    <w:rsid w:val="00230F63"/>
    <w:rsid w:val="00231CDE"/>
    <w:rsid w:val="00232C45"/>
    <w:rsid w:val="00232F9B"/>
    <w:rsid w:val="00233931"/>
    <w:rsid w:val="00234252"/>
    <w:rsid w:val="0023466E"/>
    <w:rsid w:val="002367D2"/>
    <w:rsid w:val="00237AC6"/>
    <w:rsid w:val="00242B64"/>
    <w:rsid w:val="00242BFD"/>
    <w:rsid w:val="00244139"/>
    <w:rsid w:val="00244490"/>
    <w:rsid w:val="00244BEC"/>
    <w:rsid w:val="00244C38"/>
    <w:rsid w:val="00245B9C"/>
    <w:rsid w:val="00252587"/>
    <w:rsid w:val="00253499"/>
    <w:rsid w:val="002549D3"/>
    <w:rsid w:val="002551A4"/>
    <w:rsid w:val="00256A2B"/>
    <w:rsid w:val="00257664"/>
    <w:rsid w:val="00260165"/>
    <w:rsid w:val="002607D7"/>
    <w:rsid w:val="0026099D"/>
    <w:rsid w:val="00260F3F"/>
    <w:rsid w:val="002615C6"/>
    <w:rsid w:val="00261FEF"/>
    <w:rsid w:val="002626EA"/>
    <w:rsid w:val="00262CFC"/>
    <w:rsid w:val="00265151"/>
    <w:rsid w:val="00265658"/>
    <w:rsid w:val="00265C2C"/>
    <w:rsid w:val="00266509"/>
    <w:rsid w:val="0027011B"/>
    <w:rsid w:val="00271BA1"/>
    <w:rsid w:val="00272BEA"/>
    <w:rsid w:val="00273AC5"/>
    <w:rsid w:val="00273F7E"/>
    <w:rsid w:val="00275932"/>
    <w:rsid w:val="002762FA"/>
    <w:rsid w:val="00276BE3"/>
    <w:rsid w:val="00277505"/>
    <w:rsid w:val="00277873"/>
    <w:rsid w:val="00280F78"/>
    <w:rsid w:val="0028158C"/>
    <w:rsid w:val="002823B6"/>
    <w:rsid w:val="00287AC7"/>
    <w:rsid w:val="00287F6D"/>
    <w:rsid w:val="00290C03"/>
    <w:rsid w:val="00292392"/>
    <w:rsid w:val="00292E3B"/>
    <w:rsid w:val="002933A8"/>
    <w:rsid w:val="00294274"/>
    <w:rsid w:val="0029458F"/>
    <w:rsid w:val="00297A63"/>
    <w:rsid w:val="002A018F"/>
    <w:rsid w:val="002A0E04"/>
    <w:rsid w:val="002A1045"/>
    <w:rsid w:val="002A104C"/>
    <w:rsid w:val="002A137C"/>
    <w:rsid w:val="002A1EF7"/>
    <w:rsid w:val="002A20D3"/>
    <w:rsid w:val="002A2B7B"/>
    <w:rsid w:val="002A3365"/>
    <w:rsid w:val="002A475F"/>
    <w:rsid w:val="002A483F"/>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77D7"/>
    <w:rsid w:val="002C0763"/>
    <w:rsid w:val="002C0C30"/>
    <w:rsid w:val="002C18FF"/>
    <w:rsid w:val="002C212F"/>
    <w:rsid w:val="002C2F35"/>
    <w:rsid w:val="002C3D6D"/>
    <w:rsid w:val="002C6AA9"/>
    <w:rsid w:val="002C7485"/>
    <w:rsid w:val="002D0CE6"/>
    <w:rsid w:val="002D2641"/>
    <w:rsid w:val="002D283A"/>
    <w:rsid w:val="002D4543"/>
    <w:rsid w:val="002D54AB"/>
    <w:rsid w:val="002D715F"/>
    <w:rsid w:val="002D7782"/>
    <w:rsid w:val="002E022A"/>
    <w:rsid w:val="002E3153"/>
    <w:rsid w:val="002E3CF1"/>
    <w:rsid w:val="002E4A02"/>
    <w:rsid w:val="002E5292"/>
    <w:rsid w:val="002E628C"/>
    <w:rsid w:val="002E62D0"/>
    <w:rsid w:val="002E72CA"/>
    <w:rsid w:val="002E75DD"/>
    <w:rsid w:val="002F1D07"/>
    <w:rsid w:val="002F1EE5"/>
    <w:rsid w:val="002F4D85"/>
    <w:rsid w:val="002F5C5B"/>
    <w:rsid w:val="002F5E17"/>
    <w:rsid w:val="002F600D"/>
    <w:rsid w:val="002F6F0F"/>
    <w:rsid w:val="002F7236"/>
    <w:rsid w:val="002F7E47"/>
    <w:rsid w:val="00300AD6"/>
    <w:rsid w:val="00300B1B"/>
    <w:rsid w:val="003019D0"/>
    <w:rsid w:val="003019DE"/>
    <w:rsid w:val="00302357"/>
    <w:rsid w:val="00302428"/>
    <w:rsid w:val="0030311E"/>
    <w:rsid w:val="00303733"/>
    <w:rsid w:val="00304D56"/>
    <w:rsid w:val="0030589B"/>
    <w:rsid w:val="003064AF"/>
    <w:rsid w:val="00307DC6"/>
    <w:rsid w:val="00310A8B"/>
    <w:rsid w:val="00310B68"/>
    <w:rsid w:val="00310DBB"/>
    <w:rsid w:val="00312EDB"/>
    <w:rsid w:val="003138C0"/>
    <w:rsid w:val="003160D2"/>
    <w:rsid w:val="003173FC"/>
    <w:rsid w:val="00317C6C"/>
    <w:rsid w:val="0032095E"/>
    <w:rsid w:val="00320B80"/>
    <w:rsid w:val="00320CD3"/>
    <w:rsid w:val="003215FF"/>
    <w:rsid w:val="00321887"/>
    <w:rsid w:val="00322667"/>
    <w:rsid w:val="0032607C"/>
    <w:rsid w:val="00326E79"/>
    <w:rsid w:val="0032748A"/>
    <w:rsid w:val="003277D3"/>
    <w:rsid w:val="003301B1"/>
    <w:rsid w:val="00331189"/>
    <w:rsid w:val="0033263D"/>
    <w:rsid w:val="00334E69"/>
    <w:rsid w:val="0033518A"/>
    <w:rsid w:val="00335535"/>
    <w:rsid w:val="003367EF"/>
    <w:rsid w:val="00341AE4"/>
    <w:rsid w:val="003425CA"/>
    <w:rsid w:val="00343FB7"/>
    <w:rsid w:val="0034526C"/>
    <w:rsid w:val="003476EE"/>
    <w:rsid w:val="00350885"/>
    <w:rsid w:val="00353C23"/>
    <w:rsid w:val="003541DD"/>
    <w:rsid w:val="0035546E"/>
    <w:rsid w:val="00356921"/>
    <w:rsid w:val="00356E5B"/>
    <w:rsid w:val="00360887"/>
    <w:rsid w:val="0036249F"/>
    <w:rsid w:val="003666D5"/>
    <w:rsid w:val="00367480"/>
    <w:rsid w:val="00367A9E"/>
    <w:rsid w:val="00371246"/>
    <w:rsid w:val="00371402"/>
    <w:rsid w:val="003736C9"/>
    <w:rsid w:val="003744FD"/>
    <w:rsid w:val="00374593"/>
    <w:rsid w:val="00374E87"/>
    <w:rsid w:val="00382ECF"/>
    <w:rsid w:val="00383B77"/>
    <w:rsid w:val="00383E56"/>
    <w:rsid w:val="00384988"/>
    <w:rsid w:val="00385584"/>
    <w:rsid w:val="00386CF5"/>
    <w:rsid w:val="003872CF"/>
    <w:rsid w:val="003874CB"/>
    <w:rsid w:val="00393CB1"/>
    <w:rsid w:val="00396CE4"/>
    <w:rsid w:val="00396E08"/>
    <w:rsid w:val="003970DD"/>
    <w:rsid w:val="0039782C"/>
    <w:rsid w:val="003A13A6"/>
    <w:rsid w:val="003A2165"/>
    <w:rsid w:val="003A2C1A"/>
    <w:rsid w:val="003A3AF3"/>
    <w:rsid w:val="003A3FD4"/>
    <w:rsid w:val="003A425F"/>
    <w:rsid w:val="003A5881"/>
    <w:rsid w:val="003A5B4A"/>
    <w:rsid w:val="003A5D95"/>
    <w:rsid w:val="003A6510"/>
    <w:rsid w:val="003A69BC"/>
    <w:rsid w:val="003A74E2"/>
    <w:rsid w:val="003B0D3A"/>
    <w:rsid w:val="003B15BA"/>
    <w:rsid w:val="003B2302"/>
    <w:rsid w:val="003B23C5"/>
    <w:rsid w:val="003B2A75"/>
    <w:rsid w:val="003B309E"/>
    <w:rsid w:val="003B49B2"/>
    <w:rsid w:val="003B5F09"/>
    <w:rsid w:val="003B6124"/>
    <w:rsid w:val="003B7960"/>
    <w:rsid w:val="003C0908"/>
    <w:rsid w:val="003C093A"/>
    <w:rsid w:val="003C1ECF"/>
    <w:rsid w:val="003C2FB5"/>
    <w:rsid w:val="003C4DCC"/>
    <w:rsid w:val="003D21BF"/>
    <w:rsid w:val="003D24C5"/>
    <w:rsid w:val="003D2FED"/>
    <w:rsid w:val="003D4594"/>
    <w:rsid w:val="003D4AC4"/>
    <w:rsid w:val="003D5433"/>
    <w:rsid w:val="003D63B7"/>
    <w:rsid w:val="003D74C5"/>
    <w:rsid w:val="003E4374"/>
    <w:rsid w:val="003E468B"/>
    <w:rsid w:val="003E556F"/>
    <w:rsid w:val="003E62BD"/>
    <w:rsid w:val="003E658D"/>
    <w:rsid w:val="003E79F3"/>
    <w:rsid w:val="003F044F"/>
    <w:rsid w:val="003F0C3A"/>
    <w:rsid w:val="003F0F69"/>
    <w:rsid w:val="003F15F0"/>
    <w:rsid w:val="003F24FC"/>
    <w:rsid w:val="003F2AD9"/>
    <w:rsid w:val="003F2AE7"/>
    <w:rsid w:val="003F3228"/>
    <w:rsid w:val="003F5C8C"/>
    <w:rsid w:val="003F6090"/>
    <w:rsid w:val="003F63CE"/>
    <w:rsid w:val="003F6A58"/>
    <w:rsid w:val="003F775A"/>
    <w:rsid w:val="00400E55"/>
    <w:rsid w:val="0040128E"/>
    <w:rsid w:val="00401640"/>
    <w:rsid w:val="00401C0B"/>
    <w:rsid w:val="0040216B"/>
    <w:rsid w:val="00404852"/>
    <w:rsid w:val="00404E21"/>
    <w:rsid w:val="0040590E"/>
    <w:rsid w:val="00407CC8"/>
    <w:rsid w:val="00410A2C"/>
    <w:rsid w:val="00414F0C"/>
    <w:rsid w:val="00420400"/>
    <w:rsid w:val="00423E78"/>
    <w:rsid w:val="004252EC"/>
    <w:rsid w:val="00425508"/>
    <w:rsid w:val="0043024A"/>
    <w:rsid w:val="00430D39"/>
    <w:rsid w:val="00431470"/>
    <w:rsid w:val="00431C18"/>
    <w:rsid w:val="00434440"/>
    <w:rsid w:val="00436D32"/>
    <w:rsid w:val="004400D1"/>
    <w:rsid w:val="00442C91"/>
    <w:rsid w:val="00444E9D"/>
    <w:rsid w:val="00445F90"/>
    <w:rsid w:val="004465BD"/>
    <w:rsid w:val="00446938"/>
    <w:rsid w:val="00446AAD"/>
    <w:rsid w:val="004523D6"/>
    <w:rsid w:val="004528FA"/>
    <w:rsid w:val="00452A6C"/>
    <w:rsid w:val="00452D1B"/>
    <w:rsid w:val="0045313C"/>
    <w:rsid w:val="00456009"/>
    <w:rsid w:val="00460813"/>
    <w:rsid w:val="0046122F"/>
    <w:rsid w:val="00461A44"/>
    <w:rsid w:val="00462D26"/>
    <w:rsid w:val="0046305E"/>
    <w:rsid w:val="0046368B"/>
    <w:rsid w:val="0046385A"/>
    <w:rsid w:val="00464039"/>
    <w:rsid w:val="00464A5A"/>
    <w:rsid w:val="00464C74"/>
    <w:rsid w:val="00466ADA"/>
    <w:rsid w:val="004702BB"/>
    <w:rsid w:val="00470FD5"/>
    <w:rsid w:val="0047230F"/>
    <w:rsid w:val="0047494B"/>
    <w:rsid w:val="00476245"/>
    <w:rsid w:val="00477A9B"/>
    <w:rsid w:val="00480444"/>
    <w:rsid w:val="00482AE4"/>
    <w:rsid w:val="00483035"/>
    <w:rsid w:val="00484395"/>
    <w:rsid w:val="00484466"/>
    <w:rsid w:val="00485940"/>
    <w:rsid w:val="00486311"/>
    <w:rsid w:val="00486C95"/>
    <w:rsid w:val="004877C2"/>
    <w:rsid w:val="004904B9"/>
    <w:rsid w:val="004904E3"/>
    <w:rsid w:val="00491D4F"/>
    <w:rsid w:val="00491EDC"/>
    <w:rsid w:val="004928E1"/>
    <w:rsid w:val="00492D8D"/>
    <w:rsid w:val="00496662"/>
    <w:rsid w:val="00497A44"/>
    <w:rsid w:val="004A0856"/>
    <w:rsid w:val="004A1431"/>
    <w:rsid w:val="004A2484"/>
    <w:rsid w:val="004A5A85"/>
    <w:rsid w:val="004A71D1"/>
    <w:rsid w:val="004A7C5B"/>
    <w:rsid w:val="004B1845"/>
    <w:rsid w:val="004B2348"/>
    <w:rsid w:val="004B2B64"/>
    <w:rsid w:val="004B2E01"/>
    <w:rsid w:val="004B2E98"/>
    <w:rsid w:val="004B3488"/>
    <w:rsid w:val="004B3B74"/>
    <w:rsid w:val="004B5640"/>
    <w:rsid w:val="004B6053"/>
    <w:rsid w:val="004B6084"/>
    <w:rsid w:val="004B77FF"/>
    <w:rsid w:val="004BCF29"/>
    <w:rsid w:val="004C0206"/>
    <w:rsid w:val="004C03D0"/>
    <w:rsid w:val="004C1BD7"/>
    <w:rsid w:val="004C1BF2"/>
    <w:rsid w:val="004C239C"/>
    <w:rsid w:val="004C31FE"/>
    <w:rsid w:val="004C524C"/>
    <w:rsid w:val="004C5A95"/>
    <w:rsid w:val="004C5EDD"/>
    <w:rsid w:val="004C5FFA"/>
    <w:rsid w:val="004C691D"/>
    <w:rsid w:val="004C6C07"/>
    <w:rsid w:val="004C7E15"/>
    <w:rsid w:val="004C7EC6"/>
    <w:rsid w:val="004D0652"/>
    <w:rsid w:val="004D2CD1"/>
    <w:rsid w:val="004D365C"/>
    <w:rsid w:val="004D4736"/>
    <w:rsid w:val="004D4FF6"/>
    <w:rsid w:val="004D53D9"/>
    <w:rsid w:val="004D5ADD"/>
    <w:rsid w:val="004D6A30"/>
    <w:rsid w:val="004D7B13"/>
    <w:rsid w:val="004E0CC3"/>
    <w:rsid w:val="004E692D"/>
    <w:rsid w:val="004E6C7E"/>
    <w:rsid w:val="004E7230"/>
    <w:rsid w:val="004E7D87"/>
    <w:rsid w:val="004F08A6"/>
    <w:rsid w:val="004F1A61"/>
    <w:rsid w:val="004F2553"/>
    <w:rsid w:val="004F306A"/>
    <w:rsid w:val="004F6753"/>
    <w:rsid w:val="004F6FEF"/>
    <w:rsid w:val="00501554"/>
    <w:rsid w:val="00502AFE"/>
    <w:rsid w:val="00502E64"/>
    <w:rsid w:val="00502ECB"/>
    <w:rsid w:val="00503AD7"/>
    <w:rsid w:val="00503E89"/>
    <w:rsid w:val="00504E0C"/>
    <w:rsid w:val="00504E13"/>
    <w:rsid w:val="005109D4"/>
    <w:rsid w:val="00511E45"/>
    <w:rsid w:val="0051230A"/>
    <w:rsid w:val="00514CD7"/>
    <w:rsid w:val="005167EC"/>
    <w:rsid w:val="005170DA"/>
    <w:rsid w:val="00520698"/>
    <w:rsid w:val="00520A93"/>
    <w:rsid w:val="00520D6A"/>
    <w:rsid w:val="00522DB6"/>
    <w:rsid w:val="00523343"/>
    <w:rsid w:val="00523F53"/>
    <w:rsid w:val="00525EFD"/>
    <w:rsid w:val="005264A7"/>
    <w:rsid w:val="0052792D"/>
    <w:rsid w:val="005319B2"/>
    <w:rsid w:val="00532402"/>
    <w:rsid w:val="00532C74"/>
    <w:rsid w:val="00533239"/>
    <w:rsid w:val="00534E2E"/>
    <w:rsid w:val="00535133"/>
    <w:rsid w:val="00536DE3"/>
    <w:rsid w:val="0054064C"/>
    <w:rsid w:val="00544552"/>
    <w:rsid w:val="00544816"/>
    <w:rsid w:val="00545130"/>
    <w:rsid w:val="00545163"/>
    <w:rsid w:val="00545256"/>
    <w:rsid w:val="00546B36"/>
    <w:rsid w:val="0055286A"/>
    <w:rsid w:val="00555745"/>
    <w:rsid w:val="00556F3B"/>
    <w:rsid w:val="00557D4F"/>
    <w:rsid w:val="0056122E"/>
    <w:rsid w:val="00562D46"/>
    <w:rsid w:val="0056484E"/>
    <w:rsid w:val="00565999"/>
    <w:rsid w:val="0056647D"/>
    <w:rsid w:val="00566A5D"/>
    <w:rsid w:val="00567D8A"/>
    <w:rsid w:val="00570231"/>
    <w:rsid w:val="005714B7"/>
    <w:rsid w:val="005714CB"/>
    <w:rsid w:val="0057419C"/>
    <w:rsid w:val="005764CD"/>
    <w:rsid w:val="00577C4D"/>
    <w:rsid w:val="00580532"/>
    <w:rsid w:val="00581932"/>
    <w:rsid w:val="00583002"/>
    <w:rsid w:val="005851E6"/>
    <w:rsid w:val="005903BB"/>
    <w:rsid w:val="005933DF"/>
    <w:rsid w:val="00593893"/>
    <w:rsid w:val="005940C0"/>
    <w:rsid w:val="005948A3"/>
    <w:rsid w:val="005963BB"/>
    <w:rsid w:val="005963C8"/>
    <w:rsid w:val="0059645C"/>
    <w:rsid w:val="00596D37"/>
    <w:rsid w:val="005A1530"/>
    <w:rsid w:val="005A15D2"/>
    <w:rsid w:val="005A3035"/>
    <w:rsid w:val="005A3173"/>
    <w:rsid w:val="005A3223"/>
    <w:rsid w:val="005A3CC9"/>
    <w:rsid w:val="005A3DA3"/>
    <w:rsid w:val="005A4310"/>
    <w:rsid w:val="005A52C4"/>
    <w:rsid w:val="005A63A1"/>
    <w:rsid w:val="005A7452"/>
    <w:rsid w:val="005B0486"/>
    <w:rsid w:val="005B0CE6"/>
    <w:rsid w:val="005B1032"/>
    <w:rsid w:val="005B1457"/>
    <w:rsid w:val="005B1473"/>
    <w:rsid w:val="005B36FA"/>
    <w:rsid w:val="005B66AC"/>
    <w:rsid w:val="005C3F97"/>
    <w:rsid w:val="005C4F73"/>
    <w:rsid w:val="005C592D"/>
    <w:rsid w:val="005C60C0"/>
    <w:rsid w:val="005C7706"/>
    <w:rsid w:val="005D03AB"/>
    <w:rsid w:val="005D0F74"/>
    <w:rsid w:val="005D11D8"/>
    <w:rsid w:val="005D2C8D"/>
    <w:rsid w:val="005D3BE1"/>
    <w:rsid w:val="005D401D"/>
    <w:rsid w:val="005D448D"/>
    <w:rsid w:val="005D5017"/>
    <w:rsid w:val="005D5708"/>
    <w:rsid w:val="005D63FA"/>
    <w:rsid w:val="005D643D"/>
    <w:rsid w:val="005D73C7"/>
    <w:rsid w:val="005D7C93"/>
    <w:rsid w:val="005E0050"/>
    <w:rsid w:val="005E0C2D"/>
    <w:rsid w:val="005E0D82"/>
    <w:rsid w:val="005E0F59"/>
    <w:rsid w:val="005E1333"/>
    <w:rsid w:val="005E16DF"/>
    <w:rsid w:val="005E3136"/>
    <w:rsid w:val="005E35A1"/>
    <w:rsid w:val="005E507D"/>
    <w:rsid w:val="005E63F4"/>
    <w:rsid w:val="005E6D5F"/>
    <w:rsid w:val="005F0AD0"/>
    <w:rsid w:val="005F0C3F"/>
    <w:rsid w:val="005F2127"/>
    <w:rsid w:val="005F27E3"/>
    <w:rsid w:val="005F68EE"/>
    <w:rsid w:val="00600FF2"/>
    <w:rsid w:val="00601A91"/>
    <w:rsid w:val="00601F1D"/>
    <w:rsid w:val="00602063"/>
    <w:rsid w:val="00602BA3"/>
    <w:rsid w:val="00605B63"/>
    <w:rsid w:val="00605F9A"/>
    <w:rsid w:val="00606442"/>
    <w:rsid w:val="00606C31"/>
    <w:rsid w:val="00606EED"/>
    <w:rsid w:val="00607DDB"/>
    <w:rsid w:val="00612A95"/>
    <w:rsid w:val="00612E34"/>
    <w:rsid w:val="006140F5"/>
    <w:rsid w:val="00614159"/>
    <w:rsid w:val="00615590"/>
    <w:rsid w:val="006158A3"/>
    <w:rsid w:val="00616C5F"/>
    <w:rsid w:val="00616DAC"/>
    <w:rsid w:val="00617725"/>
    <w:rsid w:val="00617C00"/>
    <w:rsid w:val="006263BF"/>
    <w:rsid w:val="0062748A"/>
    <w:rsid w:val="006300E7"/>
    <w:rsid w:val="00630546"/>
    <w:rsid w:val="00630A2C"/>
    <w:rsid w:val="006311EF"/>
    <w:rsid w:val="0063481B"/>
    <w:rsid w:val="00634A75"/>
    <w:rsid w:val="006354A8"/>
    <w:rsid w:val="0063682E"/>
    <w:rsid w:val="00640088"/>
    <w:rsid w:val="006400FF"/>
    <w:rsid w:val="00640D16"/>
    <w:rsid w:val="00642672"/>
    <w:rsid w:val="00642DA8"/>
    <w:rsid w:val="006436CD"/>
    <w:rsid w:val="00646307"/>
    <w:rsid w:val="00646395"/>
    <w:rsid w:val="00647B09"/>
    <w:rsid w:val="00650976"/>
    <w:rsid w:val="00651169"/>
    <w:rsid w:val="00653D69"/>
    <w:rsid w:val="00654E7C"/>
    <w:rsid w:val="006552E6"/>
    <w:rsid w:val="00655794"/>
    <w:rsid w:val="006561D0"/>
    <w:rsid w:val="00656477"/>
    <w:rsid w:val="00656F2F"/>
    <w:rsid w:val="006570E8"/>
    <w:rsid w:val="00657C63"/>
    <w:rsid w:val="006619CC"/>
    <w:rsid w:val="00661CBC"/>
    <w:rsid w:val="00662236"/>
    <w:rsid w:val="00662B85"/>
    <w:rsid w:val="00665EEA"/>
    <w:rsid w:val="006670B3"/>
    <w:rsid w:val="006670BE"/>
    <w:rsid w:val="00670990"/>
    <w:rsid w:val="00670A76"/>
    <w:rsid w:val="006711AA"/>
    <w:rsid w:val="00672B57"/>
    <w:rsid w:val="00673CE3"/>
    <w:rsid w:val="00673F1F"/>
    <w:rsid w:val="00675622"/>
    <w:rsid w:val="00675DEB"/>
    <w:rsid w:val="0067747D"/>
    <w:rsid w:val="00677F1A"/>
    <w:rsid w:val="00680B1A"/>
    <w:rsid w:val="006818D5"/>
    <w:rsid w:val="00681CA4"/>
    <w:rsid w:val="006861B8"/>
    <w:rsid w:val="00686559"/>
    <w:rsid w:val="00687766"/>
    <w:rsid w:val="0069039D"/>
    <w:rsid w:val="006906DB"/>
    <w:rsid w:val="00691900"/>
    <w:rsid w:val="00691B3E"/>
    <w:rsid w:val="00691E6C"/>
    <w:rsid w:val="00692F7C"/>
    <w:rsid w:val="00693425"/>
    <w:rsid w:val="0069342D"/>
    <w:rsid w:val="00693DFB"/>
    <w:rsid w:val="00694FD5"/>
    <w:rsid w:val="0069501D"/>
    <w:rsid w:val="00696129"/>
    <w:rsid w:val="0069719D"/>
    <w:rsid w:val="00697CF2"/>
    <w:rsid w:val="006A12A5"/>
    <w:rsid w:val="006A2515"/>
    <w:rsid w:val="006A572D"/>
    <w:rsid w:val="006A5E20"/>
    <w:rsid w:val="006B0D94"/>
    <w:rsid w:val="006B1179"/>
    <w:rsid w:val="006B1452"/>
    <w:rsid w:val="006B16B6"/>
    <w:rsid w:val="006B3C1E"/>
    <w:rsid w:val="006B485D"/>
    <w:rsid w:val="006B5E0B"/>
    <w:rsid w:val="006B6B3E"/>
    <w:rsid w:val="006B7DDA"/>
    <w:rsid w:val="006C0C45"/>
    <w:rsid w:val="006C1EEE"/>
    <w:rsid w:val="006C2806"/>
    <w:rsid w:val="006C334C"/>
    <w:rsid w:val="006C6C10"/>
    <w:rsid w:val="006C708E"/>
    <w:rsid w:val="006C72BC"/>
    <w:rsid w:val="006D036E"/>
    <w:rsid w:val="006D14E7"/>
    <w:rsid w:val="006D1A93"/>
    <w:rsid w:val="006D4444"/>
    <w:rsid w:val="006D5284"/>
    <w:rsid w:val="006D596E"/>
    <w:rsid w:val="006D6493"/>
    <w:rsid w:val="006D6EC7"/>
    <w:rsid w:val="006D7B05"/>
    <w:rsid w:val="006D7E45"/>
    <w:rsid w:val="006E1143"/>
    <w:rsid w:val="006E1BCD"/>
    <w:rsid w:val="006E2732"/>
    <w:rsid w:val="006E59CD"/>
    <w:rsid w:val="006E68E4"/>
    <w:rsid w:val="006F00ED"/>
    <w:rsid w:val="006F026F"/>
    <w:rsid w:val="006F0A71"/>
    <w:rsid w:val="006F1729"/>
    <w:rsid w:val="006F17CD"/>
    <w:rsid w:val="006F1C6B"/>
    <w:rsid w:val="006F40C2"/>
    <w:rsid w:val="006F5125"/>
    <w:rsid w:val="006F531B"/>
    <w:rsid w:val="006F733D"/>
    <w:rsid w:val="00700765"/>
    <w:rsid w:val="00701352"/>
    <w:rsid w:val="00702888"/>
    <w:rsid w:val="00702959"/>
    <w:rsid w:val="00702B6F"/>
    <w:rsid w:val="007030B4"/>
    <w:rsid w:val="00703B86"/>
    <w:rsid w:val="00704069"/>
    <w:rsid w:val="0070455B"/>
    <w:rsid w:val="00706A2F"/>
    <w:rsid w:val="0070718E"/>
    <w:rsid w:val="00707E52"/>
    <w:rsid w:val="00710259"/>
    <w:rsid w:val="0071031F"/>
    <w:rsid w:val="00710737"/>
    <w:rsid w:val="0071340B"/>
    <w:rsid w:val="00713C50"/>
    <w:rsid w:val="0071436D"/>
    <w:rsid w:val="00715BBB"/>
    <w:rsid w:val="0071672D"/>
    <w:rsid w:val="007174BB"/>
    <w:rsid w:val="0072025D"/>
    <w:rsid w:val="00723328"/>
    <w:rsid w:val="007237DE"/>
    <w:rsid w:val="00723D1D"/>
    <w:rsid w:val="0072502E"/>
    <w:rsid w:val="0072642F"/>
    <w:rsid w:val="00727C01"/>
    <w:rsid w:val="00730043"/>
    <w:rsid w:val="0073137C"/>
    <w:rsid w:val="00733B39"/>
    <w:rsid w:val="007340B9"/>
    <w:rsid w:val="007345BB"/>
    <w:rsid w:val="007353D3"/>
    <w:rsid w:val="00735EF0"/>
    <w:rsid w:val="007369B8"/>
    <w:rsid w:val="0073736F"/>
    <w:rsid w:val="0074156B"/>
    <w:rsid w:val="00741619"/>
    <w:rsid w:val="00742885"/>
    <w:rsid w:val="0074360F"/>
    <w:rsid w:val="00747092"/>
    <w:rsid w:val="007477FF"/>
    <w:rsid w:val="007526E6"/>
    <w:rsid w:val="00754DF9"/>
    <w:rsid w:val="00754FAB"/>
    <w:rsid w:val="007555E8"/>
    <w:rsid w:val="00755CC5"/>
    <w:rsid w:val="00762216"/>
    <w:rsid w:val="00762862"/>
    <w:rsid w:val="0076420C"/>
    <w:rsid w:val="00764B41"/>
    <w:rsid w:val="007659F6"/>
    <w:rsid w:val="00771D07"/>
    <w:rsid w:val="00772649"/>
    <w:rsid w:val="007732EC"/>
    <w:rsid w:val="00773BE3"/>
    <w:rsid w:val="007743DD"/>
    <w:rsid w:val="007747AF"/>
    <w:rsid w:val="00774E2C"/>
    <w:rsid w:val="0077503C"/>
    <w:rsid w:val="0077518D"/>
    <w:rsid w:val="007753C2"/>
    <w:rsid w:val="00776068"/>
    <w:rsid w:val="00780996"/>
    <w:rsid w:val="0078168E"/>
    <w:rsid w:val="0078345C"/>
    <w:rsid w:val="007838B8"/>
    <w:rsid w:val="0078453B"/>
    <w:rsid w:val="00784672"/>
    <w:rsid w:val="00785779"/>
    <w:rsid w:val="00787FD8"/>
    <w:rsid w:val="007915BA"/>
    <w:rsid w:val="00791844"/>
    <w:rsid w:val="00791B84"/>
    <w:rsid w:val="0079250E"/>
    <w:rsid w:val="00793A82"/>
    <w:rsid w:val="00793CE9"/>
    <w:rsid w:val="00796667"/>
    <w:rsid w:val="00797068"/>
    <w:rsid w:val="007979BD"/>
    <w:rsid w:val="007A0BBF"/>
    <w:rsid w:val="007A0DF1"/>
    <w:rsid w:val="007A1707"/>
    <w:rsid w:val="007A3D8E"/>
    <w:rsid w:val="007A5755"/>
    <w:rsid w:val="007A5C88"/>
    <w:rsid w:val="007A6A2F"/>
    <w:rsid w:val="007A7729"/>
    <w:rsid w:val="007B024E"/>
    <w:rsid w:val="007B29C0"/>
    <w:rsid w:val="007B3BAF"/>
    <w:rsid w:val="007B3DDC"/>
    <w:rsid w:val="007B45C3"/>
    <w:rsid w:val="007B56C2"/>
    <w:rsid w:val="007B72A6"/>
    <w:rsid w:val="007B7BBF"/>
    <w:rsid w:val="007B7CFC"/>
    <w:rsid w:val="007C06D2"/>
    <w:rsid w:val="007C08E0"/>
    <w:rsid w:val="007C0F57"/>
    <w:rsid w:val="007C254A"/>
    <w:rsid w:val="007C27F5"/>
    <w:rsid w:val="007C2F4B"/>
    <w:rsid w:val="007C40B6"/>
    <w:rsid w:val="007C5975"/>
    <w:rsid w:val="007C729F"/>
    <w:rsid w:val="007C72AD"/>
    <w:rsid w:val="007D1B1C"/>
    <w:rsid w:val="007D3E17"/>
    <w:rsid w:val="007D4511"/>
    <w:rsid w:val="007D503D"/>
    <w:rsid w:val="007D5891"/>
    <w:rsid w:val="007D59E7"/>
    <w:rsid w:val="007D5F2A"/>
    <w:rsid w:val="007E07AC"/>
    <w:rsid w:val="007E1014"/>
    <w:rsid w:val="007E12F8"/>
    <w:rsid w:val="007E14EB"/>
    <w:rsid w:val="007E1D28"/>
    <w:rsid w:val="007E2286"/>
    <w:rsid w:val="007E4564"/>
    <w:rsid w:val="007E490F"/>
    <w:rsid w:val="007E6533"/>
    <w:rsid w:val="007F0021"/>
    <w:rsid w:val="007F2641"/>
    <w:rsid w:val="007F5C5B"/>
    <w:rsid w:val="007F7C36"/>
    <w:rsid w:val="007F7F45"/>
    <w:rsid w:val="0080001F"/>
    <w:rsid w:val="008015BF"/>
    <w:rsid w:val="00801958"/>
    <w:rsid w:val="00801BD3"/>
    <w:rsid w:val="008055AF"/>
    <w:rsid w:val="008057CD"/>
    <w:rsid w:val="00806023"/>
    <w:rsid w:val="008066B8"/>
    <w:rsid w:val="00806796"/>
    <w:rsid w:val="00810167"/>
    <w:rsid w:val="0081026E"/>
    <w:rsid w:val="008104D0"/>
    <w:rsid w:val="00810C54"/>
    <w:rsid w:val="00811CC0"/>
    <w:rsid w:val="00812F73"/>
    <w:rsid w:val="00814276"/>
    <w:rsid w:val="008151D6"/>
    <w:rsid w:val="00820803"/>
    <w:rsid w:val="00821527"/>
    <w:rsid w:val="00821C25"/>
    <w:rsid w:val="008225CE"/>
    <w:rsid w:val="00822696"/>
    <w:rsid w:val="00825536"/>
    <w:rsid w:val="00825A6C"/>
    <w:rsid w:val="0082617E"/>
    <w:rsid w:val="008268BB"/>
    <w:rsid w:val="00826F05"/>
    <w:rsid w:val="00826F6D"/>
    <w:rsid w:val="008306F3"/>
    <w:rsid w:val="00830E40"/>
    <w:rsid w:val="0083287E"/>
    <w:rsid w:val="00832D9A"/>
    <w:rsid w:val="00832E85"/>
    <w:rsid w:val="00834CC6"/>
    <w:rsid w:val="00835C62"/>
    <w:rsid w:val="008368A1"/>
    <w:rsid w:val="008368E7"/>
    <w:rsid w:val="00837B7F"/>
    <w:rsid w:val="008406DD"/>
    <w:rsid w:val="00840EF7"/>
    <w:rsid w:val="008434AA"/>
    <w:rsid w:val="00843BCC"/>
    <w:rsid w:val="00844C0A"/>
    <w:rsid w:val="00846056"/>
    <w:rsid w:val="00846695"/>
    <w:rsid w:val="0084681F"/>
    <w:rsid w:val="00847D08"/>
    <w:rsid w:val="00847EC0"/>
    <w:rsid w:val="0085213B"/>
    <w:rsid w:val="008523A7"/>
    <w:rsid w:val="0085274C"/>
    <w:rsid w:val="00854323"/>
    <w:rsid w:val="00854506"/>
    <w:rsid w:val="00855FD6"/>
    <w:rsid w:val="00856B80"/>
    <w:rsid w:val="00856DDD"/>
    <w:rsid w:val="00860233"/>
    <w:rsid w:val="008619D8"/>
    <w:rsid w:val="00862AF2"/>
    <w:rsid w:val="00863E68"/>
    <w:rsid w:val="008643EB"/>
    <w:rsid w:val="008647B5"/>
    <w:rsid w:val="00867D64"/>
    <w:rsid w:val="00872E8F"/>
    <w:rsid w:val="008742B6"/>
    <w:rsid w:val="00875DCB"/>
    <w:rsid w:val="00876FBF"/>
    <w:rsid w:val="0087755A"/>
    <w:rsid w:val="00882085"/>
    <w:rsid w:val="00882E91"/>
    <w:rsid w:val="00882F2D"/>
    <w:rsid w:val="00883188"/>
    <w:rsid w:val="00884A0C"/>
    <w:rsid w:val="00886ACA"/>
    <w:rsid w:val="00886B01"/>
    <w:rsid w:val="0089031E"/>
    <w:rsid w:val="0089109A"/>
    <w:rsid w:val="00893884"/>
    <w:rsid w:val="00893D5C"/>
    <w:rsid w:val="00893DD8"/>
    <w:rsid w:val="0089460B"/>
    <w:rsid w:val="00896E72"/>
    <w:rsid w:val="00897D58"/>
    <w:rsid w:val="00897F22"/>
    <w:rsid w:val="008A0B39"/>
    <w:rsid w:val="008A0DE0"/>
    <w:rsid w:val="008A17A3"/>
    <w:rsid w:val="008A1956"/>
    <w:rsid w:val="008A1E85"/>
    <w:rsid w:val="008A2419"/>
    <w:rsid w:val="008A4937"/>
    <w:rsid w:val="008A50F1"/>
    <w:rsid w:val="008A59D9"/>
    <w:rsid w:val="008A5A71"/>
    <w:rsid w:val="008A643E"/>
    <w:rsid w:val="008A6819"/>
    <w:rsid w:val="008A7DE7"/>
    <w:rsid w:val="008B007A"/>
    <w:rsid w:val="008B2EC0"/>
    <w:rsid w:val="008B3855"/>
    <w:rsid w:val="008B4276"/>
    <w:rsid w:val="008B6359"/>
    <w:rsid w:val="008B6DCF"/>
    <w:rsid w:val="008B7A30"/>
    <w:rsid w:val="008C23D1"/>
    <w:rsid w:val="008C28D0"/>
    <w:rsid w:val="008C48AD"/>
    <w:rsid w:val="008C4D49"/>
    <w:rsid w:val="008C52C0"/>
    <w:rsid w:val="008C6A01"/>
    <w:rsid w:val="008C6A48"/>
    <w:rsid w:val="008C704C"/>
    <w:rsid w:val="008D0945"/>
    <w:rsid w:val="008D1409"/>
    <w:rsid w:val="008D15CC"/>
    <w:rsid w:val="008D1729"/>
    <w:rsid w:val="008D1B5C"/>
    <w:rsid w:val="008D3C82"/>
    <w:rsid w:val="008D447E"/>
    <w:rsid w:val="008D64C4"/>
    <w:rsid w:val="008D6ACF"/>
    <w:rsid w:val="008D714A"/>
    <w:rsid w:val="008D719A"/>
    <w:rsid w:val="008D7A41"/>
    <w:rsid w:val="008E2C72"/>
    <w:rsid w:val="008E2FA9"/>
    <w:rsid w:val="008E3680"/>
    <w:rsid w:val="008E3AA2"/>
    <w:rsid w:val="008E424D"/>
    <w:rsid w:val="008E4F87"/>
    <w:rsid w:val="008E5870"/>
    <w:rsid w:val="008E63C8"/>
    <w:rsid w:val="008E77E4"/>
    <w:rsid w:val="008F0213"/>
    <w:rsid w:val="008F07ED"/>
    <w:rsid w:val="008F11F8"/>
    <w:rsid w:val="008F1434"/>
    <w:rsid w:val="008F1980"/>
    <w:rsid w:val="008F1FB2"/>
    <w:rsid w:val="008F2BB9"/>
    <w:rsid w:val="008F3D6A"/>
    <w:rsid w:val="008F54C3"/>
    <w:rsid w:val="008F7355"/>
    <w:rsid w:val="008F7884"/>
    <w:rsid w:val="009023DC"/>
    <w:rsid w:val="009027C5"/>
    <w:rsid w:val="009029E7"/>
    <w:rsid w:val="00904413"/>
    <w:rsid w:val="009058C4"/>
    <w:rsid w:val="009067B7"/>
    <w:rsid w:val="00906E7A"/>
    <w:rsid w:val="00906E7F"/>
    <w:rsid w:val="0090775A"/>
    <w:rsid w:val="00907DFD"/>
    <w:rsid w:val="00911D44"/>
    <w:rsid w:val="00912651"/>
    <w:rsid w:val="00913C99"/>
    <w:rsid w:val="00917D69"/>
    <w:rsid w:val="00920B6D"/>
    <w:rsid w:val="009213F8"/>
    <w:rsid w:val="00923C81"/>
    <w:rsid w:val="00926560"/>
    <w:rsid w:val="00926B15"/>
    <w:rsid w:val="009277E3"/>
    <w:rsid w:val="0092799E"/>
    <w:rsid w:val="00930291"/>
    <w:rsid w:val="0093048B"/>
    <w:rsid w:val="00930937"/>
    <w:rsid w:val="009324A6"/>
    <w:rsid w:val="00933B7D"/>
    <w:rsid w:val="00933E6C"/>
    <w:rsid w:val="00934A16"/>
    <w:rsid w:val="00935A6E"/>
    <w:rsid w:val="00936007"/>
    <w:rsid w:val="00937958"/>
    <w:rsid w:val="009406E5"/>
    <w:rsid w:val="00941602"/>
    <w:rsid w:val="00942160"/>
    <w:rsid w:val="00946921"/>
    <w:rsid w:val="00947168"/>
    <w:rsid w:val="00947343"/>
    <w:rsid w:val="00950AB9"/>
    <w:rsid w:val="0095146F"/>
    <w:rsid w:val="00951744"/>
    <w:rsid w:val="00951F2D"/>
    <w:rsid w:val="00952839"/>
    <w:rsid w:val="0095344C"/>
    <w:rsid w:val="009534C7"/>
    <w:rsid w:val="009558A3"/>
    <w:rsid w:val="00957944"/>
    <w:rsid w:val="009579EA"/>
    <w:rsid w:val="009602C5"/>
    <w:rsid w:val="0096096E"/>
    <w:rsid w:val="0096103A"/>
    <w:rsid w:val="00962223"/>
    <w:rsid w:val="0096252B"/>
    <w:rsid w:val="00963B51"/>
    <w:rsid w:val="009644D9"/>
    <w:rsid w:val="00964A9F"/>
    <w:rsid w:val="00966D0D"/>
    <w:rsid w:val="00967732"/>
    <w:rsid w:val="0096783C"/>
    <w:rsid w:val="0096789B"/>
    <w:rsid w:val="00970023"/>
    <w:rsid w:val="009722B3"/>
    <w:rsid w:val="00973942"/>
    <w:rsid w:val="00973E24"/>
    <w:rsid w:val="00974C21"/>
    <w:rsid w:val="00974D5F"/>
    <w:rsid w:val="00975948"/>
    <w:rsid w:val="009772FD"/>
    <w:rsid w:val="00977BF3"/>
    <w:rsid w:val="009803E4"/>
    <w:rsid w:val="00980B0E"/>
    <w:rsid w:val="00982B39"/>
    <w:rsid w:val="009836A3"/>
    <w:rsid w:val="00984C58"/>
    <w:rsid w:val="009855A8"/>
    <w:rsid w:val="0098599A"/>
    <w:rsid w:val="00985CBE"/>
    <w:rsid w:val="00985D1A"/>
    <w:rsid w:val="00990CF8"/>
    <w:rsid w:val="009913F4"/>
    <w:rsid w:val="00991782"/>
    <w:rsid w:val="0099355C"/>
    <w:rsid w:val="009937F7"/>
    <w:rsid w:val="00993C1E"/>
    <w:rsid w:val="0099465B"/>
    <w:rsid w:val="00994E38"/>
    <w:rsid w:val="009951A1"/>
    <w:rsid w:val="00995485"/>
    <w:rsid w:val="00996931"/>
    <w:rsid w:val="00996FC0"/>
    <w:rsid w:val="00997A44"/>
    <w:rsid w:val="009A0CDD"/>
    <w:rsid w:val="009A169B"/>
    <w:rsid w:val="009A3168"/>
    <w:rsid w:val="009A3A7F"/>
    <w:rsid w:val="009A4621"/>
    <w:rsid w:val="009A4BDF"/>
    <w:rsid w:val="009A5D04"/>
    <w:rsid w:val="009A61CA"/>
    <w:rsid w:val="009A7C78"/>
    <w:rsid w:val="009B0062"/>
    <w:rsid w:val="009B0C64"/>
    <w:rsid w:val="009B0F67"/>
    <w:rsid w:val="009B208A"/>
    <w:rsid w:val="009B2756"/>
    <w:rsid w:val="009B3090"/>
    <w:rsid w:val="009B3D56"/>
    <w:rsid w:val="009B3F8C"/>
    <w:rsid w:val="009B533B"/>
    <w:rsid w:val="009B546B"/>
    <w:rsid w:val="009C26AA"/>
    <w:rsid w:val="009C3427"/>
    <w:rsid w:val="009C703C"/>
    <w:rsid w:val="009C7A7D"/>
    <w:rsid w:val="009D0C29"/>
    <w:rsid w:val="009D0E17"/>
    <w:rsid w:val="009D206E"/>
    <w:rsid w:val="009D2679"/>
    <w:rsid w:val="009D3CAA"/>
    <w:rsid w:val="009D3E5F"/>
    <w:rsid w:val="009D49FD"/>
    <w:rsid w:val="009D507A"/>
    <w:rsid w:val="009D6532"/>
    <w:rsid w:val="009D71FD"/>
    <w:rsid w:val="009E0404"/>
    <w:rsid w:val="009E06F0"/>
    <w:rsid w:val="009E0755"/>
    <w:rsid w:val="009E10AD"/>
    <w:rsid w:val="009E2588"/>
    <w:rsid w:val="009E2E8E"/>
    <w:rsid w:val="009E3E0E"/>
    <w:rsid w:val="009E40E1"/>
    <w:rsid w:val="009E6317"/>
    <w:rsid w:val="009F0EFA"/>
    <w:rsid w:val="009F4E46"/>
    <w:rsid w:val="009F5B65"/>
    <w:rsid w:val="009F5F2E"/>
    <w:rsid w:val="00A01432"/>
    <w:rsid w:val="00A021D9"/>
    <w:rsid w:val="00A04F24"/>
    <w:rsid w:val="00A06225"/>
    <w:rsid w:val="00A066E6"/>
    <w:rsid w:val="00A110D1"/>
    <w:rsid w:val="00A1219A"/>
    <w:rsid w:val="00A12587"/>
    <w:rsid w:val="00A128E6"/>
    <w:rsid w:val="00A144D3"/>
    <w:rsid w:val="00A159B9"/>
    <w:rsid w:val="00A17EA7"/>
    <w:rsid w:val="00A211AB"/>
    <w:rsid w:val="00A21881"/>
    <w:rsid w:val="00A21D7D"/>
    <w:rsid w:val="00A22820"/>
    <w:rsid w:val="00A22AC3"/>
    <w:rsid w:val="00A2351E"/>
    <w:rsid w:val="00A23F3F"/>
    <w:rsid w:val="00A2401C"/>
    <w:rsid w:val="00A24067"/>
    <w:rsid w:val="00A24A4B"/>
    <w:rsid w:val="00A2744D"/>
    <w:rsid w:val="00A30D16"/>
    <w:rsid w:val="00A33EB7"/>
    <w:rsid w:val="00A34E6C"/>
    <w:rsid w:val="00A34FD0"/>
    <w:rsid w:val="00A36398"/>
    <w:rsid w:val="00A37561"/>
    <w:rsid w:val="00A37C8D"/>
    <w:rsid w:val="00A4020E"/>
    <w:rsid w:val="00A4033A"/>
    <w:rsid w:val="00A40493"/>
    <w:rsid w:val="00A408E8"/>
    <w:rsid w:val="00A40FB5"/>
    <w:rsid w:val="00A4257B"/>
    <w:rsid w:val="00A42826"/>
    <w:rsid w:val="00A429B3"/>
    <w:rsid w:val="00A436EB"/>
    <w:rsid w:val="00A44EC1"/>
    <w:rsid w:val="00A472F0"/>
    <w:rsid w:val="00A510E4"/>
    <w:rsid w:val="00A51F8C"/>
    <w:rsid w:val="00A524A8"/>
    <w:rsid w:val="00A526F7"/>
    <w:rsid w:val="00A5273B"/>
    <w:rsid w:val="00A53568"/>
    <w:rsid w:val="00A53A9D"/>
    <w:rsid w:val="00A545BC"/>
    <w:rsid w:val="00A54B98"/>
    <w:rsid w:val="00A54CD7"/>
    <w:rsid w:val="00A55FEE"/>
    <w:rsid w:val="00A56304"/>
    <w:rsid w:val="00A5671D"/>
    <w:rsid w:val="00A5735B"/>
    <w:rsid w:val="00A57422"/>
    <w:rsid w:val="00A608CA"/>
    <w:rsid w:val="00A62C1A"/>
    <w:rsid w:val="00A63CA2"/>
    <w:rsid w:val="00A6426D"/>
    <w:rsid w:val="00A6439B"/>
    <w:rsid w:val="00A665C1"/>
    <w:rsid w:val="00A673A4"/>
    <w:rsid w:val="00A7001A"/>
    <w:rsid w:val="00A70622"/>
    <w:rsid w:val="00A70977"/>
    <w:rsid w:val="00A70D58"/>
    <w:rsid w:val="00A73855"/>
    <w:rsid w:val="00A740BA"/>
    <w:rsid w:val="00A744F9"/>
    <w:rsid w:val="00A753A1"/>
    <w:rsid w:val="00A77580"/>
    <w:rsid w:val="00A77613"/>
    <w:rsid w:val="00A77B87"/>
    <w:rsid w:val="00A77E01"/>
    <w:rsid w:val="00A801AD"/>
    <w:rsid w:val="00A80FEE"/>
    <w:rsid w:val="00A81453"/>
    <w:rsid w:val="00A81851"/>
    <w:rsid w:val="00A8390C"/>
    <w:rsid w:val="00A83B85"/>
    <w:rsid w:val="00A849B7"/>
    <w:rsid w:val="00A85991"/>
    <w:rsid w:val="00A86AE0"/>
    <w:rsid w:val="00A912B0"/>
    <w:rsid w:val="00A91362"/>
    <w:rsid w:val="00A9151C"/>
    <w:rsid w:val="00A919C6"/>
    <w:rsid w:val="00A9221A"/>
    <w:rsid w:val="00A928BD"/>
    <w:rsid w:val="00A92D61"/>
    <w:rsid w:val="00A94A9B"/>
    <w:rsid w:val="00A94D4A"/>
    <w:rsid w:val="00A96221"/>
    <w:rsid w:val="00A96680"/>
    <w:rsid w:val="00A979C7"/>
    <w:rsid w:val="00A97DE9"/>
    <w:rsid w:val="00AA12CD"/>
    <w:rsid w:val="00AA2470"/>
    <w:rsid w:val="00AA36D6"/>
    <w:rsid w:val="00AA42BB"/>
    <w:rsid w:val="00AA4D1C"/>
    <w:rsid w:val="00AA52FD"/>
    <w:rsid w:val="00AA7006"/>
    <w:rsid w:val="00AA72B6"/>
    <w:rsid w:val="00AB1866"/>
    <w:rsid w:val="00AB3138"/>
    <w:rsid w:val="00AB3329"/>
    <w:rsid w:val="00AB4684"/>
    <w:rsid w:val="00AB5190"/>
    <w:rsid w:val="00AB5856"/>
    <w:rsid w:val="00AC081D"/>
    <w:rsid w:val="00AC0C6F"/>
    <w:rsid w:val="00AC1266"/>
    <w:rsid w:val="00AC193C"/>
    <w:rsid w:val="00AC2277"/>
    <w:rsid w:val="00AC2899"/>
    <w:rsid w:val="00AC2B31"/>
    <w:rsid w:val="00AC30C1"/>
    <w:rsid w:val="00AC4026"/>
    <w:rsid w:val="00AC4558"/>
    <w:rsid w:val="00AC4DE5"/>
    <w:rsid w:val="00AC5206"/>
    <w:rsid w:val="00AC7250"/>
    <w:rsid w:val="00AC793F"/>
    <w:rsid w:val="00AD02E0"/>
    <w:rsid w:val="00AD095B"/>
    <w:rsid w:val="00AD3106"/>
    <w:rsid w:val="00AD37A6"/>
    <w:rsid w:val="00AD4322"/>
    <w:rsid w:val="00AD6121"/>
    <w:rsid w:val="00AD74E4"/>
    <w:rsid w:val="00AD7805"/>
    <w:rsid w:val="00AE11A5"/>
    <w:rsid w:val="00AE13E2"/>
    <w:rsid w:val="00AE1495"/>
    <w:rsid w:val="00AE1764"/>
    <w:rsid w:val="00AE22D3"/>
    <w:rsid w:val="00AE345B"/>
    <w:rsid w:val="00AE49A9"/>
    <w:rsid w:val="00AE5987"/>
    <w:rsid w:val="00AE5A49"/>
    <w:rsid w:val="00AF03E6"/>
    <w:rsid w:val="00AF11D8"/>
    <w:rsid w:val="00AF21E5"/>
    <w:rsid w:val="00AF4CE6"/>
    <w:rsid w:val="00AF5867"/>
    <w:rsid w:val="00AF62DF"/>
    <w:rsid w:val="00AF68CC"/>
    <w:rsid w:val="00AF70D7"/>
    <w:rsid w:val="00AF7761"/>
    <w:rsid w:val="00B00086"/>
    <w:rsid w:val="00B00CD0"/>
    <w:rsid w:val="00B00E7F"/>
    <w:rsid w:val="00B01247"/>
    <w:rsid w:val="00B01FCA"/>
    <w:rsid w:val="00B01FF4"/>
    <w:rsid w:val="00B0326D"/>
    <w:rsid w:val="00B035EA"/>
    <w:rsid w:val="00B03F9D"/>
    <w:rsid w:val="00B0560B"/>
    <w:rsid w:val="00B06037"/>
    <w:rsid w:val="00B06478"/>
    <w:rsid w:val="00B06968"/>
    <w:rsid w:val="00B069C1"/>
    <w:rsid w:val="00B07533"/>
    <w:rsid w:val="00B07CFB"/>
    <w:rsid w:val="00B1059E"/>
    <w:rsid w:val="00B12C1E"/>
    <w:rsid w:val="00B1311A"/>
    <w:rsid w:val="00B14A36"/>
    <w:rsid w:val="00B159BC"/>
    <w:rsid w:val="00B16273"/>
    <w:rsid w:val="00B170A5"/>
    <w:rsid w:val="00B1725F"/>
    <w:rsid w:val="00B176C8"/>
    <w:rsid w:val="00B17EE5"/>
    <w:rsid w:val="00B205AA"/>
    <w:rsid w:val="00B2100A"/>
    <w:rsid w:val="00B21A91"/>
    <w:rsid w:val="00B22E84"/>
    <w:rsid w:val="00B232CC"/>
    <w:rsid w:val="00B233AD"/>
    <w:rsid w:val="00B23E25"/>
    <w:rsid w:val="00B24962"/>
    <w:rsid w:val="00B25B89"/>
    <w:rsid w:val="00B25F75"/>
    <w:rsid w:val="00B263E8"/>
    <w:rsid w:val="00B26B3F"/>
    <w:rsid w:val="00B2758B"/>
    <w:rsid w:val="00B2778F"/>
    <w:rsid w:val="00B27A0A"/>
    <w:rsid w:val="00B32122"/>
    <w:rsid w:val="00B327E2"/>
    <w:rsid w:val="00B33635"/>
    <w:rsid w:val="00B37A23"/>
    <w:rsid w:val="00B37CF8"/>
    <w:rsid w:val="00B40BBB"/>
    <w:rsid w:val="00B42AF4"/>
    <w:rsid w:val="00B43E90"/>
    <w:rsid w:val="00B44308"/>
    <w:rsid w:val="00B45722"/>
    <w:rsid w:val="00B460F4"/>
    <w:rsid w:val="00B467DC"/>
    <w:rsid w:val="00B47A88"/>
    <w:rsid w:val="00B52303"/>
    <w:rsid w:val="00B5392A"/>
    <w:rsid w:val="00B539EF"/>
    <w:rsid w:val="00B56118"/>
    <w:rsid w:val="00B566E1"/>
    <w:rsid w:val="00B56AFB"/>
    <w:rsid w:val="00B602F6"/>
    <w:rsid w:val="00B62EC1"/>
    <w:rsid w:val="00B64A96"/>
    <w:rsid w:val="00B6533B"/>
    <w:rsid w:val="00B6636D"/>
    <w:rsid w:val="00B6773F"/>
    <w:rsid w:val="00B708B2"/>
    <w:rsid w:val="00B70EB3"/>
    <w:rsid w:val="00B72906"/>
    <w:rsid w:val="00B74F48"/>
    <w:rsid w:val="00B7525E"/>
    <w:rsid w:val="00B75287"/>
    <w:rsid w:val="00B75433"/>
    <w:rsid w:val="00B75F70"/>
    <w:rsid w:val="00B760FB"/>
    <w:rsid w:val="00B76765"/>
    <w:rsid w:val="00B767AB"/>
    <w:rsid w:val="00B801BA"/>
    <w:rsid w:val="00B812D6"/>
    <w:rsid w:val="00B8254F"/>
    <w:rsid w:val="00B846E6"/>
    <w:rsid w:val="00B84D5C"/>
    <w:rsid w:val="00B85AF6"/>
    <w:rsid w:val="00B86C04"/>
    <w:rsid w:val="00B9085A"/>
    <w:rsid w:val="00B920CD"/>
    <w:rsid w:val="00B926BE"/>
    <w:rsid w:val="00B92E46"/>
    <w:rsid w:val="00B941ED"/>
    <w:rsid w:val="00B956ED"/>
    <w:rsid w:val="00B97583"/>
    <w:rsid w:val="00BA193F"/>
    <w:rsid w:val="00BA2DA8"/>
    <w:rsid w:val="00BA347C"/>
    <w:rsid w:val="00BA45E1"/>
    <w:rsid w:val="00BA49E7"/>
    <w:rsid w:val="00BA4C79"/>
    <w:rsid w:val="00BA7188"/>
    <w:rsid w:val="00BB0912"/>
    <w:rsid w:val="00BB16D4"/>
    <w:rsid w:val="00BB298A"/>
    <w:rsid w:val="00BB3469"/>
    <w:rsid w:val="00BB42C7"/>
    <w:rsid w:val="00BB5C49"/>
    <w:rsid w:val="00BB5CFC"/>
    <w:rsid w:val="00BB6240"/>
    <w:rsid w:val="00BB6285"/>
    <w:rsid w:val="00BB69F5"/>
    <w:rsid w:val="00BB6E48"/>
    <w:rsid w:val="00BB740C"/>
    <w:rsid w:val="00BB7490"/>
    <w:rsid w:val="00BB7EC3"/>
    <w:rsid w:val="00BC04B1"/>
    <w:rsid w:val="00BC1DE7"/>
    <w:rsid w:val="00BC470E"/>
    <w:rsid w:val="00BC4B9A"/>
    <w:rsid w:val="00BC553F"/>
    <w:rsid w:val="00BC64E1"/>
    <w:rsid w:val="00BD02C3"/>
    <w:rsid w:val="00BD192C"/>
    <w:rsid w:val="00BD1FFE"/>
    <w:rsid w:val="00BD326D"/>
    <w:rsid w:val="00BD66D2"/>
    <w:rsid w:val="00BD6F1F"/>
    <w:rsid w:val="00BD7483"/>
    <w:rsid w:val="00BD784C"/>
    <w:rsid w:val="00BE020A"/>
    <w:rsid w:val="00BE13DF"/>
    <w:rsid w:val="00BE1725"/>
    <w:rsid w:val="00BE1EF0"/>
    <w:rsid w:val="00BE1F58"/>
    <w:rsid w:val="00BE25D7"/>
    <w:rsid w:val="00BE6D3D"/>
    <w:rsid w:val="00BF092C"/>
    <w:rsid w:val="00BF1873"/>
    <w:rsid w:val="00BF27A0"/>
    <w:rsid w:val="00BF3F7B"/>
    <w:rsid w:val="00BF4CB6"/>
    <w:rsid w:val="00BF51E1"/>
    <w:rsid w:val="00BF5D23"/>
    <w:rsid w:val="00BF66D5"/>
    <w:rsid w:val="00BF6CBD"/>
    <w:rsid w:val="00BF731E"/>
    <w:rsid w:val="00BF74EA"/>
    <w:rsid w:val="00C00216"/>
    <w:rsid w:val="00C00DA7"/>
    <w:rsid w:val="00C01DEA"/>
    <w:rsid w:val="00C0260C"/>
    <w:rsid w:val="00C034FB"/>
    <w:rsid w:val="00C04CDE"/>
    <w:rsid w:val="00C059D5"/>
    <w:rsid w:val="00C068A6"/>
    <w:rsid w:val="00C12768"/>
    <w:rsid w:val="00C12D70"/>
    <w:rsid w:val="00C16724"/>
    <w:rsid w:val="00C21B09"/>
    <w:rsid w:val="00C240D9"/>
    <w:rsid w:val="00C24617"/>
    <w:rsid w:val="00C24740"/>
    <w:rsid w:val="00C25EFF"/>
    <w:rsid w:val="00C2673A"/>
    <w:rsid w:val="00C26779"/>
    <w:rsid w:val="00C278CD"/>
    <w:rsid w:val="00C27B58"/>
    <w:rsid w:val="00C27C1C"/>
    <w:rsid w:val="00C3166C"/>
    <w:rsid w:val="00C33186"/>
    <w:rsid w:val="00C33E3A"/>
    <w:rsid w:val="00C353B7"/>
    <w:rsid w:val="00C35996"/>
    <w:rsid w:val="00C37327"/>
    <w:rsid w:val="00C40BD6"/>
    <w:rsid w:val="00C42A6A"/>
    <w:rsid w:val="00C42BCD"/>
    <w:rsid w:val="00C4485F"/>
    <w:rsid w:val="00C45D5F"/>
    <w:rsid w:val="00C46C13"/>
    <w:rsid w:val="00C4747E"/>
    <w:rsid w:val="00C5054F"/>
    <w:rsid w:val="00C5151E"/>
    <w:rsid w:val="00C52102"/>
    <w:rsid w:val="00C52256"/>
    <w:rsid w:val="00C522AA"/>
    <w:rsid w:val="00C523D8"/>
    <w:rsid w:val="00C5342C"/>
    <w:rsid w:val="00C53B2B"/>
    <w:rsid w:val="00C54660"/>
    <w:rsid w:val="00C547D5"/>
    <w:rsid w:val="00C547F5"/>
    <w:rsid w:val="00C56D78"/>
    <w:rsid w:val="00C57465"/>
    <w:rsid w:val="00C60272"/>
    <w:rsid w:val="00C603D4"/>
    <w:rsid w:val="00C60C5F"/>
    <w:rsid w:val="00C616BC"/>
    <w:rsid w:val="00C618E9"/>
    <w:rsid w:val="00C6256A"/>
    <w:rsid w:val="00C63FDA"/>
    <w:rsid w:val="00C64EBC"/>
    <w:rsid w:val="00C664D2"/>
    <w:rsid w:val="00C677E1"/>
    <w:rsid w:val="00C70D10"/>
    <w:rsid w:val="00C70E6E"/>
    <w:rsid w:val="00C710E2"/>
    <w:rsid w:val="00C71C3F"/>
    <w:rsid w:val="00C7409E"/>
    <w:rsid w:val="00C74C52"/>
    <w:rsid w:val="00C74D6D"/>
    <w:rsid w:val="00C76C38"/>
    <w:rsid w:val="00C76E76"/>
    <w:rsid w:val="00C76EC1"/>
    <w:rsid w:val="00C77891"/>
    <w:rsid w:val="00C77B74"/>
    <w:rsid w:val="00C82062"/>
    <w:rsid w:val="00C829A9"/>
    <w:rsid w:val="00C83FBD"/>
    <w:rsid w:val="00C85AD4"/>
    <w:rsid w:val="00C85D56"/>
    <w:rsid w:val="00C87810"/>
    <w:rsid w:val="00C87B80"/>
    <w:rsid w:val="00C90330"/>
    <w:rsid w:val="00C91449"/>
    <w:rsid w:val="00C92D10"/>
    <w:rsid w:val="00C92F79"/>
    <w:rsid w:val="00C93045"/>
    <w:rsid w:val="00C95200"/>
    <w:rsid w:val="00C9615B"/>
    <w:rsid w:val="00C96335"/>
    <w:rsid w:val="00C96EC0"/>
    <w:rsid w:val="00CA06F9"/>
    <w:rsid w:val="00CA129C"/>
    <w:rsid w:val="00CA14BB"/>
    <w:rsid w:val="00CA1AC2"/>
    <w:rsid w:val="00CA230C"/>
    <w:rsid w:val="00CA3380"/>
    <w:rsid w:val="00CA4418"/>
    <w:rsid w:val="00CA48D9"/>
    <w:rsid w:val="00CA5DCF"/>
    <w:rsid w:val="00CB1193"/>
    <w:rsid w:val="00CB3307"/>
    <w:rsid w:val="00CB4767"/>
    <w:rsid w:val="00CB493D"/>
    <w:rsid w:val="00CB5357"/>
    <w:rsid w:val="00CC1604"/>
    <w:rsid w:val="00CC2224"/>
    <w:rsid w:val="00CC3B97"/>
    <w:rsid w:val="00CD009C"/>
    <w:rsid w:val="00CD6257"/>
    <w:rsid w:val="00CD7C0B"/>
    <w:rsid w:val="00CE10C4"/>
    <w:rsid w:val="00CE1C77"/>
    <w:rsid w:val="00CE2343"/>
    <w:rsid w:val="00CE27B5"/>
    <w:rsid w:val="00CE2BDF"/>
    <w:rsid w:val="00CE3702"/>
    <w:rsid w:val="00CE5BDD"/>
    <w:rsid w:val="00CE6B6A"/>
    <w:rsid w:val="00CE6BD3"/>
    <w:rsid w:val="00CE6D24"/>
    <w:rsid w:val="00CE6DAF"/>
    <w:rsid w:val="00CF17B7"/>
    <w:rsid w:val="00CF410A"/>
    <w:rsid w:val="00CF4F37"/>
    <w:rsid w:val="00CF73CA"/>
    <w:rsid w:val="00CF7528"/>
    <w:rsid w:val="00CF7FDE"/>
    <w:rsid w:val="00D012AF"/>
    <w:rsid w:val="00D0321E"/>
    <w:rsid w:val="00D05457"/>
    <w:rsid w:val="00D069EB"/>
    <w:rsid w:val="00D07A8A"/>
    <w:rsid w:val="00D10B1B"/>
    <w:rsid w:val="00D10E31"/>
    <w:rsid w:val="00D11199"/>
    <w:rsid w:val="00D1322B"/>
    <w:rsid w:val="00D1455A"/>
    <w:rsid w:val="00D14573"/>
    <w:rsid w:val="00D14A70"/>
    <w:rsid w:val="00D16E0D"/>
    <w:rsid w:val="00D17BCE"/>
    <w:rsid w:val="00D207EA"/>
    <w:rsid w:val="00D211FB"/>
    <w:rsid w:val="00D22093"/>
    <w:rsid w:val="00D2642B"/>
    <w:rsid w:val="00D272C0"/>
    <w:rsid w:val="00D27836"/>
    <w:rsid w:val="00D27A7D"/>
    <w:rsid w:val="00D30825"/>
    <w:rsid w:val="00D31150"/>
    <w:rsid w:val="00D3138B"/>
    <w:rsid w:val="00D31554"/>
    <w:rsid w:val="00D31FCE"/>
    <w:rsid w:val="00D322F2"/>
    <w:rsid w:val="00D3280C"/>
    <w:rsid w:val="00D33FA2"/>
    <w:rsid w:val="00D3406A"/>
    <w:rsid w:val="00D34AC9"/>
    <w:rsid w:val="00D34D24"/>
    <w:rsid w:val="00D371CE"/>
    <w:rsid w:val="00D40B11"/>
    <w:rsid w:val="00D41CD9"/>
    <w:rsid w:val="00D422DF"/>
    <w:rsid w:val="00D42864"/>
    <w:rsid w:val="00D429EC"/>
    <w:rsid w:val="00D441F1"/>
    <w:rsid w:val="00D4572C"/>
    <w:rsid w:val="00D469B2"/>
    <w:rsid w:val="00D52B24"/>
    <w:rsid w:val="00D52E68"/>
    <w:rsid w:val="00D52EAA"/>
    <w:rsid w:val="00D52ECF"/>
    <w:rsid w:val="00D5419E"/>
    <w:rsid w:val="00D54B09"/>
    <w:rsid w:val="00D558F7"/>
    <w:rsid w:val="00D55D19"/>
    <w:rsid w:val="00D55D5F"/>
    <w:rsid w:val="00D60A55"/>
    <w:rsid w:val="00D6226F"/>
    <w:rsid w:val="00D6243E"/>
    <w:rsid w:val="00D62915"/>
    <w:rsid w:val="00D65658"/>
    <w:rsid w:val="00D67EB2"/>
    <w:rsid w:val="00D70330"/>
    <w:rsid w:val="00D70349"/>
    <w:rsid w:val="00D720D7"/>
    <w:rsid w:val="00D7282A"/>
    <w:rsid w:val="00D728A1"/>
    <w:rsid w:val="00D72B6F"/>
    <w:rsid w:val="00D741EB"/>
    <w:rsid w:val="00D74777"/>
    <w:rsid w:val="00D74CEA"/>
    <w:rsid w:val="00D7679C"/>
    <w:rsid w:val="00D76EBB"/>
    <w:rsid w:val="00D77275"/>
    <w:rsid w:val="00D817A9"/>
    <w:rsid w:val="00D820F3"/>
    <w:rsid w:val="00D83605"/>
    <w:rsid w:val="00D84934"/>
    <w:rsid w:val="00D866EB"/>
    <w:rsid w:val="00D87D1A"/>
    <w:rsid w:val="00D906DA"/>
    <w:rsid w:val="00D91271"/>
    <w:rsid w:val="00D919F5"/>
    <w:rsid w:val="00D92BAA"/>
    <w:rsid w:val="00D945F6"/>
    <w:rsid w:val="00D94F03"/>
    <w:rsid w:val="00D95161"/>
    <w:rsid w:val="00D95C23"/>
    <w:rsid w:val="00D966F1"/>
    <w:rsid w:val="00D96938"/>
    <w:rsid w:val="00D97FBF"/>
    <w:rsid w:val="00D97FC3"/>
    <w:rsid w:val="00DA0A82"/>
    <w:rsid w:val="00DA0D14"/>
    <w:rsid w:val="00DA1FC9"/>
    <w:rsid w:val="00DA2CB5"/>
    <w:rsid w:val="00DA2F41"/>
    <w:rsid w:val="00DA358F"/>
    <w:rsid w:val="00DA383E"/>
    <w:rsid w:val="00DA4BAC"/>
    <w:rsid w:val="00DA722E"/>
    <w:rsid w:val="00DA792A"/>
    <w:rsid w:val="00DB0151"/>
    <w:rsid w:val="00DB0160"/>
    <w:rsid w:val="00DB04D7"/>
    <w:rsid w:val="00DB26EC"/>
    <w:rsid w:val="00DB3C2B"/>
    <w:rsid w:val="00DB50E1"/>
    <w:rsid w:val="00DC0566"/>
    <w:rsid w:val="00DC05E1"/>
    <w:rsid w:val="00DC1499"/>
    <w:rsid w:val="00DC16CF"/>
    <w:rsid w:val="00DC2C3E"/>
    <w:rsid w:val="00DC3137"/>
    <w:rsid w:val="00DC3A71"/>
    <w:rsid w:val="00DC4880"/>
    <w:rsid w:val="00DC5A26"/>
    <w:rsid w:val="00DC5E90"/>
    <w:rsid w:val="00DC6171"/>
    <w:rsid w:val="00DC7E7B"/>
    <w:rsid w:val="00DD0BE9"/>
    <w:rsid w:val="00DD0E9A"/>
    <w:rsid w:val="00DD11BF"/>
    <w:rsid w:val="00DD210A"/>
    <w:rsid w:val="00DD26F9"/>
    <w:rsid w:val="00DD350E"/>
    <w:rsid w:val="00DD3C8D"/>
    <w:rsid w:val="00DD42AB"/>
    <w:rsid w:val="00DE06AF"/>
    <w:rsid w:val="00DE6D27"/>
    <w:rsid w:val="00DE76EA"/>
    <w:rsid w:val="00DF01F8"/>
    <w:rsid w:val="00DF021D"/>
    <w:rsid w:val="00DF1422"/>
    <w:rsid w:val="00DF14EE"/>
    <w:rsid w:val="00DF217D"/>
    <w:rsid w:val="00DF26A7"/>
    <w:rsid w:val="00DF3277"/>
    <w:rsid w:val="00DF3890"/>
    <w:rsid w:val="00DF6065"/>
    <w:rsid w:val="00DF6A31"/>
    <w:rsid w:val="00DF77A1"/>
    <w:rsid w:val="00DF7919"/>
    <w:rsid w:val="00DF7ACB"/>
    <w:rsid w:val="00E00D95"/>
    <w:rsid w:val="00E0207E"/>
    <w:rsid w:val="00E02AE6"/>
    <w:rsid w:val="00E03176"/>
    <w:rsid w:val="00E03912"/>
    <w:rsid w:val="00E03B7B"/>
    <w:rsid w:val="00E04748"/>
    <w:rsid w:val="00E060AF"/>
    <w:rsid w:val="00E078D9"/>
    <w:rsid w:val="00E10293"/>
    <w:rsid w:val="00E103A0"/>
    <w:rsid w:val="00E1043F"/>
    <w:rsid w:val="00E1157E"/>
    <w:rsid w:val="00E11625"/>
    <w:rsid w:val="00E11D42"/>
    <w:rsid w:val="00E11F44"/>
    <w:rsid w:val="00E13E60"/>
    <w:rsid w:val="00E15627"/>
    <w:rsid w:val="00E164B3"/>
    <w:rsid w:val="00E16910"/>
    <w:rsid w:val="00E175D9"/>
    <w:rsid w:val="00E200BC"/>
    <w:rsid w:val="00E21164"/>
    <w:rsid w:val="00E239E2"/>
    <w:rsid w:val="00E24E09"/>
    <w:rsid w:val="00E25976"/>
    <w:rsid w:val="00E269A6"/>
    <w:rsid w:val="00E27234"/>
    <w:rsid w:val="00E30563"/>
    <w:rsid w:val="00E31112"/>
    <w:rsid w:val="00E3495C"/>
    <w:rsid w:val="00E42BDB"/>
    <w:rsid w:val="00E43B53"/>
    <w:rsid w:val="00E510D2"/>
    <w:rsid w:val="00E51E15"/>
    <w:rsid w:val="00E524A9"/>
    <w:rsid w:val="00E53F1A"/>
    <w:rsid w:val="00E5431D"/>
    <w:rsid w:val="00E56D02"/>
    <w:rsid w:val="00E5726D"/>
    <w:rsid w:val="00E572F5"/>
    <w:rsid w:val="00E57EEB"/>
    <w:rsid w:val="00E6067E"/>
    <w:rsid w:val="00E60BE5"/>
    <w:rsid w:val="00E61AE4"/>
    <w:rsid w:val="00E62D94"/>
    <w:rsid w:val="00E62ECC"/>
    <w:rsid w:val="00E64F37"/>
    <w:rsid w:val="00E65091"/>
    <w:rsid w:val="00E65393"/>
    <w:rsid w:val="00E65E54"/>
    <w:rsid w:val="00E661C7"/>
    <w:rsid w:val="00E66679"/>
    <w:rsid w:val="00E67213"/>
    <w:rsid w:val="00E676F3"/>
    <w:rsid w:val="00E70A2D"/>
    <w:rsid w:val="00E71C26"/>
    <w:rsid w:val="00E732C4"/>
    <w:rsid w:val="00E73A57"/>
    <w:rsid w:val="00E74E41"/>
    <w:rsid w:val="00E80155"/>
    <w:rsid w:val="00E8134B"/>
    <w:rsid w:val="00E81E0D"/>
    <w:rsid w:val="00E81F28"/>
    <w:rsid w:val="00E82D3A"/>
    <w:rsid w:val="00E83CFF"/>
    <w:rsid w:val="00E848C0"/>
    <w:rsid w:val="00E84BB8"/>
    <w:rsid w:val="00E84F9C"/>
    <w:rsid w:val="00E864C9"/>
    <w:rsid w:val="00E86AA8"/>
    <w:rsid w:val="00E86F92"/>
    <w:rsid w:val="00E870D1"/>
    <w:rsid w:val="00E91B96"/>
    <w:rsid w:val="00E92F2E"/>
    <w:rsid w:val="00E935DA"/>
    <w:rsid w:val="00E93D1E"/>
    <w:rsid w:val="00E941A1"/>
    <w:rsid w:val="00E95CE3"/>
    <w:rsid w:val="00E95F9A"/>
    <w:rsid w:val="00EA0856"/>
    <w:rsid w:val="00EA1DC4"/>
    <w:rsid w:val="00EA252F"/>
    <w:rsid w:val="00EA2825"/>
    <w:rsid w:val="00EA39DE"/>
    <w:rsid w:val="00EA4E1E"/>
    <w:rsid w:val="00EA5027"/>
    <w:rsid w:val="00EA64C2"/>
    <w:rsid w:val="00EA6518"/>
    <w:rsid w:val="00EA71A2"/>
    <w:rsid w:val="00EA7466"/>
    <w:rsid w:val="00EA7EDE"/>
    <w:rsid w:val="00EA7FBF"/>
    <w:rsid w:val="00EB0B63"/>
    <w:rsid w:val="00EB1936"/>
    <w:rsid w:val="00EB3545"/>
    <w:rsid w:val="00EB37BE"/>
    <w:rsid w:val="00EB4BAE"/>
    <w:rsid w:val="00EB5088"/>
    <w:rsid w:val="00EB6E87"/>
    <w:rsid w:val="00EB7210"/>
    <w:rsid w:val="00EB7944"/>
    <w:rsid w:val="00EC21B7"/>
    <w:rsid w:val="00EC2726"/>
    <w:rsid w:val="00EC3B1E"/>
    <w:rsid w:val="00EC46EF"/>
    <w:rsid w:val="00EC575E"/>
    <w:rsid w:val="00EC681C"/>
    <w:rsid w:val="00EC7A1A"/>
    <w:rsid w:val="00EC7B87"/>
    <w:rsid w:val="00EC7BD9"/>
    <w:rsid w:val="00ED1644"/>
    <w:rsid w:val="00ED2593"/>
    <w:rsid w:val="00ED2CD3"/>
    <w:rsid w:val="00ED3709"/>
    <w:rsid w:val="00ED4D3E"/>
    <w:rsid w:val="00ED6BFA"/>
    <w:rsid w:val="00ED7444"/>
    <w:rsid w:val="00ED7D55"/>
    <w:rsid w:val="00ED7D9C"/>
    <w:rsid w:val="00EE00A7"/>
    <w:rsid w:val="00EE2C55"/>
    <w:rsid w:val="00EE2F77"/>
    <w:rsid w:val="00EE3158"/>
    <w:rsid w:val="00EE31A2"/>
    <w:rsid w:val="00EE4329"/>
    <w:rsid w:val="00EE4869"/>
    <w:rsid w:val="00EE4A44"/>
    <w:rsid w:val="00EE6203"/>
    <w:rsid w:val="00EE7DD6"/>
    <w:rsid w:val="00EF0069"/>
    <w:rsid w:val="00EF1EAB"/>
    <w:rsid w:val="00EF345D"/>
    <w:rsid w:val="00EF3C52"/>
    <w:rsid w:val="00EF44A0"/>
    <w:rsid w:val="00EF4580"/>
    <w:rsid w:val="00EF4FED"/>
    <w:rsid w:val="00EF5F45"/>
    <w:rsid w:val="00EF6843"/>
    <w:rsid w:val="00EF6941"/>
    <w:rsid w:val="00EF6FB3"/>
    <w:rsid w:val="00F0068B"/>
    <w:rsid w:val="00F007C6"/>
    <w:rsid w:val="00F0172E"/>
    <w:rsid w:val="00F01A7C"/>
    <w:rsid w:val="00F01C08"/>
    <w:rsid w:val="00F04B2B"/>
    <w:rsid w:val="00F050BD"/>
    <w:rsid w:val="00F05657"/>
    <w:rsid w:val="00F05AB0"/>
    <w:rsid w:val="00F06133"/>
    <w:rsid w:val="00F07E6E"/>
    <w:rsid w:val="00F12C74"/>
    <w:rsid w:val="00F13214"/>
    <w:rsid w:val="00F14558"/>
    <w:rsid w:val="00F1559A"/>
    <w:rsid w:val="00F17ED6"/>
    <w:rsid w:val="00F20255"/>
    <w:rsid w:val="00F204AF"/>
    <w:rsid w:val="00F20676"/>
    <w:rsid w:val="00F209E2"/>
    <w:rsid w:val="00F21D98"/>
    <w:rsid w:val="00F22225"/>
    <w:rsid w:val="00F2398F"/>
    <w:rsid w:val="00F25578"/>
    <w:rsid w:val="00F258E5"/>
    <w:rsid w:val="00F25B9C"/>
    <w:rsid w:val="00F2675A"/>
    <w:rsid w:val="00F26AB5"/>
    <w:rsid w:val="00F26CC6"/>
    <w:rsid w:val="00F300BC"/>
    <w:rsid w:val="00F301B5"/>
    <w:rsid w:val="00F305FA"/>
    <w:rsid w:val="00F32337"/>
    <w:rsid w:val="00F3263C"/>
    <w:rsid w:val="00F328B5"/>
    <w:rsid w:val="00F3334E"/>
    <w:rsid w:val="00F33AEA"/>
    <w:rsid w:val="00F3573A"/>
    <w:rsid w:val="00F36CCB"/>
    <w:rsid w:val="00F374E5"/>
    <w:rsid w:val="00F37B93"/>
    <w:rsid w:val="00F37BAD"/>
    <w:rsid w:val="00F37ECA"/>
    <w:rsid w:val="00F40A1C"/>
    <w:rsid w:val="00F43AF2"/>
    <w:rsid w:val="00F4509A"/>
    <w:rsid w:val="00F45216"/>
    <w:rsid w:val="00F467DF"/>
    <w:rsid w:val="00F5007E"/>
    <w:rsid w:val="00F508F6"/>
    <w:rsid w:val="00F50EC4"/>
    <w:rsid w:val="00F51FE9"/>
    <w:rsid w:val="00F52232"/>
    <w:rsid w:val="00F527B1"/>
    <w:rsid w:val="00F52DC2"/>
    <w:rsid w:val="00F52FA8"/>
    <w:rsid w:val="00F53104"/>
    <w:rsid w:val="00F54AF9"/>
    <w:rsid w:val="00F550CF"/>
    <w:rsid w:val="00F553D2"/>
    <w:rsid w:val="00F56520"/>
    <w:rsid w:val="00F56A2D"/>
    <w:rsid w:val="00F57A6D"/>
    <w:rsid w:val="00F6044B"/>
    <w:rsid w:val="00F629E7"/>
    <w:rsid w:val="00F62F19"/>
    <w:rsid w:val="00F638CC"/>
    <w:rsid w:val="00F64C9E"/>
    <w:rsid w:val="00F64CC1"/>
    <w:rsid w:val="00F66466"/>
    <w:rsid w:val="00F708B1"/>
    <w:rsid w:val="00F72317"/>
    <w:rsid w:val="00F73278"/>
    <w:rsid w:val="00F73DC1"/>
    <w:rsid w:val="00F75BB8"/>
    <w:rsid w:val="00F77714"/>
    <w:rsid w:val="00F80475"/>
    <w:rsid w:val="00F80E6E"/>
    <w:rsid w:val="00F81390"/>
    <w:rsid w:val="00F817EF"/>
    <w:rsid w:val="00F81F7A"/>
    <w:rsid w:val="00F82411"/>
    <w:rsid w:val="00F8247A"/>
    <w:rsid w:val="00F82E5C"/>
    <w:rsid w:val="00F83A17"/>
    <w:rsid w:val="00F83E86"/>
    <w:rsid w:val="00F83F58"/>
    <w:rsid w:val="00F85186"/>
    <w:rsid w:val="00F85206"/>
    <w:rsid w:val="00F87C7A"/>
    <w:rsid w:val="00F87CEA"/>
    <w:rsid w:val="00F9265D"/>
    <w:rsid w:val="00F948B9"/>
    <w:rsid w:val="00F9629A"/>
    <w:rsid w:val="00F97EFC"/>
    <w:rsid w:val="00FA0B04"/>
    <w:rsid w:val="00FA0B8D"/>
    <w:rsid w:val="00FA0C7C"/>
    <w:rsid w:val="00FA1BDD"/>
    <w:rsid w:val="00FA26CD"/>
    <w:rsid w:val="00FA305C"/>
    <w:rsid w:val="00FA462E"/>
    <w:rsid w:val="00FA4906"/>
    <w:rsid w:val="00FA4DD5"/>
    <w:rsid w:val="00FA568C"/>
    <w:rsid w:val="00FA5883"/>
    <w:rsid w:val="00FA6055"/>
    <w:rsid w:val="00FA6ED7"/>
    <w:rsid w:val="00FA7D02"/>
    <w:rsid w:val="00FB0B39"/>
    <w:rsid w:val="00FB322F"/>
    <w:rsid w:val="00FB442F"/>
    <w:rsid w:val="00FB50A3"/>
    <w:rsid w:val="00FB74F4"/>
    <w:rsid w:val="00FC118C"/>
    <w:rsid w:val="00FC1929"/>
    <w:rsid w:val="00FC3C21"/>
    <w:rsid w:val="00FC411D"/>
    <w:rsid w:val="00FC5B46"/>
    <w:rsid w:val="00FC704A"/>
    <w:rsid w:val="00FD1D4F"/>
    <w:rsid w:val="00FD24BF"/>
    <w:rsid w:val="00FD3B6E"/>
    <w:rsid w:val="00FD4140"/>
    <w:rsid w:val="00FD4BE1"/>
    <w:rsid w:val="00FD57EB"/>
    <w:rsid w:val="00FD6D8E"/>
    <w:rsid w:val="00FD74F1"/>
    <w:rsid w:val="00FE0663"/>
    <w:rsid w:val="00FE0E94"/>
    <w:rsid w:val="00FE2D41"/>
    <w:rsid w:val="00FE369C"/>
    <w:rsid w:val="00FE3CD9"/>
    <w:rsid w:val="00FF00BD"/>
    <w:rsid w:val="00FF067C"/>
    <w:rsid w:val="00FF0B13"/>
    <w:rsid w:val="00FF1523"/>
    <w:rsid w:val="00FF1672"/>
    <w:rsid w:val="00FF1ED4"/>
    <w:rsid w:val="00FF2801"/>
    <w:rsid w:val="00FF492C"/>
    <w:rsid w:val="00FF4C8C"/>
    <w:rsid w:val="00FF588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L,Bullet Point,Bulletr List Paragraph"/>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L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8F1FB2"/>
    <w:pPr>
      <w:numPr>
        <w:ilvl w:val="1"/>
        <w:numId w:val="1"/>
      </w:numPr>
      <w:spacing w:before="120"/>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8F1FB2"/>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4Bodytextnumbered">
    <w:name w:val="4. Body text numbered"/>
    <w:basedOn w:val="ListParagraph"/>
    <w:qFormat/>
    <w:rsid w:val="00A211AB"/>
    <w:pPr>
      <w:ind w:left="720" w:hanging="720"/>
      <w:jc w:val="both"/>
    </w:pPr>
    <w:rPr>
      <w:rFonts w:eastAsiaTheme="minorHAnsi" w:cstheme="minorBidi"/>
      <w:snapToGrid/>
      <w:szCs w:val="22"/>
      <w:lang w:eastAsia="en-US"/>
    </w:rPr>
  </w:style>
  <w:style w:type="paragraph" w:customStyle="1" w:styleId="3Subheading1">
    <w:name w:val="3. Subheading 1"/>
    <w:basedOn w:val="4-SubsectionHeading"/>
    <w:link w:val="3Subheading1Char"/>
    <w:qFormat/>
    <w:rsid w:val="0078453B"/>
  </w:style>
  <w:style w:type="character" w:customStyle="1" w:styleId="3Subheading1Char">
    <w:name w:val="3. Subheading 1 Char"/>
    <w:basedOn w:val="DefaultParagraphFont"/>
    <w:link w:val="3Subheading1"/>
    <w:rsid w:val="0078453B"/>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893DD8"/>
    <w:rPr>
      <w:sz w:val="20"/>
      <w:szCs w:val="20"/>
    </w:rPr>
  </w:style>
  <w:style w:type="character" w:customStyle="1" w:styleId="FootnoteTextChar">
    <w:name w:val="Footnote Text Char"/>
    <w:basedOn w:val="DefaultParagraphFont"/>
    <w:link w:val="FootnoteText"/>
    <w:semiHidden/>
    <w:rsid w:val="00893DD8"/>
    <w:rPr>
      <w:rFonts w:ascii="Calibri" w:hAnsi="Calibri"/>
    </w:rPr>
  </w:style>
  <w:style w:type="character" w:styleId="FootnoteReference">
    <w:name w:val="footnote reference"/>
    <w:basedOn w:val="DefaultParagraphFont"/>
    <w:semiHidden/>
    <w:unhideWhenUsed/>
    <w:rsid w:val="00893DD8"/>
    <w:rPr>
      <w:vertAlign w:val="superscript"/>
    </w:rPr>
  </w:style>
  <w:style w:type="character" w:customStyle="1" w:styleId="4BodytextChar">
    <w:name w:val="4. Body text Char"/>
    <w:basedOn w:val="DefaultParagraphFont"/>
    <w:link w:val="4Bodytext"/>
    <w:locked/>
    <w:rsid w:val="009C3427"/>
    <w:rPr>
      <w:rFonts w:asciiTheme="minorHAnsi" w:hAnsiTheme="minorHAnsi" w:cstheme="minorBidi"/>
      <w:szCs w:val="22"/>
    </w:rPr>
  </w:style>
  <w:style w:type="paragraph" w:customStyle="1" w:styleId="4Bodytext">
    <w:name w:val="4. Body text"/>
    <w:basedOn w:val="Subtitle"/>
    <w:link w:val="4BodytextChar"/>
    <w:qFormat/>
    <w:rsid w:val="009C3427"/>
    <w:pPr>
      <w:spacing w:after="120"/>
      <w:ind w:left="720" w:hanging="720"/>
    </w:pPr>
    <w:rPr>
      <w:rFonts w:asciiTheme="minorHAnsi" w:hAnsiTheme="minorHAnsi" w:cstheme="minorBidi"/>
      <w:szCs w:val="22"/>
      <w:lang w:eastAsia="en-AU"/>
    </w:rPr>
  </w:style>
  <w:style w:type="character" w:customStyle="1" w:styleId="normaltextrun">
    <w:name w:val="normaltextrun"/>
    <w:basedOn w:val="DefaultParagraphFont"/>
    <w:rsid w:val="000D1E5D"/>
  </w:style>
  <w:style w:type="paragraph" w:customStyle="1" w:styleId="pf0">
    <w:name w:val="pf0"/>
    <w:basedOn w:val="Normal"/>
    <w:rsid w:val="00287AC7"/>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49126657">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84260315">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311689">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68614006">
      <w:bodyDiv w:val="1"/>
      <w:marLeft w:val="0"/>
      <w:marRight w:val="0"/>
      <w:marTop w:val="0"/>
      <w:marBottom w:val="0"/>
      <w:divBdr>
        <w:top w:val="none" w:sz="0" w:space="0" w:color="auto"/>
        <w:left w:val="none" w:sz="0" w:space="0" w:color="auto"/>
        <w:bottom w:val="none" w:sz="0" w:space="0" w:color="auto"/>
        <w:right w:val="none" w:sz="0" w:space="0" w:color="auto"/>
      </w:divBdr>
    </w:div>
    <w:div w:id="58434539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254463">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0054954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0034163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dcheck.org.a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dcheck.org.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vdcheck.org.au" TargetMode="External"/><Relationship Id="rId4" Type="http://schemas.openxmlformats.org/officeDocument/2006/relationships/settings" Target="settings.xml"/><Relationship Id="rId9" Type="http://schemas.openxmlformats.org/officeDocument/2006/relationships/hyperlink" Target="http://www.cvdcheck.org.a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9135095/" TargetMode="External"/><Relationship Id="rId3" Type="http://schemas.openxmlformats.org/officeDocument/2006/relationships/hyperlink" Target="https://www.ncbi.nlm.nih.gov/pmc/articles/PMC7692835/" TargetMode="External"/><Relationship Id="rId7" Type="http://schemas.openxmlformats.org/officeDocument/2006/relationships/hyperlink" Target="https://www.racgp.org.au/getattachment/41fee8dc-7f97-4f87-9d90-b7af337af778/Management-of-type-2-diabetes-A-handbook-for-general-practice.aspx" TargetMode="External"/><Relationship Id="rId12" Type="http://schemas.openxmlformats.org/officeDocument/2006/relationships/hyperlink" Target="https://www.cvdcheck.org.au/overview" TargetMode="External"/><Relationship Id="rId2" Type="http://schemas.openxmlformats.org/officeDocument/2006/relationships/hyperlink" Target="https://www.nps.org.au/assets/NPS/pdf/Report-2020-21-GPIR-final.pdf" TargetMode="External"/><Relationship Id="rId1" Type="http://schemas.openxmlformats.org/officeDocument/2006/relationships/hyperlink" Target="https://www.aihw.gov.au/reports/diabetes/diabetes/contents/summary" TargetMode="External"/><Relationship Id="rId6" Type="http://schemas.openxmlformats.org/officeDocument/2006/relationships/hyperlink" Target="https://www.ncbi.nlm.nih.gov/pmc/articles/PMC1370926/" TargetMode="External"/><Relationship Id="rId11" Type="http://schemas.openxmlformats.org/officeDocument/2006/relationships/hyperlink" Target="https://www.ncbi.nlm.nih.gov/pmc/articles/PMC7846632/" TargetMode="External"/><Relationship Id="rId5" Type="http://schemas.openxmlformats.org/officeDocument/2006/relationships/hyperlink" Target="https://www.abs.gov.au/statistics/health/health-conditions-and-risks/australian-health-survey-biomedical-results-chronic-diseases/latest-release" TargetMode="External"/><Relationship Id="rId10" Type="http://schemas.openxmlformats.org/officeDocument/2006/relationships/hyperlink" Target="https://www.acpjournals.org/doi/10.7326/M23-2788?_gl=1*fgt4zn*_gcl_au*MTM2MDAwNzc5OS4xNzE4NzUxNTkz*_ga*OTA4Mjk5NDkxLjE3MTg3NTE1OTQ.*_ga_PM4F5HBGFQ*MTcxODc1MTU5NC4xLjEuMTcxODc1MTYwMC41NC4wLjA." TargetMode="External"/><Relationship Id="rId4" Type="http://schemas.openxmlformats.org/officeDocument/2006/relationships/hyperlink" Target="https://www.ncbi.nlm.nih.gov/pmc/articles/PMC8380884/" TargetMode="External"/><Relationship Id="rId9" Type="http://schemas.openxmlformats.org/officeDocument/2006/relationships/hyperlink" Target="https://www.bmj.com/content/bmj/367/bmj.l5887.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7045</Words>
  <Characters>40157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2024-08-02T01:09:00Z</dcterms:created>
  <dcterms:modified xsi:type="dcterms:W3CDTF">2024-11-08T03:08:00Z</dcterms:modified>
</cp:coreProperties>
</file>