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CD5DB" w14:textId="5A0D9BD0" w:rsidR="00EC479B" w:rsidRDefault="007A7157" w:rsidP="008C2F72">
      <w:pPr>
        <w:pStyle w:val="MincoHeading"/>
        <w:spacing w:after="120"/>
        <w:ind w:left="1134" w:hanging="1134"/>
        <w:jc w:val="both"/>
        <w:rPr>
          <w:rFonts w:asciiTheme="minorHAnsi" w:hAnsiTheme="minorHAnsi" w:cstheme="minorHAnsi"/>
          <w:bCs w:val="0"/>
          <w:sz w:val="36"/>
          <w:szCs w:val="36"/>
          <w:lang w:eastAsia="en-AU"/>
        </w:rPr>
      </w:pPr>
      <w:r>
        <w:rPr>
          <w:rFonts w:asciiTheme="minorHAnsi" w:hAnsiTheme="minorHAnsi" w:cstheme="minorHAnsi"/>
          <w:bCs w:val="0"/>
          <w:sz w:val="36"/>
          <w:szCs w:val="36"/>
          <w:lang w:eastAsia="en-AU"/>
        </w:rPr>
        <w:t>9.0</w:t>
      </w:r>
      <w:r w:rsidR="000F3A5B">
        <w:rPr>
          <w:rFonts w:asciiTheme="minorHAnsi" w:hAnsiTheme="minorHAnsi" w:cstheme="minorHAnsi"/>
          <w:bCs w:val="0"/>
          <w:sz w:val="36"/>
          <w:szCs w:val="36"/>
          <w:lang w:eastAsia="en-AU"/>
        </w:rPr>
        <w:t>1</w:t>
      </w:r>
      <w:r w:rsidR="008C2F72">
        <w:rPr>
          <w:rFonts w:asciiTheme="minorHAnsi" w:hAnsiTheme="minorHAnsi" w:cstheme="minorHAnsi"/>
          <w:bCs w:val="0"/>
          <w:sz w:val="36"/>
          <w:szCs w:val="36"/>
          <w:lang w:eastAsia="en-AU"/>
        </w:rPr>
        <w:tab/>
      </w:r>
      <w:r w:rsidR="000F3A5B">
        <w:rPr>
          <w:rFonts w:asciiTheme="minorHAnsi" w:hAnsiTheme="minorHAnsi" w:cstheme="minorHAnsi"/>
          <w:bCs w:val="0"/>
          <w:sz w:val="36"/>
          <w:szCs w:val="36"/>
          <w:lang w:eastAsia="en-AU"/>
        </w:rPr>
        <w:t xml:space="preserve">Clinical and cost utility analysis of glucagon-like peptide-1 receptor agonists (GLP-1 RAs) </w:t>
      </w:r>
      <w:r w:rsidR="00AE296A" w:rsidRPr="00AE296A">
        <w:rPr>
          <w:rFonts w:asciiTheme="minorHAnsi" w:hAnsiTheme="minorHAnsi" w:cstheme="minorHAnsi"/>
          <w:bCs w:val="0"/>
          <w:sz w:val="36"/>
          <w:szCs w:val="36"/>
          <w:lang w:eastAsia="en-AU"/>
        </w:rPr>
        <w:t xml:space="preserve">for </w:t>
      </w:r>
      <w:r w:rsidR="000F3A5B">
        <w:rPr>
          <w:rFonts w:asciiTheme="minorHAnsi" w:hAnsiTheme="minorHAnsi" w:cstheme="minorHAnsi"/>
          <w:bCs w:val="0"/>
          <w:sz w:val="36"/>
          <w:szCs w:val="36"/>
          <w:lang w:eastAsia="en-AU"/>
        </w:rPr>
        <w:t>the treatment of type 2 diabetes mellitus in the Australian setting</w:t>
      </w:r>
    </w:p>
    <w:p w14:paraId="3C4C4BF2" w14:textId="77777777" w:rsidR="00C83E31" w:rsidRPr="005A0C45" w:rsidRDefault="00C83E31" w:rsidP="00F344C3">
      <w:pPr>
        <w:widowControl w:val="0"/>
        <w:overflowPunct/>
        <w:autoSpaceDE/>
        <w:autoSpaceDN/>
        <w:adjustRightInd/>
        <w:spacing w:line="276" w:lineRule="auto"/>
        <w:textAlignment w:val="auto"/>
        <w:rPr>
          <w:rFonts w:ascii="Calibri" w:hAnsi="Calibri" w:cs="Arial"/>
          <w:snapToGrid w:val="0"/>
        </w:rPr>
      </w:pPr>
    </w:p>
    <w:p w14:paraId="41AE3F87" w14:textId="21A5A603" w:rsidR="00B97208" w:rsidRPr="009C550E" w:rsidRDefault="00DF6708" w:rsidP="009E7D48">
      <w:pPr>
        <w:pStyle w:val="2Sections"/>
        <w:keepNext/>
        <w:keepLines/>
      </w:pPr>
      <w:bookmarkStart w:id="0" w:name="_Hlk83306282"/>
      <w:r>
        <w:t>Purpose of i</w:t>
      </w:r>
      <w:r w:rsidR="00B97208" w:rsidRPr="00EC479B">
        <w:t>tem</w:t>
      </w:r>
    </w:p>
    <w:p w14:paraId="7EC9247B" w14:textId="53392FB0" w:rsidR="006C7C5D" w:rsidRPr="00360143" w:rsidRDefault="00873EDC" w:rsidP="004E7FC2">
      <w:pPr>
        <w:keepNext/>
        <w:keepLines/>
        <w:spacing w:line="276" w:lineRule="auto"/>
        <w:jc w:val="both"/>
        <w:rPr>
          <w:rFonts w:asciiTheme="minorHAnsi" w:hAnsiTheme="minorHAnsi" w:cstheme="minorHAnsi"/>
        </w:rPr>
      </w:pPr>
      <w:r>
        <w:rPr>
          <w:rFonts w:asciiTheme="minorHAnsi" w:hAnsiTheme="minorHAnsi" w:cstheme="minorHAnsi"/>
        </w:rPr>
        <w:t xml:space="preserve">That </w:t>
      </w:r>
      <w:r w:rsidR="005A0C45">
        <w:rPr>
          <w:rFonts w:asciiTheme="minorHAnsi" w:hAnsiTheme="minorHAnsi" w:cstheme="minorHAnsi"/>
        </w:rPr>
        <w:t>PBAC</w:t>
      </w:r>
      <w:r w:rsidR="00B97208" w:rsidRPr="00EC479B">
        <w:rPr>
          <w:rFonts w:asciiTheme="minorHAnsi" w:hAnsiTheme="minorHAnsi" w:cstheme="minorHAnsi"/>
        </w:rPr>
        <w:t>:</w:t>
      </w:r>
    </w:p>
    <w:p w14:paraId="53E764C1" w14:textId="57C26F48" w:rsidR="005A0C45" w:rsidRDefault="005A0C45" w:rsidP="005A0C45">
      <w:pPr>
        <w:pStyle w:val="4Bodytextnumbered"/>
        <w:numPr>
          <w:ilvl w:val="1"/>
          <w:numId w:val="7"/>
        </w:numPr>
        <w:spacing w:before="120"/>
      </w:pPr>
      <w:r>
        <w:rPr>
          <w:b/>
          <w:bCs/>
        </w:rPr>
        <w:t xml:space="preserve">Note </w:t>
      </w:r>
      <w:bookmarkStart w:id="1" w:name="_Hlk108599879"/>
      <w:r>
        <w:t xml:space="preserve">the </w:t>
      </w:r>
      <w:r w:rsidR="00F244F0">
        <w:t>‘</w:t>
      </w:r>
      <w:r w:rsidRPr="00F244F0">
        <w:t>Clinical and cost utility analysis of GLP-1 RAs for the treatment of type 2 diabetes mellitus (T2DM) in the Australian setting</w:t>
      </w:r>
      <w:r w:rsidR="00F244F0">
        <w:rPr>
          <w:i/>
          <w:iCs/>
        </w:rPr>
        <w:t>’</w:t>
      </w:r>
      <w:r>
        <w:t xml:space="preserve"> </w:t>
      </w:r>
      <w:bookmarkEnd w:id="1"/>
      <w:r w:rsidR="005D4672">
        <w:t xml:space="preserve">report </w:t>
      </w:r>
      <w:r>
        <w:t>(the GLP-1 RA report).</w:t>
      </w:r>
    </w:p>
    <w:p w14:paraId="6F111694" w14:textId="389791D2" w:rsidR="005A0C45" w:rsidRDefault="005A0C45" w:rsidP="005A0C45">
      <w:pPr>
        <w:pStyle w:val="4Bodytextnumbered"/>
        <w:numPr>
          <w:ilvl w:val="1"/>
          <w:numId w:val="7"/>
        </w:numPr>
        <w:spacing w:before="120"/>
      </w:pPr>
      <w:r>
        <w:rPr>
          <w:b/>
          <w:bCs/>
        </w:rPr>
        <w:t xml:space="preserve">Note </w:t>
      </w:r>
      <w:r>
        <w:t xml:space="preserve">the </w:t>
      </w:r>
      <w:r w:rsidR="00B10585">
        <w:t>Economic Sub-Committee (</w:t>
      </w:r>
      <w:r>
        <w:t>ESC</w:t>
      </w:r>
      <w:r w:rsidR="00B10585">
        <w:t>)</w:t>
      </w:r>
      <w:r>
        <w:t xml:space="preserve"> Advice</w:t>
      </w:r>
      <w:r w:rsidR="005D4672">
        <w:t>,</w:t>
      </w:r>
      <w:r>
        <w:t xml:space="preserve"> and sponsor Pre-Subcommittee Responses (PSCRs) and pre-PBAC responses for this item.</w:t>
      </w:r>
    </w:p>
    <w:p w14:paraId="3E5BEE46" w14:textId="740B704A" w:rsidR="000E0BA8" w:rsidRPr="004D7F35" w:rsidRDefault="000E0BA8" w:rsidP="005A0C45">
      <w:pPr>
        <w:pStyle w:val="4Bodytextnumbered"/>
        <w:numPr>
          <w:ilvl w:val="1"/>
          <w:numId w:val="7"/>
        </w:numPr>
        <w:spacing w:before="120"/>
      </w:pPr>
      <w:r>
        <w:rPr>
          <w:b/>
          <w:bCs/>
        </w:rPr>
        <w:t>Advise</w:t>
      </w:r>
      <w:r>
        <w:t xml:space="preserve"> if the GLP-1 RA report supports the request from </w:t>
      </w:r>
      <w:r w:rsidR="00B10585">
        <w:t xml:space="preserve">a stakeholder </w:t>
      </w:r>
      <w:r>
        <w:t xml:space="preserve">for a broader </w:t>
      </w:r>
      <w:r w:rsidR="00232BD9">
        <w:t>Pharmaceutical Benefits Scheme (</w:t>
      </w:r>
      <w:r>
        <w:t>PBS</w:t>
      </w:r>
      <w:r w:rsidR="00232BD9">
        <w:t>)</w:t>
      </w:r>
      <w:r>
        <w:t xml:space="preserve"> restriction for GLP-1 RAs.</w:t>
      </w:r>
    </w:p>
    <w:p w14:paraId="7D9C1D21" w14:textId="294C35EB" w:rsidR="005A0C45" w:rsidRDefault="005A0C45" w:rsidP="005A0C45">
      <w:pPr>
        <w:pStyle w:val="4Bodytextnumbered"/>
        <w:numPr>
          <w:ilvl w:val="1"/>
          <w:numId w:val="7"/>
        </w:numPr>
        <w:spacing w:before="120"/>
      </w:pPr>
      <w:r>
        <w:rPr>
          <w:b/>
          <w:bCs/>
        </w:rPr>
        <w:t xml:space="preserve">Advise </w:t>
      </w:r>
      <w:r>
        <w:t xml:space="preserve">the </w:t>
      </w:r>
      <w:bookmarkStart w:id="2" w:name="_Hlk89892360"/>
      <w:r>
        <w:t xml:space="preserve">Department if the PBAC recommends that any further work be undertaken on the utilisation, </w:t>
      </w:r>
      <w:r w:rsidR="00CD0297">
        <w:t>cost-effectiveness,</w:t>
      </w:r>
      <w:r>
        <w:t xml:space="preserve"> or restrictions for T2DM medicines</w:t>
      </w:r>
      <w:bookmarkEnd w:id="2"/>
      <w:r>
        <w:t>.</w:t>
      </w:r>
    </w:p>
    <w:p w14:paraId="6A88F027" w14:textId="77777777" w:rsidR="007A7157" w:rsidRDefault="007A7157" w:rsidP="009E7D48">
      <w:pPr>
        <w:pStyle w:val="2Sections"/>
        <w:keepNext/>
        <w:keepLines/>
      </w:pPr>
      <w:bookmarkStart w:id="3" w:name="_Hlk83122114"/>
      <w:r w:rsidRPr="004C3C28">
        <w:t>Background</w:t>
      </w:r>
    </w:p>
    <w:bookmarkEnd w:id="3"/>
    <w:p w14:paraId="415F0ADE" w14:textId="77777777" w:rsidR="005A0C45" w:rsidRPr="005D4672" w:rsidRDefault="005A0C45" w:rsidP="005D4672">
      <w:pPr>
        <w:pStyle w:val="Heading2"/>
      </w:pPr>
      <w:r w:rsidRPr="005D4672">
        <w:t>Stakeholder correspondence/engagement</w:t>
      </w:r>
    </w:p>
    <w:p w14:paraId="7630C368" w14:textId="26275A42" w:rsidR="005A0C45" w:rsidRPr="002805E9" w:rsidRDefault="005A0C45" w:rsidP="005A0C45">
      <w:pPr>
        <w:pStyle w:val="3Bodytext"/>
      </w:pPr>
      <w:r w:rsidRPr="002805E9">
        <w:t xml:space="preserve">In September 2019, </w:t>
      </w:r>
      <w:r w:rsidR="00B10585">
        <w:t>a stakeholder</w:t>
      </w:r>
      <w:r w:rsidR="000E7FDA">
        <w:t xml:space="preserve"> </w:t>
      </w:r>
      <w:r w:rsidRPr="002805E9">
        <w:t xml:space="preserve">sent a letter to the PBAC requesting broader listings for GLP-1 RAs and </w:t>
      </w:r>
      <w:r>
        <w:t>sodium-glucose cotransporter 2 (</w:t>
      </w:r>
      <w:r w:rsidRPr="002805E9">
        <w:t>SGLT2</w:t>
      </w:r>
      <w:r>
        <w:t>)</w:t>
      </w:r>
      <w:r w:rsidRPr="002805E9">
        <w:t xml:space="preserve"> inhibitors on the PBS. The </w:t>
      </w:r>
      <w:r w:rsidR="00B10585">
        <w:t>stakeholder</w:t>
      </w:r>
      <w:r w:rsidR="000E7FDA">
        <w:t xml:space="preserve"> </w:t>
      </w:r>
      <w:r w:rsidRPr="002805E9">
        <w:t>considered that PBS reimbursement should support the use of these medicines in people with T2DM</w:t>
      </w:r>
      <w:r w:rsidR="00B834B6">
        <w:t xml:space="preserve"> </w:t>
      </w:r>
      <w:r w:rsidR="00650ED7">
        <w:t>who have</w:t>
      </w:r>
      <w:r w:rsidR="000E7FDA">
        <w:t xml:space="preserve"> </w:t>
      </w:r>
      <w:r w:rsidRPr="002805E9">
        <w:t>cardiovascular disease (CVD)</w:t>
      </w:r>
      <w:r w:rsidR="00B834B6">
        <w:t>,</w:t>
      </w:r>
      <w:r w:rsidRPr="002805E9">
        <w:t xml:space="preserve"> or multiple CV risk factors, and HbA1c &gt;6.5%, based on the results of several CV outcome trials.</w:t>
      </w:r>
    </w:p>
    <w:p w14:paraId="47C5680A" w14:textId="77777777" w:rsidR="005A0C45" w:rsidRDefault="005A0C45" w:rsidP="005A0C45">
      <w:pPr>
        <w:pStyle w:val="3Bodytext"/>
        <w:spacing w:before="120"/>
      </w:pPr>
      <w:r>
        <w:t>In October 2019, the PBAC responded to the request, noting that it is required to consider the clinical effectiveness, safety and cost-effectiveness of the medicine compared with other treatments,</w:t>
      </w:r>
      <w:r w:rsidRPr="003F33BE">
        <w:t xml:space="preserve"> </w:t>
      </w:r>
      <w:r>
        <w:t xml:space="preserve">when considering amendments to PBS listings. </w:t>
      </w:r>
    </w:p>
    <w:p w14:paraId="7B3519D3" w14:textId="47CD015C" w:rsidR="005A0C45" w:rsidRPr="00C26B56" w:rsidRDefault="005A0C45" w:rsidP="005A0C45">
      <w:pPr>
        <w:pStyle w:val="3Bodytext"/>
        <w:spacing w:before="120"/>
      </w:pPr>
      <w:r>
        <w:t>The sponsors of PBS-listed GLP-1 RAs (AstraZeneca</w:t>
      </w:r>
      <w:r w:rsidR="00B10585">
        <w:t xml:space="preserve"> Pty Ltd</w:t>
      </w:r>
      <w:r>
        <w:t>, Novo Nordisk</w:t>
      </w:r>
      <w:r w:rsidR="00B10585">
        <w:t xml:space="preserve"> Pty Ltd</w:t>
      </w:r>
      <w:r>
        <w:t xml:space="preserve"> and Eli Lilly</w:t>
      </w:r>
      <w:r w:rsidR="00B10585">
        <w:t xml:space="preserve"> Pty Ltd</w:t>
      </w:r>
      <w:r>
        <w:t xml:space="preserve">) were consulted on the GLP-1 RA report prior to the June 2022 ESC meeting and </w:t>
      </w:r>
      <w:r w:rsidR="000E7FDA">
        <w:t xml:space="preserve">were </w:t>
      </w:r>
      <w:r>
        <w:t xml:space="preserve">provided with a copy of the ESC Advice. Sponsors </w:t>
      </w:r>
      <w:r w:rsidR="003F2D85">
        <w:t xml:space="preserve">were </w:t>
      </w:r>
      <w:r>
        <w:t>consulted prior to the July 2022 PBAC meeting.</w:t>
      </w:r>
    </w:p>
    <w:p w14:paraId="785CA2D4" w14:textId="77777777" w:rsidR="005A0C45" w:rsidRPr="006C2269" w:rsidRDefault="005A0C45" w:rsidP="005D4672">
      <w:pPr>
        <w:pStyle w:val="Heading2"/>
      </w:pPr>
      <w:r w:rsidRPr="006C2269">
        <w:t>DUSC Review of Medicines for the treatment of diabetes – 2017</w:t>
      </w:r>
    </w:p>
    <w:p w14:paraId="14DF93AF" w14:textId="39E6B0D9" w:rsidR="005A0C45" w:rsidRDefault="005A0C45" w:rsidP="005A0C45">
      <w:pPr>
        <w:pStyle w:val="4Bodytextnumbered"/>
        <w:numPr>
          <w:ilvl w:val="1"/>
          <w:numId w:val="7"/>
        </w:numPr>
        <w:jc w:val="left"/>
      </w:pPr>
      <w:r>
        <w:t xml:space="preserve">The most recent DUSC review of the utilisation of </w:t>
      </w:r>
      <w:r w:rsidR="003F2D85">
        <w:t xml:space="preserve">T2DM </w:t>
      </w:r>
      <w:r>
        <w:t xml:space="preserve">medicines was the review of </w:t>
      </w:r>
      <w:r w:rsidR="00F244F0">
        <w:t>‘</w:t>
      </w:r>
      <w:r w:rsidRPr="00F244F0">
        <w:t>Medicines for the treatment of diabetes</w:t>
      </w:r>
      <w:r w:rsidR="00F244F0">
        <w:rPr>
          <w:i/>
          <w:iCs/>
        </w:rPr>
        <w:t>’</w:t>
      </w:r>
      <w:r>
        <w:t xml:space="preserve"> in February 2017</w:t>
      </w:r>
      <w:r w:rsidR="00393255">
        <w:t>.</w:t>
      </w:r>
      <w:r>
        <w:rPr>
          <w:rStyle w:val="FootnoteReference"/>
        </w:rPr>
        <w:footnoteReference w:id="1"/>
      </w:r>
      <w:r>
        <w:t xml:space="preserve"> </w:t>
      </w:r>
    </w:p>
    <w:p w14:paraId="6031588B" w14:textId="510C1F7D" w:rsidR="005A0C45" w:rsidRDefault="005A0C45" w:rsidP="005A0C45">
      <w:pPr>
        <w:pStyle w:val="4Bodytextnumbered"/>
        <w:numPr>
          <w:ilvl w:val="1"/>
          <w:numId w:val="7"/>
        </w:numPr>
        <w:jc w:val="left"/>
      </w:pPr>
      <w:r>
        <w:t>This review found that the top five most common regimens</w:t>
      </w:r>
      <w:r w:rsidR="003F2D85">
        <w:t xml:space="preserve"> for the treatment of diabetes were</w:t>
      </w:r>
      <w:r>
        <w:t xml:space="preserve"> (starting with the most common)</w:t>
      </w:r>
      <w:r w:rsidR="003F2D85">
        <w:t xml:space="preserve">: </w:t>
      </w:r>
      <w:r>
        <w:t xml:space="preserve">metformin monotherapy, insulin </w:t>
      </w:r>
      <w:r>
        <w:lastRenderedPageBreak/>
        <w:t>monotherapy, dipeptidyl peptidase</w:t>
      </w:r>
      <w:r>
        <w:noBreakHyphen/>
        <w:t>4 (DPP4) inhibitor + metformin, metformin + sulfonylurea (SU), and insulin + metformin.</w:t>
      </w:r>
    </w:p>
    <w:p w14:paraId="44F531BD" w14:textId="2B08799C" w:rsidR="000E7FDA" w:rsidRDefault="000E7FDA" w:rsidP="000E7FDA">
      <w:pPr>
        <w:pStyle w:val="4Bodytextnumbered"/>
        <w:numPr>
          <w:ilvl w:val="1"/>
          <w:numId w:val="7"/>
        </w:numPr>
      </w:pPr>
      <w:r>
        <w:t xml:space="preserve">At the time of the DUSC review, exenatide was the only GLP-1 RA listed on the PBS, with the once weekly dosing formulation listed in 2016. Dulaglutide was PBS-listed in 2018 and semaglutide in 2020. </w:t>
      </w:r>
    </w:p>
    <w:p w14:paraId="6967D405" w14:textId="4FF5FB3E" w:rsidR="005A0C45" w:rsidRDefault="005A0C45" w:rsidP="000E7FDA">
      <w:pPr>
        <w:pStyle w:val="4Bodytextnumbered"/>
        <w:numPr>
          <w:ilvl w:val="1"/>
          <w:numId w:val="7"/>
        </w:numPr>
        <w:jc w:val="left"/>
      </w:pPr>
      <w:r>
        <w:t>Th</w:t>
      </w:r>
      <w:r w:rsidR="000E7FDA">
        <w:t>e DUSC</w:t>
      </w:r>
      <w:r>
        <w:t xml:space="preserve"> review highlighted several issues with use outside the restrictions for T2DM medicines, including use of</w:t>
      </w:r>
      <w:r w:rsidR="000E7FDA">
        <w:t xml:space="preserve"> </w:t>
      </w:r>
      <w:r>
        <w:t>SGLT2 inhibitors, DPP4 inhibitors and exenatide in monotherapy.</w:t>
      </w:r>
    </w:p>
    <w:p w14:paraId="03E76940" w14:textId="77777777" w:rsidR="005A0C45" w:rsidRPr="006A77F3" w:rsidRDefault="005A0C45" w:rsidP="005D4672">
      <w:pPr>
        <w:pStyle w:val="Heading2"/>
      </w:pPr>
      <w:r w:rsidRPr="006A77F3">
        <w:t xml:space="preserve">Cost-effectiveness </w:t>
      </w:r>
      <w:r>
        <w:t>r</w:t>
      </w:r>
      <w:r w:rsidRPr="006A77F3">
        <w:t>eview of T2DM medicines</w:t>
      </w:r>
    </w:p>
    <w:p w14:paraId="64386CD7" w14:textId="77777777" w:rsidR="00393255" w:rsidRDefault="005A0C45" w:rsidP="00393255">
      <w:pPr>
        <w:pStyle w:val="3Bodytext"/>
      </w:pPr>
      <w:r w:rsidRPr="002805E9">
        <w:t>At the PBAC Executive meeting on 19 September 2019,</w:t>
      </w:r>
      <w:r>
        <w:t xml:space="preserve"> </w:t>
      </w:r>
      <w:r w:rsidR="000E7FDA">
        <w:t xml:space="preserve">the </w:t>
      </w:r>
      <w:r w:rsidRPr="002805E9">
        <w:t>PBAC noted that while there is a growing body of evidence suggestive of additional CV benefits associated with</w:t>
      </w:r>
      <w:r w:rsidR="0072118E">
        <w:t xml:space="preserve"> </w:t>
      </w:r>
      <w:r w:rsidR="000E7FDA">
        <w:t>SGLT2 inhibitors and GLP-1 RAs</w:t>
      </w:r>
      <w:r w:rsidRPr="002805E9">
        <w:t xml:space="preserve">, the cost-effectiveness of any additional benefit remains unknown in the Australian context. </w:t>
      </w:r>
    </w:p>
    <w:p w14:paraId="040EE63E" w14:textId="5A0A9D11" w:rsidR="005A0C45" w:rsidRPr="004C28DA" w:rsidRDefault="005A0C45" w:rsidP="00393255">
      <w:pPr>
        <w:pStyle w:val="3Bodytext"/>
      </w:pPr>
      <w:r w:rsidRPr="002805E9">
        <w:t>The PBAC requested that the Department address the question of the cost-effectiveness of SGLT2 inhibitors and GLP-1 RAs as add-on therapy to metformin in the treatment of T2DM, for patients with established CVD or at high CV risk</w:t>
      </w:r>
      <w:bookmarkStart w:id="4" w:name="_Hlk98338308"/>
      <w:r w:rsidRPr="002805E9">
        <w:t>, without the requirement to have a specific unmet glycaemic target</w:t>
      </w:r>
      <w:bookmarkEnd w:id="4"/>
      <w:r w:rsidRPr="002805E9">
        <w:t>.</w:t>
      </w:r>
      <w:r w:rsidR="00393255">
        <w:t xml:space="preserve"> </w:t>
      </w:r>
      <w:r w:rsidRPr="00393255">
        <w:rPr>
          <w:szCs w:val="24"/>
        </w:rPr>
        <w:t xml:space="preserve">The Department contracted a project on the cost-effectiveness of T2DM medicines in stages. </w:t>
      </w:r>
    </w:p>
    <w:p w14:paraId="4691C0E0" w14:textId="77777777" w:rsidR="002805E9" w:rsidRPr="005D4672" w:rsidRDefault="002805E9" w:rsidP="005D4672">
      <w:pPr>
        <w:pStyle w:val="Heading3"/>
      </w:pPr>
      <w:r w:rsidRPr="005D4672">
        <w:t>Cost-effectiveness review of T2DM medicines – Stage 1</w:t>
      </w:r>
    </w:p>
    <w:p w14:paraId="60A12E0F" w14:textId="77777777" w:rsidR="002805E9" w:rsidRPr="000D3660" w:rsidRDefault="002805E9" w:rsidP="004E7FC2">
      <w:pPr>
        <w:pStyle w:val="3Bodytext"/>
      </w:pPr>
      <w:r w:rsidRPr="008A134F">
        <w:t>The Stage 1 report</w:t>
      </w:r>
      <w:r>
        <w:t xml:space="preserve"> presented</w:t>
      </w:r>
      <w:r w:rsidRPr="008A134F">
        <w:t xml:space="preserve"> a systematic review of the published estimates of cost-effectiveness of </w:t>
      </w:r>
      <w:r>
        <w:t xml:space="preserve">T2DM </w:t>
      </w:r>
      <w:r w:rsidRPr="008A134F">
        <w:t>medicines (excluding insulin).</w:t>
      </w:r>
      <w:r>
        <w:t xml:space="preserve"> </w:t>
      </w:r>
      <w:r w:rsidRPr="000D3660">
        <w:rPr>
          <w:rFonts w:ascii="Calibri" w:hAnsi="Calibri" w:cs="Calibri"/>
        </w:rPr>
        <w:t>The review focused on</w:t>
      </w:r>
      <w:r>
        <w:rPr>
          <w:rFonts w:ascii="Calibri" w:hAnsi="Calibri" w:cs="Calibri"/>
        </w:rPr>
        <w:t>:</w:t>
      </w:r>
      <w:r w:rsidRPr="000D3660">
        <w:rPr>
          <w:rFonts w:ascii="Calibri" w:hAnsi="Calibri" w:cs="Calibri"/>
        </w:rPr>
        <w:t xml:space="preserve"> </w:t>
      </w:r>
    </w:p>
    <w:p w14:paraId="2270E9BD" w14:textId="77777777" w:rsidR="002805E9" w:rsidRPr="000D3660" w:rsidRDefault="002805E9" w:rsidP="004E7FC2">
      <w:pPr>
        <w:numPr>
          <w:ilvl w:val="0"/>
          <w:numId w:val="31"/>
        </w:numPr>
        <w:overflowPunct/>
        <w:autoSpaceDE/>
        <w:autoSpaceDN/>
        <w:adjustRightInd/>
        <w:contextualSpacing/>
        <w:jc w:val="both"/>
        <w:textAlignment w:val="auto"/>
        <w:rPr>
          <w:rFonts w:ascii="Calibri" w:hAnsi="Calibri" w:cs="Calibri"/>
        </w:rPr>
      </w:pPr>
      <w:r>
        <w:rPr>
          <w:rFonts w:ascii="Calibri" w:hAnsi="Calibri" w:cs="Calibri"/>
        </w:rPr>
        <w:t>M</w:t>
      </w:r>
      <w:r w:rsidRPr="000D3660">
        <w:rPr>
          <w:rFonts w:ascii="Calibri" w:hAnsi="Calibri" w:cs="Calibri"/>
        </w:rPr>
        <w:t>onotherapy vs monotherapy for patients who have a contraindication or intolerance to metformin</w:t>
      </w:r>
      <w:r>
        <w:rPr>
          <w:rFonts w:ascii="Calibri" w:hAnsi="Calibri" w:cs="Calibri"/>
        </w:rPr>
        <w:t>. No studies were identified.</w:t>
      </w:r>
    </w:p>
    <w:p w14:paraId="60C3CDE7" w14:textId="77777777" w:rsidR="002805E9" w:rsidRPr="000D3660" w:rsidRDefault="002805E9" w:rsidP="00F244F0">
      <w:pPr>
        <w:numPr>
          <w:ilvl w:val="0"/>
          <w:numId w:val="31"/>
        </w:numPr>
        <w:overflowPunct/>
        <w:autoSpaceDE/>
        <w:autoSpaceDN/>
        <w:adjustRightInd/>
        <w:ind w:left="1077" w:hanging="357"/>
        <w:contextualSpacing/>
        <w:jc w:val="both"/>
        <w:textAlignment w:val="auto"/>
        <w:rPr>
          <w:rFonts w:ascii="Calibri" w:hAnsi="Calibri" w:cs="Calibri"/>
        </w:rPr>
      </w:pPr>
      <w:r>
        <w:rPr>
          <w:rFonts w:ascii="Calibri" w:hAnsi="Calibri" w:cs="Calibri"/>
        </w:rPr>
        <w:t>D</w:t>
      </w:r>
      <w:r w:rsidRPr="000D3660">
        <w:rPr>
          <w:rFonts w:ascii="Calibri" w:hAnsi="Calibri" w:cs="Calibri"/>
        </w:rPr>
        <w:t>ual therapy vs dual therapy, where metformin was one of the components of the dual therapy.</w:t>
      </w:r>
    </w:p>
    <w:p w14:paraId="52BEF361" w14:textId="4AB664E8" w:rsidR="002805E9" w:rsidRPr="000D3660" w:rsidRDefault="002805E9" w:rsidP="004E7FC2">
      <w:pPr>
        <w:numPr>
          <w:ilvl w:val="1"/>
          <w:numId w:val="7"/>
        </w:numPr>
        <w:overflowPunct/>
        <w:autoSpaceDE/>
        <w:autoSpaceDN/>
        <w:adjustRightInd/>
        <w:contextualSpacing/>
        <w:jc w:val="both"/>
        <w:textAlignment w:val="auto"/>
        <w:rPr>
          <w:rFonts w:ascii="Calibri" w:hAnsi="Calibri" w:cs="Calibri"/>
        </w:rPr>
      </w:pPr>
      <w:r w:rsidRPr="000D3660">
        <w:rPr>
          <w:rFonts w:ascii="Calibri" w:hAnsi="Calibri" w:cs="Calibri"/>
        </w:rPr>
        <w:t>The review found most studies to be of moderate</w:t>
      </w:r>
      <w:r>
        <w:rPr>
          <w:rFonts w:ascii="Calibri" w:hAnsi="Calibri" w:cs="Calibri"/>
        </w:rPr>
        <w:t xml:space="preserve"> </w:t>
      </w:r>
      <w:r w:rsidRPr="000D3660">
        <w:rPr>
          <w:rFonts w:ascii="Calibri" w:hAnsi="Calibri" w:cs="Calibri"/>
        </w:rPr>
        <w:t>to</w:t>
      </w:r>
      <w:r>
        <w:rPr>
          <w:rFonts w:ascii="Calibri" w:hAnsi="Calibri" w:cs="Calibri"/>
        </w:rPr>
        <w:t xml:space="preserve"> </w:t>
      </w:r>
      <w:r w:rsidRPr="000D3660">
        <w:rPr>
          <w:rFonts w:ascii="Calibri" w:hAnsi="Calibri" w:cs="Calibri"/>
        </w:rPr>
        <w:t>high quality</w:t>
      </w:r>
      <w:r>
        <w:rPr>
          <w:rFonts w:ascii="Calibri" w:hAnsi="Calibri" w:cs="Calibri"/>
        </w:rPr>
        <w:t>,</w:t>
      </w:r>
      <w:r w:rsidRPr="000D3660">
        <w:rPr>
          <w:rFonts w:ascii="Calibri" w:hAnsi="Calibri" w:cs="Calibri"/>
        </w:rPr>
        <w:t xml:space="preserve"> but noted the following issues with respect to converting </w:t>
      </w:r>
      <w:r w:rsidR="00584F60">
        <w:rPr>
          <w:rFonts w:ascii="Calibri" w:hAnsi="Calibri" w:cs="Calibri"/>
        </w:rPr>
        <w:t>incremental cost-effectiveness ratios (</w:t>
      </w:r>
      <w:r w:rsidRPr="000D3660">
        <w:rPr>
          <w:rFonts w:ascii="Calibri" w:hAnsi="Calibri" w:cs="Calibri"/>
        </w:rPr>
        <w:t>ICERs</w:t>
      </w:r>
      <w:r w:rsidR="00584F60">
        <w:rPr>
          <w:rFonts w:ascii="Calibri" w:hAnsi="Calibri" w:cs="Calibri"/>
        </w:rPr>
        <w:t>)</w:t>
      </w:r>
      <w:r w:rsidRPr="000D3660">
        <w:rPr>
          <w:rFonts w:ascii="Calibri" w:hAnsi="Calibri" w:cs="Calibri"/>
        </w:rPr>
        <w:t xml:space="preserve"> from studies in other countries to a value in the Australian setting:</w:t>
      </w:r>
    </w:p>
    <w:p w14:paraId="028BAFA0" w14:textId="77777777" w:rsidR="002805E9" w:rsidRPr="000D3660" w:rsidRDefault="002805E9" w:rsidP="00F244F0">
      <w:pPr>
        <w:numPr>
          <w:ilvl w:val="0"/>
          <w:numId w:val="32"/>
        </w:numPr>
        <w:overflowPunct/>
        <w:autoSpaceDE/>
        <w:autoSpaceDN/>
        <w:adjustRightInd/>
        <w:ind w:left="1077" w:hanging="357"/>
        <w:contextualSpacing/>
        <w:jc w:val="both"/>
        <w:textAlignment w:val="auto"/>
        <w:rPr>
          <w:rFonts w:ascii="Calibri" w:hAnsi="Calibri" w:cs="Calibri"/>
        </w:rPr>
      </w:pPr>
      <w:r w:rsidRPr="000D3660">
        <w:rPr>
          <w:rFonts w:ascii="Calibri" w:hAnsi="Calibri" w:cs="Calibri"/>
        </w:rPr>
        <w:t>Substantial variation in the rates of complications across different regions of the world.</w:t>
      </w:r>
    </w:p>
    <w:p w14:paraId="43DD495E" w14:textId="77777777" w:rsidR="002805E9" w:rsidRPr="000D3660" w:rsidRDefault="002805E9" w:rsidP="00F244F0">
      <w:pPr>
        <w:numPr>
          <w:ilvl w:val="0"/>
          <w:numId w:val="32"/>
        </w:numPr>
        <w:overflowPunct/>
        <w:autoSpaceDE/>
        <w:autoSpaceDN/>
        <w:adjustRightInd/>
        <w:ind w:left="1077" w:hanging="357"/>
        <w:contextualSpacing/>
        <w:jc w:val="both"/>
        <w:textAlignment w:val="auto"/>
        <w:rPr>
          <w:rFonts w:ascii="Calibri" w:hAnsi="Calibri" w:cs="Calibri"/>
        </w:rPr>
      </w:pPr>
      <w:r w:rsidRPr="000D3660">
        <w:rPr>
          <w:rFonts w:ascii="Calibri" w:hAnsi="Calibri" w:cs="Calibri"/>
        </w:rPr>
        <w:t>Long-term declining trends in rates of complications and death due to diabetes.</w:t>
      </w:r>
    </w:p>
    <w:p w14:paraId="1B54767E" w14:textId="77777777" w:rsidR="002805E9" w:rsidRDefault="002805E9" w:rsidP="00F244F0">
      <w:pPr>
        <w:numPr>
          <w:ilvl w:val="0"/>
          <w:numId w:val="32"/>
        </w:numPr>
        <w:overflowPunct/>
        <w:autoSpaceDE/>
        <w:autoSpaceDN/>
        <w:adjustRightInd/>
        <w:ind w:left="1077" w:hanging="357"/>
        <w:contextualSpacing/>
        <w:jc w:val="both"/>
        <w:textAlignment w:val="auto"/>
        <w:rPr>
          <w:rFonts w:ascii="Calibri" w:hAnsi="Calibri" w:cs="Calibri"/>
        </w:rPr>
      </w:pPr>
      <w:r w:rsidRPr="000D3660">
        <w:rPr>
          <w:rFonts w:ascii="Calibri" w:hAnsi="Calibri" w:cs="Calibri"/>
        </w:rPr>
        <w:t>Unit costs for different healthcare resource utilisation categories being substantially different across countries, which impacts on the calculations of incremental costs.</w:t>
      </w:r>
    </w:p>
    <w:p w14:paraId="12527400" w14:textId="77777777" w:rsidR="002805E9" w:rsidRPr="005A0C45" w:rsidRDefault="002805E9" w:rsidP="005D4672">
      <w:pPr>
        <w:pStyle w:val="Heading3"/>
      </w:pPr>
      <w:r w:rsidRPr="005A0C45">
        <w:t>Cost-effectiveness review of SGLT2 inhibitors for T2DM – Stage 2</w:t>
      </w:r>
    </w:p>
    <w:p w14:paraId="0038EEA2" w14:textId="319C29F5" w:rsidR="002805E9" w:rsidRDefault="002805E9" w:rsidP="004E7FC2">
      <w:pPr>
        <w:pStyle w:val="3Bodytext"/>
        <w:spacing w:before="120"/>
      </w:pPr>
      <w:r w:rsidRPr="004E55E8">
        <w:t>Stage 2</w:t>
      </w:r>
      <w:r>
        <w:t xml:space="preserve"> focussed on</w:t>
      </w:r>
      <w:r w:rsidRPr="000D3660">
        <w:t xml:space="preserve"> modelling </w:t>
      </w:r>
      <w:r>
        <w:t>the</w:t>
      </w:r>
      <w:r w:rsidRPr="000D3660">
        <w:t xml:space="preserve"> comparison</w:t>
      </w:r>
      <w:r>
        <w:t xml:space="preserve"> of </w:t>
      </w:r>
      <w:r w:rsidRPr="000D3660">
        <w:t xml:space="preserve">SGLT2 inhibitors versus SUs </w:t>
      </w:r>
      <w:r>
        <w:t xml:space="preserve">for the treatment of T2DM </w:t>
      </w:r>
      <w:r w:rsidRPr="000D3660">
        <w:t>as add-on therapy to metformin</w:t>
      </w:r>
      <w:r>
        <w:t>, using the</w:t>
      </w:r>
      <w:r w:rsidRPr="0041190E">
        <w:t xml:space="preserve"> </w:t>
      </w:r>
      <w:r w:rsidR="00B10585">
        <w:t xml:space="preserve">United Kingdom Prospective Diabetes Study </w:t>
      </w:r>
      <w:r w:rsidRPr="00B56AF4">
        <w:t xml:space="preserve">Outcomes Model Version 2 </w:t>
      </w:r>
      <w:r>
        <w:t xml:space="preserve">(UKPDS OM2) calibrated to the Australian setting by </w:t>
      </w:r>
      <w:r w:rsidRPr="00B56AF4">
        <w:t>using Australian-specific mortality, cost and patient data</w:t>
      </w:r>
      <w:r w:rsidRPr="000D3660">
        <w:t xml:space="preserve">. </w:t>
      </w:r>
    </w:p>
    <w:p w14:paraId="23276D08" w14:textId="06BD1D7B" w:rsidR="002805E9" w:rsidRPr="00DE5B2C" w:rsidRDefault="002805E9" w:rsidP="004E7FC2">
      <w:pPr>
        <w:numPr>
          <w:ilvl w:val="1"/>
          <w:numId w:val="7"/>
        </w:numPr>
        <w:overflowPunct/>
        <w:autoSpaceDE/>
        <w:autoSpaceDN/>
        <w:adjustRightInd/>
        <w:spacing w:before="120" w:after="120"/>
        <w:contextualSpacing/>
        <w:jc w:val="both"/>
        <w:textAlignment w:val="auto"/>
        <w:rPr>
          <w:rFonts w:asciiTheme="minorHAnsi" w:hAnsiTheme="minorHAnsi" w:cstheme="minorBidi"/>
        </w:rPr>
      </w:pPr>
      <w:r>
        <w:rPr>
          <w:rFonts w:asciiTheme="minorHAnsi" w:hAnsiTheme="minorHAnsi" w:cstheme="minorBidi"/>
        </w:rPr>
        <w:t xml:space="preserve">The report for the </w:t>
      </w:r>
      <w:r w:rsidR="005D3044">
        <w:rPr>
          <w:rFonts w:asciiTheme="minorHAnsi" w:hAnsiTheme="minorHAnsi" w:cstheme="minorBidi"/>
        </w:rPr>
        <w:t>‘</w:t>
      </w:r>
      <w:r w:rsidRPr="005D3044">
        <w:rPr>
          <w:rFonts w:asciiTheme="minorHAnsi" w:hAnsiTheme="minorHAnsi" w:cstheme="minorBidi"/>
        </w:rPr>
        <w:t>Cost-effectiveness review of SGLT2 inhibitors for the treatment of T2DM</w:t>
      </w:r>
      <w:r w:rsidR="005D3044">
        <w:rPr>
          <w:rFonts w:asciiTheme="minorHAnsi" w:hAnsiTheme="minorHAnsi" w:cstheme="minorBidi"/>
        </w:rPr>
        <w:t>’</w:t>
      </w:r>
      <w:r>
        <w:rPr>
          <w:rFonts w:asciiTheme="minorHAnsi" w:hAnsiTheme="minorHAnsi" w:cstheme="minorBidi"/>
        </w:rPr>
        <w:t xml:space="preserve"> (the SGLT2 inhibitor report) concluded that</w:t>
      </w:r>
      <w:r w:rsidRPr="00DE5B2C">
        <w:rPr>
          <w:rFonts w:asciiTheme="minorHAnsi" w:hAnsiTheme="minorHAnsi" w:cstheme="minorBidi"/>
        </w:rPr>
        <w:t>:</w:t>
      </w:r>
    </w:p>
    <w:p w14:paraId="3A8E9DE1" w14:textId="77777777" w:rsidR="002805E9" w:rsidRPr="00DE5B2C" w:rsidRDefault="002805E9" w:rsidP="00F244F0">
      <w:pPr>
        <w:pStyle w:val="Style1"/>
        <w:ind w:left="1077"/>
      </w:pPr>
      <w:r w:rsidRPr="00DE5B2C">
        <w:lastRenderedPageBreak/>
        <w:t xml:space="preserve">SGLT2 inhibitors decreased the risk of all-cause and CV-related mortality when compared to SUs. </w:t>
      </w:r>
      <w:r>
        <w:t xml:space="preserve">Reductions in systolic blood pressure and weight, but not HbA1c, </w:t>
      </w:r>
      <w:r w:rsidRPr="00DE5B2C">
        <w:t xml:space="preserve">were </w:t>
      </w:r>
      <w:r>
        <w:t xml:space="preserve">also </w:t>
      </w:r>
      <w:r w:rsidRPr="00DE5B2C">
        <w:t>seen</w:t>
      </w:r>
      <w:r>
        <w:t xml:space="preserve"> </w:t>
      </w:r>
      <w:r w:rsidRPr="00DE5B2C">
        <w:t>when comparing SGLT2 inhibitors to SUs in the treatment of T2DM</w:t>
      </w:r>
      <w:r>
        <w:t xml:space="preserve"> as add-on therapy to metformin</w:t>
      </w:r>
      <w:r w:rsidRPr="00DE5B2C">
        <w:t>.</w:t>
      </w:r>
    </w:p>
    <w:p w14:paraId="0C4B9E07" w14:textId="22C0AF20" w:rsidR="002805E9" w:rsidRDefault="002805E9" w:rsidP="00F244F0">
      <w:pPr>
        <w:pStyle w:val="Style1"/>
        <w:ind w:left="1077"/>
      </w:pPr>
      <w:r w:rsidRPr="00DE5B2C">
        <w:t>SGLT2 inhibitors were likely to improve life expectancy and quality</w:t>
      </w:r>
      <w:r w:rsidR="00F244F0">
        <w:t>-</w:t>
      </w:r>
      <w:r w:rsidRPr="00DE5B2C">
        <w:t>adjusted life expectancy (quality-adjusted life years, or QALYs) versus SUs</w:t>
      </w:r>
      <w:r>
        <w:t>,</w:t>
      </w:r>
      <w:r w:rsidRPr="00DE5B2C">
        <w:t xml:space="preserve"> but were likely to lead to an overall increase in lifetime costs per patient. </w:t>
      </w:r>
    </w:p>
    <w:p w14:paraId="4BFA2B7D" w14:textId="3BE97876" w:rsidR="002805E9" w:rsidRDefault="002805E9" w:rsidP="004E7FC2">
      <w:pPr>
        <w:pStyle w:val="4Bodytextnumbered"/>
        <w:numPr>
          <w:ilvl w:val="1"/>
          <w:numId w:val="7"/>
        </w:numPr>
      </w:pPr>
      <w:r>
        <w:t>T</w:t>
      </w:r>
      <w:r w:rsidRPr="00A2127B">
        <w:t xml:space="preserve">he </w:t>
      </w:r>
      <w:r>
        <w:t>SGLT2 inhibitor report</w:t>
      </w:r>
      <w:r w:rsidRPr="00A2127B">
        <w:t xml:space="preserve"> forecast </w:t>
      </w:r>
      <w:r>
        <w:t xml:space="preserve">ICERs of </w:t>
      </w:r>
      <w:r w:rsidRPr="006F1F00">
        <w:t>$29,939</w:t>
      </w:r>
      <w:r w:rsidRPr="00A2127B">
        <w:t xml:space="preserve"> per QALY gained for men and </w:t>
      </w:r>
      <w:r w:rsidRPr="006F1F00">
        <w:t>$27,316</w:t>
      </w:r>
      <w:r w:rsidRPr="00A2127B">
        <w:t xml:space="preserve"> per QALY gained for women</w:t>
      </w:r>
      <w:r>
        <w:t>, based on a lifetime treatment effect duration. These ICERs</w:t>
      </w:r>
      <w:r w:rsidRPr="00A2127B">
        <w:t xml:space="preserve"> </w:t>
      </w:r>
      <w:r>
        <w:t>apply to Australians with T2DM who are treated with SGLT2 inhibitors as dual therapy with metformin.</w:t>
      </w:r>
    </w:p>
    <w:p w14:paraId="5763360C" w14:textId="2C3F735F" w:rsidR="002805E9" w:rsidRDefault="00B10585" w:rsidP="004E7FC2">
      <w:pPr>
        <w:pStyle w:val="4Bodytextnumbered"/>
        <w:numPr>
          <w:ilvl w:val="1"/>
          <w:numId w:val="7"/>
        </w:numPr>
      </w:pPr>
      <w:r>
        <w:t xml:space="preserve">The </w:t>
      </w:r>
      <w:r w:rsidR="002805E9">
        <w:t>ESC considered the SGLT2 inhibitor report at the October 2021 meeting and advised the PBAC that the methods, inputs</w:t>
      </w:r>
      <w:r w:rsidR="00AB42A1">
        <w:t>,</w:t>
      </w:r>
      <w:r w:rsidR="002805E9">
        <w:t xml:space="preserve"> and assumptions used in the clinical and economic evaluation were generally reasonable and well described.</w:t>
      </w:r>
    </w:p>
    <w:p w14:paraId="141D49D2" w14:textId="2D018080" w:rsidR="002805E9" w:rsidRPr="005D4672" w:rsidRDefault="00B10585" w:rsidP="004E7FC2">
      <w:pPr>
        <w:pStyle w:val="4Bodytextnumbered"/>
        <w:numPr>
          <w:ilvl w:val="1"/>
          <w:numId w:val="7"/>
        </w:numPr>
      </w:pPr>
      <w:r>
        <w:t xml:space="preserve">The </w:t>
      </w:r>
      <w:r w:rsidR="002805E9">
        <w:t>PBAC considered the SGLT2 inhibitor report</w:t>
      </w:r>
      <w:r w:rsidR="002805E9" w:rsidRPr="00DE5B2C">
        <w:t xml:space="preserve"> </w:t>
      </w:r>
      <w:r w:rsidR="002805E9">
        <w:t xml:space="preserve">at the November 2021 and March 2022 meetings and </w:t>
      </w:r>
      <w:r w:rsidR="002805E9" w:rsidRPr="008121CA">
        <w:t>recommended</w:t>
      </w:r>
      <w:r w:rsidR="002805E9">
        <w:t xml:space="preserve"> the listing of dapagliflozin and empagliflozin for the treatment of T2DM, </w:t>
      </w:r>
      <w:r w:rsidR="002805E9" w:rsidRPr="001C5E4C">
        <w:t>as add-on therapy to metformin</w:t>
      </w:r>
      <w:r w:rsidR="002805E9">
        <w:t>,</w:t>
      </w:r>
      <w:r w:rsidR="002805E9" w:rsidRPr="001C5E4C">
        <w:t xml:space="preserve"> in patients with established </w:t>
      </w:r>
      <w:r w:rsidR="002805E9">
        <w:t xml:space="preserve">CVD </w:t>
      </w:r>
      <w:r w:rsidR="002805E9" w:rsidRPr="001C5E4C">
        <w:t xml:space="preserve">or at high </w:t>
      </w:r>
      <w:r w:rsidR="002805E9">
        <w:t xml:space="preserve">CV </w:t>
      </w:r>
      <w:r w:rsidR="002805E9" w:rsidRPr="001C5E4C">
        <w:t>risk, without the requirement to have a specific unmet glycaemic target</w:t>
      </w:r>
      <w:r w:rsidR="002805E9">
        <w:t>. This recommendation was contingent upon expenditure over the five years (2022</w:t>
      </w:r>
      <w:r w:rsidR="00063020">
        <w:noBreakHyphen/>
      </w:r>
      <w:r w:rsidR="002805E9">
        <w:t xml:space="preserve">2026) on SGLT2 inhibitors for </w:t>
      </w:r>
      <w:r w:rsidR="002805E9" w:rsidRPr="00BD2648">
        <w:t xml:space="preserve">the current </w:t>
      </w:r>
      <w:r w:rsidR="002805E9" w:rsidRPr="00971259">
        <w:t xml:space="preserve">T2DM market and the proposed T2DM population with CVD/high CV risk being limited to </w:t>
      </w:r>
      <w:r w:rsidR="002805E9" w:rsidRPr="005D4672">
        <w:t xml:space="preserve">$1.5 billion. </w:t>
      </w:r>
      <w:bookmarkStart w:id="5" w:name="_Hlk99023581"/>
      <w:r w:rsidR="002805E9" w:rsidRPr="005D4672">
        <w:t>The PBAC noted that based on the estimates provided by the Department, this would equate to a price reduction in the order of 15% for T2DM indications</w:t>
      </w:r>
      <w:bookmarkEnd w:id="5"/>
      <w:r w:rsidR="002805E9" w:rsidRPr="005D4672">
        <w:t xml:space="preserve">. </w:t>
      </w:r>
    </w:p>
    <w:p w14:paraId="16547523" w14:textId="3550D612" w:rsidR="005E0EED" w:rsidRDefault="00360143" w:rsidP="002805E9">
      <w:pPr>
        <w:pStyle w:val="2Sections"/>
      </w:pPr>
      <w:r>
        <w:t>Key</w:t>
      </w:r>
      <w:r w:rsidR="00767F19">
        <w:t xml:space="preserve"> findings</w:t>
      </w:r>
      <w:r>
        <w:t xml:space="preserve"> of the </w:t>
      </w:r>
      <w:r w:rsidR="002805E9">
        <w:t>GLP-1 RA report</w:t>
      </w:r>
    </w:p>
    <w:p w14:paraId="66587DFB" w14:textId="02B40052" w:rsidR="007C3F8F" w:rsidRDefault="00063020" w:rsidP="005D4672">
      <w:pPr>
        <w:pStyle w:val="Heading2"/>
      </w:pPr>
      <w:r>
        <w:t>U</w:t>
      </w:r>
      <w:r w:rsidR="007C3F8F">
        <w:t>tilisation</w:t>
      </w:r>
    </w:p>
    <w:p w14:paraId="75DA407A" w14:textId="3DAF5F94" w:rsidR="00625CD1" w:rsidRPr="00524EAD" w:rsidRDefault="00AB42A1" w:rsidP="00524EAD">
      <w:pPr>
        <w:pStyle w:val="3Bodytext"/>
        <w:rPr>
          <w:rFonts w:cstheme="minorHAnsi"/>
          <w:i/>
          <w:iCs/>
          <w:sz w:val="28"/>
          <w:szCs w:val="28"/>
        </w:rPr>
      </w:pPr>
      <w:r>
        <w:t xml:space="preserve">The </w:t>
      </w:r>
      <w:r w:rsidR="00524EAD">
        <w:t>PBAC noted that the</w:t>
      </w:r>
      <w:r w:rsidR="00625CD1">
        <w:t xml:space="preserve"> listing of the once weekly dosing formulations of GLP-1 RAs appear to have grown the market with </w:t>
      </w:r>
      <w:r w:rsidR="00625CD1" w:rsidRPr="001D448A">
        <w:t>R/PBS prescriptions dispensed for GLP-1 RAs increa</w:t>
      </w:r>
      <w:r w:rsidR="00625CD1">
        <w:t>sing</w:t>
      </w:r>
      <w:r w:rsidR="00625CD1" w:rsidRPr="001D448A">
        <w:t xml:space="preserve"> from around 263,000 in 2016 when the first once weekly formulations were listed, to around 1.2</w:t>
      </w:r>
      <w:r w:rsidR="00625CD1">
        <w:t> </w:t>
      </w:r>
      <w:r w:rsidR="00625CD1" w:rsidRPr="001D448A">
        <w:t>million in 2021 (an increase of 460%)</w:t>
      </w:r>
      <w:r w:rsidR="003A6922">
        <w:t xml:space="preserve"> (Figure 1)</w:t>
      </w:r>
      <w:r w:rsidR="00625CD1">
        <w:t xml:space="preserve">. </w:t>
      </w:r>
      <w:r w:rsidR="00625CD1">
        <w:rPr>
          <w:rFonts w:cstheme="minorHAnsi"/>
        </w:rPr>
        <w:t>The proportion of expenditure on GLP-1 RAs compared to total expenditure on T2DM medicines (excluding insulins) doubled over th</w:t>
      </w:r>
      <w:r w:rsidR="00524EAD">
        <w:rPr>
          <w:rFonts w:cstheme="minorHAnsi"/>
        </w:rPr>
        <w:t>e</w:t>
      </w:r>
      <w:r w:rsidR="00625CD1">
        <w:rPr>
          <w:rFonts w:cstheme="minorHAnsi"/>
        </w:rPr>
        <w:t xml:space="preserve"> </w:t>
      </w:r>
      <w:r w:rsidR="00524EAD">
        <w:rPr>
          <w:rFonts w:cstheme="minorHAnsi"/>
        </w:rPr>
        <w:t>five years</w:t>
      </w:r>
      <w:r w:rsidR="00625CD1">
        <w:rPr>
          <w:rFonts w:cstheme="minorHAnsi"/>
        </w:rPr>
        <w:t xml:space="preserve"> from </w:t>
      </w:r>
      <w:r w:rsidR="00524EAD">
        <w:rPr>
          <w:rFonts w:cstheme="minorHAnsi"/>
        </w:rPr>
        <w:t xml:space="preserve">2016-17 to 2020-21 from </w:t>
      </w:r>
      <w:r w:rsidR="00625CD1">
        <w:rPr>
          <w:rFonts w:cstheme="minorHAnsi"/>
        </w:rPr>
        <w:t xml:space="preserve">10% </w:t>
      </w:r>
      <w:r w:rsidR="00524EAD">
        <w:rPr>
          <w:rFonts w:cstheme="minorHAnsi"/>
        </w:rPr>
        <w:t xml:space="preserve">($25.7 million) </w:t>
      </w:r>
      <w:r w:rsidR="00625CD1">
        <w:rPr>
          <w:rFonts w:cstheme="minorHAnsi"/>
        </w:rPr>
        <w:t>to 21%</w:t>
      </w:r>
      <w:r w:rsidR="00524EAD">
        <w:rPr>
          <w:rFonts w:cstheme="minorHAnsi"/>
        </w:rPr>
        <w:t xml:space="preserve"> ($101.3 million) </w:t>
      </w:r>
      <w:r w:rsidR="00063020">
        <w:rPr>
          <w:rFonts w:cstheme="minorHAnsi"/>
        </w:rPr>
        <w:t xml:space="preserve">based on published prices </w:t>
      </w:r>
      <w:r w:rsidR="00625CD1">
        <w:t xml:space="preserve">(Table </w:t>
      </w:r>
      <w:r w:rsidR="003A6922">
        <w:t>1</w:t>
      </w:r>
      <w:r w:rsidR="00625CD1">
        <w:t>).</w:t>
      </w:r>
    </w:p>
    <w:p w14:paraId="57883FDB" w14:textId="49039F70" w:rsidR="00524EAD" w:rsidRPr="005C755A" w:rsidRDefault="00524EAD" w:rsidP="00524EAD">
      <w:pPr>
        <w:pStyle w:val="3Bodytext"/>
        <w:rPr>
          <w:rFonts w:cstheme="minorHAnsi"/>
          <w:i/>
          <w:iCs/>
          <w:sz w:val="28"/>
          <w:szCs w:val="28"/>
        </w:rPr>
      </w:pPr>
      <w:r>
        <w:rPr>
          <w:rFonts w:cstheme="minorHAnsi"/>
        </w:rPr>
        <w:t xml:space="preserve">The </w:t>
      </w:r>
      <w:r w:rsidR="00534A01">
        <w:rPr>
          <w:rFonts w:cstheme="minorHAnsi"/>
        </w:rPr>
        <w:t>utilisation of exenatide ha</w:t>
      </w:r>
      <w:r w:rsidR="000E7FDA">
        <w:rPr>
          <w:rFonts w:cstheme="minorHAnsi"/>
        </w:rPr>
        <w:t>s</w:t>
      </w:r>
      <w:r w:rsidR="00534A01">
        <w:rPr>
          <w:rFonts w:cstheme="minorHAnsi"/>
        </w:rPr>
        <w:t xml:space="preserve"> declined since 2018, with the once weekly formulation of exenatide delisted in February 2022</w:t>
      </w:r>
      <w:r>
        <w:rPr>
          <w:rFonts w:cstheme="minorHAnsi"/>
        </w:rPr>
        <w:t>. D</w:t>
      </w:r>
      <w:r w:rsidR="006E731C">
        <w:rPr>
          <w:rFonts w:cstheme="minorHAnsi"/>
        </w:rPr>
        <w:t xml:space="preserve">ulaglutide and semaglutide </w:t>
      </w:r>
      <w:r>
        <w:rPr>
          <w:rFonts w:cstheme="minorHAnsi"/>
        </w:rPr>
        <w:t xml:space="preserve">are </w:t>
      </w:r>
      <w:r w:rsidR="006E731C">
        <w:rPr>
          <w:rFonts w:cstheme="minorHAnsi"/>
        </w:rPr>
        <w:t>now the most prescribed GLP-1 RAs on the PBS.</w:t>
      </w:r>
    </w:p>
    <w:p w14:paraId="66C494A1" w14:textId="77777777" w:rsidR="005C755A" w:rsidRDefault="005C755A" w:rsidP="005C755A">
      <w:pPr>
        <w:pStyle w:val="4Bodytextnumbered"/>
        <w:keepNext/>
        <w:keepLines/>
        <w:ind w:left="0" w:firstLine="0"/>
        <w:rPr>
          <w:i/>
          <w:iCs/>
          <w:sz w:val="20"/>
          <w:szCs w:val="20"/>
        </w:rPr>
      </w:pPr>
    </w:p>
    <w:p w14:paraId="1E86D555" w14:textId="77777777" w:rsidR="005C755A" w:rsidRDefault="005C755A" w:rsidP="005C755A">
      <w:pPr>
        <w:pStyle w:val="4Bodytextnumbered"/>
        <w:keepNext/>
        <w:keepLines/>
        <w:ind w:left="0" w:firstLine="0"/>
        <w:rPr>
          <w:i/>
          <w:iCs/>
          <w:sz w:val="20"/>
          <w:szCs w:val="20"/>
        </w:rPr>
      </w:pPr>
    </w:p>
    <w:p w14:paraId="35B2E67C" w14:textId="77777777" w:rsidR="005C755A" w:rsidRDefault="005C755A" w:rsidP="005C755A">
      <w:r>
        <w:rPr>
          <w:noProof/>
        </w:rPr>
        <w:drawing>
          <wp:inline distT="0" distB="0" distL="0" distR="0" wp14:anchorId="179A1533" wp14:editId="49C4CD6C">
            <wp:extent cx="5943600" cy="4029075"/>
            <wp:effectExtent l="0" t="0" r="0" b="9525"/>
            <wp:docPr id="2" name="Chart 2" descr="Stacked area graph of R/PBS prescriptions dispensed for GLP-1 RAs, from 2013 to 2021, showing rapid increase in use of dulaglutide from 2018 and semaglutide from 2020, and a decline in the use of exenatide from 2018.">
              <a:extLst xmlns:a="http://schemas.openxmlformats.org/drawingml/2006/main">
                <a:ext uri="{FF2B5EF4-FFF2-40B4-BE49-F238E27FC236}">
                  <a16:creationId xmlns:a16="http://schemas.microsoft.com/office/drawing/2014/main" id="{377C6C55-ABB0-464D-863C-E99E444D4A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40FD43" w14:textId="7B6B7775" w:rsidR="005C755A" w:rsidRPr="00063020" w:rsidRDefault="005C755A" w:rsidP="005C755A">
      <w:pPr>
        <w:spacing w:before="120"/>
        <w:rPr>
          <w:rFonts w:ascii="Arial Narrow" w:hAnsi="Arial Narrow"/>
          <w:b/>
          <w:bCs/>
          <w:sz w:val="20"/>
          <w:szCs w:val="20"/>
        </w:rPr>
      </w:pPr>
      <w:bookmarkStart w:id="6" w:name="Fig2"/>
      <w:r w:rsidRPr="00063020">
        <w:rPr>
          <w:rFonts w:ascii="Arial Narrow" w:hAnsi="Arial Narrow"/>
          <w:b/>
          <w:bCs/>
          <w:sz w:val="20"/>
          <w:szCs w:val="20"/>
        </w:rPr>
        <w:t xml:space="preserve">Figure </w:t>
      </w:r>
      <w:bookmarkEnd w:id="6"/>
      <w:r w:rsidRPr="00063020">
        <w:rPr>
          <w:rFonts w:ascii="Arial Narrow" w:hAnsi="Arial Narrow"/>
          <w:b/>
          <w:bCs/>
          <w:sz w:val="20"/>
          <w:szCs w:val="20"/>
        </w:rPr>
        <w:t>1: Stacked area graph of R/PBS prescriptions dispensed for GLP-1 RAs, 2013</w:t>
      </w:r>
      <w:r w:rsidR="00571E51" w:rsidRPr="00063020">
        <w:rPr>
          <w:rFonts w:ascii="Arial Narrow" w:hAnsi="Arial Narrow"/>
          <w:b/>
          <w:bCs/>
          <w:sz w:val="20"/>
          <w:szCs w:val="20"/>
        </w:rPr>
        <w:t xml:space="preserve"> to </w:t>
      </w:r>
      <w:r w:rsidRPr="00063020">
        <w:rPr>
          <w:rFonts w:ascii="Arial Narrow" w:hAnsi="Arial Narrow"/>
          <w:b/>
          <w:bCs/>
          <w:sz w:val="20"/>
          <w:szCs w:val="20"/>
        </w:rPr>
        <w:t xml:space="preserve">2021 </w:t>
      </w:r>
    </w:p>
    <w:p w14:paraId="7740C17D" w14:textId="726B3FA7" w:rsidR="005C755A" w:rsidRPr="00063020" w:rsidRDefault="005C755A" w:rsidP="005C755A">
      <w:pPr>
        <w:pStyle w:val="4Bodytextnumbered"/>
        <w:ind w:left="0" w:firstLine="0"/>
        <w:rPr>
          <w:rFonts w:ascii="Arial Narrow" w:hAnsi="Arial Narrow"/>
          <w:i/>
          <w:iCs/>
          <w:sz w:val="20"/>
          <w:szCs w:val="20"/>
        </w:rPr>
      </w:pPr>
      <w:r w:rsidRPr="00063020">
        <w:rPr>
          <w:rFonts w:ascii="Arial Narrow" w:hAnsi="Arial Narrow"/>
          <w:i/>
          <w:iCs/>
          <w:sz w:val="20"/>
          <w:szCs w:val="20"/>
        </w:rPr>
        <w:t xml:space="preserve">Source: </w:t>
      </w:r>
      <w:r w:rsidR="00063020" w:rsidRPr="00063020">
        <w:rPr>
          <w:rFonts w:ascii="Arial Narrow" w:hAnsi="Arial Narrow"/>
          <w:i/>
          <w:iCs/>
          <w:sz w:val="20"/>
          <w:szCs w:val="20"/>
        </w:rPr>
        <w:t>Services Australia PBS Item Reports</w:t>
      </w:r>
      <w:r w:rsidRPr="00063020">
        <w:rPr>
          <w:rFonts w:ascii="Arial Narrow" w:hAnsi="Arial Narrow"/>
          <w:i/>
          <w:iCs/>
          <w:sz w:val="20"/>
          <w:szCs w:val="20"/>
        </w:rPr>
        <w:t xml:space="preserve"> accessed 12/04/22.</w:t>
      </w:r>
    </w:p>
    <w:p w14:paraId="0A4BC390" w14:textId="77777777" w:rsidR="005C755A" w:rsidRPr="00A043B7" w:rsidRDefault="005C755A" w:rsidP="005C755A">
      <w:pPr>
        <w:pStyle w:val="3Bodytext"/>
        <w:numPr>
          <w:ilvl w:val="0"/>
          <w:numId w:val="0"/>
        </w:numPr>
        <w:rPr>
          <w:i/>
          <w:iCs/>
        </w:rPr>
      </w:pPr>
    </w:p>
    <w:p w14:paraId="78B1DD73" w14:textId="724603C8" w:rsidR="005C755A" w:rsidRPr="00063020" w:rsidRDefault="005C755A" w:rsidP="005C755A">
      <w:pPr>
        <w:pStyle w:val="4Bodytextnumbered"/>
        <w:keepNext/>
        <w:keepLines/>
        <w:ind w:left="0" w:firstLine="0"/>
        <w:rPr>
          <w:rFonts w:ascii="Arial Narrow" w:hAnsi="Arial Narrow"/>
          <w:b/>
          <w:bCs/>
          <w:sz w:val="20"/>
          <w:szCs w:val="20"/>
        </w:rPr>
      </w:pPr>
      <w:r w:rsidRPr="00063020">
        <w:rPr>
          <w:rFonts w:ascii="Arial Narrow" w:hAnsi="Arial Narrow"/>
          <w:b/>
          <w:bCs/>
          <w:sz w:val="20"/>
          <w:szCs w:val="20"/>
        </w:rPr>
        <w:t>Table 1: Total R/PBS benefits paid for all PBS-listed T2DM medicines (excluding insulins) and GLP</w:t>
      </w:r>
      <w:r w:rsidRPr="00063020">
        <w:rPr>
          <w:rFonts w:ascii="Arial Narrow" w:hAnsi="Arial Narrow"/>
          <w:b/>
          <w:bCs/>
          <w:sz w:val="20"/>
          <w:szCs w:val="20"/>
        </w:rPr>
        <w:noBreakHyphen/>
        <w:t xml:space="preserve">1 RAs (based on published prices), </w:t>
      </w:r>
      <w:r w:rsidR="00063020">
        <w:rPr>
          <w:rFonts w:ascii="Arial Narrow" w:hAnsi="Arial Narrow"/>
          <w:b/>
          <w:bCs/>
          <w:sz w:val="20"/>
          <w:szCs w:val="20"/>
        </w:rPr>
        <w:t xml:space="preserve">for financial years </w:t>
      </w:r>
      <w:r w:rsidRPr="00063020">
        <w:rPr>
          <w:rFonts w:ascii="Arial Narrow" w:hAnsi="Arial Narrow"/>
          <w:b/>
          <w:bCs/>
          <w:sz w:val="20"/>
          <w:szCs w:val="20"/>
        </w:rPr>
        <w:t xml:space="preserve">2016-17 to 2020-21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7"/>
        <w:gridCol w:w="1418"/>
        <w:gridCol w:w="1417"/>
        <w:gridCol w:w="1418"/>
        <w:gridCol w:w="1418"/>
      </w:tblGrid>
      <w:tr w:rsidR="005C755A" w:rsidRPr="00063020" w14:paraId="4EDAEC0F" w14:textId="77777777" w:rsidTr="007C7B3B">
        <w:trPr>
          <w:trHeight w:val="290"/>
        </w:trPr>
        <w:tc>
          <w:tcPr>
            <w:tcW w:w="2263" w:type="dxa"/>
            <w:shd w:val="clear" w:color="auto" w:fill="D9D9D9" w:themeFill="background1" w:themeFillShade="D9"/>
            <w:noWrap/>
            <w:vAlign w:val="bottom"/>
            <w:hideMark/>
          </w:tcPr>
          <w:p w14:paraId="46CA8D79" w14:textId="461390D4" w:rsidR="005C755A" w:rsidRPr="00063020" w:rsidRDefault="00063020" w:rsidP="007C7B3B">
            <w:pPr>
              <w:keepNext/>
              <w:keepLines/>
              <w:rPr>
                <w:rFonts w:ascii="Arial Narrow" w:hAnsi="Arial Narrow" w:cs="Calibri"/>
                <w:b/>
                <w:bCs/>
                <w:color w:val="000000"/>
                <w:sz w:val="20"/>
                <w:szCs w:val="20"/>
              </w:rPr>
            </w:pPr>
            <w:r>
              <w:rPr>
                <w:rFonts w:ascii="Arial Narrow" w:hAnsi="Arial Narrow" w:cs="Calibri"/>
                <w:b/>
                <w:bCs/>
                <w:color w:val="000000"/>
                <w:sz w:val="20"/>
                <w:szCs w:val="20"/>
              </w:rPr>
              <w:t>Year</w:t>
            </w:r>
          </w:p>
        </w:tc>
        <w:tc>
          <w:tcPr>
            <w:tcW w:w="1417" w:type="dxa"/>
            <w:shd w:val="clear" w:color="auto" w:fill="D9D9D9" w:themeFill="background1" w:themeFillShade="D9"/>
            <w:noWrap/>
            <w:vAlign w:val="center"/>
            <w:hideMark/>
          </w:tcPr>
          <w:p w14:paraId="63A22895" w14:textId="770A2EFF" w:rsidR="005C755A" w:rsidRPr="00063020" w:rsidRDefault="005C755A" w:rsidP="007C7B3B">
            <w:pPr>
              <w:keepNext/>
              <w:keepLines/>
              <w:jc w:val="center"/>
              <w:rPr>
                <w:rFonts w:ascii="Arial Narrow" w:hAnsi="Arial Narrow" w:cs="Calibri"/>
                <w:b/>
                <w:bCs/>
                <w:color w:val="000000"/>
                <w:sz w:val="20"/>
                <w:szCs w:val="20"/>
              </w:rPr>
            </w:pPr>
            <w:r w:rsidRPr="00063020">
              <w:rPr>
                <w:rFonts w:ascii="Arial Narrow" w:hAnsi="Arial Narrow" w:cs="Calibri"/>
                <w:b/>
                <w:bCs/>
                <w:color w:val="000000"/>
                <w:sz w:val="20"/>
                <w:szCs w:val="20"/>
              </w:rPr>
              <w:t>2016-17</w:t>
            </w:r>
          </w:p>
        </w:tc>
        <w:tc>
          <w:tcPr>
            <w:tcW w:w="1418" w:type="dxa"/>
            <w:shd w:val="clear" w:color="auto" w:fill="D9D9D9" w:themeFill="background1" w:themeFillShade="D9"/>
            <w:noWrap/>
            <w:vAlign w:val="center"/>
            <w:hideMark/>
          </w:tcPr>
          <w:p w14:paraId="5EFBBCDC" w14:textId="649FFBC3" w:rsidR="005C755A" w:rsidRPr="00063020" w:rsidRDefault="005C755A" w:rsidP="007C7B3B">
            <w:pPr>
              <w:keepNext/>
              <w:keepLines/>
              <w:jc w:val="center"/>
              <w:rPr>
                <w:rFonts w:ascii="Arial Narrow" w:hAnsi="Arial Narrow" w:cs="Calibri"/>
                <w:b/>
                <w:bCs/>
                <w:color w:val="000000"/>
                <w:sz w:val="20"/>
                <w:szCs w:val="20"/>
              </w:rPr>
            </w:pPr>
            <w:r w:rsidRPr="00063020">
              <w:rPr>
                <w:rFonts w:ascii="Arial Narrow" w:hAnsi="Arial Narrow" w:cs="Calibri"/>
                <w:b/>
                <w:bCs/>
                <w:color w:val="000000"/>
                <w:sz w:val="20"/>
                <w:szCs w:val="20"/>
              </w:rPr>
              <w:t>2017-18</w:t>
            </w:r>
          </w:p>
        </w:tc>
        <w:tc>
          <w:tcPr>
            <w:tcW w:w="1417" w:type="dxa"/>
            <w:shd w:val="clear" w:color="auto" w:fill="D9D9D9" w:themeFill="background1" w:themeFillShade="D9"/>
            <w:noWrap/>
            <w:vAlign w:val="center"/>
            <w:hideMark/>
          </w:tcPr>
          <w:p w14:paraId="7A8930DD" w14:textId="1F92AD82" w:rsidR="005C755A" w:rsidRPr="00063020" w:rsidRDefault="005C755A" w:rsidP="007C7B3B">
            <w:pPr>
              <w:keepNext/>
              <w:keepLines/>
              <w:jc w:val="center"/>
              <w:rPr>
                <w:rFonts w:ascii="Arial Narrow" w:hAnsi="Arial Narrow" w:cs="Calibri"/>
                <w:b/>
                <w:bCs/>
                <w:color w:val="000000"/>
                <w:sz w:val="20"/>
                <w:szCs w:val="20"/>
              </w:rPr>
            </w:pPr>
            <w:r w:rsidRPr="00063020">
              <w:rPr>
                <w:rFonts w:ascii="Arial Narrow" w:hAnsi="Arial Narrow" w:cs="Calibri"/>
                <w:b/>
                <w:bCs/>
                <w:color w:val="000000"/>
                <w:sz w:val="20"/>
                <w:szCs w:val="20"/>
              </w:rPr>
              <w:t>2018-19</w:t>
            </w:r>
          </w:p>
        </w:tc>
        <w:tc>
          <w:tcPr>
            <w:tcW w:w="1418" w:type="dxa"/>
            <w:shd w:val="clear" w:color="auto" w:fill="D9D9D9" w:themeFill="background1" w:themeFillShade="D9"/>
            <w:noWrap/>
            <w:vAlign w:val="center"/>
            <w:hideMark/>
          </w:tcPr>
          <w:p w14:paraId="7C249288" w14:textId="6655561E" w:rsidR="005C755A" w:rsidRPr="00063020" w:rsidRDefault="005C755A" w:rsidP="007C7B3B">
            <w:pPr>
              <w:keepNext/>
              <w:keepLines/>
              <w:jc w:val="center"/>
              <w:rPr>
                <w:rFonts w:ascii="Arial Narrow" w:hAnsi="Arial Narrow" w:cs="Calibri"/>
                <w:b/>
                <w:bCs/>
                <w:color w:val="000000"/>
                <w:sz w:val="20"/>
                <w:szCs w:val="20"/>
              </w:rPr>
            </w:pPr>
            <w:r w:rsidRPr="00063020">
              <w:rPr>
                <w:rFonts w:ascii="Arial Narrow" w:hAnsi="Arial Narrow" w:cs="Calibri"/>
                <w:b/>
                <w:bCs/>
                <w:color w:val="000000"/>
                <w:sz w:val="20"/>
                <w:szCs w:val="20"/>
              </w:rPr>
              <w:t>2019-20</w:t>
            </w:r>
          </w:p>
        </w:tc>
        <w:tc>
          <w:tcPr>
            <w:tcW w:w="1418" w:type="dxa"/>
            <w:shd w:val="clear" w:color="auto" w:fill="D9D9D9" w:themeFill="background1" w:themeFillShade="D9"/>
            <w:noWrap/>
            <w:vAlign w:val="center"/>
            <w:hideMark/>
          </w:tcPr>
          <w:p w14:paraId="22165C2D" w14:textId="09A26434" w:rsidR="005C755A" w:rsidRPr="00063020" w:rsidRDefault="005C755A" w:rsidP="007C7B3B">
            <w:pPr>
              <w:keepNext/>
              <w:keepLines/>
              <w:jc w:val="center"/>
              <w:rPr>
                <w:rFonts w:ascii="Arial Narrow" w:hAnsi="Arial Narrow" w:cs="Calibri"/>
                <w:b/>
                <w:bCs/>
                <w:color w:val="000000"/>
                <w:sz w:val="20"/>
                <w:szCs w:val="20"/>
              </w:rPr>
            </w:pPr>
            <w:r w:rsidRPr="00063020">
              <w:rPr>
                <w:rFonts w:ascii="Arial Narrow" w:hAnsi="Arial Narrow" w:cs="Calibri"/>
                <w:b/>
                <w:bCs/>
                <w:color w:val="000000"/>
                <w:sz w:val="20"/>
                <w:szCs w:val="20"/>
              </w:rPr>
              <w:t>2020-21</w:t>
            </w:r>
          </w:p>
        </w:tc>
      </w:tr>
      <w:tr w:rsidR="005C755A" w:rsidRPr="00063020" w14:paraId="467AD41B" w14:textId="77777777" w:rsidTr="007C7B3B">
        <w:trPr>
          <w:trHeight w:val="290"/>
        </w:trPr>
        <w:tc>
          <w:tcPr>
            <w:tcW w:w="2263" w:type="dxa"/>
            <w:shd w:val="clear" w:color="auto" w:fill="D9D9D9" w:themeFill="background1" w:themeFillShade="D9"/>
            <w:noWrap/>
            <w:vAlign w:val="bottom"/>
            <w:hideMark/>
          </w:tcPr>
          <w:p w14:paraId="3F9EE0C1" w14:textId="5E0D324B" w:rsidR="005C755A" w:rsidRPr="00063020" w:rsidRDefault="005C755A" w:rsidP="007C7B3B">
            <w:pPr>
              <w:keepNext/>
              <w:keepLines/>
              <w:rPr>
                <w:rFonts w:ascii="Arial Narrow" w:hAnsi="Arial Narrow" w:cs="Calibri"/>
                <w:b/>
                <w:bCs/>
                <w:color w:val="000000"/>
                <w:sz w:val="20"/>
                <w:szCs w:val="20"/>
              </w:rPr>
            </w:pPr>
            <w:r w:rsidRPr="00063020">
              <w:rPr>
                <w:rFonts w:ascii="Arial Narrow" w:hAnsi="Arial Narrow" w:cs="Calibri"/>
                <w:b/>
                <w:bCs/>
                <w:color w:val="000000"/>
                <w:sz w:val="20"/>
                <w:szCs w:val="20"/>
              </w:rPr>
              <w:t xml:space="preserve">All T2DM </w:t>
            </w:r>
            <w:r w:rsidR="00063020">
              <w:rPr>
                <w:rFonts w:ascii="Arial Narrow" w:hAnsi="Arial Narrow" w:cs="Calibri"/>
                <w:b/>
                <w:bCs/>
                <w:color w:val="000000"/>
                <w:sz w:val="20"/>
                <w:szCs w:val="20"/>
              </w:rPr>
              <w:t>medicines</w:t>
            </w:r>
          </w:p>
        </w:tc>
        <w:tc>
          <w:tcPr>
            <w:tcW w:w="1417" w:type="dxa"/>
            <w:shd w:val="clear" w:color="auto" w:fill="auto"/>
            <w:noWrap/>
            <w:vAlign w:val="center"/>
            <w:hideMark/>
          </w:tcPr>
          <w:p w14:paraId="4D2115C4"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$247,993,296</w:t>
            </w:r>
          </w:p>
        </w:tc>
        <w:tc>
          <w:tcPr>
            <w:tcW w:w="1418" w:type="dxa"/>
            <w:shd w:val="clear" w:color="auto" w:fill="auto"/>
            <w:noWrap/>
            <w:vAlign w:val="center"/>
            <w:hideMark/>
          </w:tcPr>
          <w:p w14:paraId="094CEF40"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$297,774,723</w:t>
            </w:r>
          </w:p>
        </w:tc>
        <w:tc>
          <w:tcPr>
            <w:tcW w:w="1417" w:type="dxa"/>
            <w:shd w:val="clear" w:color="auto" w:fill="auto"/>
            <w:noWrap/>
            <w:vAlign w:val="center"/>
            <w:hideMark/>
          </w:tcPr>
          <w:p w14:paraId="67832511"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$347,469,544</w:t>
            </w:r>
          </w:p>
        </w:tc>
        <w:tc>
          <w:tcPr>
            <w:tcW w:w="1418" w:type="dxa"/>
            <w:shd w:val="clear" w:color="auto" w:fill="auto"/>
            <w:noWrap/>
            <w:vAlign w:val="center"/>
            <w:hideMark/>
          </w:tcPr>
          <w:p w14:paraId="2D31ED92"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$395,900,534</w:t>
            </w:r>
          </w:p>
        </w:tc>
        <w:tc>
          <w:tcPr>
            <w:tcW w:w="1418" w:type="dxa"/>
            <w:shd w:val="clear" w:color="auto" w:fill="auto"/>
            <w:noWrap/>
            <w:vAlign w:val="center"/>
            <w:hideMark/>
          </w:tcPr>
          <w:p w14:paraId="6F73BF32"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$476,881,273</w:t>
            </w:r>
          </w:p>
        </w:tc>
      </w:tr>
      <w:tr w:rsidR="005C755A" w:rsidRPr="00063020" w14:paraId="44B21F8E" w14:textId="77777777" w:rsidTr="007C7B3B">
        <w:trPr>
          <w:trHeight w:val="290"/>
        </w:trPr>
        <w:tc>
          <w:tcPr>
            <w:tcW w:w="2263" w:type="dxa"/>
            <w:shd w:val="clear" w:color="auto" w:fill="D9D9D9" w:themeFill="background1" w:themeFillShade="D9"/>
            <w:noWrap/>
            <w:vAlign w:val="bottom"/>
          </w:tcPr>
          <w:p w14:paraId="7127DBDC" w14:textId="3B4F5697" w:rsidR="005C755A" w:rsidRPr="00063020" w:rsidRDefault="005C755A" w:rsidP="007C7B3B">
            <w:pPr>
              <w:keepNext/>
              <w:keepLines/>
              <w:rPr>
                <w:rFonts w:ascii="Arial Narrow" w:hAnsi="Arial Narrow" w:cs="Calibri"/>
                <w:b/>
                <w:bCs/>
                <w:color w:val="000000"/>
                <w:sz w:val="20"/>
                <w:szCs w:val="20"/>
              </w:rPr>
            </w:pPr>
            <w:r w:rsidRPr="00063020">
              <w:rPr>
                <w:rFonts w:ascii="Arial Narrow" w:hAnsi="Arial Narrow" w:cs="Calibri"/>
                <w:b/>
                <w:bCs/>
                <w:color w:val="000000"/>
                <w:sz w:val="20"/>
                <w:szCs w:val="20"/>
              </w:rPr>
              <w:t>GLP-1 RA</w:t>
            </w:r>
            <w:r w:rsidR="00063020">
              <w:rPr>
                <w:rFonts w:ascii="Arial Narrow" w:hAnsi="Arial Narrow" w:cs="Calibri"/>
                <w:b/>
                <w:bCs/>
                <w:color w:val="000000"/>
                <w:sz w:val="20"/>
                <w:szCs w:val="20"/>
              </w:rPr>
              <w:t>s</w:t>
            </w:r>
          </w:p>
        </w:tc>
        <w:tc>
          <w:tcPr>
            <w:tcW w:w="1417" w:type="dxa"/>
            <w:shd w:val="clear" w:color="auto" w:fill="auto"/>
            <w:noWrap/>
            <w:vAlign w:val="center"/>
          </w:tcPr>
          <w:p w14:paraId="212A6EC6"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$25,681,158</w:t>
            </w:r>
          </w:p>
        </w:tc>
        <w:tc>
          <w:tcPr>
            <w:tcW w:w="1418" w:type="dxa"/>
            <w:shd w:val="clear" w:color="auto" w:fill="auto"/>
            <w:noWrap/>
            <w:vAlign w:val="center"/>
          </w:tcPr>
          <w:p w14:paraId="73E8727A"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$36,397,938</w:t>
            </w:r>
          </w:p>
        </w:tc>
        <w:tc>
          <w:tcPr>
            <w:tcW w:w="1417" w:type="dxa"/>
            <w:shd w:val="clear" w:color="auto" w:fill="auto"/>
            <w:noWrap/>
            <w:vAlign w:val="center"/>
          </w:tcPr>
          <w:p w14:paraId="377C9647"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$50,251,518</w:t>
            </w:r>
          </w:p>
        </w:tc>
        <w:tc>
          <w:tcPr>
            <w:tcW w:w="1418" w:type="dxa"/>
            <w:shd w:val="clear" w:color="auto" w:fill="auto"/>
            <w:noWrap/>
            <w:vAlign w:val="center"/>
          </w:tcPr>
          <w:p w14:paraId="419DE142"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$68,230,400</w:t>
            </w:r>
          </w:p>
        </w:tc>
        <w:tc>
          <w:tcPr>
            <w:tcW w:w="1418" w:type="dxa"/>
            <w:shd w:val="clear" w:color="auto" w:fill="auto"/>
            <w:noWrap/>
            <w:vAlign w:val="center"/>
          </w:tcPr>
          <w:p w14:paraId="60D7750B"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$101,335,034</w:t>
            </w:r>
          </w:p>
        </w:tc>
      </w:tr>
      <w:tr w:rsidR="005C755A" w:rsidRPr="00063020" w14:paraId="444C8781" w14:textId="77777777" w:rsidTr="007C7B3B">
        <w:trPr>
          <w:trHeight w:val="290"/>
        </w:trPr>
        <w:tc>
          <w:tcPr>
            <w:tcW w:w="2263" w:type="dxa"/>
            <w:shd w:val="clear" w:color="auto" w:fill="D9D9D9" w:themeFill="background1" w:themeFillShade="D9"/>
            <w:noWrap/>
            <w:vAlign w:val="bottom"/>
            <w:hideMark/>
          </w:tcPr>
          <w:p w14:paraId="00716E65" w14:textId="6DB9B58C" w:rsidR="005C755A" w:rsidRPr="00063020" w:rsidRDefault="005C755A" w:rsidP="007C7B3B">
            <w:pPr>
              <w:keepNext/>
              <w:keepLines/>
              <w:rPr>
                <w:rFonts w:ascii="Arial Narrow" w:hAnsi="Arial Narrow" w:cs="Calibri"/>
                <w:b/>
                <w:bCs/>
                <w:color w:val="000000"/>
                <w:sz w:val="20"/>
                <w:szCs w:val="20"/>
              </w:rPr>
            </w:pPr>
            <w:r w:rsidRPr="00063020">
              <w:rPr>
                <w:rFonts w:ascii="Arial Narrow" w:hAnsi="Arial Narrow" w:cs="Calibri"/>
                <w:b/>
                <w:bCs/>
                <w:color w:val="000000"/>
                <w:sz w:val="20"/>
                <w:szCs w:val="20"/>
              </w:rPr>
              <w:t>GLP-1 RA</w:t>
            </w:r>
            <w:r w:rsidR="00063020">
              <w:rPr>
                <w:rFonts w:ascii="Arial Narrow" w:hAnsi="Arial Narrow" w:cs="Calibri"/>
                <w:b/>
                <w:bCs/>
                <w:color w:val="000000"/>
                <w:sz w:val="20"/>
                <w:szCs w:val="20"/>
              </w:rPr>
              <w:t>s</w:t>
            </w:r>
            <w:r w:rsidRPr="00063020">
              <w:rPr>
                <w:rFonts w:ascii="Arial Narrow" w:hAnsi="Arial Narrow" w:cs="Calibri"/>
                <w:b/>
                <w:bCs/>
                <w:color w:val="000000"/>
                <w:sz w:val="20"/>
                <w:szCs w:val="20"/>
              </w:rPr>
              <w:t xml:space="preserve"> % of all T2DM</w:t>
            </w:r>
          </w:p>
        </w:tc>
        <w:tc>
          <w:tcPr>
            <w:tcW w:w="1417" w:type="dxa"/>
            <w:shd w:val="clear" w:color="auto" w:fill="auto"/>
            <w:noWrap/>
            <w:vAlign w:val="center"/>
            <w:hideMark/>
          </w:tcPr>
          <w:p w14:paraId="1AA4CA12"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10%</w:t>
            </w:r>
          </w:p>
        </w:tc>
        <w:tc>
          <w:tcPr>
            <w:tcW w:w="1418" w:type="dxa"/>
            <w:shd w:val="clear" w:color="auto" w:fill="auto"/>
            <w:noWrap/>
            <w:vAlign w:val="center"/>
            <w:hideMark/>
          </w:tcPr>
          <w:p w14:paraId="3EE8E2EA"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12%</w:t>
            </w:r>
          </w:p>
        </w:tc>
        <w:tc>
          <w:tcPr>
            <w:tcW w:w="1417" w:type="dxa"/>
            <w:shd w:val="clear" w:color="auto" w:fill="auto"/>
            <w:noWrap/>
            <w:vAlign w:val="center"/>
            <w:hideMark/>
          </w:tcPr>
          <w:p w14:paraId="07561034"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14%</w:t>
            </w:r>
          </w:p>
        </w:tc>
        <w:tc>
          <w:tcPr>
            <w:tcW w:w="1418" w:type="dxa"/>
            <w:shd w:val="clear" w:color="auto" w:fill="auto"/>
            <w:noWrap/>
            <w:vAlign w:val="center"/>
            <w:hideMark/>
          </w:tcPr>
          <w:p w14:paraId="0BB846F4"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17%</w:t>
            </w:r>
          </w:p>
        </w:tc>
        <w:tc>
          <w:tcPr>
            <w:tcW w:w="1418" w:type="dxa"/>
            <w:shd w:val="clear" w:color="auto" w:fill="auto"/>
            <w:noWrap/>
            <w:vAlign w:val="center"/>
            <w:hideMark/>
          </w:tcPr>
          <w:p w14:paraId="3786AAA0" w14:textId="77777777" w:rsidR="005C755A" w:rsidRPr="00063020" w:rsidRDefault="005C755A" w:rsidP="007C7B3B">
            <w:pPr>
              <w:keepNext/>
              <w:keepLines/>
              <w:jc w:val="right"/>
              <w:rPr>
                <w:rFonts w:ascii="Arial Narrow" w:hAnsi="Arial Narrow" w:cs="Calibri"/>
                <w:color w:val="000000"/>
                <w:sz w:val="20"/>
                <w:szCs w:val="20"/>
              </w:rPr>
            </w:pPr>
            <w:r w:rsidRPr="00063020">
              <w:rPr>
                <w:rFonts w:ascii="Arial Narrow" w:hAnsi="Arial Narrow" w:cs="Calibri"/>
                <w:color w:val="000000"/>
                <w:sz w:val="20"/>
                <w:szCs w:val="20"/>
              </w:rPr>
              <w:t>21%</w:t>
            </w:r>
          </w:p>
        </w:tc>
      </w:tr>
    </w:tbl>
    <w:p w14:paraId="46F72F5D" w14:textId="77777777" w:rsidR="005C755A" w:rsidRPr="00063020" w:rsidRDefault="005C755A" w:rsidP="005C755A">
      <w:pPr>
        <w:pStyle w:val="4Bodytextnumbered"/>
        <w:keepNext/>
        <w:keepLines/>
        <w:ind w:left="0" w:firstLine="0"/>
        <w:rPr>
          <w:rFonts w:ascii="Arial Narrow" w:hAnsi="Arial Narrow"/>
          <w:i/>
          <w:iCs/>
          <w:sz w:val="20"/>
          <w:szCs w:val="20"/>
        </w:rPr>
      </w:pPr>
      <w:r w:rsidRPr="00063020">
        <w:rPr>
          <w:rFonts w:ascii="Arial Narrow" w:hAnsi="Arial Narrow"/>
          <w:i/>
          <w:iCs/>
          <w:sz w:val="20"/>
          <w:szCs w:val="20"/>
        </w:rPr>
        <w:t xml:space="preserve">Source: </w:t>
      </w:r>
      <w:proofErr w:type="spellStart"/>
      <w:r w:rsidRPr="00063020">
        <w:rPr>
          <w:rFonts w:ascii="Arial Narrow" w:hAnsi="Arial Narrow"/>
          <w:i/>
          <w:iCs/>
          <w:sz w:val="20"/>
          <w:szCs w:val="20"/>
        </w:rPr>
        <w:t>DoH</w:t>
      </w:r>
      <w:proofErr w:type="spellEnd"/>
      <w:r w:rsidRPr="00063020">
        <w:rPr>
          <w:rFonts w:ascii="Arial Narrow" w:hAnsi="Arial Narrow"/>
          <w:i/>
          <w:iCs/>
          <w:sz w:val="20"/>
          <w:szCs w:val="20"/>
        </w:rPr>
        <w:t xml:space="preserve"> PBS Data, extracted 6/8/21; Services Australia PBS Item Reports, accessed 12/04/22.</w:t>
      </w:r>
    </w:p>
    <w:p w14:paraId="04758C4E" w14:textId="77777777" w:rsidR="005C755A" w:rsidRDefault="005C755A" w:rsidP="005C755A">
      <w:pPr>
        <w:pStyle w:val="3Bodytext"/>
        <w:numPr>
          <w:ilvl w:val="0"/>
          <w:numId w:val="0"/>
        </w:numPr>
        <w:rPr>
          <w:rFonts w:cstheme="minorHAnsi"/>
          <w:i/>
          <w:iCs/>
          <w:sz w:val="28"/>
          <w:szCs w:val="28"/>
        </w:rPr>
      </w:pPr>
    </w:p>
    <w:p w14:paraId="2CBE7B49" w14:textId="77777777" w:rsidR="00CD0297" w:rsidRPr="00707E86" w:rsidRDefault="00CD0297" w:rsidP="005D4672">
      <w:pPr>
        <w:pStyle w:val="Heading2"/>
      </w:pPr>
      <w:r w:rsidRPr="00707E86">
        <w:t xml:space="preserve">PBS restrictions </w:t>
      </w:r>
      <w:r>
        <w:t xml:space="preserve">for GLP-1 RAs </w:t>
      </w:r>
    </w:p>
    <w:p w14:paraId="228C6B0D" w14:textId="52A7F51B" w:rsidR="00CD0297" w:rsidRPr="002201BC" w:rsidRDefault="00F25E1B" w:rsidP="00CD0297">
      <w:pPr>
        <w:pStyle w:val="3Bodytext"/>
      </w:pPr>
      <w:r>
        <w:t xml:space="preserve">The </w:t>
      </w:r>
      <w:r w:rsidR="000B5804">
        <w:t>PBA</w:t>
      </w:r>
      <w:r w:rsidR="00CD0297">
        <w:t xml:space="preserve">C noted that </w:t>
      </w:r>
      <w:r w:rsidR="00CD0297" w:rsidRPr="002201BC">
        <w:t>GLP-1 RAs are currently PBS subsidised for T2DM patients as:</w:t>
      </w:r>
    </w:p>
    <w:p w14:paraId="7FF388CB" w14:textId="77777777" w:rsidR="00CD0297" w:rsidRPr="002201BC" w:rsidRDefault="00CD0297" w:rsidP="00F565A2">
      <w:pPr>
        <w:pStyle w:val="Style1"/>
        <w:ind w:left="924"/>
      </w:pPr>
      <w:r w:rsidRPr="002201BC">
        <w:t>dual therapy with metformin, where metformin + SU is contraindicated/not tolerated</w:t>
      </w:r>
    </w:p>
    <w:p w14:paraId="3CD3C0FE" w14:textId="77777777" w:rsidR="00CD0297" w:rsidRPr="002201BC" w:rsidRDefault="00CD0297" w:rsidP="00F565A2">
      <w:pPr>
        <w:pStyle w:val="Style1"/>
        <w:ind w:left="924"/>
      </w:pPr>
      <w:r w:rsidRPr="002201BC">
        <w:t xml:space="preserve">dual therapy with SU, where metformin + SU is contraindicated/not tolerated (semaglutide and exenatide only) </w:t>
      </w:r>
    </w:p>
    <w:p w14:paraId="229FA3D2" w14:textId="77777777" w:rsidR="00CD0297" w:rsidRPr="002201BC" w:rsidRDefault="00CD0297" w:rsidP="00F565A2">
      <w:pPr>
        <w:pStyle w:val="Style1"/>
        <w:ind w:left="924"/>
      </w:pPr>
      <w:r w:rsidRPr="002201BC">
        <w:t>dual therapy with insulin, where metformin is contraindicated/not tolerated</w:t>
      </w:r>
    </w:p>
    <w:p w14:paraId="615C7712" w14:textId="77777777" w:rsidR="00CD0297" w:rsidRPr="002201BC" w:rsidRDefault="00CD0297" w:rsidP="00F565A2">
      <w:pPr>
        <w:pStyle w:val="Style1"/>
        <w:ind w:left="924"/>
      </w:pPr>
      <w:r w:rsidRPr="002201BC">
        <w:t>triple therapy with metformin + SU/insulin.</w:t>
      </w:r>
    </w:p>
    <w:p w14:paraId="3350C7D4" w14:textId="77777777" w:rsidR="00CD0297" w:rsidRDefault="00CD0297" w:rsidP="00CD0297">
      <w:pPr>
        <w:pStyle w:val="3Bodytext"/>
      </w:pPr>
      <w:r>
        <w:lastRenderedPageBreak/>
        <w:t xml:space="preserve">To qualify for initial treatment with a GLP-1 RA, the patient must have, or have had, a HbA1c greater than 7% (or blood glucose levels greater than 10 mmol/L in more than 20% of tests over a 2-week period) despite prior treatment. </w:t>
      </w:r>
    </w:p>
    <w:p w14:paraId="3D0EE522" w14:textId="6B53FB2A" w:rsidR="00CD0297" w:rsidRDefault="00CD0297" w:rsidP="00CD0297">
      <w:pPr>
        <w:pStyle w:val="3Bodytext"/>
      </w:pPr>
      <w:r>
        <w:t>GLP-1 RAs are not PBS-subsidised for use as monotherapy, or in combination with a DPP4 inhibitor, a thiazolidinedione (</w:t>
      </w:r>
      <w:proofErr w:type="spellStart"/>
      <w:r>
        <w:t>glitazone</w:t>
      </w:r>
      <w:proofErr w:type="spellEnd"/>
      <w:r>
        <w:t>), or an SGLT2 inhibitor.</w:t>
      </w:r>
    </w:p>
    <w:p w14:paraId="0FD76CD4" w14:textId="2C3B7A87" w:rsidR="00063BB6" w:rsidRDefault="00063BB6" w:rsidP="00CD0297">
      <w:pPr>
        <w:pStyle w:val="3Bodytext"/>
      </w:pPr>
      <w:r>
        <w:t>PBAC noted that the Therapeutic Goods Administration (TGA) registered indications for GLP-1 RAs are broader than the PBS restrictions and allow use in monotherapy</w:t>
      </w:r>
      <w:r w:rsidR="00F25E1B">
        <w:t xml:space="preserve"> (</w:t>
      </w:r>
      <w:r>
        <w:t>sometimes requiring contraindication/intolerance to metformin</w:t>
      </w:r>
      <w:r w:rsidR="00F25E1B">
        <w:t>)</w:t>
      </w:r>
      <w:r>
        <w:t xml:space="preserve">, and </w:t>
      </w:r>
      <w:r w:rsidR="00F25E1B">
        <w:t xml:space="preserve">in combination </w:t>
      </w:r>
      <w:r>
        <w:t>with a broad range of</w:t>
      </w:r>
      <w:r w:rsidR="00F25E1B">
        <w:t xml:space="preserve"> other T2DM medicines</w:t>
      </w:r>
      <w:r>
        <w:t>.</w:t>
      </w:r>
    </w:p>
    <w:p w14:paraId="7F793060" w14:textId="366924AB" w:rsidR="00CD0297" w:rsidRPr="00506AAA" w:rsidRDefault="00CD0297" w:rsidP="005C4B6F">
      <w:pPr>
        <w:pStyle w:val="3Bodytext"/>
        <w:rPr>
          <w:szCs w:val="24"/>
        </w:rPr>
      </w:pPr>
      <w:bookmarkStart w:id="7" w:name="_Hlk102488598"/>
      <w:r w:rsidRPr="00F20207">
        <w:t xml:space="preserve">The </w:t>
      </w:r>
      <w:r>
        <w:t xml:space="preserve">PBS </w:t>
      </w:r>
      <w:r w:rsidRPr="00F20207">
        <w:t xml:space="preserve">restrictions for </w:t>
      </w:r>
      <w:r>
        <w:t xml:space="preserve">GLP-1 RAs </w:t>
      </w:r>
      <w:r w:rsidRPr="00F20207">
        <w:t xml:space="preserve">differ </w:t>
      </w:r>
      <w:r>
        <w:t xml:space="preserve">from </w:t>
      </w:r>
      <w:r w:rsidR="00F25E1B">
        <w:t xml:space="preserve">the restrictions for </w:t>
      </w:r>
      <w:r w:rsidRPr="00F20207">
        <w:t xml:space="preserve">SGLT2 </w:t>
      </w:r>
      <w:r w:rsidR="00F25E1B">
        <w:t xml:space="preserve">inhibitors </w:t>
      </w:r>
      <w:r w:rsidRPr="00F20207">
        <w:t>and DPP4 inhibitors in that dual therapy with metformin</w:t>
      </w:r>
      <w:r>
        <w:t>/</w:t>
      </w:r>
      <w:r w:rsidRPr="00F20207">
        <w:t xml:space="preserve">SU </w:t>
      </w:r>
      <w:r>
        <w:t xml:space="preserve">requires </w:t>
      </w:r>
      <w:r w:rsidRPr="00F20207">
        <w:t>contraindication/intolerance to metformin + SU.</w:t>
      </w:r>
      <w:r>
        <w:t xml:space="preserve"> </w:t>
      </w:r>
      <w:r w:rsidRPr="00B824D1">
        <w:t xml:space="preserve">The PBS restrictions for SGLT2 </w:t>
      </w:r>
      <w:r w:rsidR="00F25E1B">
        <w:t xml:space="preserve">inhibitors </w:t>
      </w:r>
      <w:r w:rsidRPr="00B824D1">
        <w:t xml:space="preserve">and DPP4 inhibitors also previously required contraindication/intolerance to a combination of metformin + SU. </w:t>
      </w:r>
      <w:bookmarkStart w:id="8" w:name="_Hlk102726311"/>
      <w:r>
        <w:t xml:space="preserve">However, in 2013, </w:t>
      </w:r>
      <w:r w:rsidRPr="00506AAA">
        <w:rPr>
          <w:szCs w:val="24"/>
        </w:rPr>
        <w:t xml:space="preserve">as a result of the 2012/13 DUSC </w:t>
      </w:r>
      <w:r w:rsidR="000B5804" w:rsidRPr="000B5804">
        <w:rPr>
          <w:szCs w:val="24"/>
        </w:rPr>
        <w:t>‘</w:t>
      </w:r>
      <w:r w:rsidRPr="000B5804">
        <w:rPr>
          <w:szCs w:val="24"/>
        </w:rPr>
        <w:t>Analysis of drugs for type 2 diabetes</w:t>
      </w:r>
      <w:r w:rsidR="000B5804" w:rsidRPr="000B5804">
        <w:rPr>
          <w:szCs w:val="24"/>
        </w:rPr>
        <w:t>’</w:t>
      </w:r>
      <w:r w:rsidR="00F25E1B">
        <w:rPr>
          <w:szCs w:val="24"/>
        </w:rPr>
        <w:t>,</w:t>
      </w:r>
      <w:r w:rsidRPr="000B5804">
        <w:rPr>
          <w:rStyle w:val="FootnoteReference"/>
        </w:rPr>
        <w:footnoteReference w:id="2"/>
      </w:r>
      <w:r w:rsidRPr="00506AAA">
        <w:rPr>
          <w:szCs w:val="24"/>
        </w:rPr>
        <w:t xml:space="preserve"> the PBAC recommended that the restrictions for DPP4 inhibitors be amended to remove the requirement for contraindication/intolerance to a SU, contingent on a price reduction to account for the likely amount of non-cost-effective use</w:t>
      </w:r>
      <w:r>
        <w:rPr>
          <w:szCs w:val="24"/>
        </w:rPr>
        <w:t xml:space="preserve">, and </w:t>
      </w:r>
      <w:r w:rsidRPr="00506AAA">
        <w:rPr>
          <w:szCs w:val="24"/>
        </w:rPr>
        <w:t xml:space="preserve">that approximately 40% of use should be cost-minimised to the price of the average daily dose of a SU. </w:t>
      </w:r>
      <w:r w:rsidRPr="00506AAA">
        <w:rPr>
          <w:rFonts w:ascii="Calibri" w:hAnsi="Calibri"/>
          <w:szCs w:val="24"/>
        </w:rPr>
        <w:t>In 2014, the PBAC recommended alignment of the restrictions and prices for SGLT2 inhibitors with DPP4 inhibitors.</w:t>
      </w:r>
    </w:p>
    <w:p w14:paraId="6741C9B6" w14:textId="7DE6633D" w:rsidR="00CD0297" w:rsidRDefault="003A6922" w:rsidP="00CD0297">
      <w:pPr>
        <w:pStyle w:val="3Bodytext"/>
        <w:jc w:val="left"/>
        <w:rPr>
          <w:szCs w:val="24"/>
        </w:rPr>
      </w:pPr>
      <w:r w:rsidRPr="003A6922">
        <w:rPr>
          <w:szCs w:val="24"/>
        </w:rPr>
        <w:t>Table</w:t>
      </w:r>
      <w:r>
        <w:rPr>
          <w:szCs w:val="24"/>
        </w:rPr>
        <w:t xml:space="preserve"> </w:t>
      </w:r>
      <w:r w:rsidR="005C755A">
        <w:rPr>
          <w:szCs w:val="24"/>
        </w:rPr>
        <w:t>2</w:t>
      </w:r>
      <w:r w:rsidR="00CD0297" w:rsidRPr="00506AAA">
        <w:rPr>
          <w:szCs w:val="24"/>
        </w:rPr>
        <w:t xml:space="preserve"> contains a summary of the PBS restrictions for T2DM medicines.</w:t>
      </w:r>
    </w:p>
    <w:p w14:paraId="51877594" w14:textId="0A056A20" w:rsidR="003A6922" w:rsidRDefault="003A6922" w:rsidP="003A6922">
      <w:pPr>
        <w:rPr>
          <w:rFonts w:asciiTheme="minorHAnsi" w:hAnsiTheme="minorHAnsi" w:cstheme="minorHAnsi"/>
          <w:b/>
          <w:sz w:val="22"/>
          <w:szCs w:val="22"/>
        </w:rPr>
      </w:pPr>
      <w:r w:rsidRPr="00DC4E30">
        <w:rPr>
          <w:rFonts w:asciiTheme="minorHAnsi" w:hAnsiTheme="minorHAnsi" w:cstheme="minorHAnsi"/>
          <w:b/>
          <w:sz w:val="22"/>
          <w:szCs w:val="22"/>
        </w:rPr>
        <w:t xml:space="preserve">Table </w:t>
      </w:r>
      <w:r w:rsidR="005C755A">
        <w:rPr>
          <w:rFonts w:asciiTheme="minorHAnsi" w:hAnsiTheme="minorHAnsi" w:cstheme="minorHAnsi"/>
          <w:b/>
          <w:sz w:val="22"/>
          <w:szCs w:val="22"/>
        </w:rPr>
        <w:t>2</w:t>
      </w:r>
      <w:r w:rsidRPr="00DC4E30">
        <w:rPr>
          <w:rFonts w:asciiTheme="minorHAnsi" w:hAnsiTheme="minorHAnsi" w:cstheme="minorHAnsi"/>
          <w:b/>
          <w:sz w:val="22"/>
          <w:szCs w:val="22"/>
        </w:rPr>
        <w:t xml:space="preserve">: </w:t>
      </w:r>
      <w:r>
        <w:rPr>
          <w:rFonts w:asciiTheme="minorHAnsi" w:hAnsiTheme="minorHAnsi" w:cstheme="minorHAnsi"/>
          <w:b/>
          <w:sz w:val="22"/>
          <w:szCs w:val="22"/>
        </w:rPr>
        <w:t xml:space="preserve">Abridged PBS restrictions for </w:t>
      </w:r>
      <w:r w:rsidRPr="00DC4E30">
        <w:rPr>
          <w:rFonts w:asciiTheme="minorHAnsi" w:hAnsiTheme="minorHAnsi" w:cstheme="minorHAnsi"/>
          <w:b/>
          <w:sz w:val="22"/>
          <w:szCs w:val="22"/>
        </w:rPr>
        <w:t xml:space="preserve">T2DM medicines (excluding insulins) </w:t>
      </w:r>
      <w:proofErr w:type="gramStart"/>
      <w:r w:rsidRPr="00DC4E30">
        <w:rPr>
          <w:rFonts w:asciiTheme="minorHAnsi" w:hAnsiTheme="minorHAnsi" w:cstheme="minorHAnsi"/>
          <w:b/>
          <w:sz w:val="22"/>
          <w:szCs w:val="22"/>
        </w:rPr>
        <w:t>at</w:t>
      </w:r>
      <w:proofErr w:type="gramEnd"/>
      <w:r w:rsidRPr="00DC4E30">
        <w:rPr>
          <w:rFonts w:asciiTheme="minorHAnsi" w:hAnsiTheme="minorHAnsi" w:cstheme="minorHAnsi"/>
          <w:b/>
          <w:sz w:val="22"/>
          <w:szCs w:val="22"/>
        </w:rPr>
        <w:t> December</w:t>
      </w:r>
      <w:r>
        <w:rPr>
          <w:rFonts w:asciiTheme="minorHAnsi" w:hAnsiTheme="minorHAnsi" w:cstheme="minorHAnsi"/>
          <w:b/>
          <w:sz w:val="22"/>
          <w:szCs w:val="22"/>
        </w:rPr>
        <w:t> </w:t>
      </w:r>
      <w:r w:rsidRPr="00DC4E30">
        <w:rPr>
          <w:rFonts w:asciiTheme="minorHAnsi" w:hAnsiTheme="minorHAnsi" w:cstheme="minorHAnsi"/>
          <w:b/>
          <w:sz w:val="22"/>
          <w:szCs w:val="22"/>
        </w:rPr>
        <w:t>2021</w:t>
      </w:r>
    </w:p>
    <w:p w14:paraId="54B6A17B" w14:textId="77777777" w:rsidR="003A6922" w:rsidRDefault="003A6922" w:rsidP="003A6922">
      <w:pPr>
        <w:pStyle w:val="ListParagraph"/>
        <w:numPr>
          <w:ilvl w:val="0"/>
          <w:numId w:val="46"/>
        </w:numPr>
        <w:rPr>
          <w:rFonts w:asciiTheme="minorHAnsi" w:hAnsiTheme="minorHAnsi" w:cstheme="minorHAnsi"/>
          <w:b/>
          <w:sz w:val="22"/>
          <w:szCs w:val="22"/>
        </w:rPr>
      </w:pPr>
      <w:r>
        <w:rPr>
          <w:rFonts w:asciiTheme="minorHAnsi" w:hAnsiTheme="minorHAnsi" w:cstheme="minorHAnsi"/>
          <w:b/>
          <w:sz w:val="22"/>
          <w:szCs w:val="22"/>
        </w:rPr>
        <w:t>Unrestricted medicines</w:t>
      </w:r>
    </w:p>
    <w:tbl>
      <w:tblPr>
        <w:tblStyle w:val="TableGrid"/>
        <w:tblW w:w="0" w:type="auto"/>
        <w:tblInd w:w="421" w:type="dxa"/>
        <w:tblLook w:val="04A0" w:firstRow="1" w:lastRow="0" w:firstColumn="1" w:lastColumn="0" w:noHBand="0" w:noVBand="1"/>
      </w:tblPr>
      <w:tblGrid>
        <w:gridCol w:w="2551"/>
        <w:gridCol w:w="1985"/>
      </w:tblGrid>
      <w:tr w:rsidR="003A6922" w14:paraId="3B300205" w14:textId="77777777" w:rsidTr="007C7B3B">
        <w:trPr>
          <w:trHeight w:val="340"/>
        </w:trPr>
        <w:tc>
          <w:tcPr>
            <w:tcW w:w="2551" w:type="dxa"/>
            <w:tcBorders>
              <w:top w:val="single" w:sz="4" w:space="0" w:color="auto"/>
              <w:left w:val="single" w:sz="4" w:space="0" w:color="auto"/>
              <w:bottom w:val="single" w:sz="4" w:space="0" w:color="auto"/>
              <w:right w:val="single" w:sz="4" w:space="0" w:color="auto"/>
            </w:tcBorders>
            <w:shd w:val="pct12" w:color="auto" w:fill="auto"/>
            <w:vAlign w:val="center"/>
          </w:tcPr>
          <w:p w14:paraId="7D5DC90A" w14:textId="77777777" w:rsidR="003A6922" w:rsidRPr="00D473C1" w:rsidRDefault="003A6922" w:rsidP="007C7B3B">
            <w:pPr>
              <w:rPr>
                <w:rFonts w:ascii="Arial Narrow" w:hAnsi="Arial Narrow" w:cstheme="minorHAnsi"/>
                <w:b/>
                <w:iCs/>
                <w:sz w:val="20"/>
                <w:szCs w:val="20"/>
              </w:rPr>
            </w:pPr>
            <w:r w:rsidRPr="00D473C1">
              <w:rPr>
                <w:rFonts w:ascii="Arial Narrow" w:hAnsi="Arial Narrow" w:cstheme="minorHAnsi"/>
                <w:b/>
                <w:iCs/>
                <w:sz w:val="20"/>
                <w:szCs w:val="20"/>
              </w:rPr>
              <w:t>Class</w:t>
            </w:r>
          </w:p>
        </w:tc>
        <w:tc>
          <w:tcPr>
            <w:tcW w:w="1985" w:type="dxa"/>
            <w:tcBorders>
              <w:top w:val="single" w:sz="4" w:space="0" w:color="auto"/>
              <w:left w:val="single" w:sz="4" w:space="0" w:color="auto"/>
              <w:bottom w:val="single" w:sz="4" w:space="0" w:color="auto"/>
              <w:right w:val="single" w:sz="4" w:space="0" w:color="auto"/>
            </w:tcBorders>
            <w:shd w:val="pct12" w:color="auto" w:fill="auto"/>
            <w:vAlign w:val="center"/>
          </w:tcPr>
          <w:p w14:paraId="11F69147" w14:textId="77777777" w:rsidR="003A6922" w:rsidRPr="00D473C1" w:rsidRDefault="003A6922" w:rsidP="007C7B3B">
            <w:pPr>
              <w:rPr>
                <w:rFonts w:ascii="Arial Narrow" w:hAnsi="Arial Narrow" w:cstheme="minorHAnsi"/>
                <w:b/>
                <w:iCs/>
                <w:sz w:val="20"/>
                <w:szCs w:val="20"/>
              </w:rPr>
            </w:pPr>
            <w:r w:rsidRPr="00D473C1">
              <w:rPr>
                <w:rFonts w:ascii="Arial Narrow" w:hAnsi="Arial Narrow" w:cstheme="minorHAnsi"/>
                <w:b/>
                <w:iCs/>
                <w:sz w:val="20"/>
                <w:szCs w:val="20"/>
              </w:rPr>
              <w:t>Drug</w:t>
            </w:r>
          </w:p>
        </w:tc>
      </w:tr>
      <w:tr w:rsidR="003A6922" w14:paraId="5F60D2DD" w14:textId="77777777" w:rsidTr="007C7B3B">
        <w:trPr>
          <w:trHeight w:val="340"/>
        </w:trPr>
        <w:tc>
          <w:tcPr>
            <w:tcW w:w="2551" w:type="dxa"/>
            <w:tcBorders>
              <w:top w:val="single" w:sz="4" w:space="0" w:color="auto"/>
              <w:left w:val="single" w:sz="4" w:space="0" w:color="auto"/>
              <w:bottom w:val="single" w:sz="4" w:space="0" w:color="auto"/>
              <w:right w:val="single" w:sz="4" w:space="0" w:color="auto"/>
            </w:tcBorders>
            <w:vAlign w:val="center"/>
          </w:tcPr>
          <w:p w14:paraId="3BCA609E" w14:textId="7A3FFC24" w:rsidR="003A6922" w:rsidRPr="00232BD9" w:rsidRDefault="003A6922" w:rsidP="007C7B3B">
            <w:pPr>
              <w:rPr>
                <w:rFonts w:ascii="Arial Narrow" w:hAnsi="Arial Narrow" w:cstheme="minorHAnsi"/>
                <w:bCs/>
                <w:iCs/>
                <w:sz w:val="20"/>
                <w:szCs w:val="20"/>
              </w:rPr>
            </w:pPr>
            <w:r w:rsidRPr="00232BD9">
              <w:rPr>
                <w:rFonts w:ascii="Arial Narrow" w:hAnsi="Arial Narrow" w:cstheme="minorHAnsi"/>
                <w:bCs/>
                <w:iCs/>
                <w:sz w:val="20"/>
                <w:szCs w:val="20"/>
              </w:rPr>
              <w:t>Biguanide</w:t>
            </w:r>
          </w:p>
        </w:tc>
        <w:tc>
          <w:tcPr>
            <w:tcW w:w="1985" w:type="dxa"/>
            <w:tcBorders>
              <w:top w:val="single" w:sz="4" w:space="0" w:color="auto"/>
              <w:left w:val="single" w:sz="4" w:space="0" w:color="auto"/>
              <w:bottom w:val="single" w:sz="4" w:space="0" w:color="auto"/>
              <w:right w:val="single" w:sz="4" w:space="0" w:color="auto"/>
            </w:tcBorders>
            <w:vAlign w:val="center"/>
          </w:tcPr>
          <w:p w14:paraId="5DE96F54" w14:textId="77777777" w:rsidR="003A6922" w:rsidRPr="00D473C1" w:rsidRDefault="003A6922" w:rsidP="007C7B3B">
            <w:pPr>
              <w:rPr>
                <w:rFonts w:ascii="Arial Narrow" w:hAnsi="Arial Narrow" w:cstheme="minorHAnsi"/>
                <w:iCs/>
                <w:sz w:val="20"/>
                <w:szCs w:val="20"/>
              </w:rPr>
            </w:pPr>
            <w:r w:rsidRPr="00D473C1">
              <w:rPr>
                <w:rFonts w:ascii="Arial Narrow" w:hAnsi="Arial Narrow" w:cstheme="minorHAnsi"/>
                <w:iCs/>
                <w:sz w:val="20"/>
                <w:szCs w:val="20"/>
              </w:rPr>
              <w:t>Metformin</w:t>
            </w:r>
          </w:p>
        </w:tc>
      </w:tr>
      <w:tr w:rsidR="003A6922" w14:paraId="3E65FE5A" w14:textId="77777777" w:rsidTr="007C7B3B">
        <w:trPr>
          <w:trHeight w:val="340"/>
        </w:trPr>
        <w:tc>
          <w:tcPr>
            <w:tcW w:w="2551" w:type="dxa"/>
            <w:tcBorders>
              <w:top w:val="single" w:sz="4" w:space="0" w:color="auto"/>
              <w:left w:val="single" w:sz="4" w:space="0" w:color="auto"/>
              <w:right w:val="single" w:sz="4" w:space="0" w:color="auto"/>
            </w:tcBorders>
            <w:shd w:val="clear" w:color="auto" w:fill="auto"/>
            <w:vAlign w:val="center"/>
          </w:tcPr>
          <w:p w14:paraId="208650F6" w14:textId="398BBABA" w:rsidR="003A6922" w:rsidRPr="00232BD9" w:rsidRDefault="003A6922" w:rsidP="007C7B3B">
            <w:pPr>
              <w:rPr>
                <w:rFonts w:ascii="Arial Narrow" w:hAnsi="Arial Narrow" w:cstheme="minorHAnsi"/>
                <w:bCs/>
                <w:iCs/>
                <w:sz w:val="20"/>
                <w:szCs w:val="20"/>
              </w:rPr>
            </w:pPr>
            <w:r w:rsidRPr="00232BD9">
              <w:rPr>
                <w:rFonts w:ascii="Arial Narrow" w:hAnsi="Arial Narrow" w:cstheme="minorHAnsi"/>
                <w:bCs/>
                <w:iCs/>
                <w:sz w:val="20"/>
                <w:szCs w:val="20"/>
              </w:rPr>
              <w:t>Sulfonylurea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DCBDB0" w14:textId="77777777" w:rsidR="003A6922" w:rsidRPr="00D473C1" w:rsidRDefault="003A6922" w:rsidP="007C7B3B">
            <w:pPr>
              <w:rPr>
                <w:rFonts w:ascii="Arial Narrow" w:hAnsi="Arial Narrow" w:cstheme="minorHAnsi"/>
                <w:b/>
                <w:iCs/>
                <w:sz w:val="20"/>
                <w:szCs w:val="20"/>
              </w:rPr>
            </w:pPr>
            <w:proofErr w:type="spellStart"/>
            <w:r w:rsidRPr="00D473C1">
              <w:rPr>
                <w:rFonts w:ascii="Arial Narrow" w:hAnsi="Arial Narrow" w:cstheme="minorHAnsi"/>
                <w:iCs/>
                <w:sz w:val="20"/>
                <w:szCs w:val="20"/>
              </w:rPr>
              <w:t>Glibenclamide</w:t>
            </w:r>
            <w:proofErr w:type="spellEnd"/>
          </w:p>
        </w:tc>
      </w:tr>
      <w:tr w:rsidR="00232BD9" w14:paraId="230E6C1B" w14:textId="77777777" w:rsidTr="00C802F0">
        <w:trPr>
          <w:trHeight w:val="340"/>
        </w:trPr>
        <w:tc>
          <w:tcPr>
            <w:tcW w:w="2551" w:type="dxa"/>
            <w:tcBorders>
              <w:left w:val="single" w:sz="4" w:space="0" w:color="auto"/>
              <w:right w:val="single" w:sz="4" w:space="0" w:color="auto"/>
            </w:tcBorders>
            <w:shd w:val="clear" w:color="auto" w:fill="auto"/>
          </w:tcPr>
          <w:p w14:paraId="69DB8E5F" w14:textId="64380F5F" w:rsidR="00232BD9" w:rsidRPr="00232BD9" w:rsidRDefault="00232BD9" w:rsidP="00232BD9">
            <w:pPr>
              <w:rPr>
                <w:rFonts w:ascii="Arial Narrow" w:hAnsi="Arial Narrow" w:cstheme="minorHAnsi"/>
                <w:bCs/>
                <w:iCs/>
                <w:sz w:val="20"/>
                <w:szCs w:val="20"/>
              </w:rPr>
            </w:pPr>
            <w:bookmarkStart w:id="9" w:name="_Hlk164682032"/>
            <w:r w:rsidRPr="00232BD9">
              <w:rPr>
                <w:rFonts w:ascii="Arial Narrow" w:hAnsi="Arial Narrow" w:cstheme="minorHAnsi"/>
                <w:bCs/>
                <w:iCs/>
                <w:sz w:val="20"/>
                <w:szCs w:val="20"/>
              </w:rPr>
              <w:t>Sulfonylurea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F1BDE3" w14:textId="77777777" w:rsidR="00232BD9" w:rsidRPr="00D473C1" w:rsidRDefault="00232BD9" w:rsidP="00232BD9">
            <w:pPr>
              <w:rPr>
                <w:rFonts w:ascii="Arial Narrow" w:hAnsi="Arial Narrow" w:cstheme="minorHAnsi"/>
                <w:iCs/>
                <w:sz w:val="20"/>
                <w:szCs w:val="20"/>
              </w:rPr>
            </w:pPr>
            <w:r w:rsidRPr="00D473C1">
              <w:rPr>
                <w:rFonts w:ascii="Arial Narrow" w:hAnsi="Arial Narrow" w:cstheme="minorHAnsi"/>
                <w:iCs/>
                <w:sz w:val="20"/>
                <w:szCs w:val="20"/>
              </w:rPr>
              <w:t>Gliclazide</w:t>
            </w:r>
          </w:p>
        </w:tc>
      </w:tr>
      <w:tr w:rsidR="00232BD9" w14:paraId="5F3F16AB" w14:textId="77777777" w:rsidTr="00C802F0">
        <w:trPr>
          <w:trHeight w:val="340"/>
        </w:trPr>
        <w:tc>
          <w:tcPr>
            <w:tcW w:w="2551" w:type="dxa"/>
            <w:tcBorders>
              <w:left w:val="single" w:sz="4" w:space="0" w:color="auto"/>
              <w:right w:val="single" w:sz="4" w:space="0" w:color="auto"/>
            </w:tcBorders>
            <w:shd w:val="clear" w:color="auto" w:fill="auto"/>
          </w:tcPr>
          <w:p w14:paraId="7B561BF3" w14:textId="55B29FC1" w:rsidR="00232BD9" w:rsidRPr="00232BD9" w:rsidRDefault="00232BD9" w:rsidP="00232BD9">
            <w:pPr>
              <w:rPr>
                <w:rFonts w:ascii="Arial Narrow" w:hAnsi="Arial Narrow" w:cstheme="minorHAnsi"/>
                <w:bCs/>
                <w:iCs/>
                <w:sz w:val="20"/>
                <w:szCs w:val="20"/>
              </w:rPr>
            </w:pPr>
            <w:r w:rsidRPr="00232BD9">
              <w:rPr>
                <w:rFonts w:ascii="Arial Narrow" w:hAnsi="Arial Narrow" w:cstheme="minorHAnsi"/>
                <w:bCs/>
                <w:iCs/>
                <w:sz w:val="20"/>
                <w:szCs w:val="20"/>
              </w:rPr>
              <w:t>Sulfonylurea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7B38CE" w14:textId="77777777" w:rsidR="00232BD9" w:rsidRPr="00D473C1" w:rsidRDefault="00232BD9" w:rsidP="00232BD9">
            <w:pPr>
              <w:rPr>
                <w:rFonts w:ascii="Arial Narrow" w:hAnsi="Arial Narrow" w:cstheme="minorHAnsi"/>
                <w:iCs/>
                <w:sz w:val="20"/>
                <w:szCs w:val="20"/>
              </w:rPr>
            </w:pPr>
            <w:r w:rsidRPr="00D473C1">
              <w:rPr>
                <w:rFonts w:ascii="Arial Narrow" w:hAnsi="Arial Narrow" w:cstheme="minorHAnsi"/>
                <w:iCs/>
                <w:sz w:val="20"/>
                <w:szCs w:val="20"/>
              </w:rPr>
              <w:t>Glimepiride</w:t>
            </w:r>
          </w:p>
        </w:tc>
      </w:tr>
      <w:tr w:rsidR="00232BD9" w14:paraId="59DFC733" w14:textId="77777777" w:rsidTr="00C802F0">
        <w:trPr>
          <w:trHeight w:val="340"/>
        </w:trPr>
        <w:tc>
          <w:tcPr>
            <w:tcW w:w="2551" w:type="dxa"/>
            <w:tcBorders>
              <w:left w:val="single" w:sz="4" w:space="0" w:color="auto"/>
              <w:bottom w:val="single" w:sz="4" w:space="0" w:color="auto"/>
              <w:right w:val="single" w:sz="4" w:space="0" w:color="auto"/>
            </w:tcBorders>
            <w:shd w:val="clear" w:color="auto" w:fill="auto"/>
          </w:tcPr>
          <w:p w14:paraId="1255842D" w14:textId="40A7A3B4" w:rsidR="00232BD9" w:rsidRPr="00232BD9" w:rsidRDefault="00232BD9" w:rsidP="00232BD9">
            <w:pPr>
              <w:rPr>
                <w:rFonts w:ascii="Arial Narrow" w:hAnsi="Arial Narrow" w:cstheme="minorHAnsi"/>
                <w:bCs/>
                <w:iCs/>
                <w:sz w:val="20"/>
                <w:szCs w:val="20"/>
              </w:rPr>
            </w:pPr>
            <w:r w:rsidRPr="00232BD9">
              <w:rPr>
                <w:rFonts w:ascii="Arial Narrow" w:hAnsi="Arial Narrow" w:cstheme="minorHAnsi"/>
                <w:bCs/>
                <w:iCs/>
                <w:sz w:val="20"/>
                <w:szCs w:val="20"/>
              </w:rPr>
              <w:t>Sulfonylurea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BC74F5" w14:textId="77777777" w:rsidR="00232BD9" w:rsidRPr="00D473C1" w:rsidRDefault="00232BD9" w:rsidP="00232BD9">
            <w:pPr>
              <w:rPr>
                <w:rFonts w:ascii="Arial Narrow" w:hAnsi="Arial Narrow" w:cstheme="minorHAnsi"/>
                <w:iCs/>
                <w:sz w:val="20"/>
                <w:szCs w:val="20"/>
              </w:rPr>
            </w:pPr>
            <w:r w:rsidRPr="00D473C1">
              <w:rPr>
                <w:rFonts w:ascii="Arial Narrow" w:hAnsi="Arial Narrow" w:cstheme="minorHAnsi"/>
                <w:iCs/>
                <w:sz w:val="20"/>
                <w:szCs w:val="20"/>
              </w:rPr>
              <w:t>Glipizide</w:t>
            </w:r>
          </w:p>
        </w:tc>
      </w:tr>
      <w:bookmarkEnd w:id="9"/>
      <w:tr w:rsidR="003A6922" w14:paraId="32E545A6" w14:textId="77777777" w:rsidTr="007C7B3B">
        <w:trPr>
          <w:trHeight w:val="340"/>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E9D474" w14:textId="03B8E36C" w:rsidR="003A6922" w:rsidRPr="00232BD9" w:rsidRDefault="003A6922" w:rsidP="007C7B3B">
            <w:pPr>
              <w:rPr>
                <w:rFonts w:ascii="Arial Narrow" w:hAnsi="Arial Narrow" w:cstheme="minorHAnsi"/>
                <w:bCs/>
                <w:iCs/>
                <w:sz w:val="20"/>
                <w:szCs w:val="20"/>
              </w:rPr>
            </w:pPr>
            <w:r w:rsidRPr="00232BD9">
              <w:rPr>
                <w:rFonts w:ascii="Arial Narrow" w:hAnsi="Arial Narrow" w:cstheme="minorHAnsi"/>
                <w:bCs/>
                <w:iCs/>
                <w:sz w:val="20"/>
                <w:szCs w:val="20"/>
              </w:rPr>
              <w:t>Alpha glucosidase inhibitor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8859AE" w14:textId="77777777" w:rsidR="003A6922" w:rsidRPr="00D473C1" w:rsidRDefault="003A6922" w:rsidP="007C7B3B">
            <w:pPr>
              <w:rPr>
                <w:rFonts w:ascii="Arial Narrow" w:hAnsi="Arial Narrow" w:cstheme="minorHAnsi"/>
                <w:b/>
                <w:iCs/>
                <w:sz w:val="20"/>
                <w:szCs w:val="20"/>
              </w:rPr>
            </w:pPr>
            <w:r w:rsidRPr="00D473C1">
              <w:rPr>
                <w:rFonts w:ascii="Arial Narrow" w:hAnsi="Arial Narrow" w:cstheme="minorHAnsi"/>
                <w:iCs/>
                <w:sz w:val="20"/>
                <w:szCs w:val="20"/>
              </w:rPr>
              <w:t>Acarbose</w:t>
            </w:r>
          </w:p>
        </w:tc>
      </w:tr>
    </w:tbl>
    <w:p w14:paraId="20ADB830" w14:textId="77777777" w:rsidR="003A6922" w:rsidRDefault="003A6922" w:rsidP="003A6922">
      <w:pPr>
        <w:pStyle w:val="ListParagraph"/>
        <w:ind w:left="720"/>
        <w:rPr>
          <w:rFonts w:asciiTheme="minorHAnsi" w:hAnsiTheme="minorHAnsi" w:cstheme="minorHAnsi"/>
          <w:b/>
          <w:sz w:val="22"/>
          <w:szCs w:val="22"/>
        </w:rPr>
      </w:pPr>
    </w:p>
    <w:p w14:paraId="437FDCD5" w14:textId="77777777" w:rsidR="003A6922" w:rsidRPr="00D473C1" w:rsidRDefault="003A6922" w:rsidP="005C755A">
      <w:pPr>
        <w:pStyle w:val="ListParagraph"/>
        <w:keepNext/>
        <w:keepLines/>
        <w:numPr>
          <w:ilvl w:val="0"/>
          <w:numId w:val="46"/>
        </w:numPr>
        <w:rPr>
          <w:rFonts w:ascii="Arial Narrow" w:hAnsi="Arial Narrow" w:cstheme="minorHAnsi"/>
          <w:b/>
          <w:sz w:val="20"/>
          <w:szCs w:val="20"/>
        </w:rPr>
      </w:pPr>
      <w:r w:rsidRPr="00D473C1">
        <w:rPr>
          <w:rFonts w:ascii="Arial Narrow" w:hAnsi="Arial Narrow" w:cstheme="minorHAnsi"/>
          <w:b/>
          <w:sz w:val="20"/>
          <w:szCs w:val="20"/>
        </w:rPr>
        <w:lastRenderedPageBreak/>
        <w:t>Authority Required (STREAMLINED) medicines</w:t>
      </w:r>
    </w:p>
    <w:tbl>
      <w:tblPr>
        <w:tblStyle w:val="TableGrid"/>
        <w:tblW w:w="9213" w:type="dxa"/>
        <w:tblInd w:w="421" w:type="dxa"/>
        <w:tblLook w:val="04A0" w:firstRow="1" w:lastRow="0" w:firstColumn="1" w:lastColumn="0" w:noHBand="0" w:noVBand="1"/>
      </w:tblPr>
      <w:tblGrid>
        <w:gridCol w:w="1275"/>
        <w:gridCol w:w="1803"/>
        <w:gridCol w:w="1533"/>
        <w:gridCol w:w="1534"/>
        <w:gridCol w:w="1534"/>
        <w:gridCol w:w="1534"/>
      </w:tblGrid>
      <w:tr w:rsidR="003A6922" w14:paraId="25CCA3EC" w14:textId="77777777" w:rsidTr="007C7B3B">
        <w:trPr>
          <w:trHeight w:val="340"/>
          <w:tblHeader/>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7B797" w14:textId="77777777" w:rsidR="003A6922" w:rsidRDefault="003A6922" w:rsidP="005C755A">
            <w:pPr>
              <w:keepNext/>
              <w:keepLines/>
              <w:rPr>
                <w:rFonts w:cstheme="minorHAnsi"/>
                <w:b/>
                <w:sz w:val="20"/>
              </w:rPr>
            </w:pPr>
            <w:r>
              <w:rPr>
                <w:rFonts w:cstheme="minorHAnsi"/>
                <w:b/>
                <w:sz w:val="20"/>
              </w:rPr>
              <w:t>Class</w:t>
            </w:r>
          </w:p>
        </w:tc>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AD806" w14:textId="77777777" w:rsidR="003A6922" w:rsidRDefault="003A6922" w:rsidP="005C755A">
            <w:pPr>
              <w:keepNext/>
              <w:keepLines/>
              <w:rPr>
                <w:rFonts w:cstheme="minorHAnsi"/>
                <w:b/>
                <w:sz w:val="20"/>
                <w:szCs w:val="20"/>
              </w:rPr>
            </w:pPr>
            <w:r>
              <w:rPr>
                <w:rFonts w:cstheme="minorHAnsi"/>
                <w:b/>
                <w:sz w:val="20"/>
              </w:rPr>
              <w:t>Drug</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E328D" w14:textId="77777777" w:rsidR="003A6922" w:rsidRDefault="003A6922" w:rsidP="005C755A">
            <w:pPr>
              <w:keepNext/>
              <w:keepLines/>
              <w:jc w:val="center"/>
              <w:rPr>
                <w:rFonts w:cstheme="minorHAnsi"/>
                <w:b/>
                <w:sz w:val="20"/>
              </w:rPr>
            </w:pPr>
            <w:r>
              <w:rPr>
                <w:rFonts w:cstheme="minorHAnsi"/>
                <w:b/>
                <w:sz w:val="20"/>
              </w:rPr>
              <w:t>Dual oral with Met/SU</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612EE" w14:textId="77777777" w:rsidR="003A6922" w:rsidRDefault="003A6922" w:rsidP="005C755A">
            <w:pPr>
              <w:keepNext/>
              <w:keepLines/>
              <w:jc w:val="center"/>
              <w:rPr>
                <w:rFonts w:cstheme="minorHAnsi"/>
                <w:b/>
                <w:sz w:val="20"/>
              </w:rPr>
            </w:pPr>
            <w:r>
              <w:rPr>
                <w:rFonts w:cstheme="minorHAnsi"/>
                <w:b/>
                <w:sz w:val="20"/>
              </w:rPr>
              <w:t>Triple therapy with Met + SU</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107C7" w14:textId="77777777" w:rsidR="003A6922" w:rsidRDefault="003A6922" w:rsidP="005C755A">
            <w:pPr>
              <w:keepNext/>
              <w:keepLines/>
              <w:jc w:val="center"/>
              <w:rPr>
                <w:rFonts w:cstheme="minorHAnsi"/>
                <w:b/>
                <w:sz w:val="20"/>
                <w:vertAlign w:val="superscript"/>
              </w:rPr>
            </w:pPr>
            <w:r>
              <w:rPr>
                <w:rFonts w:cstheme="minorHAnsi"/>
                <w:b/>
                <w:sz w:val="20"/>
              </w:rPr>
              <w:t>With insulin</w:t>
            </w:r>
            <w:r>
              <w:rPr>
                <w:rFonts w:cstheme="minorHAnsi"/>
                <w:b/>
                <w:sz w:val="20"/>
                <w:vertAlign w:val="superscript"/>
              </w:rPr>
              <w:t xml:space="preserve"> </w:t>
            </w:r>
            <w:r>
              <w:rPr>
                <w:rFonts w:cstheme="minorHAnsi"/>
                <w:b/>
                <w:sz w:val="20"/>
              </w:rPr>
              <w:t>(+/- Met)</w:t>
            </w:r>
            <w:r>
              <w:rPr>
                <w:rFonts w:cstheme="minorHAnsi"/>
                <w:b/>
                <w:sz w:val="20"/>
                <w:vertAlign w:val="superscript"/>
              </w:rPr>
              <w:t>3</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45CE5" w14:textId="77777777" w:rsidR="003A6922" w:rsidRDefault="003A6922" w:rsidP="005C755A">
            <w:pPr>
              <w:keepNext/>
              <w:keepLines/>
              <w:jc w:val="center"/>
              <w:rPr>
                <w:rFonts w:cstheme="minorHAnsi"/>
                <w:b/>
                <w:sz w:val="20"/>
              </w:rPr>
            </w:pPr>
            <w:r>
              <w:rPr>
                <w:rFonts w:cstheme="minorHAnsi"/>
                <w:b/>
                <w:sz w:val="20"/>
              </w:rPr>
              <w:t>Triple therapy with Met +</w:t>
            </w:r>
          </w:p>
        </w:tc>
      </w:tr>
      <w:tr w:rsidR="003A6922" w14:paraId="4F3D4844" w14:textId="77777777" w:rsidTr="007C7B3B">
        <w:trPr>
          <w:trHeight w:val="340"/>
        </w:trPr>
        <w:tc>
          <w:tcPr>
            <w:tcW w:w="1275" w:type="dxa"/>
            <w:tcBorders>
              <w:top w:val="single" w:sz="4" w:space="0" w:color="auto"/>
              <w:left w:val="single" w:sz="4" w:space="0" w:color="auto"/>
              <w:right w:val="single" w:sz="4" w:space="0" w:color="auto"/>
            </w:tcBorders>
            <w:vAlign w:val="center"/>
          </w:tcPr>
          <w:p w14:paraId="36B94969" w14:textId="369259E1" w:rsidR="003A6922" w:rsidRPr="00232BD9" w:rsidRDefault="003A6922" w:rsidP="005C755A">
            <w:pPr>
              <w:keepNext/>
              <w:keepLines/>
              <w:rPr>
                <w:rFonts w:cstheme="minorHAnsi"/>
                <w:bCs/>
                <w:iCs/>
                <w:sz w:val="20"/>
              </w:rPr>
            </w:pPr>
            <w:r w:rsidRPr="00232BD9">
              <w:rPr>
                <w:rFonts w:cstheme="minorHAnsi"/>
                <w:bCs/>
                <w:iCs/>
                <w:sz w:val="20"/>
              </w:rPr>
              <w:t>DPP4i</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D420F37" w14:textId="77777777" w:rsidR="003A6922" w:rsidRDefault="003A6922" w:rsidP="005C755A">
            <w:pPr>
              <w:keepNext/>
              <w:keepLines/>
              <w:rPr>
                <w:rFonts w:cstheme="minorHAnsi"/>
                <w:sz w:val="20"/>
              </w:rPr>
            </w:pPr>
            <w:r>
              <w:rPr>
                <w:rFonts w:cstheme="minorHAnsi"/>
                <w:sz w:val="20"/>
              </w:rPr>
              <w:t>Alogliptin</w:t>
            </w:r>
            <w:r>
              <w:rPr>
                <w:rFonts w:cstheme="minorHAnsi"/>
                <w:sz w:val="20"/>
                <w:vertAlign w:val="superscript"/>
              </w:rPr>
              <w:t>2</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A4EBB85"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697CD7F9" w14:textId="77777777" w:rsidR="003A6922" w:rsidRDefault="003A6922" w:rsidP="005C755A">
            <w:pPr>
              <w:keepNext/>
              <w:keepLines/>
              <w:jc w:val="center"/>
              <w:rPr>
                <w:rFonts w:cstheme="minorHAnsi"/>
                <w:sz w:val="20"/>
              </w:rPr>
            </w:pPr>
            <w:r>
              <w:rPr>
                <w:rFonts w:cstheme="minorHAnsi"/>
                <w:sz w:val="20"/>
              </w:rPr>
              <w:t>X</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576528E" w14:textId="77777777" w:rsidR="003A6922" w:rsidRDefault="003A6922" w:rsidP="005C755A">
            <w:pPr>
              <w:keepNext/>
              <w:keepLines/>
              <w:jc w:val="center"/>
              <w:rPr>
                <w:rFonts w:cstheme="minorHAnsi"/>
                <w:sz w:val="20"/>
              </w:rPr>
            </w:pPr>
            <w:r>
              <w:rPr>
                <w:rFonts w:cstheme="minorHAnsi"/>
                <w:sz w:val="20"/>
              </w:rPr>
              <w:t>X</w:t>
            </w:r>
          </w:p>
        </w:tc>
        <w:tc>
          <w:tcPr>
            <w:tcW w:w="1534" w:type="dxa"/>
            <w:tcBorders>
              <w:top w:val="single" w:sz="4" w:space="0" w:color="auto"/>
              <w:left w:val="single" w:sz="4" w:space="0" w:color="auto"/>
              <w:bottom w:val="single" w:sz="4" w:space="0" w:color="auto"/>
              <w:right w:val="single" w:sz="4" w:space="0" w:color="auto"/>
            </w:tcBorders>
            <w:vAlign w:val="center"/>
            <w:hideMark/>
          </w:tcPr>
          <w:p w14:paraId="574A0F64" w14:textId="77777777" w:rsidR="003A6922" w:rsidRDefault="003A6922" w:rsidP="005C755A">
            <w:pPr>
              <w:keepNext/>
              <w:keepLines/>
              <w:jc w:val="center"/>
              <w:rPr>
                <w:rFonts w:cstheme="minorHAnsi"/>
                <w:sz w:val="20"/>
              </w:rPr>
            </w:pPr>
            <w:r>
              <w:rPr>
                <w:rFonts w:cstheme="minorHAnsi"/>
                <w:sz w:val="20"/>
              </w:rPr>
              <w:t>X</w:t>
            </w:r>
          </w:p>
        </w:tc>
      </w:tr>
      <w:tr w:rsidR="00232BD9" w14:paraId="3DF30F19" w14:textId="77777777" w:rsidTr="00A97B88">
        <w:trPr>
          <w:trHeight w:val="340"/>
        </w:trPr>
        <w:tc>
          <w:tcPr>
            <w:tcW w:w="1275" w:type="dxa"/>
            <w:tcBorders>
              <w:left w:val="single" w:sz="4" w:space="0" w:color="auto"/>
              <w:right w:val="single" w:sz="4" w:space="0" w:color="auto"/>
            </w:tcBorders>
          </w:tcPr>
          <w:p w14:paraId="7D0A49D7" w14:textId="5F43FF33" w:rsidR="00232BD9" w:rsidRPr="00232BD9" w:rsidRDefault="00232BD9" w:rsidP="00232BD9">
            <w:pPr>
              <w:keepNext/>
              <w:keepLines/>
              <w:rPr>
                <w:rFonts w:cstheme="minorHAnsi"/>
                <w:bCs/>
                <w:iCs/>
                <w:sz w:val="20"/>
              </w:rPr>
            </w:pPr>
            <w:r w:rsidRPr="00232BD9">
              <w:rPr>
                <w:rFonts w:cstheme="minorHAnsi"/>
                <w:bCs/>
                <w:iCs/>
                <w:sz w:val="20"/>
              </w:rPr>
              <w:t xml:space="preserve">DPP4i </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EBFC7F3" w14:textId="77777777" w:rsidR="00232BD9" w:rsidRDefault="00232BD9" w:rsidP="00232BD9">
            <w:pPr>
              <w:keepNext/>
              <w:keepLines/>
              <w:rPr>
                <w:rFonts w:cstheme="minorHAnsi"/>
                <w:sz w:val="20"/>
              </w:rPr>
            </w:pPr>
            <w:r>
              <w:rPr>
                <w:rFonts w:cstheme="minorHAnsi"/>
                <w:sz w:val="20"/>
              </w:rPr>
              <w:t>Linagliptin</w:t>
            </w:r>
            <w:r>
              <w:rPr>
                <w:rFonts w:cstheme="minorHAnsi"/>
                <w:sz w:val="20"/>
                <w:vertAlign w:val="superscript"/>
              </w:rPr>
              <w:t>2,5</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E667F14"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6D261F3E"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6A898CD3"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39EC6BDF" w14:textId="77777777" w:rsidR="00232BD9" w:rsidRDefault="00232BD9" w:rsidP="00232BD9">
            <w:pPr>
              <w:keepNext/>
              <w:keepLines/>
              <w:jc w:val="center"/>
              <w:rPr>
                <w:rFonts w:cstheme="minorHAnsi"/>
                <w:sz w:val="20"/>
              </w:rPr>
            </w:pPr>
            <w:r>
              <w:rPr>
                <w:rFonts w:cstheme="minorHAnsi"/>
                <w:sz w:val="20"/>
              </w:rPr>
              <w:t>SGLT2i</w:t>
            </w:r>
          </w:p>
        </w:tc>
      </w:tr>
      <w:tr w:rsidR="00232BD9" w14:paraId="15FC4898" w14:textId="77777777" w:rsidTr="00A97B88">
        <w:trPr>
          <w:trHeight w:val="340"/>
        </w:trPr>
        <w:tc>
          <w:tcPr>
            <w:tcW w:w="1275" w:type="dxa"/>
            <w:tcBorders>
              <w:left w:val="single" w:sz="4" w:space="0" w:color="auto"/>
              <w:right w:val="single" w:sz="4" w:space="0" w:color="auto"/>
            </w:tcBorders>
          </w:tcPr>
          <w:p w14:paraId="3096F7B1" w14:textId="4EA21E12" w:rsidR="00232BD9" w:rsidRPr="00232BD9" w:rsidRDefault="00232BD9" w:rsidP="00232BD9">
            <w:pPr>
              <w:keepNext/>
              <w:keepLines/>
              <w:rPr>
                <w:rFonts w:cstheme="minorHAnsi"/>
                <w:bCs/>
                <w:iCs/>
                <w:sz w:val="20"/>
              </w:rPr>
            </w:pPr>
            <w:r w:rsidRPr="00232BD9">
              <w:rPr>
                <w:rFonts w:cstheme="minorHAnsi"/>
                <w:bCs/>
                <w:iCs/>
                <w:sz w:val="20"/>
              </w:rPr>
              <w:t xml:space="preserve">DPP4i </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AA91153" w14:textId="77777777" w:rsidR="00232BD9" w:rsidRDefault="00232BD9" w:rsidP="00232BD9">
            <w:pPr>
              <w:keepNext/>
              <w:keepLines/>
              <w:rPr>
                <w:rFonts w:cstheme="minorHAnsi"/>
                <w:sz w:val="20"/>
              </w:rPr>
            </w:pPr>
            <w:r>
              <w:rPr>
                <w:rFonts w:cstheme="minorHAnsi"/>
                <w:sz w:val="20"/>
              </w:rPr>
              <w:t>Saxagliptin</w:t>
            </w:r>
            <w:r>
              <w:rPr>
                <w:rFonts w:cstheme="minorHAnsi"/>
                <w:sz w:val="20"/>
                <w:vertAlign w:val="superscript"/>
              </w:rPr>
              <w:t>2,5</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30A76B1"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33784077"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274DD8BE" w14:textId="77777777" w:rsidR="00232BD9" w:rsidRDefault="00232BD9" w:rsidP="00232BD9">
            <w:pPr>
              <w:keepNext/>
              <w:keepLines/>
              <w:jc w:val="center"/>
              <w:rPr>
                <w:rFonts w:cstheme="minorHAnsi"/>
                <w:sz w:val="20"/>
              </w:rPr>
            </w:pPr>
            <w:r>
              <w:rPr>
                <w:rFonts w:cstheme="minorHAnsi"/>
                <w:sz w:val="20"/>
              </w:rPr>
              <w:t>X</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080BDBF" w14:textId="77777777" w:rsidR="00232BD9" w:rsidRDefault="00232BD9" w:rsidP="00232BD9">
            <w:pPr>
              <w:keepNext/>
              <w:keepLines/>
              <w:jc w:val="center"/>
              <w:rPr>
                <w:rFonts w:cstheme="minorHAnsi"/>
                <w:sz w:val="20"/>
              </w:rPr>
            </w:pPr>
            <w:r>
              <w:rPr>
                <w:rFonts w:cstheme="minorHAnsi"/>
                <w:sz w:val="20"/>
              </w:rPr>
              <w:t>SGLT2i</w:t>
            </w:r>
          </w:p>
        </w:tc>
      </w:tr>
      <w:tr w:rsidR="00232BD9" w14:paraId="7AE9CB26" w14:textId="77777777" w:rsidTr="00A97B88">
        <w:trPr>
          <w:trHeight w:val="340"/>
        </w:trPr>
        <w:tc>
          <w:tcPr>
            <w:tcW w:w="1275" w:type="dxa"/>
            <w:tcBorders>
              <w:left w:val="single" w:sz="4" w:space="0" w:color="auto"/>
              <w:right w:val="single" w:sz="4" w:space="0" w:color="auto"/>
            </w:tcBorders>
          </w:tcPr>
          <w:p w14:paraId="0A799A9B" w14:textId="3C686A83" w:rsidR="00232BD9" w:rsidRPr="00232BD9" w:rsidRDefault="00232BD9" w:rsidP="00232BD9">
            <w:pPr>
              <w:keepNext/>
              <w:keepLines/>
              <w:rPr>
                <w:rFonts w:cstheme="minorHAnsi"/>
                <w:bCs/>
                <w:iCs/>
                <w:sz w:val="20"/>
              </w:rPr>
            </w:pPr>
            <w:r w:rsidRPr="00232BD9">
              <w:rPr>
                <w:rFonts w:cstheme="minorHAnsi"/>
                <w:bCs/>
                <w:iCs/>
                <w:sz w:val="20"/>
              </w:rPr>
              <w:t xml:space="preserve">DPP4i </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62CE64D" w14:textId="77777777" w:rsidR="00232BD9" w:rsidRDefault="00232BD9" w:rsidP="00232BD9">
            <w:pPr>
              <w:keepNext/>
              <w:keepLines/>
              <w:rPr>
                <w:rFonts w:cstheme="minorHAnsi"/>
                <w:sz w:val="20"/>
              </w:rPr>
            </w:pPr>
            <w:r>
              <w:rPr>
                <w:rFonts w:cstheme="minorHAnsi"/>
                <w:sz w:val="20"/>
              </w:rPr>
              <w:t>Sitagliptin</w:t>
            </w:r>
            <w:r>
              <w:rPr>
                <w:rFonts w:cstheme="minorHAnsi"/>
                <w:sz w:val="20"/>
                <w:vertAlign w:val="superscript"/>
              </w:rPr>
              <w:t>2,5</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38C0871"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1E2CA341"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317FC40A"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0D907BCB" w14:textId="77777777" w:rsidR="00232BD9" w:rsidRDefault="00232BD9" w:rsidP="00232BD9">
            <w:pPr>
              <w:keepNext/>
              <w:keepLines/>
              <w:jc w:val="center"/>
              <w:rPr>
                <w:rFonts w:cstheme="minorHAnsi"/>
                <w:sz w:val="20"/>
              </w:rPr>
            </w:pPr>
            <w:r>
              <w:rPr>
                <w:rFonts w:cstheme="minorHAnsi"/>
                <w:sz w:val="20"/>
              </w:rPr>
              <w:t>SGLT2i</w:t>
            </w:r>
          </w:p>
        </w:tc>
      </w:tr>
      <w:tr w:rsidR="00232BD9" w14:paraId="1CC61783" w14:textId="77777777" w:rsidTr="00A97B88">
        <w:trPr>
          <w:trHeight w:val="340"/>
        </w:trPr>
        <w:tc>
          <w:tcPr>
            <w:tcW w:w="1275" w:type="dxa"/>
            <w:tcBorders>
              <w:left w:val="single" w:sz="4" w:space="0" w:color="auto"/>
              <w:bottom w:val="single" w:sz="4" w:space="0" w:color="auto"/>
              <w:right w:val="single" w:sz="4" w:space="0" w:color="auto"/>
            </w:tcBorders>
          </w:tcPr>
          <w:p w14:paraId="762357AE" w14:textId="0CCAF27E" w:rsidR="00232BD9" w:rsidRPr="00232BD9" w:rsidRDefault="00232BD9" w:rsidP="00232BD9">
            <w:pPr>
              <w:keepNext/>
              <w:keepLines/>
              <w:rPr>
                <w:rFonts w:cstheme="minorHAnsi"/>
                <w:bCs/>
                <w:iCs/>
                <w:sz w:val="20"/>
              </w:rPr>
            </w:pPr>
            <w:r w:rsidRPr="00232BD9">
              <w:rPr>
                <w:rFonts w:cstheme="minorHAnsi"/>
                <w:bCs/>
                <w:iCs/>
                <w:sz w:val="20"/>
              </w:rPr>
              <w:t xml:space="preserve">DPP4i </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4E7972F" w14:textId="77777777" w:rsidR="00232BD9" w:rsidRDefault="00232BD9" w:rsidP="00232BD9">
            <w:pPr>
              <w:keepNext/>
              <w:keepLines/>
              <w:rPr>
                <w:rFonts w:cstheme="minorHAnsi"/>
                <w:sz w:val="20"/>
              </w:rPr>
            </w:pPr>
            <w:r>
              <w:rPr>
                <w:rFonts w:cstheme="minorHAnsi"/>
                <w:sz w:val="20"/>
              </w:rPr>
              <w:t>Vildagliptin</w:t>
            </w:r>
            <w:r>
              <w:rPr>
                <w:rFonts w:cstheme="minorHAnsi"/>
                <w:sz w:val="20"/>
                <w:vertAlign w:val="superscript"/>
              </w:rPr>
              <w:t>2</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39FD25A"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255565DE"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5831BEB4"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076DDD0E" w14:textId="77777777" w:rsidR="00232BD9" w:rsidRDefault="00232BD9" w:rsidP="00232BD9">
            <w:pPr>
              <w:keepNext/>
              <w:keepLines/>
              <w:jc w:val="center"/>
              <w:rPr>
                <w:rFonts w:cstheme="minorHAnsi"/>
                <w:sz w:val="20"/>
              </w:rPr>
            </w:pPr>
            <w:r>
              <w:rPr>
                <w:rFonts w:cstheme="minorHAnsi"/>
                <w:sz w:val="20"/>
              </w:rPr>
              <w:t>X</w:t>
            </w:r>
          </w:p>
        </w:tc>
      </w:tr>
      <w:tr w:rsidR="003A6922" w14:paraId="588241F5" w14:textId="77777777" w:rsidTr="007C7B3B">
        <w:trPr>
          <w:trHeight w:val="340"/>
        </w:trPr>
        <w:tc>
          <w:tcPr>
            <w:tcW w:w="1275" w:type="dxa"/>
            <w:tcBorders>
              <w:top w:val="single" w:sz="4" w:space="0" w:color="auto"/>
              <w:left w:val="single" w:sz="4" w:space="0" w:color="auto"/>
              <w:right w:val="single" w:sz="4" w:space="0" w:color="auto"/>
            </w:tcBorders>
            <w:vAlign w:val="center"/>
          </w:tcPr>
          <w:p w14:paraId="7680C39E" w14:textId="52AF8C7C" w:rsidR="003A6922" w:rsidRPr="00232BD9" w:rsidRDefault="003A6922" w:rsidP="005C755A">
            <w:pPr>
              <w:keepNext/>
              <w:keepLines/>
              <w:rPr>
                <w:rFonts w:cstheme="minorHAnsi"/>
                <w:bCs/>
                <w:iCs/>
                <w:sz w:val="20"/>
              </w:rPr>
            </w:pPr>
            <w:r w:rsidRPr="00232BD9">
              <w:rPr>
                <w:rFonts w:cstheme="minorHAnsi"/>
                <w:bCs/>
                <w:iCs/>
                <w:sz w:val="20"/>
              </w:rPr>
              <w:t>SGLT2i</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4DD8C18" w14:textId="77777777" w:rsidR="003A6922" w:rsidRDefault="003A6922" w:rsidP="005C755A">
            <w:pPr>
              <w:keepNext/>
              <w:keepLines/>
              <w:rPr>
                <w:rFonts w:cstheme="minorHAnsi"/>
                <w:sz w:val="20"/>
              </w:rPr>
            </w:pPr>
            <w:r>
              <w:rPr>
                <w:rFonts w:cstheme="minorHAnsi"/>
                <w:sz w:val="20"/>
              </w:rPr>
              <w:t>Dapagliflozin</w:t>
            </w:r>
            <w:r>
              <w:rPr>
                <w:rFonts w:cstheme="minorHAnsi"/>
                <w:sz w:val="20"/>
                <w:vertAlign w:val="superscript"/>
              </w:rPr>
              <w:t>2,4</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2544CC3"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771198B9"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791CE0C6"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63E80E87" w14:textId="77777777" w:rsidR="003A6922" w:rsidRDefault="003A6922" w:rsidP="005C755A">
            <w:pPr>
              <w:keepNext/>
              <w:keepLines/>
              <w:jc w:val="center"/>
              <w:rPr>
                <w:rFonts w:cstheme="minorHAnsi"/>
                <w:sz w:val="20"/>
              </w:rPr>
            </w:pPr>
            <w:r>
              <w:rPr>
                <w:rFonts w:cstheme="minorHAnsi"/>
                <w:sz w:val="20"/>
              </w:rPr>
              <w:t>DPP4i</w:t>
            </w:r>
          </w:p>
        </w:tc>
      </w:tr>
      <w:tr w:rsidR="00232BD9" w14:paraId="782678B1" w14:textId="77777777" w:rsidTr="008654D9">
        <w:trPr>
          <w:trHeight w:val="340"/>
        </w:trPr>
        <w:tc>
          <w:tcPr>
            <w:tcW w:w="1275" w:type="dxa"/>
            <w:tcBorders>
              <w:left w:val="single" w:sz="4" w:space="0" w:color="auto"/>
              <w:right w:val="single" w:sz="4" w:space="0" w:color="auto"/>
            </w:tcBorders>
          </w:tcPr>
          <w:p w14:paraId="182949F2" w14:textId="430932F2" w:rsidR="00232BD9" w:rsidRPr="00232BD9" w:rsidRDefault="00232BD9" w:rsidP="00232BD9">
            <w:pPr>
              <w:keepNext/>
              <w:keepLines/>
              <w:rPr>
                <w:rFonts w:cstheme="minorHAnsi"/>
                <w:bCs/>
                <w:iCs/>
                <w:sz w:val="20"/>
              </w:rPr>
            </w:pPr>
            <w:r w:rsidRPr="00232BD9">
              <w:rPr>
                <w:rFonts w:cstheme="minorHAnsi"/>
                <w:bCs/>
                <w:iCs/>
                <w:sz w:val="20"/>
              </w:rPr>
              <w:t xml:space="preserve">SGLT2i </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30678A6" w14:textId="77777777" w:rsidR="00232BD9" w:rsidRDefault="00232BD9" w:rsidP="00232BD9">
            <w:pPr>
              <w:keepNext/>
              <w:keepLines/>
              <w:rPr>
                <w:rFonts w:cstheme="minorHAnsi"/>
                <w:sz w:val="20"/>
              </w:rPr>
            </w:pPr>
            <w:r>
              <w:rPr>
                <w:rFonts w:cstheme="minorHAnsi"/>
                <w:sz w:val="20"/>
              </w:rPr>
              <w:t>Empagliflozin</w:t>
            </w:r>
            <w:r>
              <w:rPr>
                <w:rFonts w:cstheme="minorHAnsi"/>
                <w:sz w:val="20"/>
                <w:vertAlign w:val="superscript"/>
              </w:rPr>
              <w:t>2,4</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A4F2078"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389D5CDC"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0800366C"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0B348030" w14:textId="77777777" w:rsidR="00232BD9" w:rsidRDefault="00232BD9" w:rsidP="00232BD9">
            <w:pPr>
              <w:keepNext/>
              <w:keepLines/>
              <w:jc w:val="center"/>
              <w:rPr>
                <w:rFonts w:cstheme="minorHAnsi"/>
                <w:sz w:val="20"/>
              </w:rPr>
            </w:pPr>
            <w:r>
              <w:rPr>
                <w:rFonts w:cstheme="minorHAnsi"/>
                <w:sz w:val="20"/>
              </w:rPr>
              <w:t>DPP4i</w:t>
            </w:r>
          </w:p>
        </w:tc>
      </w:tr>
      <w:tr w:rsidR="00232BD9" w14:paraId="7CD25B7B" w14:textId="77777777" w:rsidTr="008654D9">
        <w:trPr>
          <w:trHeight w:val="340"/>
        </w:trPr>
        <w:tc>
          <w:tcPr>
            <w:tcW w:w="1275" w:type="dxa"/>
            <w:tcBorders>
              <w:left w:val="single" w:sz="4" w:space="0" w:color="auto"/>
              <w:bottom w:val="single" w:sz="4" w:space="0" w:color="auto"/>
              <w:right w:val="single" w:sz="4" w:space="0" w:color="auto"/>
            </w:tcBorders>
          </w:tcPr>
          <w:p w14:paraId="76F11489" w14:textId="52F454F1" w:rsidR="00232BD9" w:rsidRPr="00232BD9" w:rsidRDefault="00232BD9" w:rsidP="00232BD9">
            <w:pPr>
              <w:keepNext/>
              <w:keepLines/>
              <w:rPr>
                <w:rFonts w:cstheme="minorHAnsi"/>
                <w:bCs/>
                <w:iCs/>
                <w:sz w:val="20"/>
              </w:rPr>
            </w:pPr>
            <w:r w:rsidRPr="00232BD9">
              <w:rPr>
                <w:rFonts w:cstheme="minorHAnsi"/>
                <w:bCs/>
                <w:iCs/>
                <w:sz w:val="20"/>
              </w:rPr>
              <w:t xml:space="preserve">SGLT2i </w:t>
            </w:r>
          </w:p>
        </w:tc>
        <w:tc>
          <w:tcPr>
            <w:tcW w:w="1803" w:type="dxa"/>
            <w:tcBorders>
              <w:top w:val="single" w:sz="4" w:space="0" w:color="auto"/>
              <w:left w:val="single" w:sz="4" w:space="0" w:color="auto"/>
              <w:bottom w:val="single" w:sz="4" w:space="0" w:color="auto"/>
              <w:right w:val="single" w:sz="4" w:space="0" w:color="auto"/>
            </w:tcBorders>
            <w:vAlign w:val="center"/>
            <w:hideMark/>
          </w:tcPr>
          <w:p w14:paraId="19ADBDE3" w14:textId="77777777" w:rsidR="00232BD9" w:rsidRDefault="00232BD9" w:rsidP="00232BD9">
            <w:pPr>
              <w:keepNext/>
              <w:keepLines/>
              <w:rPr>
                <w:rFonts w:cstheme="minorHAnsi"/>
                <w:sz w:val="20"/>
              </w:rPr>
            </w:pPr>
            <w:r>
              <w:rPr>
                <w:rFonts w:cstheme="minorHAnsi"/>
                <w:sz w:val="20"/>
              </w:rPr>
              <w:t>Ertugliflozin</w:t>
            </w:r>
            <w:r>
              <w:rPr>
                <w:rFonts w:cstheme="minorHAnsi"/>
                <w:sz w:val="20"/>
                <w:vertAlign w:val="superscript"/>
              </w:rPr>
              <w:t>2,4</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95A7985" w14:textId="77777777" w:rsidR="00232BD9" w:rsidRDefault="00232BD9" w:rsidP="00232BD9">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5EF4A4CD" w14:textId="77777777" w:rsidR="00232BD9" w:rsidRDefault="00232BD9" w:rsidP="00232BD9">
            <w:pPr>
              <w:keepNext/>
              <w:keepLines/>
              <w:jc w:val="center"/>
              <w:rPr>
                <w:rFonts w:cstheme="minorHAnsi"/>
                <w:sz w:val="20"/>
              </w:rPr>
            </w:pPr>
            <w:r>
              <w:rPr>
                <w:rFonts w:cstheme="minorHAnsi"/>
                <w:sz w:val="20"/>
              </w:rPr>
              <w:t>X</w:t>
            </w:r>
          </w:p>
        </w:tc>
        <w:tc>
          <w:tcPr>
            <w:tcW w:w="1534" w:type="dxa"/>
            <w:tcBorders>
              <w:top w:val="single" w:sz="4" w:space="0" w:color="auto"/>
              <w:left w:val="single" w:sz="4" w:space="0" w:color="auto"/>
              <w:bottom w:val="single" w:sz="4" w:space="0" w:color="auto"/>
              <w:right w:val="single" w:sz="4" w:space="0" w:color="auto"/>
            </w:tcBorders>
            <w:vAlign w:val="center"/>
            <w:hideMark/>
          </w:tcPr>
          <w:p w14:paraId="6A63433B" w14:textId="77777777" w:rsidR="00232BD9" w:rsidRDefault="00232BD9" w:rsidP="00232BD9">
            <w:pPr>
              <w:keepNext/>
              <w:keepLines/>
              <w:jc w:val="center"/>
              <w:rPr>
                <w:rFonts w:cstheme="minorHAnsi"/>
                <w:sz w:val="20"/>
              </w:rPr>
            </w:pPr>
            <w:r>
              <w:rPr>
                <w:rFonts w:cstheme="minorHAnsi"/>
                <w:sz w:val="20"/>
              </w:rPr>
              <w:t>X</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D172AD0" w14:textId="77777777" w:rsidR="00232BD9" w:rsidRDefault="00232BD9" w:rsidP="00232BD9">
            <w:pPr>
              <w:keepNext/>
              <w:keepLines/>
              <w:jc w:val="center"/>
              <w:rPr>
                <w:rFonts w:cstheme="minorHAnsi"/>
                <w:sz w:val="20"/>
              </w:rPr>
            </w:pPr>
            <w:r>
              <w:rPr>
                <w:rFonts w:cstheme="minorHAnsi"/>
                <w:sz w:val="20"/>
              </w:rPr>
              <w:t>DPP4i</w:t>
            </w:r>
          </w:p>
        </w:tc>
      </w:tr>
      <w:tr w:rsidR="003A6922" w14:paraId="059CDC50" w14:textId="77777777" w:rsidTr="007C7B3B">
        <w:trPr>
          <w:trHeight w:val="340"/>
        </w:trPr>
        <w:tc>
          <w:tcPr>
            <w:tcW w:w="1275" w:type="dxa"/>
            <w:tcBorders>
              <w:top w:val="single" w:sz="4" w:space="0" w:color="auto"/>
              <w:left w:val="single" w:sz="4" w:space="0" w:color="auto"/>
              <w:bottom w:val="single" w:sz="4" w:space="0" w:color="auto"/>
              <w:right w:val="single" w:sz="4" w:space="0" w:color="auto"/>
            </w:tcBorders>
            <w:vAlign w:val="center"/>
          </w:tcPr>
          <w:p w14:paraId="2D0C6982" w14:textId="77777777" w:rsidR="003A6922" w:rsidRPr="00232BD9" w:rsidRDefault="003A6922" w:rsidP="005C755A">
            <w:pPr>
              <w:keepNext/>
              <w:keepLines/>
              <w:rPr>
                <w:rFonts w:cstheme="minorHAnsi"/>
                <w:bCs/>
                <w:iCs/>
                <w:sz w:val="20"/>
              </w:rPr>
            </w:pPr>
            <w:r w:rsidRPr="00232BD9">
              <w:rPr>
                <w:rFonts w:cstheme="minorHAnsi"/>
                <w:bCs/>
                <w:iCs/>
                <w:sz w:val="20"/>
              </w:rPr>
              <w:t>TZD</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0386263" w14:textId="77777777" w:rsidR="003A6922" w:rsidRDefault="003A6922" w:rsidP="005C755A">
            <w:pPr>
              <w:keepNext/>
              <w:keepLines/>
              <w:rPr>
                <w:rFonts w:cstheme="minorHAnsi"/>
                <w:sz w:val="20"/>
              </w:rPr>
            </w:pPr>
            <w:r>
              <w:rPr>
                <w:rFonts w:cstheme="minorHAnsi"/>
                <w:sz w:val="20"/>
              </w:rPr>
              <w:t>Pioglitazone</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E2358B8" w14:textId="77777777" w:rsidR="003A6922" w:rsidRDefault="003A6922" w:rsidP="005C755A">
            <w:pPr>
              <w:keepNext/>
              <w:keepLines/>
              <w:jc w:val="center"/>
              <w:rPr>
                <w:rFonts w:cstheme="minorHAnsi"/>
                <w:sz w:val="20"/>
              </w:rPr>
            </w:pPr>
            <w:r>
              <w:rPr>
                <w:rFonts w:cstheme="minorHAnsi"/>
                <w:sz w:val="20"/>
              </w:rPr>
              <w:sym w:font="Wingdings 2" w:char="F050"/>
            </w:r>
            <w:r>
              <w:rPr>
                <w:rFonts w:cstheme="minorHAnsi"/>
                <w:sz w:val="20"/>
                <w:vertAlign w:val="superscript"/>
              </w:rPr>
              <w:t>1</w:t>
            </w:r>
          </w:p>
        </w:tc>
        <w:tc>
          <w:tcPr>
            <w:tcW w:w="1534" w:type="dxa"/>
            <w:tcBorders>
              <w:top w:val="single" w:sz="4" w:space="0" w:color="auto"/>
              <w:left w:val="single" w:sz="4" w:space="0" w:color="auto"/>
              <w:bottom w:val="single" w:sz="4" w:space="0" w:color="auto"/>
              <w:right w:val="single" w:sz="4" w:space="0" w:color="auto"/>
            </w:tcBorders>
            <w:vAlign w:val="center"/>
            <w:hideMark/>
          </w:tcPr>
          <w:p w14:paraId="4D0F3BC5"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5C74E5DB"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0BA2F4FA" w14:textId="77777777" w:rsidR="003A6922" w:rsidRDefault="003A6922" w:rsidP="005C755A">
            <w:pPr>
              <w:keepNext/>
              <w:keepLines/>
              <w:jc w:val="center"/>
              <w:rPr>
                <w:rFonts w:cstheme="minorHAnsi"/>
                <w:sz w:val="20"/>
              </w:rPr>
            </w:pPr>
            <w:r>
              <w:rPr>
                <w:rFonts w:cstheme="minorHAnsi"/>
                <w:sz w:val="20"/>
              </w:rPr>
              <w:t>X</w:t>
            </w:r>
          </w:p>
        </w:tc>
      </w:tr>
      <w:tr w:rsidR="003A6922" w14:paraId="4B7C985B" w14:textId="77777777" w:rsidTr="007C7B3B">
        <w:trPr>
          <w:trHeight w:val="340"/>
        </w:trPr>
        <w:tc>
          <w:tcPr>
            <w:tcW w:w="1275" w:type="dxa"/>
            <w:tcBorders>
              <w:top w:val="single" w:sz="4" w:space="0" w:color="auto"/>
              <w:left w:val="single" w:sz="4" w:space="0" w:color="auto"/>
              <w:right w:val="single" w:sz="4" w:space="0" w:color="auto"/>
            </w:tcBorders>
            <w:vAlign w:val="center"/>
          </w:tcPr>
          <w:p w14:paraId="6DBC9318" w14:textId="77777777" w:rsidR="003A6922" w:rsidRPr="00232BD9" w:rsidRDefault="003A6922" w:rsidP="005C755A">
            <w:pPr>
              <w:keepNext/>
              <w:keepLines/>
              <w:rPr>
                <w:rFonts w:cstheme="minorHAnsi"/>
                <w:bCs/>
                <w:iCs/>
                <w:sz w:val="20"/>
              </w:rPr>
            </w:pPr>
            <w:r w:rsidRPr="00232BD9">
              <w:rPr>
                <w:rFonts w:cstheme="minorHAnsi"/>
                <w:bCs/>
                <w:iCs/>
                <w:sz w:val="20"/>
              </w:rPr>
              <w:t>GLP-1 RA</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663FC19" w14:textId="77777777" w:rsidR="003A6922" w:rsidRDefault="003A6922" w:rsidP="005C755A">
            <w:pPr>
              <w:keepNext/>
              <w:keepLines/>
              <w:rPr>
                <w:rFonts w:cstheme="minorHAnsi"/>
                <w:sz w:val="20"/>
              </w:rPr>
            </w:pPr>
            <w:r>
              <w:rPr>
                <w:rFonts w:cstheme="minorHAnsi"/>
                <w:sz w:val="20"/>
              </w:rPr>
              <w:t>Exenatide</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4CB3900" w14:textId="77777777" w:rsidR="003A6922" w:rsidRDefault="003A6922" w:rsidP="005C755A">
            <w:pPr>
              <w:keepNext/>
              <w:keepLines/>
              <w:jc w:val="center"/>
              <w:rPr>
                <w:rFonts w:cstheme="minorHAnsi"/>
                <w:sz w:val="20"/>
              </w:rPr>
            </w:pPr>
            <w:r>
              <w:rPr>
                <w:rFonts w:cstheme="minorHAnsi"/>
                <w:sz w:val="20"/>
              </w:rPr>
              <w:sym w:font="Wingdings 2" w:char="F050"/>
            </w:r>
            <w:r>
              <w:rPr>
                <w:rFonts w:cstheme="minorHAnsi"/>
                <w:sz w:val="20"/>
                <w:vertAlign w:val="superscript"/>
              </w:rPr>
              <w:t>1</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356A0D3"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1D6480D1"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33AE9450" w14:textId="77777777" w:rsidR="003A6922" w:rsidRDefault="003A6922" w:rsidP="005C755A">
            <w:pPr>
              <w:keepNext/>
              <w:keepLines/>
              <w:jc w:val="center"/>
              <w:rPr>
                <w:rFonts w:cstheme="minorHAnsi"/>
                <w:sz w:val="20"/>
              </w:rPr>
            </w:pPr>
            <w:r>
              <w:rPr>
                <w:rFonts w:cstheme="minorHAnsi"/>
                <w:sz w:val="20"/>
              </w:rPr>
              <w:t>X</w:t>
            </w:r>
          </w:p>
        </w:tc>
      </w:tr>
      <w:tr w:rsidR="003A6922" w14:paraId="796133F7" w14:textId="77777777" w:rsidTr="007C7B3B">
        <w:trPr>
          <w:trHeight w:val="340"/>
        </w:trPr>
        <w:tc>
          <w:tcPr>
            <w:tcW w:w="1275" w:type="dxa"/>
            <w:tcBorders>
              <w:left w:val="single" w:sz="4" w:space="0" w:color="auto"/>
              <w:right w:val="single" w:sz="4" w:space="0" w:color="auto"/>
            </w:tcBorders>
            <w:vAlign w:val="center"/>
          </w:tcPr>
          <w:p w14:paraId="05EDA5FE" w14:textId="451B3942" w:rsidR="003A6922" w:rsidRPr="00232BD9" w:rsidRDefault="00232BD9" w:rsidP="005C755A">
            <w:pPr>
              <w:keepNext/>
              <w:keepLines/>
              <w:rPr>
                <w:rFonts w:cstheme="minorHAnsi"/>
                <w:bCs/>
                <w:iCs/>
                <w:sz w:val="20"/>
              </w:rPr>
            </w:pPr>
            <w:r w:rsidRPr="00232BD9">
              <w:rPr>
                <w:rFonts w:cstheme="minorHAnsi"/>
                <w:bCs/>
                <w:iCs/>
                <w:sz w:val="20"/>
              </w:rPr>
              <w:t>GLP-1 RA</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905A6F7" w14:textId="77777777" w:rsidR="003A6922" w:rsidRDefault="003A6922" w:rsidP="005C755A">
            <w:pPr>
              <w:keepNext/>
              <w:keepLines/>
              <w:rPr>
                <w:rFonts w:cstheme="minorHAnsi"/>
                <w:sz w:val="20"/>
              </w:rPr>
            </w:pPr>
            <w:r>
              <w:rPr>
                <w:rFonts w:cstheme="minorHAnsi"/>
                <w:sz w:val="20"/>
              </w:rPr>
              <w:t>Dulaglutide</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8E31338" w14:textId="77777777" w:rsidR="003A6922" w:rsidRDefault="003A6922" w:rsidP="005C755A">
            <w:pPr>
              <w:keepNext/>
              <w:keepLines/>
              <w:jc w:val="center"/>
              <w:rPr>
                <w:rFonts w:cstheme="minorHAnsi"/>
                <w:sz w:val="20"/>
              </w:rPr>
            </w:pPr>
            <w:r>
              <w:rPr>
                <w:rFonts w:cstheme="minorHAnsi"/>
                <w:sz w:val="20"/>
              </w:rPr>
              <w:sym w:font="Wingdings 2" w:char="F050"/>
            </w:r>
            <w:r>
              <w:rPr>
                <w:rFonts w:cstheme="minorHAnsi"/>
                <w:sz w:val="20"/>
                <w:vertAlign w:val="superscript"/>
              </w:rPr>
              <w:t>1,6</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A651BBD"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13E61E0B"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hideMark/>
          </w:tcPr>
          <w:p w14:paraId="7E1B538D" w14:textId="77777777" w:rsidR="003A6922" w:rsidRDefault="003A6922" w:rsidP="005C755A">
            <w:pPr>
              <w:keepNext/>
              <w:keepLines/>
              <w:jc w:val="center"/>
              <w:rPr>
                <w:rFonts w:cstheme="minorHAnsi"/>
                <w:sz w:val="20"/>
              </w:rPr>
            </w:pPr>
            <w:r>
              <w:rPr>
                <w:rFonts w:cstheme="minorHAnsi"/>
                <w:sz w:val="20"/>
              </w:rPr>
              <w:t>X</w:t>
            </w:r>
          </w:p>
        </w:tc>
      </w:tr>
      <w:tr w:rsidR="003A6922" w14:paraId="329D1CA2" w14:textId="77777777" w:rsidTr="007C7B3B">
        <w:trPr>
          <w:trHeight w:val="340"/>
        </w:trPr>
        <w:tc>
          <w:tcPr>
            <w:tcW w:w="1275" w:type="dxa"/>
            <w:tcBorders>
              <w:left w:val="single" w:sz="4" w:space="0" w:color="auto"/>
              <w:bottom w:val="single" w:sz="4" w:space="0" w:color="auto"/>
              <w:right w:val="single" w:sz="4" w:space="0" w:color="auto"/>
            </w:tcBorders>
            <w:vAlign w:val="center"/>
          </w:tcPr>
          <w:p w14:paraId="211392BA" w14:textId="407080AD" w:rsidR="003A6922" w:rsidRPr="00232BD9" w:rsidRDefault="00232BD9" w:rsidP="005C755A">
            <w:pPr>
              <w:keepNext/>
              <w:keepLines/>
              <w:rPr>
                <w:rFonts w:cstheme="minorHAnsi"/>
                <w:bCs/>
                <w:iCs/>
                <w:sz w:val="20"/>
              </w:rPr>
            </w:pPr>
            <w:r w:rsidRPr="00232BD9">
              <w:rPr>
                <w:rFonts w:cstheme="minorHAnsi"/>
                <w:bCs/>
                <w:iCs/>
                <w:sz w:val="20"/>
              </w:rPr>
              <w:t>GLP-1 RA</w:t>
            </w:r>
          </w:p>
        </w:tc>
        <w:tc>
          <w:tcPr>
            <w:tcW w:w="1803" w:type="dxa"/>
            <w:tcBorders>
              <w:top w:val="single" w:sz="4" w:space="0" w:color="auto"/>
              <w:left w:val="single" w:sz="4" w:space="0" w:color="auto"/>
              <w:bottom w:val="single" w:sz="4" w:space="0" w:color="auto"/>
              <w:right w:val="single" w:sz="4" w:space="0" w:color="auto"/>
            </w:tcBorders>
            <w:vAlign w:val="center"/>
          </w:tcPr>
          <w:p w14:paraId="06F0B720" w14:textId="77777777" w:rsidR="003A6922" w:rsidRDefault="003A6922" w:rsidP="005C755A">
            <w:pPr>
              <w:keepNext/>
              <w:keepLines/>
              <w:rPr>
                <w:rFonts w:cstheme="minorHAnsi"/>
                <w:sz w:val="20"/>
              </w:rPr>
            </w:pPr>
            <w:r w:rsidRPr="00464BB6">
              <w:rPr>
                <w:rFonts w:cstheme="minorHAnsi"/>
                <w:sz w:val="20"/>
              </w:rPr>
              <w:t>Semaglutide</w:t>
            </w:r>
          </w:p>
        </w:tc>
        <w:tc>
          <w:tcPr>
            <w:tcW w:w="1533" w:type="dxa"/>
            <w:tcBorders>
              <w:top w:val="single" w:sz="4" w:space="0" w:color="auto"/>
              <w:left w:val="single" w:sz="4" w:space="0" w:color="auto"/>
              <w:bottom w:val="single" w:sz="4" w:space="0" w:color="auto"/>
              <w:right w:val="single" w:sz="4" w:space="0" w:color="auto"/>
            </w:tcBorders>
            <w:vAlign w:val="center"/>
          </w:tcPr>
          <w:p w14:paraId="5BADFA06" w14:textId="77777777" w:rsidR="003A6922" w:rsidRDefault="003A6922" w:rsidP="005C755A">
            <w:pPr>
              <w:keepNext/>
              <w:keepLines/>
              <w:jc w:val="center"/>
              <w:rPr>
                <w:rFonts w:cstheme="minorHAnsi"/>
                <w:sz w:val="20"/>
              </w:rPr>
            </w:pPr>
            <w:r>
              <w:rPr>
                <w:rFonts w:cstheme="minorHAnsi"/>
                <w:sz w:val="20"/>
              </w:rPr>
              <w:sym w:font="Wingdings 2" w:char="F050"/>
            </w:r>
            <w:r>
              <w:rPr>
                <w:rFonts w:cstheme="minorHAnsi"/>
                <w:sz w:val="20"/>
                <w:vertAlign w:val="superscript"/>
              </w:rPr>
              <w:t>1</w:t>
            </w:r>
          </w:p>
        </w:tc>
        <w:tc>
          <w:tcPr>
            <w:tcW w:w="1534" w:type="dxa"/>
            <w:tcBorders>
              <w:top w:val="single" w:sz="4" w:space="0" w:color="auto"/>
              <w:left w:val="single" w:sz="4" w:space="0" w:color="auto"/>
              <w:bottom w:val="single" w:sz="4" w:space="0" w:color="auto"/>
              <w:right w:val="single" w:sz="4" w:space="0" w:color="auto"/>
            </w:tcBorders>
            <w:vAlign w:val="center"/>
          </w:tcPr>
          <w:p w14:paraId="3C5DA93F"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tcPr>
          <w:p w14:paraId="7032B365" w14:textId="77777777" w:rsidR="003A6922" w:rsidRDefault="003A6922" w:rsidP="005C755A">
            <w:pPr>
              <w:keepNext/>
              <w:keepLines/>
              <w:jc w:val="center"/>
              <w:rPr>
                <w:rFonts w:cstheme="minorHAnsi"/>
                <w:sz w:val="20"/>
              </w:rPr>
            </w:pPr>
            <w:r>
              <w:rPr>
                <w:rFonts w:cstheme="minorHAnsi"/>
                <w:sz w:val="20"/>
              </w:rPr>
              <w:sym w:font="Wingdings 2" w:char="F050"/>
            </w:r>
          </w:p>
        </w:tc>
        <w:tc>
          <w:tcPr>
            <w:tcW w:w="1534" w:type="dxa"/>
            <w:tcBorders>
              <w:top w:val="single" w:sz="4" w:space="0" w:color="auto"/>
              <w:left w:val="single" w:sz="4" w:space="0" w:color="auto"/>
              <w:bottom w:val="single" w:sz="4" w:space="0" w:color="auto"/>
              <w:right w:val="single" w:sz="4" w:space="0" w:color="auto"/>
            </w:tcBorders>
            <w:vAlign w:val="center"/>
          </w:tcPr>
          <w:p w14:paraId="64191DE7" w14:textId="77777777" w:rsidR="003A6922" w:rsidRDefault="003A6922" w:rsidP="005C755A">
            <w:pPr>
              <w:keepNext/>
              <w:keepLines/>
              <w:jc w:val="center"/>
              <w:rPr>
                <w:rFonts w:cstheme="minorHAnsi"/>
                <w:sz w:val="20"/>
              </w:rPr>
            </w:pPr>
            <w:r>
              <w:rPr>
                <w:rFonts w:cstheme="minorHAnsi"/>
                <w:sz w:val="20"/>
              </w:rPr>
              <w:t>X</w:t>
            </w:r>
          </w:p>
        </w:tc>
      </w:tr>
    </w:tbl>
    <w:p w14:paraId="5060340A" w14:textId="64BAFF46" w:rsidR="003A6922" w:rsidRDefault="003A6922" w:rsidP="005C755A">
      <w:pPr>
        <w:keepNext/>
        <w:keepLines/>
        <w:spacing w:after="160" w:line="256" w:lineRule="auto"/>
        <w:rPr>
          <w:rFonts w:asciiTheme="minorHAnsi" w:hAnsiTheme="minorHAnsi" w:cstheme="minorHAnsi"/>
          <w:sz w:val="20"/>
        </w:rPr>
      </w:pPr>
      <w:r>
        <w:rPr>
          <w:rFonts w:asciiTheme="minorHAnsi" w:hAnsiTheme="minorHAnsi" w:cstheme="minorHAnsi"/>
          <w:sz w:val="20"/>
        </w:rPr>
        <w:t xml:space="preserve">Abbreviations: DPP4i – dipeptidyl peptidase 4 inhibitors, GLP-1 RA – glucagon-like peptide-1 receptor agonist, Met – metformin, SGLT2i – sodium-glucose cotransporter 2 inhibitors, SU – sulfonylurea, TZD </w:t>
      </w:r>
      <w:r w:rsidR="00232BD9">
        <w:rPr>
          <w:rFonts w:asciiTheme="minorHAnsi" w:hAnsiTheme="minorHAnsi" w:cstheme="minorHAnsi"/>
          <w:sz w:val="20"/>
        </w:rPr>
        <w:t>–</w:t>
      </w:r>
      <w:r>
        <w:rPr>
          <w:rFonts w:asciiTheme="minorHAnsi" w:hAnsiTheme="minorHAnsi" w:cstheme="minorHAnsi"/>
          <w:sz w:val="20"/>
        </w:rPr>
        <w:t xml:space="preserve"> thiazolidinediones.</w:t>
      </w:r>
    </w:p>
    <w:p w14:paraId="15B93E86" w14:textId="77777777" w:rsidR="003A6922" w:rsidRPr="00D473C1" w:rsidRDefault="003A6922" w:rsidP="003A6922">
      <w:pPr>
        <w:spacing w:after="160" w:line="256" w:lineRule="auto"/>
        <w:rPr>
          <w:rFonts w:asciiTheme="minorHAnsi" w:hAnsiTheme="minorHAnsi" w:cstheme="minorHAnsi"/>
          <w:sz w:val="20"/>
        </w:rPr>
      </w:pPr>
      <w:r>
        <w:rPr>
          <w:rFonts w:asciiTheme="minorHAnsi" w:hAnsiTheme="minorHAnsi" w:cstheme="minorHAnsi"/>
          <w:sz w:val="20"/>
        </w:rPr>
        <w:t>Notes:</w:t>
      </w:r>
    </w:p>
    <w:p w14:paraId="7EA05AD1" w14:textId="77777777" w:rsidR="003A6922" w:rsidRDefault="003A6922" w:rsidP="003A6922">
      <w:pPr>
        <w:pStyle w:val="ListParagraph"/>
        <w:numPr>
          <w:ilvl w:val="0"/>
          <w:numId w:val="35"/>
        </w:numPr>
        <w:spacing w:after="160" w:line="256" w:lineRule="auto"/>
        <w:rPr>
          <w:rFonts w:asciiTheme="minorHAnsi" w:hAnsiTheme="minorHAnsi" w:cstheme="minorHAnsi"/>
          <w:sz w:val="20"/>
        </w:rPr>
      </w:pPr>
      <w:r>
        <w:rPr>
          <w:rFonts w:asciiTheme="minorHAnsi" w:hAnsiTheme="minorHAnsi" w:cstheme="minorHAnsi"/>
          <w:sz w:val="20"/>
        </w:rPr>
        <w:t>Only if the patient is contraindicated or intolerant to metformin and a sulfonylurea.</w:t>
      </w:r>
    </w:p>
    <w:p w14:paraId="68C8F058" w14:textId="77777777" w:rsidR="003A6922" w:rsidRDefault="003A6922" w:rsidP="003A6922">
      <w:pPr>
        <w:pStyle w:val="ListParagraph"/>
        <w:numPr>
          <w:ilvl w:val="0"/>
          <w:numId w:val="35"/>
        </w:numPr>
        <w:spacing w:after="160" w:line="256" w:lineRule="auto"/>
        <w:rPr>
          <w:rFonts w:asciiTheme="minorHAnsi" w:hAnsiTheme="minorHAnsi" w:cstheme="minorHAnsi"/>
          <w:sz w:val="20"/>
        </w:rPr>
      </w:pPr>
      <w:r>
        <w:rPr>
          <w:rFonts w:asciiTheme="minorHAnsi" w:hAnsiTheme="minorHAnsi" w:cstheme="minorHAnsi"/>
          <w:sz w:val="20"/>
        </w:rPr>
        <w:t>Fixed dose combination products with metformin are also available for these medicines and listed for the same indications. FDCs are not subsidised for initial therapy.</w:t>
      </w:r>
    </w:p>
    <w:p w14:paraId="7FB959E0" w14:textId="77777777" w:rsidR="003A6922" w:rsidRDefault="003A6922" w:rsidP="003A6922">
      <w:pPr>
        <w:pStyle w:val="ListParagraph"/>
        <w:numPr>
          <w:ilvl w:val="0"/>
          <w:numId w:val="35"/>
        </w:numPr>
        <w:spacing w:after="160" w:line="256" w:lineRule="auto"/>
        <w:rPr>
          <w:rFonts w:asciiTheme="minorHAnsi" w:hAnsiTheme="minorHAnsi" w:cstheme="minorHAnsi"/>
          <w:sz w:val="20"/>
        </w:rPr>
      </w:pPr>
      <w:r>
        <w:rPr>
          <w:rFonts w:asciiTheme="minorHAnsi" w:hAnsiTheme="minorHAnsi" w:cstheme="minorHAnsi"/>
          <w:color w:val="000000"/>
          <w:sz w:val="20"/>
        </w:rPr>
        <w:t>Despite treatment with insulin and oral antidiabetic agents, or insulin alone where metformin is contraindicated.</w:t>
      </w:r>
    </w:p>
    <w:p w14:paraId="04B9D486" w14:textId="77777777" w:rsidR="003A6922" w:rsidRDefault="003A6922" w:rsidP="003A6922">
      <w:pPr>
        <w:pStyle w:val="ListParagraph"/>
        <w:numPr>
          <w:ilvl w:val="0"/>
          <w:numId w:val="35"/>
        </w:numPr>
        <w:spacing w:after="160" w:line="256" w:lineRule="auto"/>
        <w:rPr>
          <w:rFonts w:asciiTheme="minorHAnsi" w:hAnsiTheme="minorHAnsi" w:cstheme="minorHAnsi"/>
          <w:sz w:val="20"/>
        </w:rPr>
      </w:pPr>
      <w:r>
        <w:rPr>
          <w:rFonts w:asciiTheme="minorHAnsi" w:hAnsiTheme="minorHAnsi" w:cstheme="minorHAnsi"/>
          <w:color w:val="000000"/>
          <w:sz w:val="20"/>
        </w:rPr>
        <w:t>FDC with DPP-4 inhibitor available.</w:t>
      </w:r>
    </w:p>
    <w:p w14:paraId="681ACCC1" w14:textId="77777777" w:rsidR="003A6922" w:rsidRDefault="003A6922" w:rsidP="003A6922">
      <w:pPr>
        <w:pStyle w:val="ListParagraph"/>
        <w:numPr>
          <w:ilvl w:val="0"/>
          <w:numId w:val="35"/>
        </w:numPr>
        <w:spacing w:after="160" w:line="256" w:lineRule="auto"/>
        <w:rPr>
          <w:rFonts w:asciiTheme="minorHAnsi" w:hAnsiTheme="minorHAnsi" w:cstheme="minorHAnsi"/>
          <w:sz w:val="20"/>
        </w:rPr>
      </w:pPr>
      <w:r>
        <w:rPr>
          <w:rFonts w:asciiTheme="minorHAnsi" w:hAnsiTheme="minorHAnsi" w:cstheme="minorHAnsi"/>
          <w:color w:val="000000"/>
          <w:sz w:val="20"/>
        </w:rPr>
        <w:t>FDC with SGLT2 inhibitor available.</w:t>
      </w:r>
    </w:p>
    <w:p w14:paraId="672DEB2B" w14:textId="77777777" w:rsidR="003A6922" w:rsidRDefault="003A6922" w:rsidP="003A6922">
      <w:pPr>
        <w:pStyle w:val="ListParagraph"/>
        <w:numPr>
          <w:ilvl w:val="0"/>
          <w:numId w:val="35"/>
        </w:numPr>
        <w:spacing w:after="160" w:line="256" w:lineRule="auto"/>
        <w:rPr>
          <w:rFonts w:asciiTheme="minorHAnsi" w:hAnsiTheme="minorHAnsi" w:cstheme="minorHAnsi"/>
          <w:sz w:val="20"/>
        </w:rPr>
      </w:pPr>
      <w:r>
        <w:rPr>
          <w:rFonts w:asciiTheme="minorHAnsi" w:hAnsiTheme="minorHAnsi" w:cstheme="minorHAnsi"/>
          <w:color w:val="000000"/>
          <w:sz w:val="20"/>
        </w:rPr>
        <w:t>Restricted to use in combination with metformin, not sulfonylurea.</w:t>
      </w:r>
    </w:p>
    <w:p w14:paraId="61E42840" w14:textId="77777777" w:rsidR="00CD0297" w:rsidRPr="00A043B7" w:rsidRDefault="00CD0297" w:rsidP="005D4672">
      <w:pPr>
        <w:pStyle w:val="Heading2"/>
      </w:pPr>
      <w:r w:rsidRPr="005C4B6F">
        <w:rPr>
          <w:rFonts w:ascii="Calibri" w:hAnsi="Calibri" w:cs="Calibri"/>
        </w:rPr>
        <w:t>Clinical</w:t>
      </w:r>
      <w:r w:rsidRPr="00A043B7">
        <w:t xml:space="preserve"> management algorithm and place of GLP-1 RAs in therapy</w:t>
      </w:r>
    </w:p>
    <w:bookmarkEnd w:id="7"/>
    <w:bookmarkEnd w:id="8"/>
    <w:p w14:paraId="09FCF5A3" w14:textId="7F7E5DE7" w:rsidR="007B78C4" w:rsidRDefault="00CD0297" w:rsidP="005C4B6F">
      <w:pPr>
        <w:pStyle w:val="4Bodytextnumbered"/>
        <w:numPr>
          <w:ilvl w:val="1"/>
          <w:numId w:val="7"/>
        </w:numPr>
      </w:pPr>
      <w:r>
        <w:t xml:space="preserve">A brief review of Australian and international clinical management algorithms and treatment guidelines for T2DM indicates that </w:t>
      </w:r>
      <w:r w:rsidR="007B78C4">
        <w:t xml:space="preserve">there is some variation regarding </w:t>
      </w:r>
      <w:r>
        <w:t>the place of GLP-1 RAs in therapy.</w:t>
      </w:r>
      <w:r w:rsidR="007B78C4">
        <w:t xml:space="preserve"> </w:t>
      </w:r>
    </w:p>
    <w:p w14:paraId="7123A56C" w14:textId="671B245A" w:rsidR="00CD0297" w:rsidRDefault="00543618" w:rsidP="005C4B6F">
      <w:pPr>
        <w:pStyle w:val="4Bodytextnumbered"/>
        <w:numPr>
          <w:ilvl w:val="1"/>
          <w:numId w:val="7"/>
        </w:numPr>
      </w:pPr>
      <w:r>
        <w:t xml:space="preserve">Most </w:t>
      </w:r>
      <w:r w:rsidR="007B78C4">
        <w:t xml:space="preserve">clinical guidelines </w:t>
      </w:r>
      <w:r w:rsidR="00CD0297">
        <w:t xml:space="preserve">recommend </w:t>
      </w:r>
      <w:r w:rsidR="007B78C4">
        <w:t xml:space="preserve">GLP-1 RAs </w:t>
      </w:r>
      <w:r w:rsidR="00CD0297" w:rsidRPr="007B78C4">
        <w:rPr>
          <w:rFonts w:cstheme="minorHAnsi"/>
        </w:rPr>
        <w:t xml:space="preserve">for </w:t>
      </w:r>
      <w:r w:rsidR="00CD0297" w:rsidRPr="008575F6">
        <w:t xml:space="preserve">adults with </w:t>
      </w:r>
      <w:r w:rsidR="00CD0297">
        <w:t xml:space="preserve">T2DM </w:t>
      </w:r>
      <w:r w:rsidR="00CD0297" w:rsidRPr="008575F6">
        <w:t xml:space="preserve">who </w:t>
      </w:r>
      <w:r w:rsidR="00CD0297">
        <w:t>are unable to achieve optimal blood glucose levels as</w:t>
      </w:r>
      <w:r w:rsidR="007B78C4">
        <w:t xml:space="preserve"> a second-line therapy following metformin for either all patients, or for patients with established or at high risk of CVD, and/or CKD. A notable exception is the </w:t>
      </w:r>
      <w:r w:rsidR="007B78C4" w:rsidRPr="00C12DE6">
        <w:t>UK National Institute for Health and Care Excellence (NICE) guideline</w:t>
      </w:r>
      <w:r w:rsidR="004F7F08">
        <w:t>,</w:t>
      </w:r>
      <w:r w:rsidR="007B78C4">
        <w:rPr>
          <w:rStyle w:val="FootnoteReference"/>
        </w:rPr>
        <w:footnoteReference w:id="3"/>
      </w:r>
      <w:r w:rsidR="00624572">
        <w:t xml:space="preserve"> which considers cost-effectiveness,</w:t>
      </w:r>
      <w:r w:rsidR="007B78C4">
        <w:t xml:space="preserve"> in which GLP-1 RAs are only recommended for triple therapy, and only under certain circumstances</w:t>
      </w:r>
      <w:r w:rsidR="006D5FF7">
        <w:t>.</w:t>
      </w:r>
    </w:p>
    <w:p w14:paraId="29DF8D37" w14:textId="37F684D8" w:rsidR="000D6C7C" w:rsidRPr="000D6C7C" w:rsidRDefault="004F7F08" w:rsidP="0040572E">
      <w:pPr>
        <w:pStyle w:val="3Bodytext"/>
        <w:rPr>
          <w:i/>
          <w:iCs/>
        </w:rPr>
      </w:pPr>
      <w:r>
        <w:t xml:space="preserve">The </w:t>
      </w:r>
      <w:r w:rsidR="000D6C7C">
        <w:t>PBA</w:t>
      </w:r>
      <w:r w:rsidR="00CD0297">
        <w:t xml:space="preserve">C noted </w:t>
      </w:r>
      <w:r w:rsidR="006D5FF7">
        <w:t xml:space="preserve">that </w:t>
      </w:r>
      <w:r w:rsidR="00543618">
        <w:t>apart from</w:t>
      </w:r>
      <w:r w:rsidR="006D5FF7">
        <w:t xml:space="preserve"> the NICE Guidelines, international diabetes, cardiology</w:t>
      </w:r>
      <w:r>
        <w:t>,</w:t>
      </w:r>
      <w:r w:rsidR="006D5FF7">
        <w:t xml:space="preserve"> and renal societies generally recommend GLP-1 RAs and SGLT2 inhibitors</w:t>
      </w:r>
      <w:r w:rsidR="00624572">
        <w:t xml:space="preserve"> </w:t>
      </w:r>
      <w:r w:rsidR="00624572">
        <w:lastRenderedPageBreak/>
        <w:t>as add-on therapy to metformin (unless contraindicated/intolerant)</w:t>
      </w:r>
      <w:r w:rsidR="006D5FF7">
        <w:t xml:space="preserve"> for T2DM patients with established CVD or high CV risk regardless of HbA1c levels. </w:t>
      </w:r>
    </w:p>
    <w:p w14:paraId="352589D1" w14:textId="64D189A5" w:rsidR="00CD0297" w:rsidRDefault="004F7F08" w:rsidP="00CD0297">
      <w:pPr>
        <w:pStyle w:val="3Bodytext"/>
        <w:rPr>
          <w:i/>
          <w:iCs/>
        </w:rPr>
      </w:pPr>
      <w:r>
        <w:t xml:space="preserve">The </w:t>
      </w:r>
      <w:r w:rsidR="00624572">
        <w:t>PBAC noted that the ‘Australian Evidence-Based Clinical Guidelines for Diabetes v1.3’</w:t>
      </w:r>
      <w:r>
        <w:t>,</w:t>
      </w:r>
      <w:r w:rsidR="00FC0D96">
        <w:rPr>
          <w:rStyle w:val="FootnoteReference"/>
        </w:rPr>
        <w:footnoteReference w:id="4"/>
      </w:r>
      <w:r w:rsidR="00624572">
        <w:t xml:space="preserve"> which are endorsed by the </w:t>
      </w:r>
      <w:r>
        <w:t>Australian Diabetes Society (</w:t>
      </w:r>
      <w:r w:rsidR="00624572">
        <w:t>ADS</w:t>
      </w:r>
      <w:r>
        <w:t>)</w:t>
      </w:r>
      <w:r w:rsidR="00624572">
        <w:t xml:space="preserve"> and National Health and Medical Research Council (NHMRC), recommend</w:t>
      </w:r>
      <w:r w:rsidR="00D854C8">
        <w:t xml:space="preserve"> the</w:t>
      </w:r>
      <w:r w:rsidR="00624572">
        <w:t xml:space="preserve"> </w:t>
      </w:r>
      <w:r w:rsidR="00D854C8">
        <w:t xml:space="preserve">addition of a </w:t>
      </w:r>
      <w:r w:rsidR="00624572">
        <w:t>GLP</w:t>
      </w:r>
      <w:r>
        <w:noBreakHyphen/>
      </w:r>
      <w:r w:rsidR="00624572">
        <w:t>1</w:t>
      </w:r>
      <w:r>
        <w:t> </w:t>
      </w:r>
      <w:r w:rsidR="00624572">
        <w:t xml:space="preserve">RA </w:t>
      </w:r>
      <w:r w:rsidR="00D854C8">
        <w:t>to other glucose lowering medication(s) in</w:t>
      </w:r>
      <w:r w:rsidR="00624572">
        <w:t xml:space="preserve"> adults with T2DM </w:t>
      </w:r>
      <w:r w:rsidR="003D42EC">
        <w:t>who have</w:t>
      </w:r>
      <w:r w:rsidR="00624572">
        <w:t xml:space="preserve"> CVD, multiple CV risk factors and/or kidney disease; are contraindicated/intolerant to SGLT2 inhibitors</w:t>
      </w:r>
      <w:r w:rsidR="00FC0D96">
        <w:t>; and are unable to achieve optimal blood glucose levels on their baseline therapy</w:t>
      </w:r>
      <w:r w:rsidR="00CD0297">
        <w:t xml:space="preserve">.  </w:t>
      </w:r>
    </w:p>
    <w:p w14:paraId="12B64FFE" w14:textId="7AD14583" w:rsidR="00350D3C" w:rsidRPr="00EA7AEB" w:rsidRDefault="003E6CE5" w:rsidP="005D4672">
      <w:pPr>
        <w:pStyle w:val="Heading2"/>
        <w:rPr>
          <w:snapToGrid w:val="0"/>
        </w:rPr>
      </w:pPr>
      <w:r w:rsidRPr="00EA7AEB">
        <w:t>Clinical evaluation</w:t>
      </w:r>
    </w:p>
    <w:p w14:paraId="262B0D32" w14:textId="2DE555AA" w:rsidR="00A043B7" w:rsidRDefault="00A043B7" w:rsidP="00276461">
      <w:pPr>
        <w:pStyle w:val="3Bodytext"/>
        <w:widowControl w:val="0"/>
      </w:pPr>
      <w:bookmarkStart w:id="10" w:name="_Hlk83306386"/>
      <w:r>
        <w:t>Th</w:t>
      </w:r>
      <w:r w:rsidR="004F7F08">
        <w:t xml:space="preserve">e University of Melbourne </w:t>
      </w:r>
      <w:r>
        <w:t>was contracted</w:t>
      </w:r>
      <w:r w:rsidRPr="00B56AF4">
        <w:t xml:space="preserve"> to prepare a clinical and cost</w:t>
      </w:r>
      <w:r>
        <w:t xml:space="preserve"> </w:t>
      </w:r>
      <w:r w:rsidRPr="00B56AF4">
        <w:t>utility evaluation report</w:t>
      </w:r>
      <w:r>
        <w:t xml:space="preserve"> </w:t>
      </w:r>
      <w:r w:rsidRPr="00B56AF4">
        <w:t xml:space="preserve">using the adaptation and calibration of a reference model </w:t>
      </w:r>
      <w:r>
        <w:t>(</w:t>
      </w:r>
      <w:r w:rsidRPr="00B56AF4">
        <w:t>UKPDS OM2</w:t>
      </w:r>
      <w:r>
        <w:t>)</w:t>
      </w:r>
      <w:r w:rsidRPr="00B56AF4">
        <w:t xml:space="preserve"> to assess the cost-effectiveness of </w:t>
      </w:r>
      <w:r>
        <w:t>GLP</w:t>
      </w:r>
      <w:r w:rsidR="004F7F08">
        <w:noBreakHyphen/>
      </w:r>
      <w:r>
        <w:t xml:space="preserve">1 RAs </w:t>
      </w:r>
      <w:r w:rsidRPr="00B56AF4">
        <w:t>compared to SUs as dual therapy with metformin for the treatment of T2DM</w:t>
      </w:r>
      <w:r>
        <w:t>, without the requirement for a specific unmet glycaemic target</w:t>
      </w:r>
      <w:r w:rsidRPr="00B56AF4">
        <w:t xml:space="preserve">. </w:t>
      </w:r>
      <w:r w:rsidR="00543618">
        <w:t>Like</w:t>
      </w:r>
      <w:r>
        <w:t xml:space="preserve"> the SGLT2 inhibitor report, t</w:t>
      </w:r>
      <w:r w:rsidRPr="00B56AF4">
        <w:t>his involved using Australian-specific mortality, cost and patient data to calibrate the original UKPDS</w:t>
      </w:r>
      <w:r w:rsidR="004F7F08">
        <w:t xml:space="preserve"> OM2 </w:t>
      </w:r>
      <w:r w:rsidRPr="00B56AF4">
        <w:t>to allow cost</w:t>
      </w:r>
      <w:r w:rsidR="004F7F08">
        <w:t xml:space="preserve"> utility</w:t>
      </w:r>
      <w:r w:rsidRPr="00B56AF4">
        <w:t xml:space="preserve"> analysis in a contemporary Australian setting.</w:t>
      </w:r>
    </w:p>
    <w:p w14:paraId="5CA60D1B" w14:textId="79D53B41" w:rsidR="00A043B7" w:rsidRDefault="00A043B7" w:rsidP="00276461">
      <w:pPr>
        <w:pStyle w:val="3Bodytext"/>
        <w:widowControl w:val="0"/>
      </w:pPr>
      <w:r>
        <w:t xml:space="preserve">The comparator for the analysis was SUs. SUs </w:t>
      </w:r>
      <w:proofErr w:type="gramStart"/>
      <w:r>
        <w:t>are</w:t>
      </w:r>
      <w:proofErr w:type="gramEnd"/>
      <w:r>
        <w:t xml:space="preserve"> listed on the PBS as unrestricted benefits, allowing use in patients with T2DM irrespective of HbA1c. Based on the 2017 DUSC analysis of diabetes medicines, SUs are also one of the most common oral medications used in combination with metformin in Australia. DPP4 inhibitors are more commonly used but the PBS listings for DPP4 inhibitors require patients to have a HbA1c &gt;7% prior to initiation.</w:t>
      </w:r>
    </w:p>
    <w:p w14:paraId="185AB49C" w14:textId="794FE237" w:rsidR="00DD0E07" w:rsidRDefault="00A043B7" w:rsidP="00276461">
      <w:pPr>
        <w:pStyle w:val="3Bodytext"/>
        <w:widowControl w:val="0"/>
      </w:pPr>
      <w:r>
        <w:t xml:space="preserve">A literature review was undertaken </w:t>
      </w:r>
      <w:r w:rsidRPr="717A6541">
        <w:t xml:space="preserve">to source clinically relevant outcomes from published meta-analyses which compared GLP-1 RAs to SUs, </w:t>
      </w:r>
      <w:r>
        <w:t xml:space="preserve">as add-on therapy to </w:t>
      </w:r>
      <w:r w:rsidRPr="717A6541">
        <w:t>metformin</w:t>
      </w:r>
      <w:r>
        <w:t xml:space="preserve">. </w:t>
      </w:r>
      <w:r w:rsidRPr="717A6541">
        <w:t xml:space="preserve">The methods used </w:t>
      </w:r>
      <w:r>
        <w:t>were</w:t>
      </w:r>
      <w:r w:rsidRPr="717A6541">
        <w:t xml:space="preserve"> based on the Cochrane Handbook for Systematic Reviews of Interventions.</w:t>
      </w:r>
      <w:r>
        <w:t xml:space="preserve"> </w:t>
      </w:r>
      <w:bookmarkStart w:id="11" w:name="_Hlk83306357"/>
      <w:r w:rsidR="00A77923" w:rsidRPr="00871E16">
        <w:t xml:space="preserve">Evidence from </w:t>
      </w:r>
      <w:r w:rsidR="006857BD" w:rsidRPr="00871E16">
        <w:t xml:space="preserve">six </w:t>
      </w:r>
      <w:r w:rsidR="00A77923" w:rsidRPr="00871E16">
        <w:t>recent meta-analyses</w:t>
      </w:r>
      <w:r w:rsidR="006857BD" w:rsidRPr="00871E16">
        <w:t xml:space="preserve"> </w:t>
      </w:r>
      <w:r w:rsidR="00DF6BDA" w:rsidRPr="00871E16">
        <w:t>(</w:t>
      </w:r>
      <w:r w:rsidR="00D20E5D" w:rsidRPr="004F7F08">
        <w:t xml:space="preserve">Table </w:t>
      </w:r>
      <w:r w:rsidR="005C755A">
        <w:t>3</w:t>
      </w:r>
      <w:r w:rsidR="006857BD" w:rsidRPr="00871E16">
        <w:t xml:space="preserve">) </w:t>
      </w:r>
      <w:r w:rsidR="00A77923" w:rsidRPr="00871E16">
        <w:t>inform</w:t>
      </w:r>
      <w:r w:rsidR="00DF6BDA" w:rsidRPr="00871E16">
        <w:t>ed</w:t>
      </w:r>
      <w:r w:rsidR="00A77923" w:rsidRPr="00871E16">
        <w:t xml:space="preserve"> </w:t>
      </w:r>
      <w:r w:rsidR="00DF6BDA" w:rsidRPr="00871E16">
        <w:t xml:space="preserve">the key clinical findings </w:t>
      </w:r>
      <w:r w:rsidR="006F0B15" w:rsidRPr="00871E16">
        <w:t>in</w:t>
      </w:r>
      <w:r w:rsidR="00DF6BDA" w:rsidRPr="00871E16">
        <w:t xml:space="preserve"> the </w:t>
      </w:r>
      <w:r w:rsidR="006857BD" w:rsidRPr="00871E16">
        <w:t>GLP</w:t>
      </w:r>
      <w:r w:rsidR="00584F60">
        <w:noBreakHyphen/>
      </w:r>
      <w:r w:rsidR="006857BD" w:rsidRPr="00871E16">
        <w:t>1</w:t>
      </w:r>
      <w:r w:rsidR="00584F60">
        <w:t> </w:t>
      </w:r>
      <w:r w:rsidR="006857BD" w:rsidRPr="00871E16">
        <w:t>RA report</w:t>
      </w:r>
      <w:r w:rsidR="00DF6BDA" w:rsidRPr="00871E16">
        <w:t>.</w:t>
      </w:r>
      <w:r w:rsidR="00C06511" w:rsidRPr="00871E16">
        <w:t xml:space="preserve"> </w:t>
      </w:r>
    </w:p>
    <w:p w14:paraId="1B55BDC2" w14:textId="11768362" w:rsidR="00AB6D8E" w:rsidRDefault="00DE4312" w:rsidP="00276461">
      <w:pPr>
        <w:pStyle w:val="3Bodytext"/>
        <w:widowControl w:val="0"/>
      </w:pPr>
      <w:r>
        <w:t>T</w:t>
      </w:r>
      <w:r w:rsidR="00C06511" w:rsidRPr="00871E16">
        <w:t>hree additional studies</w:t>
      </w:r>
      <w:r w:rsidR="00DD0E07">
        <w:t xml:space="preserve">, </w:t>
      </w:r>
      <w:r w:rsidR="00DD0E07" w:rsidRPr="006F1F00">
        <w:t>previously included in the SGLT2 inhibitor repor</w:t>
      </w:r>
      <w:r w:rsidR="00DD0E07">
        <w:t>t,</w:t>
      </w:r>
      <w:r w:rsidR="00C06511" w:rsidRPr="00871E16">
        <w:t xml:space="preserve"> were used to provide clinical data on the effectiveness of SUs (</w:t>
      </w:r>
      <w:r w:rsidR="00D20E5D" w:rsidRPr="004F7F08">
        <w:t xml:space="preserve">Table </w:t>
      </w:r>
      <w:r w:rsidR="005C755A">
        <w:t>3</w:t>
      </w:r>
      <w:r w:rsidR="00C06511" w:rsidRPr="00871E16">
        <w:t>)</w:t>
      </w:r>
      <w:r w:rsidR="00DD0E07">
        <w:t xml:space="preserve">. </w:t>
      </w:r>
      <w:r w:rsidR="004F7F08">
        <w:t xml:space="preserve">The </w:t>
      </w:r>
      <w:r w:rsidR="00115D14" w:rsidRPr="005909AA">
        <w:t xml:space="preserve">PBAC considered </w:t>
      </w:r>
      <w:r w:rsidR="00650ED7">
        <w:t xml:space="preserve">the additional studies </w:t>
      </w:r>
      <w:r w:rsidR="00C11CCD">
        <w:t>on the effectiveness of SUs should be</w:t>
      </w:r>
      <w:r w:rsidR="00650ED7">
        <w:t xml:space="preserve"> considered supportive only</w:t>
      </w:r>
      <w:r w:rsidR="00115D14" w:rsidRPr="005909AA">
        <w:t>.</w:t>
      </w:r>
    </w:p>
    <w:p w14:paraId="22B0028D" w14:textId="77777777" w:rsidR="004E34DA" w:rsidRDefault="004E34DA" w:rsidP="004E34DA">
      <w:pPr>
        <w:pStyle w:val="3Bodytext"/>
        <w:widowControl w:val="0"/>
        <w:numPr>
          <w:ilvl w:val="0"/>
          <w:numId w:val="0"/>
        </w:numPr>
      </w:pPr>
    </w:p>
    <w:p w14:paraId="4487A1A1" w14:textId="6F7B0170" w:rsidR="00661A54" w:rsidRPr="004F7F08" w:rsidRDefault="005D2996" w:rsidP="004F7F08">
      <w:pPr>
        <w:pStyle w:val="3Bodytext"/>
        <w:keepNext/>
        <w:keepLines/>
        <w:widowControl w:val="0"/>
        <w:numPr>
          <w:ilvl w:val="0"/>
          <w:numId w:val="0"/>
        </w:numPr>
        <w:rPr>
          <w:rFonts w:ascii="Arial Narrow" w:hAnsi="Arial Narrow"/>
          <w:b/>
          <w:sz w:val="20"/>
          <w:szCs w:val="20"/>
        </w:rPr>
      </w:pPr>
      <w:r w:rsidRPr="004F7F08">
        <w:rPr>
          <w:rFonts w:ascii="Arial Narrow" w:hAnsi="Arial Narrow"/>
          <w:b/>
          <w:sz w:val="20"/>
          <w:szCs w:val="20"/>
        </w:rPr>
        <w:lastRenderedPageBreak/>
        <w:t xml:space="preserve">Table </w:t>
      </w:r>
      <w:r w:rsidR="005C755A">
        <w:rPr>
          <w:rFonts w:ascii="Arial Narrow" w:hAnsi="Arial Narrow"/>
          <w:b/>
          <w:sz w:val="20"/>
          <w:szCs w:val="20"/>
        </w:rPr>
        <w:t>3</w:t>
      </w:r>
      <w:r w:rsidRPr="004F7F08">
        <w:rPr>
          <w:rFonts w:ascii="Arial Narrow" w:hAnsi="Arial Narrow"/>
          <w:b/>
          <w:sz w:val="20"/>
          <w:szCs w:val="20"/>
        </w:rPr>
        <w:t xml:space="preserve">: </w:t>
      </w:r>
      <w:r w:rsidR="00D00C51" w:rsidRPr="004F7F08">
        <w:rPr>
          <w:rFonts w:ascii="Arial Narrow" w:hAnsi="Arial Narrow"/>
          <w:b/>
          <w:sz w:val="20"/>
          <w:szCs w:val="20"/>
        </w:rPr>
        <w:t xml:space="preserve">Included meta-analyses </w:t>
      </w:r>
    </w:p>
    <w:p w14:paraId="31F313B9" w14:textId="6B00F4E9" w:rsidR="004F7F08" w:rsidRPr="004F7F08" w:rsidRDefault="004F7F08" w:rsidP="004F7F08">
      <w:pPr>
        <w:pStyle w:val="3Bodytext"/>
        <w:keepNext/>
        <w:keepLines/>
        <w:widowControl w:val="0"/>
        <w:numPr>
          <w:ilvl w:val="0"/>
          <w:numId w:val="45"/>
        </w:numPr>
        <w:rPr>
          <w:rFonts w:ascii="Arial Narrow" w:hAnsi="Arial Narrow"/>
          <w:sz w:val="20"/>
          <w:szCs w:val="20"/>
        </w:rPr>
      </w:pPr>
      <w:r>
        <w:rPr>
          <w:rFonts w:ascii="Arial Narrow" w:hAnsi="Arial Narrow"/>
          <w:b/>
          <w:sz w:val="20"/>
        </w:rPr>
        <w:t>Studies identified through the literature review</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111"/>
        <w:gridCol w:w="3685"/>
      </w:tblGrid>
      <w:tr w:rsidR="00661A54" w:rsidRPr="005838CB" w14:paraId="6F195EB2" w14:textId="77777777" w:rsidTr="00DA009D">
        <w:trPr>
          <w:cantSplit/>
          <w:tblHeader/>
        </w:trPr>
        <w:tc>
          <w:tcPr>
            <w:tcW w:w="1413" w:type="dxa"/>
            <w:shd w:val="clear" w:color="auto" w:fill="D9D9D9" w:themeFill="background1" w:themeFillShade="D9"/>
          </w:tcPr>
          <w:p w14:paraId="1EC69881" w14:textId="6348E8E0" w:rsidR="00661A54" w:rsidRPr="005838CB" w:rsidRDefault="00661A54" w:rsidP="004F7F08">
            <w:pPr>
              <w:keepNext/>
              <w:keepLines/>
              <w:rPr>
                <w:rFonts w:ascii="Arial Narrow" w:hAnsi="Arial Narrow"/>
                <w:b/>
                <w:sz w:val="20"/>
              </w:rPr>
            </w:pPr>
            <w:r>
              <w:rPr>
                <w:rFonts w:ascii="Arial Narrow" w:hAnsi="Arial Narrow"/>
                <w:b/>
                <w:sz w:val="20"/>
              </w:rPr>
              <w:t>First Author</w:t>
            </w:r>
            <w:r w:rsidR="00D20E5D">
              <w:rPr>
                <w:rFonts w:ascii="Arial Narrow" w:hAnsi="Arial Narrow"/>
                <w:b/>
                <w:sz w:val="20"/>
              </w:rPr>
              <w:t xml:space="preserve"> &amp;</w:t>
            </w:r>
            <w:r w:rsidR="005D2996">
              <w:rPr>
                <w:rFonts w:ascii="Arial Narrow" w:hAnsi="Arial Narrow"/>
                <w:b/>
                <w:sz w:val="20"/>
              </w:rPr>
              <w:t xml:space="preserve"> Year</w:t>
            </w:r>
          </w:p>
        </w:tc>
        <w:tc>
          <w:tcPr>
            <w:tcW w:w="4111" w:type="dxa"/>
            <w:shd w:val="clear" w:color="auto" w:fill="D9D9D9" w:themeFill="background1" w:themeFillShade="D9"/>
          </w:tcPr>
          <w:p w14:paraId="43D55F82" w14:textId="5C9A72F6" w:rsidR="00661A54" w:rsidRPr="005838CB" w:rsidRDefault="00661A54" w:rsidP="004F7F08">
            <w:pPr>
              <w:keepNext/>
              <w:keepLines/>
              <w:jc w:val="center"/>
              <w:rPr>
                <w:rFonts w:ascii="Arial Narrow" w:hAnsi="Arial Narrow"/>
                <w:b/>
                <w:sz w:val="20"/>
              </w:rPr>
            </w:pPr>
            <w:r w:rsidRPr="005838CB">
              <w:rPr>
                <w:rFonts w:ascii="Arial Narrow" w:hAnsi="Arial Narrow"/>
                <w:b/>
                <w:sz w:val="20"/>
              </w:rPr>
              <w:t>Publication title</w:t>
            </w:r>
          </w:p>
        </w:tc>
        <w:tc>
          <w:tcPr>
            <w:tcW w:w="3685" w:type="dxa"/>
            <w:shd w:val="clear" w:color="auto" w:fill="D9D9D9" w:themeFill="background1" w:themeFillShade="D9"/>
          </w:tcPr>
          <w:p w14:paraId="6BBDE57A" w14:textId="77777777" w:rsidR="00661A54" w:rsidRPr="005838CB" w:rsidRDefault="00661A54" w:rsidP="004F7F08">
            <w:pPr>
              <w:keepNext/>
              <w:keepLines/>
              <w:rPr>
                <w:rFonts w:ascii="Arial Narrow" w:hAnsi="Arial Narrow"/>
                <w:b/>
                <w:sz w:val="20"/>
              </w:rPr>
            </w:pPr>
            <w:r w:rsidRPr="005838CB">
              <w:rPr>
                <w:rFonts w:ascii="Arial Narrow" w:hAnsi="Arial Narrow"/>
                <w:b/>
                <w:sz w:val="20"/>
              </w:rPr>
              <w:t>Publication citation</w:t>
            </w:r>
          </w:p>
        </w:tc>
      </w:tr>
      <w:tr w:rsidR="005D2996" w:rsidRPr="005838CB" w14:paraId="52AD294F" w14:textId="77777777" w:rsidTr="004E34DA">
        <w:trPr>
          <w:cantSplit/>
        </w:trPr>
        <w:tc>
          <w:tcPr>
            <w:tcW w:w="1413" w:type="dxa"/>
          </w:tcPr>
          <w:p w14:paraId="2BA06C64" w14:textId="03548B59" w:rsidR="005D2996" w:rsidRPr="005838CB" w:rsidRDefault="005D2996" w:rsidP="004F7F08">
            <w:pPr>
              <w:keepNext/>
              <w:keepLines/>
              <w:rPr>
                <w:rFonts w:ascii="Arial Narrow" w:hAnsi="Arial Narrow"/>
                <w:sz w:val="20"/>
              </w:rPr>
            </w:pPr>
            <w:r>
              <w:rPr>
                <w:rFonts w:ascii="Arial Narrow" w:hAnsi="Arial Narrow"/>
                <w:sz w:val="20"/>
              </w:rPr>
              <w:t>Alexander 2021</w:t>
            </w:r>
          </w:p>
        </w:tc>
        <w:tc>
          <w:tcPr>
            <w:tcW w:w="4111" w:type="dxa"/>
          </w:tcPr>
          <w:p w14:paraId="446AFB17" w14:textId="4939F0AE" w:rsidR="005D2996" w:rsidRPr="00D854C8" w:rsidRDefault="005D2996" w:rsidP="004F7F08">
            <w:pPr>
              <w:keepNext/>
              <w:keepLines/>
              <w:rPr>
                <w:rFonts w:ascii="Arial Narrow" w:hAnsi="Arial Narrow" w:cs="Arial"/>
                <w:b/>
                <w:sz w:val="20"/>
                <w:szCs w:val="20"/>
              </w:rPr>
            </w:pPr>
            <w:r w:rsidRPr="004E34DA">
              <w:rPr>
                <w:rFonts w:ascii="Arial Narrow" w:hAnsi="Arial Narrow" w:cs="Arial"/>
                <w:sz w:val="20"/>
                <w:szCs w:val="20"/>
                <w:lang w:val="en-US"/>
              </w:rPr>
              <w:t xml:space="preserve">The Longer-Term Benefits and Harms of Glucagon-LikePeptide-1 Receptor Agonists: </w:t>
            </w:r>
            <w:r w:rsidR="00543618" w:rsidRPr="004E34DA">
              <w:rPr>
                <w:rFonts w:ascii="Arial Narrow" w:hAnsi="Arial Narrow" w:cs="Arial"/>
                <w:sz w:val="20"/>
                <w:szCs w:val="20"/>
                <w:lang w:val="en-US"/>
              </w:rPr>
              <w:t>A</w:t>
            </w:r>
            <w:r w:rsidRPr="004E34DA">
              <w:rPr>
                <w:rFonts w:ascii="Arial Narrow" w:hAnsi="Arial Narrow" w:cs="Arial"/>
                <w:sz w:val="20"/>
                <w:szCs w:val="20"/>
                <w:lang w:val="en-US"/>
              </w:rPr>
              <w:t xml:space="preserve"> Systematic Review and Meta-Analysis</w:t>
            </w:r>
          </w:p>
        </w:tc>
        <w:tc>
          <w:tcPr>
            <w:tcW w:w="3685" w:type="dxa"/>
          </w:tcPr>
          <w:p w14:paraId="329C2C23" w14:textId="77777777" w:rsidR="005D2996" w:rsidRDefault="005D2996" w:rsidP="004F7F08">
            <w:pPr>
              <w:keepNext/>
              <w:keepLines/>
              <w:spacing w:line="288" w:lineRule="auto"/>
              <w:rPr>
                <w:rFonts w:ascii="Arial Narrow" w:hAnsi="Arial Narrow" w:cstheme="minorHAnsi"/>
                <w:color w:val="000000" w:themeColor="text1"/>
                <w:sz w:val="20"/>
                <w:szCs w:val="20"/>
                <w:shd w:val="clear" w:color="auto" w:fill="FFFFFF"/>
              </w:rPr>
            </w:pPr>
            <w:r w:rsidRPr="004E34DA">
              <w:rPr>
                <w:rFonts w:ascii="Arial Narrow" w:hAnsi="Arial Narrow" w:cstheme="minorHAnsi"/>
                <w:color w:val="000000" w:themeColor="text1"/>
                <w:sz w:val="20"/>
                <w:szCs w:val="20"/>
                <w:shd w:val="clear" w:color="auto" w:fill="FFFFFF"/>
              </w:rPr>
              <w:t>Alexander JT, Staab EM, Wan W</w:t>
            </w:r>
            <w:r>
              <w:rPr>
                <w:rFonts w:ascii="Arial Narrow" w:hAnsi="Arial Narrow" w:cstheme="minorHAnsi"/>
                <w:color w:val="000000" w:themeColor="text1"/>
                <w:sz w:val="20"/>
                <w:szCs w:val="20"/>
                <w:shd w:val="clear" w:color="auto" w:fill="FFFFFF"/>
              </w:rPr>
              <w:t>, et al.</w:t>
            </w:r>
          </w:p>
          <w:p w14:paraId="572F7520" w14:textId="7E1806BE" w:rsidR="005D2996" w:rsidRPr="004E34DA" w:rsidRDefault="005D2996" w:rsidP="004F7F08">
            <w:pPr>
              <w:keepNext/>
              <w:keepLines/>
              <w:spacing w:line="288" w:lineRule="auto"/>
              <w:rPr>
                <w:rFonts w:ascii="Arial Narrow" w:hAnsi="Arial Narrow" w:cstheme="minorHAnsi"/>
                <w:color w:val="000000" w:themeColor="text1"/>
                <w:sz w:val="20"/>
                <w:szCs w:val="20"/>
              </w:rPr>
            </w:pPr>
            <w:r w:rsidRPr="004E34DA">
              <w:rPr>
                <w:rFonts w:ascii="Arial Narrow" w:hAnsi="Arial Narrow" w:cstheme="minorHAnsi"/>
                <w:color w:val="000000" w:themeColor="text1"/>
                <w:sz w:val="20"/>
                <w:szCs w:val="20"/>
                <w:shd w:val="clear" w:color="auto" w:fill="FFFFFF"/>
              </w:rPr>
              <w:t>Journal of General Internal Medicine. 2021 Sep 10:1-24.</w:t>
            </w:r>
            <w:r w:rsidRPr="004E34DA" w:rsidDel="00757085">
              <w:rPr>
                <w:rFonts w:ascii="Arial Narrow" w:hAnsi="Arial Narrow" w:cstheme="minorHAnsi"/>
                <w:color w:val="000000" w:themeColor="text1"/>
                <w:sz w:val="20"/>
                <w:szCs w:val="20"/>
                <w:lang w:val="en-US"/>
              </w:rPr>
              <w:t xml:space="preserve"> </w:t>
            </w:r>
          </w:p>
        </w:tc>
      </w:tr>
      <w:tr w:rsidR="005D2996" w:rsidRPr="005838CB" w14:paraId="786A8F05" w14:textId="77777777" w:rsidTr="004E34DA">
        <w:trPr>
          <w:cantSplit/>
        </w:trPr>
        <w:tc>
          <w:tcPr>
            <w:tcW w:w="1413" w:type="dxa"/>
          </w:tcPr>
          <w:p w14:paraId="5816AFFD" w14:textId="57C38866" w:rsidR="005D2996" w:rsidRPr="005838CB" w:rsidRDefault="005D2996" w:rsidP="004F7F08">
            <w:pPr>
              <w:keepNext/>
              <w:keepLines/>
              <w:rPr>
                <w:rFonts w:ascii="Arial Narrow" w:hAnsi="Arial Narrow"/>
                <w:sz w:val="20"/>
              </w:rPr>
            </w:pPr>
            <w:proofErr w:type="spellStart"/>
            <w:r>
              <w:rPr>
                <w:rFonts w:ascii="Arial Narrow" w:hAnsi="Arial Narrow"/>
                <w:sz w:val="20"/>
              </w:rPr>
              <w:t>Mannucci</w:t>
            </w:r>
            <w:proofErr w:type="spellEnd"/>
            <w:r>
              <w:rPr>
                <w:rFonts w:ascii="Arial Narrow" w:hAnsi="Arial Narrow"/>
                <w:sz w:val="20"/>
              </w:rPr>
              <w:t xml:space="preserve"> 2021</w:t>
            </w:r>
          </w:p>
        </w:tc>
        <w:tc>
          <w:tcPr>
            <w:tcW w:w="4111" w:type="dxa"/>
          </w:tcPr>
          <w:p w14:paraId="796A5326" w14:textId="2E52E658" w:rsidR="005D2996" w:rsidRPr="00D854C8" w:rsidRDefault="005D2996" w:rsidP="004F7F08">
            <w:pPr>
              <w:keepNext/>
              <w:keepLines/>
              <w:rPr>
                <w:rFonts w:ascii="Arial Narrow" w:hAnsi="Arial Narrow" w:cs="Arial"/>
                <w:b/>
                <w:sz w:val="20"/>
                <w:szCs w:val="20"/>
              </w:rPr>
            </w:pPr>
            <w:r w:rsidRPr="004E34DA">
              <w:rPr>
                <w:rFonts w:ascii="Arial Narrow" w:hAnsi="Arial Narrow" w:cs="Arial"/>
                <w:color w:val="000000"/>
                <w:sz w:val="20"/>
                <w:szCs w:val="20"/>
              </w:rPr>
              <w:t>Efficacy and safety of glucose-lowering agents in patients with type 2 diabetes: A network meta-analysis of randomized, active comparator-controlled trials</w:t>
            </w:r>
          </w:p>
        </w:tc>
        <w:tc>
          <w:tcPr>
            <w:tcW w:w="3685" w:type="dxa"/>
          </w:tcPr>
          <w:p w14:paraId="06AC77BF" w14:textId="77777777" w:rsidR="005D2996" w:rsidRDefault="005D2996" w:rsidP="004F7F08">
            <w:pPr>
              <w:keepNext/>
              <w:keepLines/>
              <w:spacing w:line="288" w:lineRule="auto"/>
              <w:rPr>
                <w:rFonts w:ascii="Arial Narrow" w:hAnsi="Arial Narrow" w:cstheme="minorHAnsi"/>
                <w:color w:val="000000" w:themeColor="text1"/>
                <w:sz w:val="20"/>
                <w:szCs w:val="20"/>
                <w:shd w:val="clear" w:color="auto" w:fill="FFFFFF"/>
              </w:rPr>
            </w:pPr>
            <w:proofErr w:type="spellStart"/>
            <w:r w:rsidRPr="004E34DA">
              <w:rPr>
                <w:rFonts w:ascii="Arial Narrow" w:hAnsi="Arial Narrow" w:cstheme="minorHAnsi"/>
                <w:color w:val="000000" w:themeColor="text1"/>
                <w:sz w:val="20"/>
                <w:szCs w:val="20"/>
                <w:shd w:val="clear" w:color="auto" w:fill="FFFFFF"/>
              </w:rPr>
              <w:t>Mannucci</w:t>
            </w:r>
            <w:proofErr w:type="spellEnd"/>
            <w:r w:rsidRPr="004E34DA">
              <w:rPr>
                <w:rFonts w:ascii="Arial Narrow" w:hAnsi="Arial Narrow" w:cstheme="minorHAnsi"/>
                <w:color w:val="000000" w:themeColor="text1"/>
                <w:sz w:val="20"/>
                <w:szCs w:val="20"/>
                <w:shd w:val="clear" w:color="auto" w:fill="FFFFFF"/>
              </w:rPr>
              <w:t xml:space="preserve"> E, </w:t>
            </w:r>
            <w:proofErr w:type="spellStart"/>
            <w:r w:rsidRPr="004E34DA">
              <w:rPr>
                <w:rFonts w:ascii="Arial Narrow" w:hAnsi="Arial Narrow" w:cstheme="minorHAnsi"/>
                <w:color w:val="000000" w:themeColor="text1"/>
                <w:sz w:val="20"/>
                <w:szCs w:val="20"/>
                <w:shd w:val="clear" w:color="auto" w:fill="FFFFFF"/>
              </w:rPr>
              <w:t>Naletto</w:t>
            </w:r>
            <w:proofErr w:type="spellEnd"/>
            <w:r w:rsidRPr="004E34DA">
              <w:rPr>
                <w:rFonts w:ascii="Arial Narrow" w:hAnsi="Arial Narrow" w:cstheme="minorHAnsi"/>
                <w:color w:val="000000" w:themeColor="text1"/>
                <w:sz w:val="20"/>
                <w:szCs w:val="20"/>
                <w:shd w:val="clear" w:color="auto" w:fill="FFFFFF"/>
              </w:rPr>
              <w:t xml:space="preserve"> L, Vaccaro G, </w:t>
            </w:r>
            <w:r>
              <w:rPr>
                <w:rFonts w:ascii="Arial Narrow" w:hAnsi="Arial Narrow" w:cstheme="minorHAnsi"/>
                <w:color w:val="000000" w:themeColor="text1"/>
                <w:sz w:val="20"/>
                <w:szCs w:val="20"/>
                <w:shd w:val="clear" w:color="auto" w:fill="FFFFFF"/>
              </w:rPr>
              <w:t>et al.</w:t>
            </w:r>
          </w:p>
          <w:p w14:paraId="7F04DBA0" w14:textId="61514AB9" w:rsidR="005D2996" w:rsidRPr="004E34DA" w:rsidRDefault="005D2996" w:rsidP="004F7F08">
            <w:pPr>
              <w:keepNext/>
              <w:keepLines/>
              <w:spacing w:line="288" w:lineRule="auto"/>
              <w:rPr>
                <w:rFonts w:ascii="Arial Narrow" w:hAnsi="Arial Narrow" w:cstheme="minorHAnsi"/>
                <w:color w:val="000000" w:themeColor="text1"/>
                <w:sz w:val="20"/>
                <w:szCs w:val="20"/>
              </w:rPr>
            </w:pPr>
            <w:r w:rsidRPr="004E34DA">
              <w:rPr>
                <w:rFonts w:ascii="Arial Narrow" w:hAnsi="Arial Narrow" w:cstheme="minorHAnsi"/>
                <w:color w:val="000000" w:themeColor="text1"/>
                <w:sz w:val="20"/>
                <w:szCs w:val="20"/>
                <w:shd w:val="clear" w:color="auto" w:fill="FFFFFF"/>
              </w:rPr>
              <w:t>Nutrition, Metabolism and Cardiovascular Diseases. 2021 Apr 9;31(4):1027-34.</w:t>
            </w:r>
            <w:r w:rsidRPr="004E34DA">
              <w:rPr>
                <w:rFonts w:ascii="Arial Narrow" w:hAnsi="Arial Narrow" w:cstheme="minorHAnsi"/>
                <w:color w:val="000000" w:themeColor="text1"/>
                <w:sz w:val="20"/>
                <w:szCs w:val="20"/>
                <w:lang w:val="en-US"/>
              </w:rPr>
              <w:fldChar w:fldCharType="begin"/>
            </w:r>
            <w:r w:rsidRPr="004E34DA">
              <w:rPr>
                <w:rFonts w:ascii="Arial Narrow" w:hAnsi="Arial Narrow" w:cstheme="minorHAnsi"/>
                <w:color w:val="000000" w:themeColor="text1"/>
                <w:sz w:val="20"/>
                <w:szCs w:val="20"/>
                <w:lang w:val="en-US"/>
              </w:rPr>
              <w:instrText xml:space="preserve"> ADDIN EN.CITE &lt;EndNote&gt;&lt;Cite&gt;&lt;Author&gt;Mannucci&lt;/Author&gt;&lt;Year&gt;2021&lt;/Year&gt;&lt;RecNum&gt;136&lt;/RecNum&gt;&lt;DisplayText&gt;&lt;style face="superscript"&gt;2&lt;/style&gt;&lt;/DisplayText&gt;&lt;record&gt;&lt;rec-number&gt;136&lt;/rec-number&gt;&lt;foreign-keys&gt;&lt;key app="EN" db-id="szzrr0xel2fsa9ex2x0pw25jtesa5p0aerfw" timestamp="1633402746"&gt;136&lt;/key&gt;&lt;/foreign-keys&gt;&lt;ref-type name="Journal Article"&gt;17&lt;/ref-type&gt;&lt;contributors&gt;&lt;authors&gt;&lt;author&gt;Mannucci, E.&lt;/author&gt;&lt;author&gt;Naletto, L.&lt;/author&gt;&lt;author&gt;Vaccaro, G.&lt;/author&gt;&lt;author&gt;Silverii, A.&lt;/author&gt;&lt;author&gt;Dicembrini, I.&lt;/author&gt;&lt;author&gt;Pintaudi, B.&lt;/author&gt;&lt;author&gt;Monami, M.&lt;/author&gt;&lt;/authors&gt;&lt;/contributors&gt;&lt;titles&gt;&lt;title&gt;Efficacy and safety of glucose-lowering agents in patients with type 2 diabetes: A network meta-analysis of randomized, active comparator-controlled trials&lt;/title&gt;&lt;secondary-title&gt;Nutrition, Metabolism and Cardiovascular Diseases&lt;/secondary-title&gt;&lt;/titles&gt;&lt;periodical&gt;&lt;full-title&gt;Nutrition, Metabolism and Cardiovascular Diseases&lt;/full-title&gt;&lt;/periodical&gt;&lt;pages&gt;1027-1034&lt;/pages&gt;&lt;volume&gt;31&lt;/volume&gt;&lt;number&gt;4&lt;/number&gt;&lt;dates&gt;&lt;year&gt;2021&lt;/year&gt;&lt;/dates&gt;&lt;accession-num&gt;2011096896&lt;/accession-num&gt;&lt;urls&gt;&lt;related-urls&gt;&lt;url&gt;https://access.ovid.com/custom/redirector/index.html?dest=https://go.openathens.net/redirector/unimelb.edu.au?url=http://ovidsp.ovid.com/ovidweb.cgi?T=JS&amp;amp;CSC=Y&amp;amp;NEWS=N&amp;amp;PAGE=fulltext&amp;amp;D=emexb&amp;amp;AN=2011096896&lt;/url&gt;&lt;url&gt;https://www.nmcd-journal.com/article/S0939-4753(20)30556-1/fulltext&lt;/url&gt;&lt;/related-urls&gt;&lt;/urls&gt;&lt;/record&gt;&lt;/Cite&gt;&lt;/EndNote&gt;</w:instrText>
            </w:r>
            <w:r w:rsidRPr="004E34DA">
              <w:rPr>
                <w:rFonts w:ascii="Arial Narrow" w:hAnsi="Arial Narrow" w:cstheme="minorHAnsi"/>
                <w:color w:val="000000" w:themeColor="text1"/>
                <w:sz w:val="20"/>
                <w:szCs w:val="20"/>
                <w:lang w:val="en-US"/>
              </w:rPr>
              <w:fldChar w:fldCharType="separate"/>
            </w:r>
            <w:r w:rsidRPr="004E34DA">
              <w:rPr>
                <w:rFonts w:ascii="Arial Narrow" w:hAnsi="Arial Narrow" w:cstheme="minorHAnsi"/>
                <w:noProof/>
                <w:color w:val="000000" w:themeColor="text1"/>
                <w:sz w:val="20"/>
                <w:szCs w:val="20"/>
                <w:vertAlign w:val="superscript"/>
                <w:lang w:val="en-US"/>
              </w:rPr>
              <w:t>2</w:t>
            </w:r>
            <w:r w:rsidRPr="004E34DA">
              <w:rPr>
                <w:rFonts w:ascii="Arial Narrow" w:hAnsi="Arial Narrow" w:cstheme="minorHAnsi"/>
                <w:color w:val="000000" w:themeColor="text1"/>
                <w:sz w:val="20"/>
                <w:szCs w:val="20"/>
                <w:lang w:val="en-US"/>
              </w:rPr>
              <w:fldChar w:fldCharType="end"/>
            </w:r>
          </w:p>
        </w:tc>
      </w:tr>
      <w:tr w:rsidR="005D2996" w:rsidRPr="005838CB" w14:paraId="44A93CC9" w14:textId="77777777" w:rsidTr="004E34DA">
        <w:trPr>
          <w:cantSplit/>
        </w:trPr>
        <w:tc>
          <w:tcPr>
            <w:tcW w:w="1413" w:type="dxa"/>
          </w:tcPr>
          <w:p w14:paraId="1D4F75DC" w14:textId="640CBD35" w:rsidR="005D2996" w:rsidRPr="005838CB" w:rsidRDefault="005D2996" w:rsidP="005D2996">
            <w:pPr>
              <w:rPr>
                <w:rFonts w:ascii="Arial Narrow" w:hAnsi="Arial Narrow"/>
                <w:sz w:val="20"/>
              </w:rPr>
            </w:pPr>
            <w:proofErr w:type="spellStart"/>
            <w:r>
              <w:rPr>
                <w:rFonts w:ascii="Arial Narrow" w:hAnsi="Arial Narrow"/>
                <w:sz w:val="20"/>
              </w:rPr>
              <w:t>Tsapas</w:t>
            </w:r>
            <w:proofErr w:type="spellEnd"/>
            <w:r>
              <w:rPr>
                <w:rFonts w:ascii="Arial Narrow" w:hAnsi="Arial Narrow"/>
                <w:sz w:val="20"/>
              </w:rPr>
              <w:t xml:space="preserve"> 2021</w:t>
            </w:r>
          </w:p>
        </w:tc>
        <w:tc>
          <w:tcPr>
            <w:tcW w:w="4111" w:type="dxa"/>
          </w:tcPr>
          <w:p w14:paraId="0C6929C7" w14:textId="3D5B97BC" w:rsidR="005D2996" w:rsidRPr="00D854C8" w:rsidRDefault="005D2996" w:rsidP="005D2996">
            <w:pPr>
              <w:rPr>
                <w:rFonts w:ascii="Arial Narrow" w:hAnsi="Arial Narrow" w:cs="Arial"/>
                <w:b/>
                <w:sz w:val="20"/>
                <w:szCs w:val="20"/>
              </w:rPr>
            </w:pPr>
            <w:r w:rsidRPr="004E34DA">
              <w:rPr>
                <w:rFonts w:ascii="Arial Narrow" w:hAnsi="Arial Narrow" w:cs="Arial"/>
                <w:color w:val="000000"/>
                <w:sz w:val="20"/>
                <w:szCs w:val="20"/>
              </w:rPr>
              <w:t xml:space="preserve">GLP-1 receptor agonists for cardiovascular outcomes with and without metformin. A systematic review and meta-analysis of cardiovascular outcomes trials </w:t>
            </w:r>
          </w:p>
        </w:tc>
        <w:tc>
          <w:tcPr>
            <w:tcW w:w="3685" w:type="dxa"/>
          </w:tcPr>
          <w:p w14:paraId="5557A132" w14:textId="661E852E" w:rsidR="005D2996" w:rsidRDefault="005D2996" w:rsidP="004E34DA">
            <w:pPr>
              <w:spacing w:line="288" w:lineRule="auto"/>
              <w:rPr>
                <w:rFonts w:ascii="Arial Narrow" w:hAnsi="Arial Narrow" w:cstheme="minorHAnsi"/>
                <w:color w:val="000000" w:themeColor="text1"/>
                <w:sz w:val="20"/>
                <w:szCs w:val="20"/>
                <w:shd w:val="clear" w:color="auto" w:fill="FFFFFF"/>
              </w:rPr>
            </w:pPr>
            <w:proofErr w:type="spellStart"/>
            <w:r w:rsidRPr="004E34DA">
              <w:rPr>
                <w:rFonts w:ascii="Arial Narrow" w:hAnsi="Arial Narrow" w:cstheme="minorHAnsi"/>
                <w:color w:val="000000" w:themeColor="text1"/>
                <w:sz w:val="20"/>
                <w:szCs w:val="20"/>
                <w:shd w:val="clear" w:color="auto" w:fill="FFFFFF"/>
              </w:rPr>
              <w:t>Tsapas</w:t>
            </w:r>
            <w:proofErr w:type="spellEnd"/>
            <w:r w:rsidRPr="004E34DA">
              <w:rPr>
                <w:rFonts w:ascii="Arial Narrow" w:hAnsi="Arial Narrow" w:cstheme="minorHAnsi"/>
                <w:color w:val="000000" w:themeColor="text1"/>
                <w:sz w:val="20"/>
                <w:szCs w:val="20"/>
                <w:shd w:val="clear" w:color="auto" w:fill="FFFFFF"/>
              </w:rPr>
              <w:t xml:space="preserve"> A, Karagiannis T, Avgerinos I,</w:t>
            </w:r>
            <w:r>
              <w:rPr>
                <w:rFonts w:ascii="Arial Narrow" w:hAnsi="Arial Narrow" w:cstheme="minorHAnsi"/>
                <w:color w:val="000000" w:themeColor="text1"/>
                <w:sz w:val="20"/>
                <w:szCs w:val="20"/>
                <w:shd w:val="clear" w:color="auto" w:fill="FFFFFF"/>
              </w:rPr>
              <w:t xml:space="preserve"> et al</w:t>
            </w:r>
            <w:r w:rsidRPr="004E34DA">
              <w:rPr>
                <w:rFonts w:ascii="Arial Narrow" w:hAnsi="Arial Narrow" w:cstheme="minorHAnsi"/>
                <w:color w:val="000000" w:themeColor="text1"/>
                <w:sz w:val="20"/>
                <w:szCs w:val="20"/>
                <w:shd w:val="clear" w:color="auto" w:fill="FFFFFF"/>
              </w:rPr>
              <w:t xml:space="preserve">. </w:t>
            </w:r>
          </w:p>
          <w:p w14:paraId="39747B41" w14:textId="6B090D7F" w:rsidR="005D2996" w:rsidRPr="004E34DA" w:rsidRDefault="005D2996" w:rsidP="004E34DA">
            <w:pPr>
              <w:spacing w:line="288" w:lineRule="auto"/>
              <w:rPr>
                <w:rFonts w:ascii="Arial Narrow" w:hAnsi="Arial Narrow" w:cstheme="minorHAnsi"/>
                <w:color w:val="000000" w:themeColor="text1"/>
                <w:sz w:val="20"/>
                <w:szCs w:val="20"/>
              </w:rPr>
            </w:pPr>
            <w:r w:rsidRPr="004E34DA">
              <w:rPr>
                <w:rFonts w:ascii="Arial Narrow" w:hAnsi="Arial Narrow" w:cstheme="minorHAnsi"/>
                <w:color w:val="000000" w:themeColor="text1"/>
                <w:sz w:val="20"/>
                <w:szCs w:val="20"/>
                <w:shd w:val="clear" w:color="auto" w:fill="FFFFFF"/>
              </w:rPr>
              <w:t>Diabetes Research and Clinical Practice. 2021 Jun 15.</w:t>
            </w:r>
            <w:r w:rsidRPr="004E34DA" w:rsidDel="00640A27">
              <w:rPr>
                <w:rFonts w:ascii="Arial Narrow" w:hAnsi="Arial Narrow" w:cstheme="minorHAnsi"/>
                <w:color w:val="000000" w:themeColor="text1"/>
                <w:sz w:val="20"/>
                <w:szCs w:val="20"/>
                <w:lang w:val="en-US"/>
              </w:rPr>
              <w:t xml:space="preserve"> </w:t>
            </w:r>
          </w:p>
        </w:tc>
      </w:tr>
      <w:tr w:rsidR="005D2996" w:rsidRPr="005838CB" w14:paraId="71102E81" w14:textId="77777777" w:rsidTr="004E34DA">
        <w:trPr>
          <w:cantSplit/>
        </w:trPr>
        <w:tc>
          <w:tcPr>
            <w:tcW w:w="1413" w:type="dxa"/>
          </w:tcPr>
          <w:p w14:paraId="25B2F373" w14:textId="4E935B2A" w:rsidR="005D2996" w:rsidRPr="005838CB" w:rsidRDefault="005D2996" w:rsidP="005D2996">
            <w:pPr>
              <w:rPr>
                <w:rFonts w:ascii="Arial Narrow" w:hAnsi="Arial Narrow"/>
                <w:sz w:val="20"/>
              </w:rPr>
            </w:pPr>
            <w:r>
              <w:rPr>
                <w:rFonts w:ascii="Arial Narrow" w:hAnsi="Arial Narrow"/>
                <w:sz w:val="20"/>
              </w:rPr>
              <w:t>Taheri 2019</w:t>
            </w:r>
          </w:p>
        </w:tc>
        <w:tc>
          <w:tcPr>
            <w:tcW w:w="4111" w:type="dxa"/>
          </w:tcPr>
          <w:p w14:paraId="5D32417E" w14:textId="7DD8D1FF" w:rsidR="005D2996" w:rsidRPr="00D854C8" w:rsidRDefault="005D2996" w:rsidP="005D2996">
            <w:pPr>
              <w:rPr>
                <w:rFonts w:ascii="Arial Narrow" w:hAnsi="Arial Narrow" w:cs="Arial"/>
                <w:b/>
                <w:sz w:val="20"/>
                <w:szCs w:val="20"/>
              </w:rPr>
            </w:pPr>
            <w:r w:rsidRPr="004E34DA">
              <w:rPr>
                <w:rFonts w:ascii="Arial Narrow" w:hAnsi="Arial Narrow" w:cs="Arial"/>
                <w:sz w:val="20"/>
                <w:szCs w:val="20"/>
                <w:lang w:val="en-US"/>
              </w:rPr>
              <w:t>Efficacy and Safety of Dulaglutide Compared to Liraglutide: A Systematic Review and Meta-analysis in Patients with Type 2 Diabetes Mellitus</w:t>
            </w:r>
          </w:p>
        </w:tc>
        <w:tc>
          <w:tcPr>
            <w:tcW w:w="3685" w:type="dxa"/>
          </w:tcPr>
          <w:p w14:paraId="6A6AE90E" w14:textId="03C5D13A" w:rsidR="005D2996" w:rsidRDefault="005D2996" w:rsidP="004E34DA">
            <w:pPr>
              <w:spacing w:line="288" w:lineRule="auto"/>
              <w:rPr>
                <w:rFonts w:ascii="Arial Narrow" w:hAnsi="Arial Narrow" w:cstheme="minorHAnsi"/>
                <w:color w:val="000000" w:themeColor="text1"/>
                <w:sz w:val="20"/>
                <w:szCs w:val="20"/>
                <w:shd w:val="clear" w:color="auto" w:fill="FFFFFF"/>
              </w:rPr>
            </w:pPr>
            <w:r w:rsidRPr="004E34DA">
              <w:rPr>
                <w:rFonts w:ascii="Arial Narrow" w:hAnsi="Arial Narrow" w:cstheme="minorHAnsi"/>
                <w:color w:val="000000" w:themeColor="text1"/>
                <w:sz w:val="20"/>
                <w:szCs w:val="20"/>
                <w:shd w:val="clear" w:color="auto" w:fill="FFFFFF"/>
              </w:rPr>
              <w:t xml:space="preserve">Taheri S, </w:t>
            </w:r>
            <w:proofErr w:type="spellStart"/>
            <w:r w:rsidRPr="004E34DA">
              <w:rPr>
                <w:rFonts w:ascii="Arial Narrow" w:hAnsi="Arial Narrow" w:cstheme="minorHAnsi"/>
                <w:color w:val="000000" w:themeColor="text1"/>
                <w:sz w:val="20"/>
                <w:szCs w:val="20"/>
                <w:shd w:val="clear" w:color="auto" w:fill="FFFFFF"/>
              </w:rPr>
              <w:t>Saffaei</w:t>
            </w:r>
            <w:proofErr w:type="spellEnd"/>
            <w:r w:rsidRPr="004E34DA">
              <w:rPr>
                <w:rFonts w:ascii="Arial Narrow" w:hAnsi="Arial Narrow" w:cstheme="minorHAnsi"/>
                <w:color w:val="000000" w:themeColor="text1"/>
                <w:sz w:val="20"/>
                <w:szCs w:val="20"/>
                <w:shd w:val="clear" w:color="auto" w:fill="FFFFFF"/>
              </w:rPr>
              <w:t xml:space="preserve"> A, Amani B,</w:t>
            </w:r>
            <w:r>
              <w:rPr>
                <w:rFonts w:ascii="Arial Narrow" w:hAnsi="Arial Narrow" w:cstheme="minorHAnsi"/>
                <w:color w:val="000000" w:themeColor="text1"/>
                <w:sz w:val="20"/>
                <w:szCs w:val="20"/>
                <w:shd w:val="clear" w:color="auto" w:fill="FFFFFF"/>
              </w:rPr>
              <w:t xml:space="preserve"> et al</w:t>
            </w:r>
            <w:r w:rsidRPr="004E34DA">
              <w:rPr>
                <w:rFonts w:ascii="Arial Narrow" w:hAnsi="Arial Narrow" w:cstheme="minorHAnsi"/>
                <w:color w:val="000000" w:themeColor="text1"/>
                <w:sz w:val="20"/>
                <w:szCs w:val="20"/>
                <w:shd w:val="clear" w:color="auto" w:fill="FFFFFF"/>
              </w:rPr>
              <w:t xml:space="preserve">. </w:t>
            </w:r>
          </w:p>
          <w:p w14:paraId="6C0759E2" w14:textId="49AC9D36" w:rsidR="005D2996" w:rsidRPr="004E34DA" w:rsidRDefault="005D2996" w:rsidP="004E34DA">
            <w:pPr>
              <w:spacing w:line="288" w:lineRule="auto"/>
              <w:rPr>
                <w:rFonts w:ascii="Arial Narrow" w:hAnsi="Arial Narrow" w:cstheme="minorHAnsi"/>
                <w:color w:val="000000" w:themeColor="text1"/>
                <w:sz w:val="20"/>
                <w:szCs w:val="20"/>
              </w:rPr>
            </w:pPr>
            <w:r w:rsidRPr="004E34DA">
              <w:rPr>
                <w:rFonts w:ascii="Arial Narrow" w:hAnsi="Arial Narrow" w:cstheme="minorHAnsi"/>
                <w:color w:val="000000" w:themeColor="text1"/>
                <w:sz w:val="20"/>
                <w:szCs w:val="20"/>
                <w:shd w:val="clear" w:color="auto" w:fill="FFFFFF"/>
              </w:rPr>
              <w:t>Iranian journal of pharmaceutical research: IJPR. 2019;18(4):2180.</w:t>
            </w:r>
            <w:r w:rsidRPr="00D854C8">
              <w:rPr>
                <w:rFonts w:ascii="Arial Narrow" w:hAnsi="Arial Narrow" w:cstheme="minorHAnsi"/>
                <w:color w:val="000000" w:themeColor="text1"/>
                <w:sz w:val="20"/>
                <w:szCs w:val="20"/>
              </w:rPr>
              <w:t xml:space="preserve"> </w:t>
            </w:r>
          </w:p>
        </w:tc>
      </w:tr>
      <w:tr w:rsidR="005D2996" w:rsidRPr="005838CB" w14:paraId="1FA5B756" w14:textId="77777777" w:rsidTr="004E34DA">
        <w:trPr>
          <w:cantSplit/>
        </w:trPr>
        <w:tc>
          <w:tcPr>
            <w:tcW w:w="1413" w:type="dxa"/>
          </w:tcPr>
          <w:p w14:paraId="74B8A369" w14:textId="2BE857C9" w:rsidR="005D2996" w:rsidRPr="005838CB" w:rsidRDefault="005D2996" w:rsidP="005D2996">
            <w:pPr>
              <w:rPr>
                <w:rFonts w:ascii="Arial Narrow" w:hAnsi="Arial Narrow"/>
                <w:sz w:val="20"/>
              </w:rPr>
            </w:pPr>
            <w:r>
              <w:rPr>
                <w:rFonts w:ascii="Arial Narrow" w:hAnsi="Arial Narrow"/>
                <w:sz w:val="20"/>
              </w:rPr>
              <w:t>Grenet 2018</w:t>
            </w:r>
          </w:p>
        </w:tc>
        <w:tc>
          <w:tcPr>
            <w:tcW w:w="4111" w:type="dxa"/>
          </w:tcPr>
          <w:p w14:paraId="6A61E269" w14:textId="01FD2784" w:rsidR="005D2996" w:rsidRPr="00D854C8" w:rsidRDefault="005D2996" w:rsidP="005D2996">
            <w:pPr>
              <w:rPr>
                <w:rFonts w:ascii="Arial Narrow" w:hAnsi="Arial Narrow" w:cs="Arial"/>
                <w:b/>
                <w:sz w:val="20"/>
                <w:szCs w:val="20"/>
              </w:rPr>
            </w:pPr>
            <w:proofErr w:type="spellStart"/>
            <w:r w:rsidRPr="004E34DA">
              <w:rPr>
                <w:rFonts w:ascii="Arial Narrow" w:hAnsi="Arial Narrow" w:cs="Arial"/>
                <w:sz w:val="20"/>
                <w:szCs w:val="20"/>
                <w:lang w:val="en-US"/>
              </w:rPr>
              <w:t>GLUcose</w:t>
            </w:r>
            <w:proofErr w:type="spellEnd"/>
            <w:r w:rsidRPr="004E34DA">
              <w:rPr>
                <w:rFonts w:ascii="Arial Narrow" w:hAnsi="Arial Narrow" w:cs="Arial"/>
                <w:sz w:val="20"/>
                <w:szCs w:val="20"/>
                <w:lang w:val="en-US"/>
              </w:rPr>
              <w:t xml:space="preserve"> </w:t>
            </w:r>
            <w:proofErr w:type="spellStart"/>
            <w:r w:rsidRPr="004E34DA">
              <w:rPr>
                <w:rFonts w:ascii="Arial Narrow" w:hAnsi="Arial Narrow" w:cs="Arial"/>
                <w:sz w:val="20"/>
                <w:szCs w:val="20"/>
                <w:lang w:val="en-US"/>
              </w:rPr>
              <w:t>COntrol</w:t>
            </w:r>
            <w:proofErr w:type="spellEnd"/>
            <w:r w:rsidRPr="004E34DA">
              <w:rPr>
                <w:rFonts w:ascii="Arial Narrow" w:hAnsi="Arial Narrow" w:cs="Arial"/>
                <w:sz w:val="20"/>
                <w:szCs w:val="20"/>
                <w:lang w:val="en-US"/>
              </w:rPr>
              <w:t xml:space="preserve"> Safety &amp; Efficacy in type 2 </w:t>
            </w:r>
            <w:proofErr w:type="spellStart"/>
            <w:r w:rsidRPr="004E34DA">
              <w:rPr>
                <w:rFonts w:ascii="Arial Narrow" w:hAnsi="Arial Narrow" w:cs="Arial"/>
                <w:sz w:val="20"/>
                <w:szCs w:val="20"/>
                <w:lang w:val="en-US"/>
              </w:rPr>
              <w:t>DIabetes</w:t>
            </w:r>
            <w:proofErr w:type="spellEnd"/>
            <w:r w:rsidRPr="004E34DA">
              <w:rPr>
                <w:rFonts w:ascii="Arial Narrow" w:hAnsi="Arial Narrow" w:cs="Arial"/>
                <w:sz w:val="20"/>
                <w:szCs w:val="20"/>
                <w:lang w:val="en-US"/>
              </w:rPr>
              <w:t xml:space="preserve">, a systematic review and </w:t>
            </w:r>
            <w:proofErr w:type="spellStart"/>
            <w:r w:rsidRPr="004E34DA">
              <w:rPr>
                <w:rFonts w:ascii="Arial Narrow" w:hAnsi="Arial Narrow" w:cs="Arial"/>
                <w:sz w:val="20"/>
                <w:szCs w:val="20"/>
                <w:lang w:val="en-US"/>
              </w:rPr>
              <w:t>NETwork</w:t>
            </w:r>
            <w:proofErr w:type="spellEnd"/>
            <w:r w:rsidRPr="004E34DA">
              <w:rPr>
                <w:rFonts w:ascii="Arial Narrow" w:hAnsi="Arial Narrow" w:cs="Arial"/>
                <w:sz w:val="20"/>
                <w:szCs w:val="20"/>
                <w:lang w:val="en-US"/>
              </w:rPr>
              <w:t xml:space="preserve"> meta-analysis</w:t>
            </w:r>
          </w:p>
        </w:tc>
        <w:tc>
          <w:tcPr>
            <w:tcW w:w="3685" w:type="dxa"/>
          </w:tcPr>
          <w:p w14:paraId="577BEEDD" w14:textId="7AA02D6C" w:rsidR="005D2996" w:rsidRPr="004E34DA" w:rsidRDefault="005D2996" w:rsidP="004E34DA">
            <w:pPr>
              <w:spacing w:line="288" w:lineRule="auto"/>
              <w:rPr>
                <w:rFonts w:ascii="Arial Narrow" w:hAnsi="Arial Narrow" w:cstheme="minorHAnsi"/>
                <w:color w:val="000000" w:themeColor="text1"/>
                <w:sz w:val="20"/>
                <w:szCs w:val="20"/>
                <w:shd w:val="clear" w:color="auto" w:fill="FFFFFF"/>
              </w:rPr>
            </w:pPr>
            <w:r w:rsidRPr="004E34DA">
              <w:rPr>
                <w:rFonts w:ascii="Arial Narrow" w:hAnsi="Arial Narrow" w:cstheme="minorHAnsi"/>
                <w:color w:val="000000" w:themeColor="text1"/>
                <w:sz w:val="20"/>
                <w:szCs w:val="20"/>
                <w:shd w:val="clear" w:color="auto" w:fill="FFFFFF"/>
              </w:rPr>
              <w:t>Grenet G, Ribault S, Nguyen GB,</w:t>
            </w:r>
            <w:r>
              <w:rPr>
                <w:rFonts w:ascii="Arial Narrow" w:hAnsi="Arial Narrow" w:cstheme="minorHAnsi"/>
                <w:color w:val="000000" w:themeColor="text1"/>
                <w:sz w:val="20"/>
                <w:szCs w:val="20"/>
                <w:shd w:val="clear" w:color="auto" w:fill="FFFFFF"/>
              </w:rPr>
              <w:t xml:space="preserve"> et al</w:t>
            </w:r>
            <w:r w:rsidRPr="004E34DA">
              <w:rPr>
                <w:rFonts w:ascii="Arial Narrow" w:hAnsi="Arial Narrow" w:cstheme="minorHAnsi"/>
                <w:color w:val="000000" w:themeColor="text1"/>
                <w:sz w:val="20"/>
                <w:szCs w:val="20"/>
                <w:shd w:val="clear" w:color="auto" w:fill="FFFFFF"/>
              </w:rPr>
              <w:t xml:space="preserve">. </w:t>
            </w:r>
          </w:p>
          <w:p w14:paraId="4837CC4E" w14:textId="55F769F4" w:rsidR="005D2996" w:rsidRPr="00D854C8" w:rsidRDefault="005D2996" w:rsidP="00D854C8">
            <w:pPr>
              <w:rPr>
                <w:rFonts w:ascii="Arial Narrow" w:hAnsi="Arial Narrow"/>
                <w:b/>
                <w:sz w:val="20"/>
                <w:szCs w:val="20"/>
              </w:rPr>
            </w:pPr>
            <w:proofErr w:type="spellStart"/>
            <w:r w:rsidRPr="004E34DA">
              <w:rPr>
                <w:rFonts w:ascii="Arial Narrow" w:hAnsi="Arial Narrow" w:cstheme="minorHAnsi"/>
                <w:color w:val="000000" w:themeColor="text1"/>
                <w:sz w:val="20"/>
                <w:szCs w:val="20"/>
                <w:shd w:val="clear" w:color="auto" w:fill="FFFFFF"/>
              </w:rPr>
              <w:t>PloS</w:t>
            </w:r>
            <w:proofErr w:type="spellEnd"/>
            <w:r w:rsidRPr="004E34DA">
              <w:rPr>
                <w:rFonts w:ascii="Arial Narrow" w:hAnsi="Arial Narrow" w:cstheme="minorHAnsi"/>
                <w:color w:val="000000" w:themeColor="text1"/>
                <w:sz w:val="20"/>
                <w:szCs w:val="20"/>
                <w:shd w:val="clear" w:color="auto" w:fill="FFFFFF"/>
              </w:rPr>
              <w:t xml:space="preserve"> one. 2019 Jun 25;14(6</w:t>
            </w:r>
            <w:proofErr w:type="gramStart"/>
            <w:r w:rsidRPr="004E34DA">
              <w:rPr>
                <w:rFonts w:ascii="Arial Narrow" w:hAnsi="Arial Narrow" w:cstheme="minorHAnsi"/>
                <w:color w:val="000000" w:themeColor="text1"/>
                <w:sz w:val="20"/>
                <w:szCs w:val="20"/>
                <w:shd w:val="clear" w:color="auto" w:fill="FFFFFF"/>
              </w:rPr>
              <w:t>):e</w:t>
            </w:r>
            <w:proofErr w:type="gramEnd"/>
            <w:r w:rsidRPr="004E34DA">
              <w:rPr>
                <w:rFonts w:ascii="Arial Narrow" w:hAnsi="Arial Narrow" w:cstheme="minorHAnsi"/>
                <w:color w:val="000000" w:themeColor="text1"/>
                <w:sz w:val="20"/>
                <w:szCs w:val="20"/>
                <w:shd w:val="clear" w:color="auto" w:fill="FFFFFF"/>
              </w:rPr>
              <w:t>0217701.</w:t>
            </w:r>
            <w:r w:rsidRPr="00D854C8">
              <w:rPr>
                <w:rFonts w:ascii="Arial Narrow" w:hAnsi="Arial Narrow"/>
                <w:b/>
                <w:sz w:val="20"/>
                <w:szCs w:val="20"/>
              </w:rPr>
              <w:t xml:space="preserve"> </w:t>
            </w:r>
          </w:p>
        </w:tc>
      </w:tr>
      <w:tr w:rsidR="005D2996" w:rsidRPr="005838CB" w14:paraId="1E6DBC03" w14:textId="77777777" w:rsidTr="004E34DA">
        <w:trPr>
          <w:cantSplit/>
        </w:trPr>
        <w:tc>
          <w:tcPr>
            <w:tcW w:w="1413" w:type="dxa"/>
          </w:tcPr>
          <w:p w14:paraId="33772068" w14:textId="44D3F582" w:rsidR="005D2996" w:rsidRPr="005838CB" w:rsidRDefault="005D2996" w:rsidP="005D2996">
            <w:pPr>
              <w:rPr>
                <w:rFonts w:ascii="Arial Narrow" w:hAnsi="Arial Narrow"/>
                <w:sz w:val="20"/>
              </w:rPr>
            </w:pPr>
            <w:r>
              <w:rPr>
                <w:rFonts w:ascii="Arial Narrow" w:hAnsi="Arial Narrow"/>
                <w:sz w:val="20"/>
              </w:rPr>
              <w:t>Waldrop 2018</w:t>
            </w:r>
          </w:p>
        </w:tc>
        <w:tc>
          <w:tcPr>
            <w:tcW w:w="4111" w:type="dxa"/>
          </w:tcPr>
          <w:p w14:paraId="7C22F82A" w14:textId="67E19A70" w:rsidR="005D2996" w:rsidRPr="00D854C8" w:rsidRDefault="005D2996" w:rsidP="005D2996">
            <w:pPr>
              <w:rPr>
                <w:rFonts w:ascii="Arial Narrow" w:hAnsi="Arial Narrow" w:cs="Arial"/>
                <w:b/>
                <w:sz w:val="20"/>
                <w:szCs w:val="20"/>
              </w:rPr>
            </w:pPr>
            <w:r w:rsidRPr="004E34DA">
              <w:rPr>
                <w:rFonts w:ascii="Arial Narrow" w:hAnsi="Arial Narrow" w:cs="Arial"/>
                <w:color w:val="000000"/>
                <w:sz w:val="20"/>
                <w:szCs w:val="20"/>
              </w:rPr>
              <w:t>Incretin-based therapy in type 2 diabetes: An evidence based systematic review and meta-analysis</w:t>
            </w:r>
          </w:p>
        </w:tc>
        <w:tc>
          <w:tcPr>
            <w:tcW w:w="3685" w:type="dxa"/>
          </w:tcPr>
          <w:p w14:paraId="0ECC50F9" w14:textId="2240FC0B" w:rsidR="005D2996" w:rsidRPr="004E34DA" w:rsidRDefault="005D2996" w:rsidP="004E34DA">
            <w:pPr>
              <w:spacing w:line="288" w:lineRule="auto"/>
              <w:rPr>
                <w:rFonts w:ascii="Arial Narrow" w:hAnsi="Arial Narrow" w:cstheme="minorHAnsi"/>
                <w:color w:val="000000" w:themeColor="text1"/>
                <w:sz w:val="20"/>
                <w:szCs w:val="20"/>
              </w:rPr>
            </w:pPr>
            <w:r w:rsidRPr="004E34DA">
              <w:rPr>
                <w:rFonts w:ascii="Arial Narrow" w:hAnsi="Arial Narrow" w:cstheme="minorHAnsi"/>
                <w:color w:val="000000" w:themeColor="text1"/>
                <w:sz w:val="20"/>
                <w:szCs w:val="20"/>
                <w:shd w:val="clear" w:color="auto" w:fill="FFFFFF"/>
              </w:rPr>
              <w:t>Waldrop G, Zhong J, Peters M,</w:t>
            </w:r>
            <w:r>
              <w:rPr>
                <w:rFonts w:ascii="Arial Narrow" w:hAnsi="Arial Narrow" w:cstheme="minorHAnsi"/>
                <w:color w:val="000000" w:themeColor="text1"/>
                <w:sz w:val="20"/>
                <w:szCs w:val="20"/>
                <w:shd w:val="clear" w:color="auto" w:fill="FFFFFF"/>
              </w:rPr>
              <w:t xml:space="preserve"> et al</w:t>
            </w:r>
            <w:r w:rsidRPr="004E34DA">
              <w:rPr>
                <w:rFonts w:ascii="Arial Narrow" w:hAnsi="Arial Narrow" w:cstheme="minorHAnsi"/>
                <w:color w:val="000000" w:themeColor="text1"/>
                <w:sz w:val="20"/>
                <w:szCs w:val="20"/>
                <w:shd w:val="clear" w:color="auto" w:fill="FFFFFF"/>
              </w:rPr>
              <w:t xml:space="preserve">. </w:t>
            </w:r>
          </w:p>
          <w:p w14:paraId="649760E9" w14:textId="54668762" w:rsidR="005D2996" w:rsidRPr="00D854C8" w:rsidRDefault="005D2996" w:rsidP="00D854C8">
            <w:pPr>
              <w:rPr>
                <w:rFonts w:ascii="Arial Narrow" w:hAnsi="Arial Narrow"/>
                <w:b/>
                <w:sz w:val="20"/>
                <w:szCs w:val="20"/>
              </w:rPr>
            </w:pPr>
            <w:r w:rsidRPr="004E34DA">
              <w:rPr>
                <w:rFonts w:ascii="Arial Narrow" w:hAnsi="Arial Narrow" w:cstheme="minorHAnsi"/>
                <w:color w:val="000000" w:themeColor="text1"/>
                <w:sz w:val="20"/>
                <w:szCs w:val="20"/>
                <w:shd w:val="clear" w:color="auto" w:fill="FFFFFF"/>
              </w:rPr>
              <w:t>Journal of Diabetes and its Complications. 2018 Jan 1;32(1):113-22.</w:t>
            </w:r>
            <w:r w:rsidRPr="00D854C8">
              <w:rPr>
                <w:rFonts w:ascii="Arial Narrow" w:hAnsi="Arial Narrow"/>
                <w:b/>
                <w:sz w:val="20"/>
                <w:szCs w:val="20"/>
              </w:rPr>
              <w:t xml:space="preserve"> </w:t>
            </w:r>
          </w:p>
        </w:tc>
      </w:tr>
    </w:tbl>
    <w:p w14:paraId="4FB1DC0F" w14:textId="77777777" w:rsidR="00DD0E07" w:rsidRPr="00DD0E07" w:rsidRDefault="00DD0E07" w:rsidP="00DD0E07">
      <w:pPr>
        <w:pStyle w:val="3Bodytext"/>
        <w:keepNext/>
        <w:keepLines/>
        <w:numPr>
          <w:ilvl w:val="0"/>
          <w:numId w:val="0"/>
        </w:numPr>
        <w:ind w:left="720" w:hanging="720"/>
        <w:jc w:val="left"/>
        <w:rPr>
          <w:sz w:val="20"/>
          <w:szCs w:val="20"/>
        </w:rPr>
      </w:pPr>
    </w:p>
    <w:p w14:paraId="1283D558" w14:textId="37BC5912" w:rsidR="004F7F08" w:rsidRDefault="004F7F08" w:rsidP="004F7F08">
      <w:pPr>
        <w:pStyle w:val="3Bodytext"/>
        <w:keepNext/>
        <w:keepLines/>
        <w:numPr>
          <w:ilvl w:val="0"/>
          <w:numId w:val="45"/>
        </w:numPr>
        <w:jc w:val="left"/>
        <w:rPr>
          <w:sz w:val="20"/>
          <w:szCs w:val="20"/>
        </w:rPr>
      </w:pPr>
      <w:r>
        <w:rPr>
          <w:rFonts w:ascii="Arial Narrow" w:hAnsi="Arial Narrow"/>
          <w:b/>
          <w:sz w:val="20"/>
        </w:rPr>
        <w:t>Studies included to provide additional evidence on effectiveness of SUs</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111"/>
        <w:gridCol w:w="3685"/>
      </w:tblGrid>
      <w:tr w:rsidR="004F7F08" w:rsidRPr="005838CB" w14:paraId="2DBCB961" w14:textId="77777777" w:rsidTr="00DA009D">
        <w:trPr>
          <w:cantSplit/>
          <w:tblHeader/>
        </w:trPr>
        <w:tc>
          <w:tcPr>
            <w:tcW w:w="1413" w:type="dxa"/>
            <w:shd w:val="clear" w:color="auto" w:fill="D9D9D9" w:themeFill="background1" w:themeFillShade="D9"/>
          </w:tcPr>
          <w:p w14:paraId="67D9802D" w14:textId="77777777" w:rsidR="004F7F08" w:rsidRPr="005838CB" w:rsidRDefault="004F7F08" w:rsidP="007C7B3B">
            <w:pPr>
              <w:keepNext/>
              <w:keepLines/>
              <w:rPr>
                <w:rFonts w:ascii="Arial Narrow" w:hAnsi="Arial Narrow"/>
                <w:b/>
                <w:sz w:val="20"/>
              </w:rPr>
            </w:pPr>
            <w:r>
              <w:rPr>
                <w:rFonts w:ascii="Arial Narrow" w:hAnsi="Arial Narrow"/>
                <w:b/>
                <w:sz w:val="20"/>
              </w:rPr>
              <w:t>First Author &amp; Year</w:t>
            </w:r>
          </w:p>
        </w:tc>
        <w:tc>
          <w:tcPr>
            <w:tcW w:w="4111" w:type="dxa"/>
            <w:shd w:val="clear" w:color="auto" w:fill="D9D9D9" w:themeFill="background1" w:themeFillShade="D9"/>
          </w:tcPr>
          <w:p w14:paraId="1E171E7C" w14:textId="77777777" w:rsidR="004F7F08" w:rsidRPr="005838CB" w:rsidRDefault="004F7F08" w:rsidP="007C7B3B">
            <w:pPr>
              <w:keepNext/>
              <w:keepLines/>
              <w:jc w:val="center"/>
              <w:rPr>
                <w:rFonts w:ascii="Arial Narrow" w:hAnsi="Arial Narrow"/>
                <w:b/>
                <w:sz w:val="20"/>
              </w:rPr>
            </w:pPr>
            <w:r w:rsidRPr="005838CB">
              <w:rPr>
                <w:rFonts w:ascii="Arial Narrow" w:hAnsi="Arial Narrow"/>
                <w:b/>
                <w:sz w:val="20"/>
              </w:rPr>
              <w:t>Publication title</w:t>
            </w:r>
          </w:p>
        </w:tc>
        <w:tc>
          <w:tcPr>
            <w:tcW w:w="3685" w:type="dxa"/>
            <w:shd w:val="clear" w:color="auto" w:fill="D9D9D9" w:themeFill="background1" w:themeFillShade="D9"/>
          </w:tcPr>
          <w:p w14:paraId="77F9303E" w14:textId="77777777" w:rsidR="004F7F08" w:rsidRPr="005838CB" w:rsidRDefault="004F7F08" w:rsidP="007C7B3B">
            <w:pPr>
              <w:keepNext/>
              <w:keepLines/>
              <w:rPr>
                <w:rFonts w:ascii="Arial Narrow" w:hAnsi="Arial Narrow"/>
                <w:b/>
                <w:sz w:val="20"/>
              </w:rPr>
            </w:pPr>
            <w:r w:rsidRPr="005838CB">
              <w:rPr>
                <w:rFonts w:ascii="Arial Narrow" w:hAnsi="Arial Narrow"/>
                <w:b/>
                <w:sz w:val="20"/>
              </w:rPr>
              <w:t>Publication citation</w:t>
            </w:r>
          </w:p>
        </w:tc>
      </w:tr>
      <w:tr w:rsidR="004F7F08" w:rsidRPr="00D854C8" w14:paraId="0E90391E" w14:textId="77777777" w:rsidTr="004F7F08">
        <w:trPr>
          <w:cantSplit/>
          <w:tblHeader/>
        </w:trPr>
        <w:tc>
          <w:tcPr>
            <w:tcW w:w="1413" w:type="dxa"/>
            <w:tcBorders>
              <w:top w:val="single" w:sz="4" w:space="0" w:color="auto"/>
              <w:left w:val="single" w:sz="4" w:space="0" w:color="auto"/>
              <w:bottom w:val="single" w:sz="4" w:space="0" w:color="auto"/>
              <w:right w:val="single" w:sz="4" w:space="0" w:color="auto"/>
            </w:tcBorders>
          </w:tcPr>
          <w:p w14:paraId="783FF860"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Qian 2018</w:t>
            </w:r>
          </w:p>
        </w:tc>
        <w:tc>
          <w:tcPr>
            <w:tcW w:w="4111" w:type="dxa"/>
            <w:tcBorders>
              <w:top w:val="single" w:sz="4" w:space="0" w:color="auto"/>
              <w:left w:val="single" w:sz="4" w:space="0" w:color="auto"/>
              <w:bottom w:val="single" w:sz="4" w:space="0" w:color="auto"/>
              <w:right w:val="single" w:sz="4" w:space="0" w:color="auto"/>
            </w:tcBorders>
          </w:tcPr>
          <w:p w14:paraId="4928741C"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Comparison of oral antidiabetic drugs as add-on treatments in patients with type 2 diabetes uncontrolled on metformin: a network meta-analysis.</w:t>
            </w:r>
          </w:p>
        </w:tc>
        <w:tc>
          <w:tcPr>
            <w:tcW w:w="3685" w:type="dxa"/>
            <w:tcBorders>
              <w:top w:val="single" w:sz="4" w:space="0" w:color="auto"/>
              <w:left w:val="single" w:sz="4" w:space="0" w:color="auto"/>
              <w:bottom w:val="single" w:sz="4" w:space="0" w:color="auto"/>
              <w:right w:val="single" w:sz="4" w:space="0" w:color="auto"/>
            </w:tcBorders>
          </w:tcPr>
          <w:p w14:paraId="2FFB2C1E"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Qian D, Zhang T, Zheng P, et al.</w:t>
            </w:r>
          </w:p>
          <w:p w14:paraId="51D83B7C"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 xml:space="preserve">Diabetes Therapy. </w:t>
            </w:r>
            <w:proofErr w:type="gramStart"/>
            <w:r w:rsidRPr="004F7F08">
              <w:rPr>
                <w:rFonts w:ascii="Arial Narrow" w:hAnsi="Arial Narrow"/>
                <w:bCs/>
                <w:sz w:val="20"/>
              </w:rPr>
              <w:t>2018;9:1945</w:t>
            </w:r>
            <w:proofErr w:type="gramEnd"/>
            <w:r w:rsidRPr="004F7F08">
              <w:rPr>
                <w:rFonts w:ascii="Arial Narrow" w:hAnsi="Arial Narrow"/>
                <w:bCs/>
                <w:sz w:val="20"/>
              </w:rPr>
              <w:t>-1958.</w:t>
            </w:r>
          </w:p>
          <w:p w14:paraId="6F6EF3EA" w14:textId="77777777" w:rsidR="004F7F08" w:rsidRPr="004F7F08" w:rsidRDefault="004F7F08" w:rsidP="004F7F08">
            <w:pPr>
              <w:keepNext/>
              <w:keepLines/>
              <w:rPr>
                <w:rFonts w:ascii="Arial Narrow" w:hAnsi="Arial Narrow"/>
                <w:bCs/>
                <w:sz w:val="20"/>
              </w:rPr>
            </w:pPr>
          </w:p>
        </w:tc>
      </w:tr>
      <w:tr w:rsidR="004F7F08" w:rsidRPr="00D854C8" w14:paraId="23486F50" w14:textId="77777777" w:rsidTr="004F7F08">
        <w:trPr>
          <w:cantSplit/>
          <w:tblHeader/>
        </w:trPr>
        <w:tc>
          <w:tcPr>
            <w:tcW w:w="1413" w:type="dxa"/>
            <w:tcBorders>
              <w:top w:val="single" w:sz="4" w:space="0" w:color="auto"/>
              <w:left w:val="single" w:sz="4" w:space="0" w:color="auto"/>
              <w:bottom w:val="single" w:sz="4" w:space="0" w:color="auto"/>
              <w:right w:val="single" w:sz="4" w:space="0" w:color="auto"/>
            </w:tcBorders>
          </w:tcPr>
          <w:p w14:paraId="4DEBF6F5"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Chen 2019</w:t>
            </w:r>
          </w:p>
        </w:tc>
        <w:tc>
          <w:tcPr>
            <w:tcW w:w="4111" w:type="dxa"/>
            <w:tcBorders>
              <w:top w:val="single" w:sz="4" w:space="0" w:color="auto"/>
              <w:left w:val="single" w:sz="4" w:space="0" w:color="auto"/>
              <w:bottom w:val="single" w:sz="4" w:space="0" w:color="auto"/>
              <w:right w:val="single" w:sz="4" w:space="0" w:color="auto"/>
            </w:tcBorders>
          </w:tcPr>
          <w:p w14:paraId="706E04A5"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Sodium-glucose co-transporter 2 inhibitors compared with sulfonylureas in patients with type 2 diabetes inadequately controlled on metformin: a meta-analysis of randomized controlled trials.</w:t>
            </w:r>
          </w:p>
        </w:tc>
        <w:tc>
          <w:tcPr>
            <w:tcW w:w="3685" w:type="dxa"/>
            <w:tcBorders>
              <w:top w:val="single" w:sz="4" w:space="0" w:color="auto"/>
              <w:left w:val="single" w:sz="4" w:space="0" w:color="auto"/>
              <w:bottom w:val="single" w:sz="4" w:space="0" w:color="auto"/>
              <w:right w:val="single" w:sz="4" w:space="0" w:color="auto"/>
            </w:tcBorders>
          </w:tcPr>
          <w:p w14:paraId="47B52082"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Chen Z and Li G.</w:t>
            </w:r>
          </w:p>
          <w:p w14:paraId="0AACEABB"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Clinical drug investigation. 2019;1-11.</w:t>
            </w:r>
          </w:p>
          <w:p w14:paraId="26B5B0B2" w14:textId="77777777" w:rsidR="004F7F08" w:rsidRPr="004F7F08" w:rsidRDefault="004F7F08" w:rsidP="004F7F08">
            <w:pPr>
              <w:keepNext/>
              <w:keepLines/>
              <w:rPr>
                <w:rFonts w:ascii="Arial Narrow" w:hAnsi="Arial Narrow"/>
                <w:bCs/>
                <w:sz w:val="20"/>
              </w:rPr>
            </w:pPr>
          </w:p>
        </w:tc>
      </w:tr>
      <w:tr w:rsidR="004F7F08" w:rsidRPr="004E34DA" w14:paraId="64CD4F69" w14:textId="77777777" w:rsidTr="004F7F08">
        <w:trPr>
          <w:cantSplit/>
          <w:tblHeader/>
        </w:trPr>
        <w:tc>
          <w:tcPr>
            <w:tcW w:w="1413" w:type="dxa"/>
            <w:tcBorders>
              <w:top w:val="single" w:sz="4" w:space="0" w:color="auto"/>
              <w:left w:val="single" w:sz="4" w:space="0" w:color="auto"/>
              <w:bottom w:val="single" w:sz="4" w:space="0" w:color="auto"/>
              <w:right w:val="single" w:sz="4" w:space="0" w:color="auto"/>
            </w:tcBorders>
          </w:tcPr>
          <w:p w14:paraId="2CE310F4"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Rados 2016</w:t>
            </w:r>
          </w:p>
        </w:tc>
        <w:tc>
          <w:tcPr>
            <w:tcW w:w="4111" w:type="dxa"/>
            <w:tcBorders>
              <w:top w:val="single" w:sz="4" w:space="0" w:color="auto"/>
              <w:left w:val="single" w:sz="4" w:space="0" w:color="auto"/>
              <w:bottom w:val="single" w:sz="4" w:space="0" w:color="auto"/>
              <w:right w:val="single" w:sz="4" w:space="0" w:color="auto"/>
            </w:tcBorders>
          </w:tcPr>
          <w:p w14:paraId="1E0E1FA8"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The association between sulfonylurea use and all-cause and cardiovascular mortality: a meta-analysis with trial sequential analysis of randomized clinical trials.</w:t>
            </w:r>
          </w:p>
        </w:tc>
        <w:tc>
          <w:tcPr>
            <w:tcW w:w="3685" w:type="dxa"/>
            <w:tcBorders>
              <w:top w:val="single" w:sz="4" w:space="0" w:color="auto"/>
              <w:left w:val="single" w:sz="4" w:space="0" w:color="auto"/>
              <w:bottom w:val="single" w:sz="4" w:space="0" w:color="auto"/>
              <w:right w:val="single" w:sz="4" w:space="0" w:color="auto"/>
            </w:tcBorders>
          </w:tcPr>
          <w:p w14:paraId="1EE140A8" w14:textId="77777777" w:rsidR="004F7F08" w:rsidRPr="004F7F08" w:rsidRDefault="004F7F08" w:rsidP="004F7F08">
            <w:pPr>
              <w:keepNext/>
              <w:keepLines/>
              <w:rPr>
                <w:rFonts w:ascii="Arial Narrow" w:hAnsi="Arial Narrow"/>
                <w:bCs/>
                <w:sz w:val="20"/>
              </w:rPr>
            </w:pPr>
            <w:r w:rsidRPr="004F7F08">
              <w:rPr>
                <w:rFonts w:ascii="Arial Narrow" w:hAnsi="Arial Narrow"/>
                <w:bCs/>
                <w:sz w:val="20"/>
              </w:rPr>
              <w:t xml:space="preserve">Rados DV, Pinto LC, </w:t>
            </w:r>
            <w:proofErr w:type="spellStart"/>
            <w:r w:rsidRPr="004F7F08">
              <w:rPr>
                <w:rFonts w:ascii="Arial Narrow" w:hAnsi="Arial Narrow"/>
                <w:bCs/>
                <w:sz w:val="20"/>
              </w:rPr>
              <w:t>Remonti</w:t>
            </w:r>
            <w:proofErr w:type="spellEnd"/>
            <w:r w:rsidRPr="004F7F08">
              <w:rPr>
                <w:rFonts w:ascii="Arial Narrow" w:hAnsi="Arial Narrow"/>
                <w:bCs/>
                <w:sz w:val="20"/>
              </w:rPr>
              <w:t xml:space="preserve"> LR, et al.</w:t>
            </w:r>
          </w:p>
          <w:p w14:paraId="427A3197" w14:textId="77777777" w:rsidR="004F7F08" w:rsidRPr="004F7F08" w:rsidRDefault="004F7F08" w:rsidP="004F7F08">
            <w:pPr>
              <w:keepNext/>
              <w:keepLines/>
              <w:rPr>
                <w:rFonts w:ascii="Arial Narrow" w:hAnsi="Arial Narrow"/>
                <w:bCs/>
                <w:sz w:val="20"/>
              </w:rPr>
            </w:pPr>
            <w:proofErr w:type="spellStart"/>
            <w:r w:rsidRPr="004F7F08">
              <w:rPr>
                <w:rFonts w:ascii="Arial Narrow" w:hAnsi="Arial Narrow"/>
                <w:bCs/>
                <w:sz w:val="20"/>
              </w:rPr>
              <w:t>PLoS</w:t>
            </w:r>
            <w:proofErr w:type="spellEnd"/>
            <w:r w:rsidRPr="004F7F08">
              <w:rPr>
                <w:rFonts w:ascii="Arial Narrow" w:hAnsi="Arial Narrow"/>
                <w:bCs/>
                <w:sz w:val="20"/>
              </w:rPr>
              <w:t xml:space="preserve"> medicine. 2016;</w:t>
            </w:r>
            <w:proofErr w:type="gramStart"/>
            <w:r w:rsidRPr="004F7F08">
              <w:rPr>
                <w:rFonts w:ascii="Arial Narrow" w:hAnsi="Arial Narrow"/>
                <w:bCs/>
                <w:sz w:val="20"/>
              </w:rPr>
              <w:t>13:e</w:t>
            </w:r>
            <w:proofErr w:type="gramEnd"/>
            <w:r w:rsidRPr="004F7F08">
              <w:rPr>
                <w:rFonts w:ascii="Arial Narrow" w:hAnsi="Arial Narrow"/>
                <w:bCs/>
                <w:sz w:val="20"/>
              </w:rPr>
              <w:t>1001992.</w:t>
            </w:r>
          </w:p>
        </w:tc>
      </w:tr>
    </w:tbl>
    <w:p w14:paraId="54360CFE" w14:textId="669C5082" w:rsidR="00D20E5D" w:rsidRDefault="00D20E5D" w:rsidP="00D20E5D">
      <w:pPr>
        <w:pStyle w:val="3Bodytext"/>
        <w:keepNext/>
        <w:keepLines/>
        <w:numPr>
          <w:ilvl w:val="0"/>
          <w:numId w:val="0"/>
        </w:numPr>
        <w:ind w:left="720" w:hanging="720"/>
        <w:jc w:val="left"/>
        <w:rPr>
          <w:sz w:val="20"/>
          <w:szCs w:val="20"/>
        </w:rPr>
      </w:pPr>
      <w:r w:rsidRPr="005D0345">
        <w:rPr>
          <w:sz w:val="20"/>
          <w:szCs w:val="20"/>
        </w:rPr>
        <w:t xml:space="preserve">Source: </w:t>
      </w:r>
      <w:r>
        <w:rPr>
          <w:sz w:val="20"/>
          <w:szCs w:val="20"/>
        </w:rPr>
        <w:t>Table 2.3 and page 18, GLP-1 RA report, Section 2 &amp; 3.</w:t>
      </w:r>
    </w:p>
    <w:p w14:paraId="7A82E4AA" w14:textId="77777777" w:rsidR="008A1EC7" w:rsidRDefault="008A1EC7" w:rsidP="004E34DA">
      <w:pPr>
        <w:pStyle w:val="3Bodytext"/>
        <w:numPr>
          <w:ilvl w:val="0"/>
          <w:numId w:val="0"/>
        </w:numPr>
        <w:ind w:left="720" w:hanging="720"/>
      </w:pPr>
    </w:p>
    <w:p w14:paraId="408FCE56" w14:textId="69E235B5" w:rsidR="005909AA" w:rsidRDefault="005909AA" w:rsidP="00276461">
      <w:pPr>
        <w:pStyle w:val="3Bodytext"/>
        <w:widowControl w:val="0"/>
      </w:pPr>
      <w:r>
        <w:t xml:space="preserve">The clinical evaluation concluded that GLP-1 RAs </w:t>
      </w:r>
      <w:r w:rsidRPr="00C43013">
        <w:t xml:space="preserve">decreased </w:t>
      </w:r>
      <w:r>
        <w:t xml:space="preserve">weight, systolic blood pressure (SBP) and hypoglycaemic events </w:t>
      </w:r>
      <w:r w:rsidRPr="00C43013">
        <w:t>when compared to SUs</w:t>
      </w:r>
      <w:r>
        <w:t xml:space="preserve"> but increased gastrointestinal events. No statistically significant benefit for GLP-1 RAs when compared to SUs was shown on all-cause mortality, or fatal or non-fatal CV events</w:t>
      </w:r>
      <w:r w:rsidRPr="00C43013">
        <w:t>.</w:t>
      </w:r>
    </w:p>
    <w:p w14:paraId="12F85941" w14:textId="2E6E4B0E" w:rsidR="00864559" w:rsidRDefault="003677A1" w:rsidP="003D42EC">
      <w:pPr>
        <w:pStyle w:val="3Bodytext"/>
        <w:widowControl w:val="0"/>
      </w:pPr>
      <w:r>
        <w:t xml:space="preserve">The </w:t>
      </w:r>
      <w:r w:rsidR="003D42EC" w:rsidRPr="00217383">
        <w:t xml:space="preserve">PBAC noted </w:t>
      </w:r>
      <w:r w:rsidR="00C11CCD">
        <w:t xml:space="preserve">some limitations with the clinical evidence. Out </w:t>
      </w:r>
      <w:r w:rsidR="003D42EC" w:rsidRPr="00217383">
        <w:t>of the 15 included trials, only one trial included gliclazide, the most used SU in Australia</w:t>
      </w:r>
      <w:r w:rsidR="00063BB6">
        <w:t>, and SU type was not reported in 8 studies</w:t>
      </w:r>
      <w:r w:rsidR="003D42EC" w:rsidRPr="00217383">
        <w:t xml:space="preserve">. </w:t>
      </w:r>
      <w:r>
        <w:t xml:space="preserve">The </w:t>
      </w:r>
      <w:r w:rsidR="00063BB6">
        <w:t xml:space="preserve">PBAC noted that there was marked heterogeneity between the trials </w:t>
      </w:r>
      <w:r w:rsidR="00057CC9">
        <w:t>related to</w:t>
      </w:r>
      <w:r w:rsidR="00063BB6">
        <w:t xml:space="preserve"> participant age (5</w:t>
      </w:r>
      <w:r w:rsidR="00F53EB8">
        <w:t xml:space="preserve">2 to </w:t>
      </w:r>
      <w:r w:rsidR="00063BB6">
        <w:t>66</w:t>
      </w:r>
      <w:r w:rsidR="00F53EB8">
        <w:t xml:space="preserve"> years</w:t>
      </w:r>
      <w:r w:rsidR="00063BB6">
        <w:t>)</w:t>
      </w:r>
      <w:r w:rsidR="00F53EB8">
        <w:t>, H</w:t>
      </w:r>
      <w:r>
        <w:t>b</w:t>
      </w:r>
      <w:r w:rsidR="00F53EB8">
        <w:t>A1c at baseline (7.</w:t>
      </w:r>
      <w:r w:rsidR="00696829">
        <w:t>4</w:t>
      </w:r>
      <w:r w:rsidR="00F53EB8">
        <w:t>% to 8.7%)</w:t>
      </w:r>
      <w:r>
        <w:t>,</w:t>
      </w:r>
      <w:r w:rsidR="00063BB6">
        <w:t xml:space="preserve"> and trial duration (14</w:t>
      </w:r>
      <w:r>
        <w:t xml:space="preserve"> to </w:t>
      </w:r>
      <w:r w:rsidR="00696829">
        <w:t>271</w:t>
      </w:r>
      <w:r w:rsidR="00063BB6">
        <w:t xml:space="preserve"> weeks). </w:t>
      </w:r>
      <w:r w:rsidR="005C4C41">
        <w:t>Overall</w:t>
      </w:r>
      <w:r w:rsidR="00696829">
        <w:t>, t</w:t>
      </w:r>
      <w:r w:rsidR="00115D14" w:rsidRPr="00115D14">
        <w:t>he analysis of clinical effectiveness relied upon small short-term studies, indirect naïve comparisons</w:t>
      </w:r>
      <w:r w:rsidR="00065200">
        <w:t>,</w:t>
      </w:r>
      <w:r w:rsidR="00115D14" w:rsidRPr="00115D14">
        <w:t xml:space="preserve"> and included GLP-1 RAs not listed</w:t>
      </w:r>
      <w:r w:rsidR="00063BB6">
        <w:t xml:space="preserve"> </w:t>
      </w:r>
      <w:r w:rsidR="00696829">
        <w:t xml:space="preserve">on the </w:t>
      </w:r>
      <w:r w:rsidR="00115D14" w:rsidRPr="00115D14">
        <w:t>PBS</w:t>
      </w:r>
      <w:r w:rsidR="00065200">
        <w:t xml:space="preserve">, such as </w:t>
      </w:r>
      <w:proofErr w:type="spellStart"/>
      <w:r w:rsidR="00065200">
        <w:t>lixisenatid</w:t>
      </w:r>
      <w:r w:rsidR="00474107">
        <w:t>e</w:t>
      </w:r>
      <w:proofErr w:type="spellEnd"/>
      <w:r w:rsidR="00696829">
        <w:t xml:space="preserve">, albiglutide and </w:t>
      </w:r>
      <w:r w:rsidR="00696829">
        <w:lastRenderedPageBreak/>
        <w:t>liraglutide</w:t>
      </w:r>
      <w:r w:rsidR="00115D14" w:rsidRPr="00115D14">
        <w:t>.</w:t>
      </w:r>
      <w:r w:rsidR="00065200">
        <w:t xml:space="preserve"> </w:t>
      </w:r>
    </w:p>
    <w:p w14:paraId="23BEF4FD" w14:textId="2956802A" w:rsidR="00474107" w:rsidRDefault="003677A1" w:rsidP="003D42EC">
      <w:pPr>
        <w:pStyle w:val="3Bodytext"/>
        <w:widowControl w:val="0"/>
      </w:pPr>
      <w:r>
        <w:t xml:space="preserve">The </w:t>
      </w:r>
      <w:r w:rsidR="00864559">
        <w:t xml:space="preserve">PBAC noted that the </w:t>
      </w:r>
      <w:r w:rsidR="00CB73A3">
        <w:t xml:space="preserve">report had accepted the meta-analyses’ </w:t>
      </w:r>
      <w:r w:rsidR="00063BB6">
        <w:t xml:space="preserve">risk of </w:t>
      </w:r>
      <w:r w:rsidR="00CB73A3">
        <w:t xml:space="preserve">trial </w:t>
      </w:r>
      <w:r w:rsidR="00063BB6">
        <w:t xml:space="preserve">bias </w:t>
      </w:r>
      <w:r w:rsidR="00CB73A3">
        <w:t>assessments</w:t>
      </w:r>
      <w:r w:rsidR="00864559">
        <w:t xml:space="preserve"> as these used the Cochrane Collaboration’s tool for assessing risk of bias in randomised trials,</w:t>
      </w:r>
      <w:r w:rsidR="00CB73A3">
        <w:t xml:space="preserve"> rather than undertaking separate assessments.</w:t>
      </w:r>
      <w:r w:rsidR="005C4C41" w:rsidRPr="005C4C41">
        <w:t xml:space="preserve"> </w:t>
      </w:r>
      <w:r w:rsidR="005C4C41">
        <w:t>However, the PBAC noted that 3 of the 6 included meta-analyses were deemed to be of low quality using the Amstar 2 tool.</w:t>
      </w:r>
    </w:p>
    <w:p w14:paraId="38B60B74" w14:textId="1AE3559B" w:rsidR="0004221F" w:rsidRDefault="00474107" w:rsidP="00474107">
      <w:pPr>
        <w:pStyle w:val="3Bodytext"/>
        <w:widowControl w:val="0"/>
      </w:pPr>
      <w:r w:rsidRPr="00474107">
        <w:t xml:space="preserve">Noting that there is a paucity of trial data to support an analysis of the comparative clinical effectiveness of dulaglutide and semaglutide with gliclazide, </w:t>
      </w:r>
      <w:r w:rsidR="003677A1">
        <w:t xml:space="preserve">the </w:t>
      </w:r>
      <w:r w:rsidR="00115D14" w:rsidRPr="00474107">
        <w:t>PBAC</w:t>
      </w:r>
      <w:r w:rsidR="00115D14">
        <w:t xml:space="preserve"> considere</w:t>
      </w:r>
      <w:r w:rsidR="005071F7">
        <w:t xml:space="preserve">d the clinical claims related to mortality, HbA1c, blood pressure and weight in the report to be uncertain </w:t>
      </w:r>
      <w:r w:rsidR="005C4C41">
        <w:t xml:space="preserve">resulting in low confidence in </w:t>
      </w:r>
      <w:r w:rsidR="005071F7">
        <w:t xml:space="preserve">the </w:t>
      </w:r>
      <w:r w:rsidR="005C4C41">
        <w:t xml:space="preserve">results of the </w:t>
      </w:r>
      <w:r w:rsidR="005071F7">
        <w:t>cost utility analysis</w:t>
      </w:r>
      <w:r w:rsidR="00115D14">
        <w:t xml:space="preserve">. </w:t>
      </w:r>
    </w:p>
    <w:p w14:paraId="6ACEDE70" w14:textId="5DF66904" w:rsidR="00522F50" w:rsidRDefault="003677A1" w:rsidP="00EF58A6">
      <w:pPr>
        <w:pStyle w:val="3Bodytext"/>
        <w:widowControl w:val="0"/>
      </w:pPr>
      <w:r>
        <w:t xml:space="preserve">The </w:t>
      </w:r>
      <w:r w:rsidR="005909AA">
        <w:t xml:space="preserve">PBAC </w:t>
      </w:r>
      <w:r w:rsidR="004B7CFF">
        <w:t xml:space="preserve">noted </w:t>
      </w:r>
      <w:r w:rsidR="005909AA">
        <w:t xml:space="preserve">the systematic review and network meta-analysis by </w:t>
      </w:r>
      <w:proofErr w:type="spellStart"/>
      <w:r w:rsidR="005909AA">
        <w:t>Tsapas</w:t>
      </w:r>
      <w:proofErr w:type="spellEnd"/>
      <w:r w:rsidR="005909AA">
        <w:t xml:space="preserve"> et al, 2020</w:t>
      </w:r>
      <w:r>
        <w:t>,</w:t>
      </w:r>
      <w:r w:rsidR="005909AA">
        <w:rPr>
          <w:rStyle w:val="FootnoteReference"/>
        </w:rPr>
        <w:footnoteReference w:id="5"/>
      </w:r>
      <w:r w:rsidR="005909AA">
        <w:t xml:space="preserve"> </w:t>
      </w:r>
      <w:r w:rsidR="005910AF">
        <w:t xml:space="preserve">found </w:t>
      </w:r>
      <w:r w:rsidR="005909AA">
        <w:t>that</w:t>
      </w:r>
      <w:r w:rsidR="002A3E40">
        <w:t xml:space="preserve"> i</w:t>
      </w:r>
      <w:r w:rsidR="005909AA">
        <w:t xml:space="preserve">n patients at increased </w:t>
      </w:r>
      <w:r w:rsidR="002A3E40">
        <w:t xml:space="preserve">CV </w:t>
      </w:r>
      <w:r w:rsidR="005909AA">
        <w:t xml:space="preserve">risk receiving metformin therapy, </w:t>
      </w:r>
      <w:r w:rsidR="00216924">
        <w:t xml:space="preserve">dual therapy with </w:t>
      </w:r>
      <w:r w:rsidR="005909AA">
        <w:t xml:space="preserve">specific GLP-1 RAs </w:t>
      </w:r>
      <w:r w:rsidR="002A3E40">
        <w:t>had a favourable effect o</w:t>
      </w:r>
      <w:r w:rsidR="0004221F">
        <w:t>n</w:t>
      </w:r>
      <w:r w:rsidR="002A3E40">
        <w:t xml:space="preserve"> certain CV outcomes</w:t>
      </w:r>
      <w:r w:rsidR="0029099D">
        <w:t xml:space="preserve"> compared to placebo</w:t>
      </w:r>
      <w:r w:rsidR="00EF58A6">
        <w:t xml:space="preserve">. </w:t>
      </w:r>
      <w:r w:rsidR="00522F50">
        <w:t>When compared to SUs (which were assessed as a drug class) as add-on therapy to metformin in patients at increased CV risk</w:t>
      </w:r>
      <w:r w:rsidR="005C4C41">
        <w:t>,</w:t>
      </w:r>
      <w:r w:rsidR="003C7A54">
        <w:t xml:space="preserve"> subcutaneous semaglutide and dulaglutide showed significantly reduced odds of stroke</w:t>
      </w:r>
      <w:r w:rsidR="005C4C41">
        <w:t>,</w:t>
      </w:r>
      <w:r w:rsidR="003C7A54">
        <w:t xml:space="preserve"> but no significant benefits in all-cause mortality, CV death, myocardial infarction, hospitalisation for heart failure, or amputation. </w:t>
      </w:r>
    </w:p>
    <w:p w14:paraId="75F2EB4E" w14:textId="617BB42E" w:rsidR="00115D14" w:rsidRDefault="005C4C41" w:rsidP="00474107">
      <w:pPr>
        <w:pStyle w:val="3Bodytext"/>
        <w:widowControl w:val="0"/>
      </w:pPr>
      <w:r>
        <w:t xml:space="preserve">Although not directly applicable to this </w:t>
      </w:r>
      <w:r w:rsidR="004B7CFF">
        <w:t>GLP-1 RA clinical and cost-utility analysis, the</w:t>
      </w:r>
      <w:r>
        <w:t xml:space="preserve"> </w:t>
      </w:r>
      <w:r w:rsidR="0004221F">
        <w:t xml:space="preserve">PBAC noted a </w:t>
      </w:r>
      <w:r w:rsidR="004B7CFF">
        <w:t xml:space="preserve">published </w:t>
      </w:r>
      <w:r w:rsidR="0004221F">
        <w:t>systematic review and network meta-analysis by Palmer et al, 2021</w:t>
      </w:r>
      <w:r w:rsidR="003677A1">
        <w:t>,</w:t>
      </w:r>
      <w:r w:rsidR="0004221F">
        <w:rPr>
          <w:rStyle w:val="FootnoteReference"/>
        </w:rPr>
        <w:footnoteReference w:id="6"/>
      </w:r>
      <w:r w:rsidR="004B7CFF">
        <w:t xml:space="preserve"> which compared the CV outcomes of SGLT2 inhibitors and GLP-1 RAs</w:t>
      </w:r>
      <w:r w:rsidR="0062616C">
        <w:t>.</w:t>
      </w:r>
      <w:r w:rsidR="00E930EB">
        <w:t xml:space="preserve"> </w:t>
      </w:r>
      <w:r w:rsidR="00891A1C">
        <w:t>Palmer</w:t>
      </w:r>
      <w:r w:rsidR="002B0CDD">
        <w:t xml:space="preserve"> et al</w:t>
      </w:r>
      <w:r w:rsidR="005071F7">
        <w:t xml:space="preserve"> </w:t>
      </w:r>
      <w:r w:rsidR="00C22506">
        <w:t>concluded that GLP</w:t>
      </w:r>
      <w:r w:rsidR="00EA67CE">
        <w:noBreakHyphen/>
      </w:r>
      <w:r w:rsidR="00C22506">
        <w:t>1</w:t>
      </w:r>
      <w:r w:rsidR="00EA67CE">
        <w:t> </w:t>
      </w:r>
      <w:r w:rsidR="00C22506">
        <w:t xml:space="preserve">RAs and SGLT2 inhibitors had similar effects on </w:t>
      </w:r>
      <w:r w:rsidR="00EA67CE">
        <w:t xml:space="preserve">all-cause </w:t>
      </w:r>
      <w:r w:rsidR="002C5188">
        <w:t xml:space="preserve">mortality, </w:t>
      </w:r>
      <w:r w:rsidR="00EA67CE">
        <w:t>CV mortality and non-fatal myocardial infarction</w:t>
      </w:r>
      <w:r w:rsidR="00C22506">
        <w:t>, but GLP</w:t>
      </w:r>
      <w:r w:rsidR="00E43E47">
        <w:noBreakHyphen/>
      </w:r>
      <w:r w:rsidR="00C22506">
        <w:t xml:space="preserve">1 RAs reduced non-fatal stroke more than SGLT2 inhibitors, while SGLT2 inhibitors reduced hospital admissions for heart failure more than GLP-1 RAs.  </w:t>
      </w:r>
    </w:p>
    <w:p w14:paraId="23FD8CFE" w14:textId="6D3EF52A" w:rsidR="0022700E" w:rsidRDefault="003677A1" w:rsidP="005909AA">
      <w:pPr>
        <w:pStyle w:val="3Bodytext"/>
        <w:widowControl w:val="0"/>
      </w:pPr>
      <w:r>
        <w:t xml:space="preserve">The </w:t>
      </w:r>
      <w:r w:rsidR="003D42EC" w:rsidRPr="00217383">
        <w:t xml:space="preserve">PBAC </w:t>
      </w:r>
      <w:r w:rsidR="004B7CFF">
        <w:t>also advis</w:t>
      </w:r>
      <w:r w:rsidR="004B7CFF" w:rsidRPr="00217383">
        <w:t xml:space="preserve">ed </w:t>
      </w:r>
      <w:r w:rsidR="003D42EC" w:rsidRPr="00217383">
        <w:t xml:space="preserve">that </w:t>
      </w:r>
      <w:r w:rsidR="00217383" w:rsidRPr="00217383">
        <w:t xml:space="preserve">the </w:t>
      </w:r>
      <w:r w:rsidR="003D42EC" w:rsidRPr="00217383">
        <w:t xml:space="preserve">clinical evidence </w:t>
      </w:r>
      <w:r w:rsidR="00217383" w:rsidRPr="00217383">
        <w:t xml:space="preserve">did not </w:t>
      </w:r>
      <w:r w:rsidR="00065200">
        <w:t xml:space="preserve">currently </w:t>
      </w:r>
      <w:r w:rsidR="00217383" w:rsidRPr="00217383">
        <w:t xml:space="preserve">support </w:t>
      </w:r>
      <w:r w:rsidR="003D42EC" w:rsidRPr="00217383">
        <w:t xml:space="preserve">a drug class effect for </w:t>
      </w:r>
      <w:r w:rsidR="00A74C33">
        <w:t xml:space="preserve">all </w:t>
      </w:r>
      <w:r w:rsidR="003D42EC" w:rsidRPr="00217383">
        <w:t>GLP</w:t>
      </w:r>
      <w:r w:rsidR="00217383">
        <w:noBreakHyphen/>
      </w:r>
      <w:r w:rsidR="003D42EC" w:rsidRPr="00217383">
        <w:t>1</w:t>
      </w:r>
      <w:r w:rsidR="00217383">
        <w:t> </w:t>
      </w:r>
      <w:r w:rsidR="003D42EC" w:rsidRPr="00217383">
        <w:t>RAs</w:t>
      </w:r>
      <w:r w:rsidR="00217383" w:rsidRPr="00217383">
        <w:t xml:space="preserve">, noting </w:t>
      </w:r>
      <w:r w:rsidR="004B7CFF">
        <w:t>a</w:t>
      </w:r>
      <w:r w:rsidR="004B7CFF" w:rsidRPr="00217383">
        <w:t xml:space="preserve"> </w:t>
      </w:r>
      <w:r w:rsidR="00217383" w:rsidRPr="00217383">
        <w:t>review by Nauck and Meier, 2019</w:t>
      </w:r>
      <w:r>
        <w:t>,</w:t>
      </w:r>
      <w:r w:rsidR="00217383" w:rsidRPr="00217383">
        <w:rPr>
          <w:rStyle w:val="FootnoteReference"/>
        </w:rPr>
        <w:footnoteReference w:id="7"/>
      </w:r>
      <w:r w:rsidR="00217383" w:rsidRPr="00217383">
        <w:t xml:space="preserve"> which </w:t>
      </w:r>
      <w:r w:rsidR="00217383">
        <w:t xml:space="preserve">highlighted </w:t>
      </w:r>
      <w:r w:rsidR="004E6650">
        <w:t>varying</w:t>
      </w:r>
      <w:r w:rsidR="002C5188">
        <w:t xml:space="preserve"> </w:t>
      </w:r>
      <w:r w:rsidR="00AB6D8E">
        <w:t xml:space="preserve">effects </w:t>
      </w:r>
      <w:r w:rsidR="00217383">
        <w:t xml:space="preserve">on </w:t>
      </w:r>
      <w:r w:rsidR="00AB6D8E">
        <w:t>major adverse cardiovascular events (</w:t>
      </w:r>
      <w:r w:rsidR="00217383">
        <w:t>MACE</w:t>
      </w:r>
      <w:r w:rsidR="00AB6D8E">
        <w:t>)</w:t>
      </w:r>
      <w:r w:rsidR="00217383">
        <w:t xml:space="preserve"> and all-cause death</w:t>
      </w:r>
      <w:r w:rsidR="00891A1C">
        <w:t xml:space="preserve"> across individual GPL-1 RAs</w:t>
      </w:r>
      <w:r w:rsidR="00065200">
        <w:t xml:space="preserve">. </w:t>
      </w:r>
      <w:r>
        <w:t xml:space="preserve">The </w:t>
      </w:r>
      <w:r w:rsidR="00065200">
        <w:t xml:space="preserve">PBAC noted that </w:t>
      </w:r>
      <w:proofErr w:type="spellStart"/>
      <w:r w:rsidR="00065200">
        <w:t>lixisenatide</w:t>
      </w:r>
      <w:proofErr w:type="spellEnd"/>
      <w:r w:rsidR="00474107">
        <w:t>, which was included in the review but is not PBS-</w:t>
      </w:r>
      <w:r w:rsidR="005909AA">
        <w:t>listed, did</w:t>
      </w:r>
      <w:r w:rsidR="00474107">
        <w:t xml:space="preserve"> not show benefits in MACE, all-cause death</w:t>
      </w:r>
      <w:r>
        <w:t>,</w:t>
      </w:r>
      <w:r w:rsidR="00474107">
        <w:t xml:space="preserve"> or hospitalisation for heart failure in the ELIXA trial.</w:t>
      </w:r>
    </w:p>
    <w:bookmarkEnd w:id="0"/>
    <w:p w14:paraId="385E19C4" w14:textId="1C8FCAAB" w:rsidR="00CD0297" w:rsidRDefault="00CD0297" w:rsidP="005D4672">
      <w:pPr>
        <w:pStyle w:val="Heading2"/>
      </w:pPr>
      <w:r>
        <w:t>Economic</w:t>
      </w:r>
      <w:r w:rsidRPr="00EA7AEB">
        <w:t xml:space="preserve"> evaluation</w:t>
      </w:r>
    </w:p>
    <w:p w14:paraId="6BDC30F3" w14:textId="75B11CC7" w:rsidR="00A65968" w:rsidRDefault="003677A1" w:rsidP="005071F7">
      <w:pPr>
        <w:pStyle w:val="3Bodytext"/>
      </w:pPr>
      <w:r>
        <w:t xml:space="preserve">The </w:t>
      </w:r>
      <w:r w:rsidR="00D917E7">
        <w:t>PBAC</w:t>
      </w:r>
      <w:r w:rsidR="00A65968" w:rsidRPr="006F1F00">
        <w:t xml:space="preserve"> noted the economic </w:t>
      </w:r>
      <w:r w:rsidR="008E58D2">
        <w:t>evaluation</w:t>
      </w:r>
      <w:r w:rsidR="004B7CFF">
        <w:t xml:space="preserve"> was</w:t>
      </w:r>
      <w:r w:rsidR="00765410">
        <w:t xml:space="preserve"> presented as</w:t>
      </w:r>
      <w:r w:rsidR="00A65968" w:rsidRPr="006F1F00">
        <w:t xml:space="preserve"> a c</w:t>
      </w:r>
      <w:r w:rsidR="00E14722" w:rsidRPr="006F1F00">
        <w:t>ost</w:t>
      </w:r>
      <w:r>
        <w:t xml:space="preserve"> </w:t>
      </w:r>
      <w:r w:rsidR="00E14722" w:rsidRPr="006F1F00">
        <w:t>utility evaluation using the</w:t>
      </w:r>
      <w:r w:rsidR="007644A9" w:rsidRPr="006F1F00">
        <w:t xml:space="preserve"> </w:t>
      </w:r>
      <w:r w:rsidR="00E14722" w:rsidRPr="006F1F00">
        <w:t>adaptation and calibration</w:t>
      </w:r>
      <w:r w:rsidR="00E14722" w:rsidRPr="00B56AF4">
        <w:t xml:space="preserve"> of </w:t>
      </w:r>
      <w:r w:rsidR="007644A9">
        <w:t xml:space="preserve">the </w:t>
      </w:r>
      <w:r w:rsidR="00E14722" w:rsidRPr="00B56AF4">
        <w:t>UKPDS OM2</w:t>
      </w:r>
      <w:r w:rsidR="007644A9">
        <w:t xml:space="preserve">. </w:t>
      </w:r>
      <w:r w:rsidR="00E14722" w:rsidRPr="00B56AF4">
        <w:t xml:space="preserve">This involved using Australian-specific mortality, cost and patient data to calibrate the original UKPDS </w:t>
      </w:r>
      <w:r w:rsidR="00424BAC">
        <w:lastRenderedPageBreak/>
        <w:t>OM</w:t>
      </w:r>
      <w:r w:rsidR="00A65968">
        <w:t>2</w:t>
      </w:r>
      <w:r w:rsidR="00E14722" w:rsidRPr="00B56AF4">
        <w:t xml:space="preserve"> to allow cost</w:t>
      </w:r>
      <w:r>
        <w:t xml:space="preserve"> utility</w:t>
      </w:r>
      <w:r w:rsidR="00E14722" w:rsidRPr="00B56AF4">
        <w:t xml:space="preserve"> analysis in a contemporary Australian setting.</w:t>
      </w:r>
      <w:r w:rsidR="007644A9">
        <w:t xml:space="preserve"> </w:t>
      </w:r>
      <w:r w:rsidR="00A65968">
        <w:t xml:space="preserve">The key components of the economic model are shown in </w:t>
      </w:r>
      <w:r w:rsidR="00A65968" w:rsidRPr="003677A1">
        <w:t xml:space="preserve">Table </w:t>
      </w:r>
      <w:r w:rsidR="005C755A">
        <w:t>4</w:t>
      </w:r>
      <w:r w:rsidR="00A65968" w:rsidRPr="003677A1">
        <w:t>.</w:t>
      </w:r>
      <w:r w:rsidR="004A2A7D">
        <w:t xml:space="preserve"> </w:t>
      </w:r>
    </w:p>
    <w:p w14:paraId="4CC38A5A" w14:textId="77777777" w:rsidR="005071F7" w:rsidRDefault="005071F7" w:rsidP="00126B95">
      <w:pPr>
        <w:pStyle w:val="3Bodytext"/>
        <w:keepNext/>
        <w:keepLines/>
        <w:numPr>
          <w:ilvl w:val="0"/>
          <w:numId w:val="0"/>
        </w:numPr>
        <w:jc w:val="left"/>
        <w:rPr>
          <w:rFonts w:ascii="Arial Narrow" w:hAnsi="Arial Narrow"/>
          <w:b/>
          <w:bCs/>
          <w:sz w:val="20"/>
          <w:szCs w:val="20"/>
        </w:rPr>
      </w:pPr>
    </w:p>
    <w:p w14:paraId="794EC173" w14:textId="621F4542" w:rsidR="00A65968" w:rsidRPr="006C2269" w:rsidRDefault="00A65968" w:rsidP="00126B95">
      <w:pPr>
        <w:pStyle w:val="3Bodytext"/>
        <w:keepNext/>
        <w:keepLines/>
        <w:numPr>
          <w:ilvl w:val="0"/>
          <w:numId w:val="0"/>
        </w:numPr>
        <w:jc w:val="left"/>
        <w:rPr>
          <w:rFonts w:ascii="Arial Narrow" w:hAnsi="Arial Narrow"/>
          <w:b/>
          <w:bCs/>
          <w:sz w:val="20"/>
          <w:szCs w:val="20"/>
        </w:rPr>
      </w:pPr>
      <w:r w:rsidRPr="006C2269">
        <w:rPr>
          <w:rFonts w:ascii="Arial Narrow" w:hAnsi="Arial Narrow"/>
          <w:b/>
          <w:bCs/>
          <w:sz w:val="20"/>
          <w:szCs w:val="20"/>
        </w:rPr>
        <w:t xml:space="preserve">Table </w:t>
      </w:r>
      <w:r w:rsidR="005C755A">
        <w:rPr>
          <w:rFonts w:ascii="Arial Narrow" w:hAnsi="Arial Narrow"/>
          <w:b/>
          <w:bCs/>
          <w:sz w:val="20"/>
          <w:szCs w:val="20"/>
        </w:rPr>
        <w:t>4</w:t>
      </w:r>
      <w:r w:rsidRPr="006C2269">
        <w:rPr>
          <w:rFonts w:ascii="Arial Narrow" w:hAnsi="Arial Narrow"/>
          <w:b/>
          <w:bCs/>
          <w:sz w:val="20"/>
          <w:szCs w:val="20"/>
        </w:rPr>
        <w:t>: Key components of the economic model</w:t>
      </w:r>
    </w:p>
    <w:tbl>
      <w:tblPr>
        <w:tblStyle w:val="TableGrid"/>
        <w:tblW w:w="9493" w:type="dxa"/>
        <w:tblLook w:val="04A0" w:firstRow="1" w:lastRow="0" w:firstColumn="1" w:lastColumn="0" w:noHBand="0" w:noVBand="1"/>
      </w:tblPr>
      <w:tblGrid>
        <w:gridCol w:w="1413"/>
        <w:gridCol w:w="8080"/>
      </w:tblGrid>
      <w:tr w:rsidR="00A65968" w:rsidRPr="0090613B" w14:paraId="47813E0A" w14:textId="77777777" w:rsidTr="00DA009D">
        <w:tc>
          <w:tcPr>
            <w:tcW w:w="1413" w:type="dxa"/>
            <w:shd w:val="clear" w:color="auto" w:fill="D9D9D9" w:themeFill="background1" w:themeFillShade="D9"/>
            <w:vAlign w:val="bottom"/>
          </w:tcPr>
          <w:p w14:paraId="5D605DA0" w14:textId="77777777" w:rsidR="00A65968" w:rsidRPr="00A65968" w:rsidRDefault="00A65968" w:rsidP="00126B95">
            <w:pPr>
              <w:keepNext/>
              <w:keepLines/>
              <w:spacing w:after="120"/>
              <w:rPr>
                <w:rFonts w:ascii="Arial Narrow" w:hAnsi="Arial Narrow"/>
                <w:b/>
                <w:bCs/>
                <w:sz w:val="20"/>
                <w:szCs w:val="20"/>
              </w:rPr>
            </w:pPr>
            <w:r w:rsidRPr="00A65968">
              <w:rPr>
                <w:rFonts w:ascii="Arial Narrow" w:hAnsi="Arial Narrow"/>
                <w:b/>
                <w:bCs/>
                <w:sz w:val="20"/>
                <w:szCs w:val="20"/>
              </w:rPr>
              <w:t>Component</w:t>
            </w:r>
          </w:p>
        </w:tc>
        <w:tc>
          <w:tcPr>
            <w:tcW w:w="8080" w:type="dxa"/>
            <w:shd w:val="clear" w:color="auto" w:fill="D9D9D9" w:themeFill="background1" w:themeFillShade="D9"/>
            <w:vAlign w:val="bottom"/>
          </w:tcPr>
          <w:p w14:paraId="54F49EE9" w14:textId="77777777" w:rsidR="00A65968" w:rsidRPr="00A65968" w:rsidRDefault="00A65968" w:rsidP="00126B95">
            <w:pPr>
              <w:keepNext/>
              <w:keepLines/>
              <w:spacing w:after="120"/>
              <w:rPr>
                <w:rFonts w:ascii="Arial Narrow" w:hAnsi="Arial Narrow"/>
                <w:b/>
                <w:bCs/>
                <w:sz w:val="20"/>
                <w:szCs w:val="20"/>
              </w:rPr>
            </w:pPr>
            <w:r w:rsidRPr="00A65968">
              <w:rPr>
                <w:rFonts w:ascii="Arial Narrow" w:hAnsi="Arial Narrow"/>
                <w:b/>
                <w:bCs/>
                <w:sz w:val="20"/>
                <w:szCs w:val="20"/>
              </w:rPr>
              <w:t>Description</w:t>
            </w:r>
          </w:p>
        </w:tc>
      </w:tr>
      <w:tr w:rsidR="00A65968" w:rsidRPr="0090613B" w14:paraId="55E5B4F1" w14:textId="77777777" w:rsidTr="00DA009D">
        <w:tc>
          <w:tcPr>
            <w:tcW w:w="1413" w:type="dxa"/>
          </w:tcPr>
          <w:p w14:paraId="4435E6F7" w14:textId="10F8CE14"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Type of analysis</w:t>
            </w:r>
          </w:p>
        </w:tc>
        <w:tc>
          <w:tcPr>
            <w:tcW w:w="8080" w:type="dxa"/>
          </w:tcPr>
          <w:p w14:paraId="62EA69B2"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Cost Utility Analysis presented with a Cost-effectiveness Analysis</w:t>
            </w:r>
          </w:p>
        </w:tc>
      </w:tr>
      <w:tr w:rsidR="00A65968" w:rsidRPr="0090613B" w14:paraId="7888D6AA" w14:textId="77777777" w:rsidTr="00DA009D">
        <w:tc>
          <w:tcPr>
            <w:tcW w:w="1413" w:type="dxa"/>
          </w:tcPr>
          <w:p w14:paraId="685B753D"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Outcomes</w:t>
            </w:r>
          </w:p>
        </w:tc>
        <w:tc>
          <w:tcPr>
            <w:tcW w:w="8080" w:type="dxa"/>
          </w:tcPr>
          <w:p w14:paraId="17AD9063"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Cost, quality-adjusted life years (QALYs) and incremental cost per life year (LY) gained and per QALY gained of GLP-1 RAs compared to SUs</w:t>
            </w:r>
          </w:p>
        </w:tc>
      </w:tr>
      <w:tr w:rsidR="00A65968" w:rsidRPr="0090613B" w14:paraId="24D80B2D" w14:textId="77777777" w:rsidTr="00DA009D">
        <w:tc>
          <w:tcPr>
            <w:tcW w:w="1413" w:type="dxa"/>
          </w:tcPr>
          <w:p w14:paraId="34A03A82"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Time horizon</w:t>
            </w:r>
          </w:p>
        </w:tc>
        <w:tc>
          <w:tcPr>
            <w:tcW w:w="8080" w:type="dxa"/>
          </w:tcPr>
          <w:p w14:paraId="01F165B9"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 xml:space="preserve">Model base case is measured over lifetime. Treatment effects were assumed for patients remaining lifetime. </w:t>
            </w:r>
          </w:p>
        </w:tc>
      </w:tr>
      <w:tr w:rsidR="00A65968" w:rsidRPr="0090613B" w14:paraId="65A49E3B" w14:textId="77777777" w:rsidTr="00DA009D">
        <w:tc>
          <w:tcPr>
            <w:tcW w:w="1413" w:type="dxa"/>
          </w:tcPr>
          <w:p w14:paraId="0F319432"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Method(s) used to generate results</w:t>
            </w:r>
          </w:p>
        </w:tc>
        <w:tc>
          <w:tcPr>
            <w:tcW w:w="8080" w:type="dxa"/>
          </w:tcPr>
          <w:p w14:paraId="7C0EFA48"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 xml:space="preserve">The UK Prospective Diabetes Study Outcomes Model Version 2 (UKPDS OM2). This is a patient-level simulation model using probabilistic discrete-time computer simulation based on parametric proportional hazards risk equations. </w:t>
            </w:r>
          </w:p>
        </w:tc>
      </w:tr>
      <w:tr w:rsidR="00A65968" w:rsidRPr="0090613B" w14:paraId="6ED3FE9D" w14:textId="77777777" w:rsidTr="00DA009D">
        <w:tc>
          <w:tcPr>
            <w:tcW w:w="1413" w:type="dxa"/>
          </w:tcPr>
          <w:p w14:paraId="775723DC"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Health states</w:t>
            </w:r>
          </w:p>
        </w:tc>
        <w:tc>
          <w:tcPr>
            <w:tcW w:w="8080" w:type="dxa"/>
          </w:tcPr>
          <w:p w14:paraId="6507945F" w14:textId="7D3A766E" w:rsidR="00A65968" w:rsidRPr="00A65968" w:rsidRDefault="005C4B6F" w:rsidP="00126B95">
            <w:pPr>
              <w:keepNext/>
              <w:keepLines/>
              <w:spacing w:after="120"/>
              <w:rPr>
                <w:rFonts w:ascii="Arial Narrow" w:hAnsi="Arial Narrow"/>
                <w:sz w:val="20"/>
                <w:szCs w:val="20"/>
              </w:rPr>
            </w:pPr>
            <w:r w:rsidRPr="00A65968">
              <w:rPr>
                <w:rFonts w:ascii="Arial Narrow" w:hAnsi="Arial Narrow"/>
                <w:sz w:val="20"/>
                <w:szCs w:val="20"/>
              </w:rPr>
              <w:t>Health states are considered in relation to complication events including amputation, myocardial infarction, stroke, ischemic heart disease, congestive heart failure, blindness, renal failure, foot ulcer, body mass index changes, gastrointestinal adverse events and hypoglycaemic events.</w:t>
            </w:r>
            <w:r>
              <w:rPr>
                <w:rFonts w:ascii="Arial Narrow" w:hAnsi="Arial Narrow"/>
                <w:sz w:val="20"/>
                <w:szCs w:val="20"/>
              </w:rPr>
              <w:t xml:space="preserve"> </w:t>
            </w:r>
          </w:p>
        </w:tc>
      </w:tr>
      <w:tr w:rsidR="005C4B6F" w:rsidRPr="0090613B" w14:paraId="1FBAF525" w14:textId="77777777" w:rsidTr="00DA009D">
        <w:tc>
          <w:tcPr>
            <w:tcW w:w="1413" w:type="dxa"/>
          </w:tcPr>
          <w:p w14:paraId="14427B9E" w14:textId="5BDA80E1" w:rsidR="005C4B6F" w:rsidRPr="00A65968" w:rsidRDefault="005C4B6F" w:rsidP="00126B95">
            <w:pPr>
              <w:keepNext/>
              <w:keepLines/>
              <w:spacing w:after="120"/>
              <w:rPr>
                <w:rFonts w:ascii="Arial Narrow" w:hAnsi="Arial Narrow"/>
                <w:sz w:val="20"/>
                <w:szCs w:val="20"/>
              </w:rPr>
            </w:pPr>
            <w:r>
              <w:rPr>
                <w:rFonts w:ascii="Arial Narrow" w:hAnsi="Arial Narrow"/>
                <w:sz w:val="20"/>
                <w:szCs w:val="20"/>
              </w:rPr>
              <w:t>Utility values</w:t>
            </w:r>
          </w:p>
        </w:tc>
        <w:tc>
          <w:tcPr>
            <w:tcW w:w="8080" w:type="dxa"/>
          </w:tcPr>
          <w:p w14:paraId="558D1066" w14:textId="6D09C80F" w:rsidR="005C4B6F" w:rsidRPr="00A65968" w:rsidRDefault="005C4B6F" w:rsidP="00126B95">
            <w:pPr>
              <w:keepNext/>
              <w:keepLines/>
              <w:spacing w:after="120"/>
              <w:rPr>
                <w:rFonts w:ascii="Arial Narrow" w:hAnsi="Arial Narrow"/>
                <w:sz w:val="20"/>
                <w:szCs w:val="20"/>
              </w:rPr>
            </w:pPr>
            <w:r w:rsidRPr="00A65968">
              <w:rPr>
                <w:rFonts w:ascii="Arial Narrow" w:hAnsi="Arial Narrow"/>
                <w:sz w:val="20"/>
                <w:szCs w:val="20"/>
              </w:rPr>
              <w:t>Health state utility values for diabetes complication health states specifically for Australia are not currently available. The utility values were taken mainly from the UKPDS study, supplemented by values from other studies.</w:t>
            </w:r>
          </w:p>
        </w:tc>
      </w:tr>
      <w:tr w:rsidR="00A65968" w:rsidRPr="0090613B" w14:paraId="6F62313C" w14:textId="77777777" w:rsidTr="00DA009D">
        <w:tc>
          <w:tcPr>
            <w:tcW w:w="1413" w:type="dxa"/>
          </w:tcPr>
          <w:p w14:paraId="55DBC1C6"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Cycle length</w:t>
            </w:r>
          </w:p>
        </w:tc>
        <w:tc>
          <w:tcPr>
            <w:tcW w:w="8080" w:type="dxa"/>
          </w:tcPr>
          <w:p w14:paraId="6AA5A2C4"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 xml:space="preserve">The UKPDS OM2 used annual cycles </w:t>
            </w:r>
          </w:p>
        </w:tc>
      </w:tr>
      <w:tr w:rsidR="00A65968" w:rsidRPr="0090613B" w14:paraId="39E54DB0" w14:textId="77777777" w:rsidTr="00DA009D">
        <w:tc>
          <w:tcPr>
            <w:tcW w:w="1413" w:type="dxa"/>
          </w:tcPr>
          <w:p w14:paraId="2507CA8D"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Transition probabilities</w:t>
            </w:r>
          </w:p>
        </w:tc>
        <w:tc>
          <w:tcPr>
            <w:tcW w:w="8080" w:type="dxa"/>
          </w:tcPr>
          <w:p w14:paraId="36F25186" w14:textId="4AF185D5"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Equations which predict transition probabilities for events and deaths were recalibrated from the UKPDS OM2 to predict rates of mortality with those reported for a large cohort of Australians with Type 2 diabetes.</w:t>
            </w:r>
            <w:r w:rsidRPr="00A65968">
              <w:rPr>
                <w:rStyle w:val="FootnoteReference"/>
                <w:rFonts w:ascii="Arial Narrow" w:hAnsi="Arial Narrow"/>
                <w:sz w:val="20"/>
                <w:szCs w:val="20"/>
              </w:rPr>
              <w:footnoteReference w:id="8"/>
            </w:r>
            <w:r w:rsidRPr="00A65968">
              <w:rPr>
                <w:rFonts w:ascii="Arial Narrow" w:hAnsi="Arial Narrow"/>
                <w:sz w:val="20"/>
                <w:szCs w:val="20"/>
              </w:rPr>
              <w:t xml:space="preserve"> </w:t>
            </w:r>
          </w:p>
          <w:p w14:paraId="092E5467" w14:textId="77777777" w:rsidR="00A65968" w:rsidRPr="00A65968" w:rsidRDefault="00A65968" w:rsidP="00126B95">
            <w:pPr>
              <w:keepNext/>
              <w:keepLines/>
              <w:spacing w:after="120"/>
              <w:rPr>
                <w:rFonts w:ascii="Arial Narrow" w:hAnsi="Arial Narrow"/>
                <w:color w:val="222222"/>
                <w:sz w:val="20"/>
                <w:szCs w:val="20"/>
              </w:rPr>
            </w:pPr>
            <w:r w:rsidRPr="00A65968">
              <w:rPr>
                <w:rFonts w:ascii="Arial Narrow" w:hAnsi="Arial Narrow"/>
                <w:sz w:val="20"/>
                <w:szCs w:val="20"/>
              </w:rPr>
              <w:t>In the absence of data on annual rates of the complications for the Australian population of patients with T2DM, the rates of fatal and non-fatal cardiovascular (CV) events and other-cause mortality were modified so that the standardized mortality rate ratios (SMRs) of the modelled population compared to the Australian general population matched the SMRs of the patients with T2DM compared to the Australian general population in the period 2004-2010.</w:t>
            </w:r>
            <w:r w:rsidRPr="00A65968">
              <w:rPr>
                <w:rFonts w:ascii="Arial Narrow" w:hAnsi="Arial Narrow"/>
                <w:sz w:val="20"/>
                <w:szCs w:val="20"/>
                <w:vertAlign w:val="superscript"/>
              </w:rPr>
              <w:t>1</w:t>
            </w:r>
            <w:r w:rsidRPr="00A65968">
              <w:rPr>
                <w:rFonts w:ascii="Arial Narrow" w:hAnsi="Arial Narrow"/>
                <w:color w:val="222222"/>
                <w:sz w:val="20"/>
                <w:szCs w:val="20"/>
              </w:rPr>
              <w:t xml:space="preserve"> </w:t>
            </w:r>
          </w:p>
          <w:p w14:paraId="5168BB46"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The treatment effects of GLP-1 RAs compared to SUs were based on recent meta-analyses of relevant clinical trials.</w:t>
            </w:r>
          </w:p>
        </w:tc>
      </w:tr>
      <w:tr w:rsidR="00A65968" w:rsidRPr="0090613B" w14:paraId="03EF8707" w14:textId="77777777" w:rsidTr="00DA009D">
        <w:tc>
          <w:tcPr>
            <w:tcW w:w="1413" w:type="dxa"/>
          </w:tcPr>
          <w:p w14:paraId="2CE229F0"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Software</w:t>
            </w:r>
          </w:p>
        </w:tc>
        <w:tc>
          <w:tcPr>
            <w:tcW w:w="8080" w:type="dxa"/>
          </w:tcPr>
          <w:p w14:paraId="7B6F9D39" w14:textId="77777777" w:rsidR="00A65968" w:rsidRPr="00A65968" w:rsidRDefault="00A65968" w:rsidP="00126B95">
            <w:pPr>
              <w:keepNext/>
              <w:keepLines/>
              <w:spacing w:after="120"/>
              <w:rPr>
                <w:rFonts w:ascii="Arial Narrow" w:hAnsi="Arial Narrow"/>
                <w:sz w:val="20"/>
                <w:szCs w:val="20"/>
              </w:rPr>
            </w:pPr>
            <w:r w:rsidRPr="00A65968">
              <w:rPr>
                <w:rFonts w:ascii="Arial Narrow" w:hAnsi="Arial Narrow"/>
                <w:sz w:val="20"/>
                <w:szCs w:val="20"/>
              </w:rPr>
              <w:t>The UKPDS OM2 implemented in STATA that has been adapted to reflect both contemporary risk of death in people with T2DM in Australia and capture the known treatments effects of GLP-1 RAs compared to SUs.</w:t>
            </w:r>
          </w:p>
        </w:tc>
      </w:tr>
    </w:tbl>
    <w:p w14:paraId="171BB9A3" w14:textId="1FE6A700" w:rsidR="00A65968" w:rsidRDefault="00A65968" w:rsidP="005C4B6F">
      <w:pPr>
        <w:pStyle w:val="3Bodytext"/>
        <w:widowControl w:val="0"/>
        <w:numPr>
          <w:ilvl w:val="0"/>
          <w:numId w:val="0"/>
        </w:numPr>
        <w:ind w:left="720" w:hanging="720"/>
        <w:jc w:val="left"/>
        <w:rPr>
          <w:sz w:val="20"/>
          <w:szCs w:val="20"/>
        </w:rPr>
      </w:pPr>
      <w:r w:rsidRPr="005D0345">
        <w:rPr>
          <w:sz w:val="20"/>
          <w:szCs w:val="20"/>
        </w:rPr>
        <w:t xml:space="preserve">Source: </w:t>
      </w:r>
      <w:r>
        <w:rPr>
          <w:sz w:val="20"/>
          <w:szCs w:val="20"/>
        </w:rPr>
        <w:t>Table 3A.1, GLP-1 RA report, Section 2 &amp; 3.</w:t>
      </w:r>
    </w:p>
    <w:p w14:paraId="6EA17746" w14:textId="77777777" w:rsidR="00126B95" w:rsidRPr="005D0345" w:rsidRDefault="00126B95" w:rsidP="005C4B6F">
      <w:pPr>
        <w:pStyle w:val="3Bodytext"/>
        <w:widowControl w:val="0"/>
        <w:numPr>
          <w:ilvl w:val="0"/>
          <w:numId w:val="0"/>
        </w:numPr>
        <w:ind w:left="720" w:hanging="720"/>
        <w:jc w:val="left"/>
        <w:rPr>
          <w:sz w:val="20"/>
          <w:szCs w:val="20"/>
        </w:rPr>
      </w:pPr>
    </w:p>
    <w:p w14:paraId="1DAD6E7F" w14:textId="77777777" w:rsidR="00A65968" w:rsidRDefault="00A65968" w:rsidP="005C4B6F">
      <w:pPr>
        <w:pStyle w:val="3Bodytext"/>
        <w:keepNext/>
        <w:keepLines/>
        <w:widowControl w:val="0"/>
      </w:pPr>
      <w:r w:rsidRPr="00B56AF4">
        <w:t xml:space="preserve">The </w:t>
      </w:r>
      <w:r>
        <w:t>economic evaluation modelled two scenarios:</w:t>
      </w:r>
    </w:p>
    <w:p w14:paraId="2174AE2B" w14:textId="77777777" w:rsidR="00A65968" w:rsidRDefault="00A65968" w:rsidP="005C4B6F">
      <w:pPr>
        <w:pStyle w:val="Style1"/>
        <w:keepNext/>
        <w:keepLines/>
      </w:pPr>
      <w:r>
        <w:t xml:space="preserve">The </w:t>
      </w:r>
      <w:r w:rsidRPr="00E87E01">
        <w:rPr>
          <w:u w:val="single"/>
        </w:rPr>
        <w:t>base case analysis</w:t>
      </w:r>
      <w:r>
        <w:t xml:space="preserve"> considered differences in the effects of GLP-1 RAs and SUs primarily on: weight/body mass index (BMI), SBP, hypoglycaemic events and gastrointestinal events.</w:t>
      </w:r>
    </w:p>
    <w:p w14:paraId="144A6BA9" w14:textId="77777777" w:rsidR="00A65968" w:rsidRDefault="00A65968" w:rsidP="004E7FC2">
      <w:pPr>
        <w:pStyle w:val="Style1"/>
      </w:pPr>
      <w:r>
        <w:t xml:space="preserve">The </w:t>
      </w:r>
      <w:r w:rsidRPr="00E87E01">
        <w:rPr>
          <w:u w:val="single"/>
        </w:rPr>
        <w:t>scenario that favoured GLP-1 RAs</w:t>
      </w:r>
      <w:r>
        <w:t xml:space="preserve"> used a more favourable HbA1c reduction for GLP-1 RAs, and included reductions in CV events, CV-related mortality, and all-cause mortality based on the non-statistically significant point estimates in the included studies, which favoured GLP1-RAs.</w:t>
      </w:r>
    </w:p>
    <w:p w14:paraId="5F2F88E3" w14:textId="77777777" w:rsidR="0022700E" w:rsidRDefault="00A65968" w:rsidP="00277416">
      <w:pPr>
        <w:pStyle w:val="3Bodytext"/>
      </w:pPr>
      <w:r>
        <w:lastRenderedPageBreak/>
        <w:t xml:space="preserve">The model also incorporated additional effects on quality of life (QoL) in both the base case and favourable scenarios for change in BMI, and occurrence of hypoglycaemic events and gastrointestinal events. </w:t>
      </w:r>
    </w:p>
    <w:p w14:paraId="672CF35F" w14:textId="1C307834" w:rsidR="0022700E" w:rsidRPr="0022700E" w:rsidRDefault="00A65968" w:rsidP="00277416">
      <w:pPr>
        <w:pStyle w:val="3Bodytext"/>
      </w:pPr>
      <w:r>
        <w:t xml:space="preserve">ICER estimates for GLP-1 RAs compared to SUs in the lifetime </w:t>
      </w:r>
      <w:r w:rsidRPr="00971259">
        <w:t xml:space="preserve">treatment effect scenarios are shown in </w:t>
      </w:r>
      <w:r w:rsidRPr="003677A1">
        <w:t xml:space="preserve">Table </w:t>
      </w:r>
      <w:r w:rsidR="00DA009D">
        <w:t>5</w:t>
      </w:r>
      <w:r w:rsidRPr="003677A1">
        <w:t>.</w:t>
      </w:r>
      <w:r w:rsidR="00277416" w:rsidRPr="00971259">
        <w:t xml:space="preserve"> </w:t>
      </w:r>
    </w:p>
    <w:p w14:paraId="0610E32D" w14:textId="73CDF0B9" w:rsidR="00A65968" w:rsidRPr="00864559" w:rsidRDefault="0022700E" w:rsidP="00277416">
      <w:pPr>
        <w:pStyle w:val="3Bodytext"/>
        <w:rPr>
          <w:iCs/>
        </w:rPr>
      </w:pPr>
      <w:r w:rsidRPr="00864559">
        <w:rPr>
          <w:rFonts w:cstheme="minorHAnsi"/>
          <w:bCs/>
          <w:iCs/>
          <w:snapToGrid w:val="0"/>
        </w:rPr>
        <w:t>PBAC</w:t>
      </w:r>
      <w:r w:rsidR="00277416" w:rsidRPr="00864559">
        <w:rPr>
          <w:rFonts w:cstheme="minorHAnsi"/>
          <w:bCs/>
          <w:iCs/>
          <w:snapToGrid w:val="0"/>
        </w:rPr>
        <w:t xml:space="preserve"> noted that in the modelling scenario favouring </w:t>
      </w:r>
      <w:r w:rsidR="00277416" w:rsidRPr="00864559">
        <w:rPr>
          <w:rFonts w:cstheme="minorHAnsi"/>
          <w:iCs/>
        </w:rPr>
        <w:t xml:space="preserve">GLP-1 RAs and incorporating additional QoL effects the ICERs remained high at </w:t>
      </w:r>
      <w:r w:rsidR="00E56CA5">
        <w:rPr>
          <w:rFonts w:cstheme="minorHAnsi"/>
          <w:iCs/>
        </w:rPr>
        <w:t xml:space="preserve">$75,000 to $95,000 </w:t>
      </w:r>
      <w:r w:rsidR="00E118A2">
        <w:rPr>
          <w:rFonts w:cstheme="minorHAnsi"/>
          <w:iCs/>
        </w:rPr>
        <w:t xml:space="preserve">per QALY </w:t>
      </w:r>
      <w:r w:rsidR="00277416" w:rsidRPr="00864559">
        <w:rPr>
          <w:rFonts w:cstheme="minorHAnsi"/>
          <w:iCs/>
        </w:rPr>
        <w:t>for men and women.</w:t>
      </w:r>
    </w:p>
    <w:p w14:paraId="50E7F257" w14:textId="77777777" w:rsidR="00A65968" w:rsidRPr="00971259" w:rsidRDefault="00A65968" w:rsidP="00A65968">
      <w:pPr>
        <w:pStyle w:val="In-tableHeading"/>
        <w:rPr>
          <w:sz w:val="22"/>
          <w:szCs w:val="22"/>
        </w:rPr>
      </w:pPr>
    </w:p>
    <w:p w14:paraId="6D48C7E6" w14:textId="367A174C" w:rsidR="00A65968" w:rsidRPr="00971259" w:rsidRDefault="00A65968" w:rsidP="00A65968">
      <w:pPr>
        <w:pStyle w:val="In-tableHeading"/>
        <w:rPr>
          <w:szCs w:val="20"/>
        </w:rPr>
      </w:pPr>
      <w:r w:rsidRPr="00971259">
        <w:rPr>
          <w:szCs w:val="20"/>
        </w:rPr>
        <w:t xml:space="preserve">Table </w:t>
      </w:r>
      <w:r w:rsidR="00DA009D">
        <w:rPr>
          <w:szCs w:val="20"/>
        </w:rPr>
        <w:t>5</w:t>
      </w:r>
      <w:r w:rsidRPr="00971259">
        <w:rPr>
          <w:szCs w:val="20"/>
        </w:rPr>
        <w:t>: ICER estimates for GLP-1 RAs compared to SUs for treatment of T2DM as add-on therapy to metformin</w:t>
      </w:r>
      <w:r w:rsidR="005C755A">
        <w:rPr>
          <w:szCs w:val="20"/>
        </w:rPr>
        <w:t xml:space="preserve"> for men and women</w:t>
      </w:r>
      <w:r w:rsidR="00EB5E15">
        <w:rPr>
          <w:szCs w:val="20"/>
        </w:rPr>
        <w:t xml:space="preserve">, </w:t>
      </w:r>
      <w:r w:rsidRPr="00971259">
        <w:rPr>
          <w:szCs w:val="20"/>
        </w:rPr>
        <w:t>at current prices and with 5% discount rate to costs and outcomes.</w:t>
      </w:r>
    </w:p>
    <w:tbl>
      <w:tblPr>
        <w:tblStyle w:val="TableGrid"/>
        <w:tblW w:w="9067" w:type="dxa"/>
        <w:tblLook w:val="04A0" w:firstRow="1" w:lastRow="0" w:firstColumn="1" w:lastColumn="0" w:noHBand="0" w:noVBand="1"/>
      </w:tblPr>
      <w:tblGrid>
        <w:gridCol w:w="4957"/>
        <w:gridCol w:w="4110"/>
      </w:tblGrid>
      <w:tr w:rsidR="00774173" w:rsidRPr="00971259" w14:paraId="461D7A8B" w14:textId="77777777" w:rsidTr="00DA009D">
        <w:tc>
          <w:tcPr>
            <w:tcW w:w="4957" w:type="dxa"/>
            <w:shd w:val="clear" w:color="auto" w:fill="D9D9D9" w:themeFill="background1" w:themeFillShade="D9"/>
          </w:tcPr>
          <w:p w14:paraId="6C637C69" w14:textId="5C93E365" w:rsidR="00774173" w:rsidRPr="00971259" w:rsidRDefault="00774173" w:rsidP="000D6C7C">
            <w:pPr>
              <w:pStyle w:val="In-tableHeading"/>
            </w:pPr>
            <w:r w:rsidRPr="00971259">
              <w:t>S</w:t>
            </w:r>
            <w:r>
              <w:t>cenario</w:t>
            </w:r>
          </w:p>
        </w:tc>
        <w:tc>
          <w:tcPr>
            <w:tcW w:w="4110" w:type="dxa"/>
            <w:shd w:val="clear" w:color="auto" w:fill="D9D9D9" w:themeFill="background1" w:themeFillShade="D9"/>
          </w:tcPr>
          <w:p w14:paraId="26F9E95F" w14:textId="6E3EE717" w:rsidR="00774173" w:rsidRDefault="00774173" w:rsidP="00EB5E15">
            <w:pPr>
              <w:pStyle w:val="In-tableHeading"/>
              <w:jc w:val="center"/>
            </w:pPr>
            <w:r>
              <w:t xml:space="preserve">ICER per QALY </w:t>
            </w:r>
            <w:r>
              <w:rPr>
                <w:szCs w:val="20"/>
              </w:rPr>
              <w:t>(lifetime treatments effects)</w:t>
            </w:r>
          </w:p>
        </w:tc>
      </w:tr>
      <w:tr w:rsidR="00774173" w:rsidRPr="00971259" w14:paraId="23B4DD22" w14:textId="77777777" w:rsidTr="005C755A">
        <w:tc>
          <w:tcPr>
            <w:tcW w:w="4957" w:type="dxa"/>
          </w:tcPr>
          <w:p w14:paraId="4D00C4D8" w14:textId="77777777" w:rsidR="00774173" w:rsidRPr="005C755A" w:rsidRDefault="00774173" w:rsidP="00B47255">
            <w:pPr>
              <w:pStyle w:val="In-tableHeading"/>
              <w:rPr>
                <w:b w:val="0"/>
                <w:bCs/>
              </w:rPr>
            </w:pPr>
            <w:r w:rsidRPr="005C755A">
              <w:rPr>
                <w:b w:val="0"/>
                <w:bCs/>
              </w:rPr>
              <w:t>Base case – No additional QoL effects</w:t>
            </w:r>
          </w:p>
        </w:tc>
        <w:tc>
          <w:tcPr>
            <w:tcW w:w="4110" w:type="dxa"/>
          </w:tcPr>
          <w:p w14:paraId="6B699DC1" w14:textId="218B9521" w:rsidR="00774173" w:rsidRPr="00774173" w:rsidRDefault="00774173" w:rsidP="00774173">
            <w:pPr>
              <w:pStyle w:val="In-tableHeading"/>
              <w:jc w:val="center"/>
              <w:rPr>
                <w:b w:val="0"/>
                <w:bCs/>
              </w:rPr>
            </w:pPr>
            <w:r w:rsidRPr="00774173">
              <w:rPr>
                <w:b w:val="0"/>
                <w:bCs/>
              </w:rPr>
              <w:t>$855,000 to &lt;$955,000</w:t>
            </w:r>
          </w:p>
        </w:tc>
      </w:tr>
      <w:tr w:rsidR="00774173" w:rsidRPr="00971259" w14:paraId="26CBB904" w14:textId="77777777" w:rsidTr="005C755A">
        <w:tc>
          <w:tcPr>
            <w:tcW w:w="4957" w:type="dxa"/>
          </w:tcPr>
          <w:p w14:paraId="6C94289B" w14:textId="788C8DA8" w:rsidR="00774173" w:rsidRPr="005C755A" w:rsidRDefault="00774173" w:rsidP="00B47255">
            <w:pPr>
              <w:pStyle w:val="In-tableHeading"/>
              <w:rPr>
                <w:b w:val="0"/>
                <w:bCs/>
              </w:rPr>
            </w:pPr>
            <w:r w:rsidRPr="005C755A">
              <w:rPr>
                <w:b w:val="0"/>
                <w:bCs/>
              </w:rPr>
              <w:t>GLP-1 RA Favourable – No additional QoL effects</w:t>
            </w:r>
          </w:p>
        </w:tc>
        <w:tc>
          <w:tcPr>
            <w:tcW w:w="4110" w:type="dxa"/>
          </w:tcPr>
          <w:p w14:paraId="203A43E7" w14:textId="02E4E676" w:rsidR="00774173" w:rsidRPr="00774173" w:rsidRDefault="00774173" w:rsidP="00774173">
            <w:pPr>
              <w:pStyle w:val="In-tableHeading"/>
              <w:jc w:val="center"/>
              <w:rPr>
                <w:b w:val="0"/>
                <w:bCs/>
              </w:rPr>
            </w:pPr>
            <w:r w:rsidRPr="00774173">
              <w:rPr>
                <w:b w:val="0"/>
                <w:bCs/>
              </w:rPr>
              <w:t>$95,000 to &lt;$115,000</w:t>
            </w:r>
          </w:p>
        </w:tc>
      </w:tr>
      <w:tr w:rsidR="00774173" w:rsidRPr="00971259" w14:paraId="4B7A284F" w14:textId="77777777" w:rsidTr="005C755A">
        <w:tc>
          <w:tcPr>
            <w:tcW w:w="4957" w:type="dxa"/>
          </w:tcPr>
          <w:p w14:paraId="708588F8" w14:textId="77777777" w:rsidR="00774173" w:rsidRPr="005C755A" w:rsidRDefault="00774173" w:rsidP="00B47255">
            <w:pPr>
              <w:pStyle w:val="In-tableHeading"/>
              <w:rPr>
                <w:b w:val="0"/>
                <w:bCs/>
              </w:rPr>
            </w:pPr>
            <w:r w:rsidRPr="005C755A">
              <w:rPr>
                <w:b w:val="0"/>
                <w:bCs/>
              </w:rPr>
              <w:t>Base case – Additional QoL effects</w:t>
            </w:r>
          </w:p>
        </w:tc>
        <w:tc>
          <w:tcPr>
            <w:tcW w:w="4110" w:type="dxa"/>
          </w:tcPr>
          <w:p w14:paraId="51178A63" w14:textId="2269FDAF" w:rsidR="00774173" w:rsidRPr="00774173" w:rsidRDefault="00774173" w:rsidP="00774173">
            <w:pPr>
              <w:pStyle w:val="In-tableHeading"/>
              <w:jc w:val="center"/>
              <w:rPr>
                <w:b w:val="0"/>
                <w:bCs/>
              </w:rPr>
            </w:pPr>
            <w:r w:rsidRPr="00774173">
              <w:rPr>
                <w:b w:val="0"/>
                <w:bCs/>
              </w:rPr>
              <w:t>$115,000 to &lt;$255,000</w:t>
            </w:r>
          </w:p>
        </w:tc>
      </w:tr>
      <w:tr w:rsidR="00774173" w14:paraId="6CBDC6B3" w14:textId="77777777" w:rsidTr="005C755A">
        <w:tc>
          <w:tcPr>
            <w:tcW w:w="4957" w:type="dxa"/>
          </w:tcPr>
          <w:p w14:paraId="286938B1" w14:textId="06B46E56" w:rsidR="00774173" w:rsidRPr="005C755A" w:rsidRDefault="00774173" w:rsidP="00B47255">
            <w:pPr>
              <w:pStyle w:val="In-tableHeading"/>
              <w:rPr>
                <w:b w:val="0"/>
                <w:bCs/>
              </w:rPr>
            </w:pPr>
            <w:r w:rsidRPr="005C755A">
              <w:rPr>
                <w:b w:val="0"/>
                <w:bCs/>
              </w:rPr>
              <w:t>GLP-1 RA Favourable - Additional QoL effects</w:t>
            </w:r>
          </w:p>
        </w:tc>
        <w:tc>
          <w:tcPr>
            <w:tcW w:w="4110" w:type="dxa"/>
          </w:tcPr>
          <w:p w14:paraId="12E7D9A2" w14:textId="5735DA9F" w:rsidR="00774173" w:rsidRPr="00774173" w:rsidRDefault="00774173" w:rsidP="00774173">
            <w:pPr>
              <w:pStyle w:val="In-tableHeading"/>
              <w:jc w:val="center"/>
              <w:rPr>
                <w:b w:val="0"/>
                <w:bCs/>
              </w:rPr>
            </w:pPr>
            <w:r w:rsidRPr="00774173">
              <w:rPr>
                <w:b w:val="0"/>
                <w:bCs/>
              </w:rPr>
              <w:t>$75,000 to &lt;$95,000</w:t>
            </w:r>
          </w:p>
        </w:tc>
      </w:tr>
    </w:tbl>
    <w:p w14:paraId="477CAC40" w14:textId="77777777" w:rsidR="00A65968" w:rsidRDefault="00A65968" w:rsidP="00A65968">
      <w:pPr>
        <w:pStyle w:val="In-tableHeading"/>
        <w:rPr>
          <w:b w:val="0"/>
          <w:bCs/>
        </w:rPr>
      </w:pPr>
      <w:r>
        <w:rPr>
          <w:b w:val="0"/>
          <w:bCs/>
        </w:rPr>
        <w:t>Source: Table 3A.12, GLP-1 RA report, Section 2 &amp; 3</w:t>
      </w:r>
    </w:p>
    <w:p w14:paraId="14E8EA65" w14:textId="77777777" w:rsidR="00A65968" w:rsidRDefault="00A65968" w:rsidP="00A65968">
      <w:pPr>
        <w:pStyle w:val="In-tableHeading"/>
        <w:rPr>
          <w:b w:val="0"/>
          <w:bCs/>
        </w:rPr>
      </w:pPr>
      <w:r>
        <w:rPr>
          <w:b w:val="0"/>
          <w:bCs/>
        </w:rPr>
        <w:t>Abbreviations: ICER = incremental cost-effectiveness ratio; QALY = quality-adjusted life years</w:t>
      </w:r>
    </w:p>
    <w:p w14:paraId="1D4B13C8" w14:textId="77777777" w:rsidR="00A65968" w:rsidRPr="00A65968" w:rsidRDefault="00A65968" w:rsidP="00DB25CC">
      <w:pPr>
        <w:pStyle w:val="3Bodytext"/>
        <w:numPr>
          <w:ilvl w:val="0"/>
          <w:numId w:val="0"/>
        </w:numPr>
        <w:ind w:left="720"/>
        <w:rPr>
          <w:i/>
          <w:iCs/>
          <w:highlight w:val="cyan"/>
        </w:rPr>
      </w:pPr>
    </w:p>
    <w:p w14:paraId="2A8AF428" w14:textId="21BBBDD4" w:rsidR="0003759D" w:rsidRDefault="00774173" w:rsidP="005C4B6F">
      <w:pPr>
        <w:pStyle w:val="3Bodytext"/>
      </w:pPr>
      <w:bookmarkStart w:id="13" w:name="_Hlk109984813"/>
      <w:bookmarkStart w:id="14" w:name="_Hlk85035507"/>
      <w:bookmarkStart w:id="15" w:name="_Hlk85014861"/>
      <w:r>
        <w:t xml:space="preserve">The </w:t>
      </w:r>
      <w:r w:rsidR="0003759D">
        <w:t>PBAC considered that the base case analysis may have underestimated the comparativeness effectiveness of GLP-1 RAs compared to SUs on BMI, HbA1c and CV outcomes</w:t>
      </w:r>
      <w:r w:rsidR="00777B4F">
        <w:t xml:space="preserve"> as </w:t>
      </w:r>
      <w:r w:rsidR="008A71FF">
        <w:t xml:space="preserve">the clinical evaluation included </w:t>
      </w:r>
      <w:r w:rsidR="00777B4F">
        <w:t>trial evidence for older GLP-1 RAs</w:t>
      </w:r>
      <w:r w:rsidR="008A71FF">
        <w:t xml:space="preserve"> that are not PBS-listed</w:t>
      </w:r>
      <w:r w:rsidR="0003759D">
        <w:t>.</w:t>
      </w:r>
      <w:r w:rsidR="001B06A0">
        <w:t xml:space="preserve"> </w:t>
      </w:r>
      <w:bookmarkEnd w:id="13"/>
      <w:r w:rsidR="008E3C28">
        <w:t>Overall</w:t>
      </w:r>
      <w:r w:rsidR="00CF5595">
        <w:t>,</w:t>
      </w:r>
      <w:r w:rsidR="00CF5595" w:rsidRPr="00864559">
        <w:t xml:space="preserve"> the small difference in life years and QALYs gained between GLP</w:t>
      </w:r>
      <w:r w:rsidR="00CF5595" w:rsidRPr="00864559">
        <w:noBreakHyphen/>
        <w:t>1</w:t>
      </w:r>
      <w:r w:rsidR="006D353C">
        <w:t> </w:t>
      </w:r>
      <w:r w:rsidR="00CF5595" w:rsidRPr="00864559">
        <w:t>RAs and S</w:t>
      </w:r>
      <w:r w:rsidR="006D353C">
        <w:t>U</w:t>
      </w:r>
      <w:r w:rsidR="00CF5595" w:rsidRPr="00864559">
        <w:t>s</w:t>
      </w:r>
      <w:r w:rsidR="008E3C28">
        <w:t>,</w:t>
      </w:r>
      <w:r w:rsidR="00CF5595" w:rsidRPr="00864559">
        <w:t xml:space="preserve"> and the higher medication costs for GLP-1 RAs </w:t>
      </w:r>
      <w:r w:rsidR="008E3C28">
        <w:t xml:space="preserve">were </w:t>
      </w:r>
      <w:r w:rsidR="00CF5595" w:rsidRPr="00864559">
        <w:t xml:space="preserve">driving the high estimated ICERs in the economic model. </w:t>
      </w:r>
    </w:p>
    <w:p w14:paraId="1DD30715" w14:textId="5281641B" w:rsidR="0054259B" w:rsidRDefault="00774173" w:rsidP="00E22905">
      <w:pPr>
        <w:pStyle w:val="3Bodytext"/>
        <w:keepNext/>
        <w:keepLines/>
      </w:pPr>
      <w:r>
        <w:t xml:space="preserve">The </w:t>
      </w:r>
      <w:r w:rsidR="0054259B">
        <w:t xml:space="preserve">PBAC noted </w:t>
      </w:r>
      <w:r w:rsidR="009176B9">
        <w:t xml:space="preserve">sensitivity analyses </w:t>
      </w:r>
      <w:r w:rsidR="00CF5595">
        <w:t xml:space="preserve">exploring </w:t>
      </w:r>
      <w:r w:rsidR="009176B9">
        <w:t>the impact of price reductions to GLP</w:t>
      </w:r>
      <w:r w:rsidR="00C326E2">
        <w:noBreakHyphen/>
      </w:r>
      <w:r w:rsidR="009176B9">
        <w:t>1</w:t>
      </w:r>
      <w:r w:rsidR="00C326E2">
        <w:t> </w:t>
      </w:r>
      <w:r w:rsidR="009176B9">
        <w:t>RAs and change in discount rate</w:t>
      </w:r>
      <w:r w:rsidR="0054259B">
        <w:t xml:space="preserve"> were intended to </w:t>
      </w:r>
      <w:r w:rsidR="00CF5595">
        <w:t xml:space="preserve">offset </w:t>
      </w:r>
      <w:r w:rsidR="0054259B">
        <w:t xml:space="preserve">some </w:t>
      </w:r>
      <w:r w:rsidR="009176B9">
        <w:t>of the uncertainties</w:t>
      </w:r>
      <w:r w:rsidR="00CF5595">
        <w:t xml:space="preserve"> related to the incremental benefit </w:t>
      </w:r>
      <w:r w:rsidR="006D353C">
        <w:t xml:space="preserve">of </w:t>
      </w:r>
      <w:r w:rsidR="00CF5595">
        <w:t>GLP-1 RAs and other model inputs</w:t>
      </w:r>
      <w:r w:rsidR="009176B9">
        <w:t xml:space="preserve">. </w:t>
      </w:r>
      <w:r w:rsidR="008E3C28">
        <w:t>The</w:t>
      </w:r>
      <w:r w:rsidR="00CF5595">
        <w:t xml:space="preserve"> ICER </w:t>
      </w:r>
      <w:r w:rsidR="008E3C28">
        <w:t>remained</w:t>
      </w:r>
      <w:r w:rsidR="00CF5595">
        <w:t xml:space="preserve"> very sensitive to the </w:t>
      </w:r>
      <w:r w:rsidR="0054259B">
        <w:t xml:space="preserve">assumptions about the treatment effect of GLP-1 RAs and </w:t>
      </w:r>
      <w:r w:rsidR="00CF5595">
        <w:t>utilities</w:t>
      </w:r>
      <w:r w:rsidR="0054259B">
        <w:t>.</w:t>
      </w:r>
      <w:r w:rsidR="00A76C2E">
        <w:t xml:space="preserve"> </w:t>
      </w:r>
    </w:p>
    <w:p w14:paraId="17EBCDB4" w14:textId="5A795D92" w:rsidR="0003759D" w:rsidRDefault="00C326E2" w:rsidP="009B7CC1">
      <w:pPr>
        <w:pStyle w:val="3Bodytext"/>
      </w:pPr>
      <w:r>
        <w:t xml:space="preserve">The </w:t>
      </w:r>
      <w:r w:rsidR="0003759D">
        <w:t xml:space="preserve">PBAC noted that the ICERs in the report are higher than </w:t>
      </w:r>
      <w:r w:rsidR="00E118A2">
        <w:t xml:space="preserve">in </w:t>
      </w:r>
      <w:r w:rsidR="0003759D">
        <w:t>many studies on the comparativeness cost-effectiveness of GLP-1 RAs compared to SUs, which typically reported ICERs between $40,000 to $50,000</w:t>
      </w:r>
      <w:r w:rsidR="00E118A2">
        <w:t xml:space="preserve"> per QALY</w:t>
      </w:r>
      <w:r w:rsidR="00D9417C">
        <w:t>. However</w:t>
      </w:r>
      <w:r w:rsidR="000A44E5">
        <w:t>,</w:t>
      </w:r>
      <w:r w:rsidR="001F303B">
        <w:t xml:space="preserve"> in the report</w:t>
      </w:r>
      <w:r w:rsidR="00D9417C">
        <w:t xml:space="preserve"> th</w:t>
      </w:r>
      <w:r w:rsidR="000A44E5">
        <w:t xml:space="preserve">is difference is explained by the use of a </w:t>
      </w:r>
      <w:r w:rsidR="000A44E5" w:rsidRPr="000A44E5">
        <w:t xml:space="preserve">modified version of the UKPDS OM2 that has been calibrated to </w:t>
      </w:r>
      <w:r w:rsidR="001F303B">
        <w:t>the</w:t>
      </w:r>
      <w:r w:rsidR="000A44E5">
        <w:t xml:space="preserve"> lower</w:t>
      </w:r>
      <w:r w:rsidR="000A44E5" w:rsidRPr="000A44E5">
        <w:t xml:space="preserve"> risk o</w:t>
      </w:r>
      <w:r w:rsidR="001F303B">
        <w:t>f</w:t>
      </w:r>
      <w:r w:rsidR="000A44E5" w:rsidRPr="000A44E5">
        <w:t xml:space="preserve"> mortality in Australia</w:t>
      </w:r>
      <w:r w:rsidR="000A44E5">
        <w:t xml:space="preserve">. </w:t>
      </w:r>
      <w:r w:rsidR="000A44E5" w:rsidRPr="000A44E5">
        <w:t>Such differences underlie the need to calibrate diabetes models to</w:t>
      </w:r>
      <w:r w:rsidR="001F303B">
        <w:t xml:space="preserve"> account for the</w:t>
      </w:r>
      <w:r w:rsidR="000A44E5" w:rsidRPr="000A44E5">
        <w:t xml:space="preserve"> mortality risk of the contemporary Australian diabetes population when conducting economic evaluations. </w:t>
      </w:r>
    </w:p>
    <w:p w14:paraId="5B1F752B" w14:textId="66C2A098" w:rsidR="000A4F13" w:rsidRDefault="00E77C1F" w:rsidP="00E77C1F">
      <w:pPr>
        <w:pStyle w:val="3Bodytext"/>
        <w:numPr>
          <w:ilvl w:val="0"/>
          <w:numId w:val="0"/>
        </w:numPr>
        <w:rPr>
          <w:i/>
          <w:iCs/>
        </w:rPr>
      </w:pPr>
      <w:bookmarkStart w:id="16" w:name="_Hlk76375324"/>
      <w:bookmarkStart w:id="17" w:name="_Hlk83306446"/>
      <w:bookmarkEnd w:id="10"/>
      <w:bookmarkEnd w:id="11"/>
      <w:bookmarkEnd w:id="14"/>
      <w:bookmarkEnd w:id="15"/>
      <w:r w:rsidRPr="00E77C1F">
        <w:rPr>
          <w:i/>
          <w:iCs/>
        </w:rPr>
        <w:t xml:space="preserve">For more detail on PBAC’s view, see section </w:t>
      </w:r>
      <w:r w:rsidR="003B47BE">
        <w:rPr>
          <w:i/>
          <w:iCs/>
        </w:rPr>
        <w:t>6</w:t>
      </w:r>
      <w:r w:rsidRPr="00E77C1F">
        <w:rPr>
          <w:i/>
          <w:iCs/>
        </w:rPr>
        <w:t xml:space="preserve"> PBAC outcome.</w:t>
      </w:r>
    </w:p>
    <w:bookmarkEnd w:id="16"/>
    <w:p w14:paraId="4BBD93FD" w14:textId="77777777" w:rsidR="000A4F13" w:rsidRDefault="000A4F13" w:rsidP="009B1976">
      <w:pPr>
        <w:pStyle w:val="2Sections"/>
        <w:keepNext/>
        <w:keepLines/>
      </w:pPr>
      <w:r>
        <w:t>Main issues identified</w:t>
      </w:r>
    </w:p>
    <w:p w14:paraId="08E087D0" w14:textId="5517AE89" w:rsidR="000A4F13" w:rsidRDefault="000A4F13" w:rsidP="009B1976">
      <w:pPr>
        <w:pStyle w:val="4Bodytextnumbered"/>
        <w:keepNext/>
        <w:keepLines/>
        <w:numPr>
          <w:ilvl w:val="1"/>
          <w:numId w:val="7"/>
        </w:numPr>
      </w:pPr>
      <w:r>
        <w:t xml:space="preserve">The main issues raised by the cost-effectiveness reviews of </w:t>
      </w:r>
      <w:r w:rsidR="001F303B">
        <w:t>SGLT2 inhibitors and GLP</w:t>
      </w:r>
      <w:r w:rsidR="006805B5">
        <w:noBreakHyphen/>
      </w:r>
      <w:r w:rsidR="001F303B">
        <w:t>1</w:t>
      </w:r>
      <w:r w:rsidR="006805B5">
        <w:t> </w:t>
      </w:r>
      <w:r w:rsidR="001F303B">
        <w:t xml:space="preserve">RAs </w:t>
      </w:r>
      <w:r>
        <w:t xml:space="preserve">are: </w:t>
      </w:r>
    </w:p>
    <w:p w14:paraId="28C6DB0E" w14:textId="076E6E47" w:rsidR="000A4F13" w:rsidRDefault="000A4F13" w:rsidP="000A4F13">
      <w:pPr>
        <w:pStyle w:val="4bulletpoint"/>
        <w:ind w:left="811"/>
      </w:pPr>
      <w:r w:rsidRPr="009E75B8">
        <w:t xml:space="preserve">High overall R/PBS expenditure and growth </w:t>
      </w:r>
      <w:r>
        <w:t>in the market for SGLT2 inhibitors and GLP-1 RAs</w:t>
      </w:r>
      <w:r w:rsidRPr="009E75B8">
        <w:t>.</w:t>
      </w:r>
    </w:p>
    <w:p w14:paraId="6FCE6D2B" w14:textId="4797EA3E" w:rsidR="000A4F13" w:rsidRDefault="000A4F13" w:rsidP="000A4F13">
      <w:pPr>
        <w:pStyle w:val="4bulletpoint"/>
        <w:ind w:left="811"/>
      </w:pPr>
      <w:r>
        <w:lastRenderedPageBreak/>
        <w:t>Potential for use outside the restrictions for SGLT2 inhibitors and GLP-1 RAs due to weight loss and reduced hypoglycaemia benefits associated with these medicines compared to SUs</w:t>
      </w:r>
      <w:r w:rsidR="00C326E2">
        <w:t>. This may include</w:t>
      </w:r>
      <w:r>
        <w:t xml:space="preserve"> use in monotherapy, and for GLP-1 RAs, use in patients not contraindicated/intolerant to metformin + SU. </w:t>
      </w:r>
      <w:r>
        <w:rPr>
          <w:rFonts w:ascii="Calibri" w:hAnsi="Calibri" w:cs="Calibri"/>
        </w:rPr>
        <w:t>The PBS restrictions for T2DM medicines do not always align with treatment algorithms in clinical guidelines and there are within-class inconsistencies in restrictions. These issues may be contributing to prescribing outside the restrictions.</w:t>
      </w:r>
    </w:p>
    <w:p w14:paraId="5386F551" w14:textId="1225A56C" w:rsidR="000A4F13" w:rsidRDefault="000A4F13" w:rsidP="000A4F13">
      <w:pPr>
        <w:pStyle w:val="4bulletpoint"/>
        <w:ind w:left="811"/>
      </w:pPr>
      <w:r>
        <w:t xml:space="preserve">There are limited PBS-subsided monotherapy treatment options for patients contraindicated/intolerant to metformin and who do not wish to use a SU, acarbose or insulin. The review of cost-effectiveness studies did not identify any studies comparing monotherapy options for patients with T2DM </w:t>
      </w:r>
      <w:r w:rsidR="00C326E2">
        <w:t xml:space="preserve">who are </w:t>
      </w:r>
      <w:r>
        <w:t xml:space="preserve">contraindicated/intolerant to metformin. </w:t>
      </w:r>
    </w:p>
    <w:p w14:paraId="457752B5" w14:textId="254A9D73" w:rsidR="00EC307D" w:rsidRPr="00DB7B11" w:rsidRDefault="00EC307D" w:rsidP="000222DC">
      <w:pPr>
        <w:pStyle w:val="2Sections"/>
        <w:rPr>
          <w:b w:val="0"/>
        </w:rPr>
      </w:pPr>
      <w:r>
        <w:t>Sponsor comments</w:t>
      </w:r>
    </w:p>
    <w:bookmarkEnd w:id="17"/>
    <w:p w14:paraId="522E4AD8" w14:textId="656649B5" w:rsidR="000D0C37" w:rsidRPr="000D0C37" w:rsidRDefault="00D51702" w:rsidP="000D0C37">
      <w:pPr>
        <w:pStyle w:val="3Bodytext"/>
        <w:rPr>
          <w:i/>
          <w:iCs/>
        </w:rPr>
      </w:pPr>
      <w:r w:rsidRPr="000D0C37">
        <w:t>PBAC</w:t>
      </w:r>
      <w:r w:rsidR="005D3044" w:rsidRPr="000D0C37">
        <w:t xml:space="preserve"> noted the PSCRs </w:t>
      </w:r>
      <w:r w:rsidR="000D0C37" w:rsidRPr="000D0C37">
        <w:t xml:space="preserve">and pre-PBAC responses </w:t>
      </w:r>
      <w:r w:rsidR="005D3044" w:rsidRPr="000D0C37">
        <w:t>provided by sponsors of GLP-1 RAs</w:t>
      </w:r>
      <w:r w:rsidR="000D0C37" w:rsidRPr="000D0C37">
        <w:t xml:space="preserve"> </w:t>
      </w:r>
      <w:r w:rsidR="00943283">
        <w:t>and acknowledged the concerns raised in relation to the comparative clinical evidence</w:t>
      </w:r>
      <w:r w:rsidR="00BD65E1">
        <w:t>.</w:t>
      </w:r>
      <w:r w:rsidR="00943283">
        <w:t xml:space="preserve"> </w:t>
      </w:r>
    </w:p>
    <w:p w14:paraId="1E75E78F" w14:textId="6A3F4B4B" w:rsidR="00E77C1F" w:rsidRPr="00E77C1F" w:rsidRDefault="00E77C1F" w:rsidP="00E77C1F">
      <w:pPr>
        <w:pStyle w:val="2Sections"/>
        <w:rPr>
          <w:b w:val="0"/>
        </w:rPr>
      </w:pPr>
      <w:r>
        <w:t>PBAC Outcome</w:t>
      </w:r>
    </w:p>
    <w:p w14:paraId="52696DF6" w14:textId="3BF474C8" w:rsidR="000D0C37" w:rsidRDefault="00E77C1F" w:rsidP="000D0C37">
      <w:pPr>
        <w:pStyle w:val="3Bodytext"/>
      </w:pPr>
      <w:r>
        <w:t>The PBAC did not recommend expansion of the PBS listings for GLP-1 RAs to include patients with T2DM with CVD/high CV risk, as add-on therapy to metformin without a glycaemic requirement</w:t>
      </w:r>
      <w:r w:rsidR="003A0CC4">
        <w:t>. The PBAC recommended</w:t>
      </w:r>
      <w:r w:rsidR="00943283">
        <w:t xml:space="preserve"> leav</w:t>
      </w:r>
      <w:r w:rsidR="003A0CC4">
        <w:t>ing</w:t>
      </w:r>
      <w:r w:rsidR="00943283">
        <w:t xml:space="preserve"> the current PBS restriction</w:t>
      </w:r>
      <w:r w:rsidR="00DA12B7">
        <w:t>s</w:t>
      </w:r>
      <w:r w:rsidR="00943283">
        <w:t xml:space="preserve"> for GLP1-RA</w:t>
      </w:r>
      <w:r w:rsidR="00DA12B7">
        <w:t>s</w:t>
      </w:r>
      <w:r w:rsidR="00943283">
        <w:t xml:space="preserve"> unchanged</w:t>
      </w:r>
      <w:r>
        <w:t>.</w:t>
      </w:r>
    </w:p>
    <w:p w14:paraId="06BC93CE" w14:textId="02939F36" w:rsidR="008348BB" w:rsidRDefault="008348BB" w:rsidP="000D0C37">
      <w:pPr>
        <w:pStyle w:val="3Bodytext"/>
      </w:pPr>
      <w:r>
        <w:t xml:space="preserve">The PBAC </w:t>
      </w:r>
      <w:r w:rsidR="003A0CC4">
        <w:t xml:space="preserve">noted </w:t>
      </w:r>
      <w:r>
        <w:t>that there is some variation regarding the place of GLP-1 RAs in the clinical treatment algorithm for T2DM</w:t>
      </w:r>
      <w:r w:rsidR="00F21FBE">
        <w:t xml:space="preserve"> but </w:t>
      </w:r>
      <w:r>
        <w:t>most treatment guidelines for T2DM recommend GLP-1 RAs as add-on therapy to metformin for patients with CVD or at high CV risk, without a specific glycaemic requirement. The PBAC noted that the ‘Australian Evidence-Based Clinical Guidelines for Diabetes v1.3’</w:t>
      </w:r>
      <w:r w:rsidR="00C326E2">
        <w:t>,</w:t>
      </w:r>
      <w:r>
        <w:rPr>
          <w:rStyle w:val="FootnoteReference"/>
        </w:rPr>
        <w:footnoteReference w:id="9"/>
      </w:r>
      <w:r>
        <w:t xml:space="preserve"> </w:t>
      </w:r>
      <w:r w:rsidR="00F21FBE">
        <w:t xml:space="preserve">recommend use of GLP-1 RAs only in patients </w:t>
      </w:r>
      <w:r>
        <w:t>contraindicat</w:t>
      </w:r>
      <w:r w:rsidR="00F21FBE">
        <w:t>ed</w:t>
      </w:r>
      <w:r>
        <w:t xml:space="preserve"> or intolera</w:t>
      </w:r>
      <w:r w:rsidR="00F21FBE">
        <w:t>nt</w:t>
      </w:r>
      <w:r>
        <w:t xml:space="preserve"> to SGLT2 inhibitors.</w:t>
      </w:r>
    </w:p>
    <w:p w14:paraId="4592985C" w14:textId="71E72C93" w:rsidR="003B322D" w:rsidRDefault="0003759D" w:rsidP="003B322D">
      <w:pPr>
        <w:pStyle w:val="3Bodytext"/>
        <w:widowControl w:val="0"/>
      </w:pPr>
      <w:r w:rsidRPr="008348BB">
        <w:t xml:space="preserve">Overall, PBAC considered that the clinical trial data included in the </w:t>
      </w:r>
      <w:r w:rsidR="008348BB">
        <w:t xml:space="preserve">GLP-1 RA </w:t>
      </w:r>
      <w:r w:rsidRPr="008348BB">
        <w:t xml:space="preserve">report was </w:t>
      </w:r>
      <w:r w:rsidR="003A0CC4">
        <w:t xml:space="preserve">not robust </w:t>
      </w:r>
      <w:r w:rsidR="0032431F">
        <w:t>and</w:t>
      </w:r>
      <w:r w:rsidRPr="008348BB">
        <w:t xml:space="preserve"> the comparative effectiveness of GLP-1 RAs and S</w:t>
      </w:r>
      <w:r w:rsidR="0032431F">
        <w:t>U</w:t>
      </w:r>
      <w:r w:rsidRPr="008348BB">
        <w:t>s</w:t>
      </w:r>
      <w:r w:rsidR="0032431F">
        <w:t xml:space="preserve"> remained uncertain</w:t>
      </w:r>
      <w:r w:rsidRPr="008348BB">
        <w:t>.</w:t>
      </w:r>
      <w:r w:rsidR="008348BB">
        <w:t xml:space="preserve"> </w:t>
      </w:r>
      <w:r w:rsidR="008348BB" w:rsidDel="003A0CC4">
        <w:t xml:space="preserve">The PBAC noted that there were a paucity of trials directly comparing PBS-listed </w:t>
      </w:r>
      <w:r w:rsidR="003B322D" w:rsidDel="003A0CC4">
        <w:t xml:space="preserve">GLP-1 RAs with gliclazide, and that the most common comparator in GLP-1 RAs trials was placebo. </w:t>
      </w:r>
      <w:r w:rsidR="003B322D">
        <w:t>The PBAC considered that</w:t>
      </w:r>
      <w:r w:rsidR="008348BB">
        <w:t xml:space="preserve"> </w:t>
      </w:r>
      <w:r w:rsidR="003B322D">
        <w:t xml:space="preserve">a wider review of the </w:t>
      </w:r>
      <w:r w:rsidR="008348BB">
        <w:t xml:space="preserve">clinical evidence </w:t>
      </w:r>
      <w:r w:rsidR="0062616C">
        <w:t xml:space="preserve">may </w:t>
      </w:r>
      <w:r w:rsidR="003B322D">
        <w:t>be informative, such as considering evidence comparing</w:t>
      </w:r>
      <w:r w:rsidR="0062616C">
        <w:t xml:space="preserve"> GLP-1 RAs to other</w:t>
      </w:r>
      <w:r w:rsidR="003B322D">
        <w:t xml:space="preserve"> therapies for T2DM</w:t>
      </w:r>
      <w:r w:rsidR="0062616C">
        <w:t xml:space="preserve"> such as SGLT2 </w:t>
      </w:r>
      <w:r w:rsidR="00C326E2">
        <w:t xml:space="preserve">inhibitors </w:t>
      </w:r>
      <w:r w:rsidR="0062616C">
        <w:t>and DPP4 inhibitors.</w:t>
      </w:r>
      <w:r w:rsidR="003B322D">
        <w:t xml:space="preserve"> </w:t>
      </w:r>
    </w:p>
    <w:p w14:paraId="37919D9A" w14:textId="1449E065" w:rsidR="005A31C2" w:rsidRPr="008348BB" w:rsidDel="003A0CC4" w:rsidRDefault="00C326E2" w:rsidP="003B322D">
      <w:pPr>
        <w:pStyle w:val="3Bodytext"/>
        <w:widowControl w:val="0"/>
      </w:pPr>
      <w:r>
        <w:t xml:space="preserve">The </w:t>
      </w:r>
      <w:r w:rsidR="003B322D" w:rsidRPr="00217383" w:rsidDel="003A0CC4">
        <w:t xml:space="preserve">PBAC considered that the clinical evidence did not </w:t>
      </w:r>
      <w:r w:rsidR="003B322D" w:rsidDel="003A0CC4">
        <w:t xml:space="preserve">currently </w:t>
      </w:r>
      <w:r w:rsidR="003B322D" w:rsidRPr="00217383" w:rsidDel="003A0CC4">
        <w:t>support a drug class effect for GLP</w:t>
      </w:r>
      <w:r w:rsidR="003B322D" w:rsidDel="003A0CC4">
        <w:noBreakHyphen/>
      </w:r>
      <w:r w:rsidR="003B322D" w:rsidRPr="00217383" w:rsidDel="003A0CC4">
        <w:t>1</w:t>
      </w:r>
      <w:r w:rsidR="003B322D" w:rsidDel="003A0CC4">
        <w:t> </w:t>
      </w:r>
      <w:r w:rsidR="003B322D" w:rsidRPr="00217383" w:rsidDel="003A0CC4">
        <w:t>RAs, noting the review by Nauck and Meier, 2019</w:t>
      </w:r>
      <w:r>
        <w:t>,</w:t>
      </w:r>
      <w:r w:rsidR="003B322D" w:rsidRPr="00217383" w:rsidDel="003A0CC4">
        <w:rPr>
          <w:rStyle w:val="FootnoteReference"/>
        </w:rPr>
        <w:footnoteReference w:id="10"/>
      </w:r>
      <w:r w:rsidR="003B322D" w:rsidRPr="00217383" w:rsidDel="003A0CC4">
        <w:t xml:space="preserve"> which </w:t>
      </w:r>
      <w:r w:rsidR="003B322D" w:rsidDel="003A0CC4">
        <w:t xml:space="preserve">highlighted </w:t>
      </w:r>
      <w:r w:rsidR="00DA12B7" w:rsidDel="003A0CC4">
        <w:t>varying</w:t>
      </w:r>
      <w:r w:rsidR="005A31C2" w:rsidDel="003A0CC4">
        <w:t xml:space="preserve"> </w:t>
      </w:r>
      <w:r w:rsidR="003B322D" w:rsidDel="003A0CC4">
        <w:t xml:space="preserve">effects for GLP-1 RAs upon major adverse cardiovascular events (MACE) and </w:t>
      </w:r>
      <w:r w:rsidR="003B322D" w:rsidDel="003A0CC4">
        <w:lastRenderedPageBreak/>
        <w:t>all-cause death.</w:t>
      </w:r>
      <w:r w:rsidR="005A31C2" w:rsidDel="003A0CC4">
        <w:t xml:space="preserve"> </w:t>
      </w:r>
    </w:p>
    <w:p w14:paraId="45D74C53" w14:textId="259A96B3" w:rsidR="00FB047E" w:rsidRPr="005A31C2" w:rsidRDefault="00C326E2" w:rsidP="005A31C2">
      <w:pPr>
        <w:pStyle w:val="3Bodytext"/>
        <w:widowControl w:val="0"/>
        <w:rPr>
          <w:rFonts w:cstheme="minorHAnsi"/>
        </w:rPr>
      </w:pPr>
      <w:r>
        <w:t xml:space="preserve">The </w:t>
      </w:r>
      <w:r w:rsidR="00D917E7">
        <w:t>PBAC</w:t>
      </w:r>
      <w:r w:rsidR="00D917E7" w:rsidRPr="006F1F00">
        <w:t xml:space="preserve"> noted the cost-utility evaluation </w:t>
      </w:r>
      <w:r w:rsidR="003A0CC4">
        <w:t>used</w:t>
      </w:r>
      <w:r w:rsidR="003A0CC4" w:rsidRPr="006F1F00">
        <w:t xml:space="preserve"> </w:t>
      </w:r>
      <w:r w:rsidR="00D917E7" w:rsidRPr="006F1F00">
        <w:t>the</w:t>
      </w:r>
      <w:r w:rsidR="00BF670A">
        <w:t xml:space="preserve"> UKPDS OM2 </w:t>
      </w:r>
      <w:r w:rsidR="00D917E7" w:rsidRPr="006F1F00">
        <w:t>adapt</w:t>
      </w:r>
      <w:r w:rsidR="00BF670A">
        <w:t xml:space="preserve">ed </w:t>
      </w:r>
      <w:r w:rsidR="00D917E7" w:rsidRPr="006F1F00">
        <w:t>and calibrat</w:t>
      </w:r>
      <w:r w:rsidR="00BF670A">
        <w:t xml:space="preserve">ed </w:t>
      </w:r>
      <w:r w:rsidR="00B6298C">
        <w:t xml:space="preserve">with contemporary risk of </w:t>
      </w:r>
      <w:r w:rsidR="00BF670A">
        <w:t>mortality</w:t>
      </w:r>
      <w:r>
        <w:t xml:space="preserve"> for T2DM patients</w:t>
      </w:r>
      <w:r w:rsidR="00BF670A">
        <w:t xml:space="preserve"> in Australia</w:t>
      </w:r>
      <w:r w:rsidR="00D917E7">
        <w:t>.</w:t>
      </w:r>
      <w:r w:rsidR="00BF670A">
        <w:t xml:space="preserve"> </w:t>
      </w:r>
      <w:r w:rsidR="005A31C2" w:rsidRPr="005A31C2">
        <w:rPr>
          <w:rFonts w:cstheme="minorHAnsi"/>
        </w:rPr>
        <w:t xml:space="preserve">The PBAC considered that </w:t>
      </w:r>
      <w:r w:rsidR="005A31C2">
        <w:t>due to the paucity of comparative clinical evidence used to inform the model</w:t>
      </w:r>
      <w:r w:rsidR="005A31C2">
        <w:rPr>
          <w:rFonts w:cstheme="minorHAnsi"/>
        </w:rPr>
        <w:t xml:space="preserve">, </w:t>
      </w:r>
      <w:r w:rsidR="00A769A5">
        <w:rPr>
          <w:rFonts w:cstheme="minorHAnsi"/>
        </w:rPr>
        <w:t>the resulting ICERs were</w:t>
      </w:r>
      <w:r w:rsidR="005A31C2" w:rsidRPr="005A31C2">
        <w:rPr>
          <w:rFonts w:cstheme="minorHAnsi"/>
        </w:rPr>
        <w:t xml:space="preserve"> not reliable for decision making</w:t>
      </w:r>
      <w:r w:rsidR="005A31C2">
        <w:rPr>
          <w:rFonts w:cstheme="minorHAnsi"/>
        </w:rPr>
        <w:t xml:space="preserve">. Noting </w:t>
      </w:r>
      <w:r w:rsidR="005A31C2" w:rsidRPr="005A31C2">
        <w:rPr>
          <w:rFonts w:cstheme="minorHAnsi"/>
        </w:rPr>
        <w:t>the potentially high and uncertain estimates of cost-effectiveness</w:t>
      </w:r>
      <w:r w:rsidR="005A31C2">
        <w:rPr>
          <w:rFonts w:cstheme="minorHAnsi"/>
        </w:rPr>
        <w:t xml:space="preserve">, </w:t>
      </w:r>
      <w:r w:rsidR="00D473C1">
        <w:rPr>
          <w:rFonts w:cstheme="minorHAnsi"/>
        </w:rPr>
        <w:t xml:space="preserve">the </w:t>
      </w:r>
      <w:r w:rsidR="005A31C2">
        <w:rPr>
          <w:rFonts w:cstheme="minorHAnsi"/>
        </w:rPr>
        <w:t xml:space="preserve">PBAC did not recommend </w:t>
      </w:r>
      <w:r w:rsidR="00BF670A">
        <w:t>broaden</w:t>
      </w:r>
      <w:r w:rsidR="005A31C2">
        <w:t>ing</w:t>
      </w:r>
      <w:r w:rsidR="00BF670A">
        <w:t xml:space="preserve"> the current PBS restrictions for GLP-1 RAs. </w:t>
      </w:r>
      <w:r w:rsidR="00D917E7">
        <w:t xml:space="preserve"> </w:t>
      </w:r>
    </w:p>
    <w:p w14:paraId="73B83195" w14:textId="1E8F25E9" w:rsidR="00C3363D" w:rsidRDefault="00C326E2" w:rsidP="0052398E">
      <w:pPr>
        <w:pStyle w:val="3Bodytext"/>
      </w:pPr>
      <w:r>
        <w:t xml:space="preserve">The </w:t>
      </w:r>
      <w:r w:rsidR="0052398E" w:rsidRPr="0052398E">
        <w:t xml:space="preserve">PBAC remained concerned over the price difference between </w:t>
      </w:r>
      <w:r w:rsidR="0052398E">
        <w:t xml:space="preserve">GLP-1 RAs and SGLT2 </w:t>
      </w:r>
      <w:r w:rsidR="00FB047E">
        <w:t>inhibitors</w:t>
      </w:r>
      <w:r w:rsidR="0052398E">
        <w:t xml:space="preserve">, noting that this difference was based on the requirement for patients initiating a GLP-1 RA to have a contraindication or intolerance to </w:t>
      </w:r>
      <w:r w:rsidR="00D473C1">
        <w:t xml:space="preserve">a </w:t>
      </w:r>
      <w:r w:rsidR="00B47255">
        <w:t xml:space="preserve">combination of metformin and a </w:t>
      </w:r>
      <w:r w:rsidR="0052398E">
        <w:t xml:space="preserve">SU. </w:t>
      </w:r>
      <w:r w:rsidR="00D473C1">
        <w:t xml:space="preserve">The </w:t>
      </w:r>
      <w:r w:rsidR="0052398E">
        <w:t>PBAC</w:t>
      </w:r>
      <w:r w:rsidR="00C3363D">
        <w:t xml:space="preserve"> noted that clinicians may have a broader interpretation of contraindication </w:t>
      </w:r>
      <w:r w:rsidR="00A74C33">
        <w:t xml:space="preserve">to SU </w:t>
      </w:r>
      <w:r w:rsidR="00C3363D">
        <w:t>in clinical practice than in the clinical trials and</w:t>
      </w:r>
      <w:r w:rsidR="00A74C33">
        <w:t xml:space="preserve"> </w:t>
      </w:r>
      <w:r w:rsidR="00C3363D">
        <w:t>estimates of use that supported the PBS listing.</w:t>
      </w:r>
    </w:p>
    <w:p w14:paraId="19379468" w14:textId="215D7C10" w:rsidR="005A1E2F" w:rsidRDefault="00C326E2" w:rsidP="005A1E2F">
      <w:pPr>
        <w:pStyle w:val="4Bodytextnumbered"/>
        <w:numPr>
          <w:ilvl w:val="1"/>
          <w:numId w:val="7"/>
        </w:numPr>
      </w:pPr>
      <w:r>
        <w:t xml:space="preserve">The </w:t>
      </w:r>
      <w:r w:rsidR="00C3363D">
        <w:t>PBAC recommended a</w:t>
      </w:r>
      <w:r w:rsidR="005A1E2F">
        <w:t>n updated</w:t>
      </w:r>
      <w:r w:rsidR="00C3363D">
        <w:t xml:space="preserve"> review of the utilisation of </w:t>
      </w:r>
      <w:r w:rsidR="00FB047E">
        <w:t xml:space="preserve">T2DM </w:t>
      </w:r>
      <w:r w:rsidR="00C3363D">
        <w:t>medicines,</w:t>
      </w:r>
      <w:r w:rsidR="005A1E2F">
        <w:t xml:space="preserve"> considering the current treatment pathways and extent of use outside the PBS restrictions for DPP4 inhibitors, SGLT2 inhibitors and GLP-1 RAs. Th</w:t>
      </w:r>
      <w:r w:rsidR="00D473C1">
        <w:t>e analysis should</w:t>
      </w:r>
      <w:r w:rsidR="005A1E2F">
        <w:t xml:space="preserve"> </w:t>
      </w:r>
      <w:r w:rsidR="009B1976" w:rsidRPr="00C95E85">
        <w:rPr>
          <w:rFonts w:cstheme="minorHAnsi"/>
          <w:szCs w:val="24"/>
        </w:rPr>
        <w:t>includ</w:t>
      </w:r>
      <w:r w:rsidR="009B1976">
        <w:rPr>
          <w:rFonts w:cstheme="minorHAnsi"/>
          <w:szCs w:val="24"/>
        </w:rPr>
        <w:t>e</w:t>
      </w:r>
      <w:r w:rsidR="009B1976" w:rsidRPr="00C95E85">
        <w:rPr>
          <w:rFonts w:cstheme="minorHAnsi"/>
          <w:szCs w:val="24"/>
        </w:rPr>
        <w:t xml:space="preserve"> an estimation of the extent of </w:t>
      </w:r>
      <w:r w:rsidR="009B1976">
        <w:rPr>
          <w:rFonts w:cstheme="minorHAnsi"/>
          <w:szCs w:val="24"/>
        </w:rPr>
        <w:t xml:space="preserve">use of </w:t>
      </w:r>
      <w:r w:rsidR="009B1976" w:rsidRPr="00C95E85">
        <w:rPr>
          <w:rFonts w:cstheme="minorHAnsi"/>
          <w:szCs w:val="24"/>
        </w:rPr>
        <w:t>GLP-1 R</w:t>
      </w:r>
      <w:r w:rsidR="009B1976">
        <w:rPr>
          <w:rFonts w:cstheme="minorHAnsi"/>
          <w:szCs w:val="24"/>
        </w:rPr>
        <w:t>As outside</w:t>
      </w:r>
      <w:r w:rsidR="00D473C1">
        <w:rPr>
          <w:rFonts w:cstheme="minorHAnsi"/>
          <w:szCs w:val="24"/>
        </w:rPr>
        <w:t xml:space="preserve"> of</w:t>
      </w:r>
      <w:r w:rsidR="009B1976">
        <w:rPr>
          <w:rFonts w:cstheme="minorHAnsi"/>
          <w:szCs w:val="24"/>
        </w:rPr>
        <w:t xml:space="preserve"> the PBS restrictions, such as</w:t>
      </w:r>
      <w:r w:rsidR="009B1976" w:rsidRPr="00C95E85">
        <w:rPr>
          <w:rFonts w:cstheme="minorHAnsi"/>
          <w:szCs w:val="24"/>
        </w:rPr>
        <w:t xml:space="preserve"> use in</w:t>
      </w:r>
      <w:r w:rsidR="009B1976">
        <w:rPr>
          <w:rFonts w:cstheme="minorHAnsi"/>
          <w:szCs w:val="24"/>
        </w:rPr>
        <w:t xml:space="preserve"> monotherapy, and in</w:t>
      </w:r>
      <w:r w:rsidR="009B1976" w:rsidRPr="00C95E85">
        <w:rPr>
          <w:rFonts w:cstheme="minorHAnsi"/>
          <w:szCs w:val="24"/>
        </w:rPr>
        <w:t xml:space="preserve"> dual therapy in patients not contraindicated</w:t>
      </w:r>
      <w:r w:rsidR="00D473C1">
        <w:rPr>
          <w:rFonts w:cstheme="minorHAnsi"/>
          <w:szCs w:val="24"/>
        </w:rPr>
        <w:t xml:space="preserve"> or </w:t>
      </w:r>
      <w:r w:rsidR="009B1976" w:rsidRPr="00C95E85">
        <w:rPr>
          <w:rFonts w:cstheme="minorHAnsi"/>
          <w:szCs w:val="24"/>
        </w:rPr>
        <w:t xml:space="preserve">intolerant to a combination of metformin and a SU. </w:t>
      </w:r>
    </w:p>
    <w:p w14:paraId="4FDFBC4D" w14:textId="77777777" w:rsidR="00DA417E" w:rsidRDefault="00DA417E" w:rsidP="00DA417E">
      <w:pPr>
        <w:pStyle w:val="3Bodytext"/>
        <w:numPr>
          <w:ilvl w:val="0"/>
          <w:numId w:val="0"/>
        </w:numPr>
        <w:rPr>
          <w:snapToGrid w:val="0"/>
          <w:lang w:val="en-GB"/>
        </w:rPr>
      </w:pPr>
    </w:p>
    <w:p w14:paraId="14057BF9" w14:textId="4283A863" w:rsidR="00DA417E" w:rsidRPr="00DA417E" w:rsidRDefault="00DA417E" w:rsidP="00DA417E">
      <w:pPr>
        <w:pStyle w:val="3Bodytext"/>
        <w:numPr>
          <w:ilvl w:val="0"/>
          <w:numId w:val="0"/>
        </w:numPr>
        <w:rPr>
          <w:b/>
          <w:bCs/>
          <w:snapToGrid w:val="0"/>
          <w:lang w:val="en-GB"/>
        </w:rPr>
      </w:pPr>
      <w:r w:rsidRPr="00DA417E">
        <w:rPr>
          <w:b/>
          <w:bCs/>
          <w:snapToGrid w:val="0"/>
          <w:lang w:val="en-GB"/>
        </w:rPr>
        <w:t>Outcome:</w:t>
      </w:r>
    </w:p>
    <w:p w14:paraId="3171CBBC" w14:textId="266359F5" w:rsidR="00DA417E" w:rsidRDefault="00DA417E" w:rsidP="00DA417E">
      <w:pPr>
        <w:pStyle w:val="3Bodytext"/>
        <w:numPr>
          <w:ilvl w:val="0"/>
          <w:numId w:val="0"/>
        </w:numPr>
        <w:ind w:left="720" w:hanging="720"/>
        <w:rPr>
          <w:snapToGrid w:val="0"/>
          <w:lang w:val="en-GB"/>
        </w:rPr>
      </w:pPr>
      <w:r w:rsidRPr="00DA417E">
        <w:rPr>
          <w:snapToGrid w:val="0"/>
          <w:lang w:val="en-GB"/>
        </w:rPr>
        <w:t>Not recommended</w:t>
      </w:r>
    </w:p>
    <w:p w14:paraId="52255C8C" w14:textId="77777777" w:rsidR="005D4672" w:rsidRPr="00974587" w:rsidRDefault="005D4672" w:rsidP="005D4672">
      <w:pPr>
        <w:pStyle w:val="2Sections"/>
        <w:rPr>
          <w:rFonts w:eastAsiaTheme="minorHAnsi"/>
          <w:lang w:val="en-GB"/>
        </w:rPr>
      </w:pPr>
      <w:r w:rsidRPr="00974587">
        <w:rPr>
          <w:rFonts w:eastAsiaTheme="minorHAnsi"/>
        </w:rPr>
        <w:t>Context for Decision</w:t>
      </w:r>
    </w:p>
    <w:p w14:paraId="7E5C5334" w14:textId="77777777" w:rsidR="005D4672" w:rsidRPr="00974587" w:rsidRDefault="005D4672" w:rsidP="005D4672">
      <w:pPr>
        <w:pStyle w:val="4Bodytextnumbered"/>
        <w:ind w:left="0" w:firstLine="0"/>
        <w:rPr>
          <w:bCs/>
          <w:szCs w:val="24"/>
          <w:lang w:val="en-GB"/>
        </w:rPr>
      </w:pPr>
      <w:r w:rsidRPr="00974587">
        <w:rPr>
          <w:bCs/>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9B3648D" w14:textId="77777777" w:rsidR="005D4672" w:rsidRPr="00DA417E" w:rsidRDefault="005D4672" w:rsidP="00DA417E">
      <w:pPr>
        <w:pStyle w:val="3Bodytext"/>
        <w:numPr>
          <w:ilvl w:val="0"/>
          <w:numId w:val="0"/>
        </w:numPr>
        <w:ind w:left="720" w:hanging="720"/>
        <w:rPr>
          <w:snapToGrid w:val="0"/>
          <w:lang w:val="en-GB"/>
        </w:rPr>
      </w:pPr>
    </w:p>
    <w:sectPr w:rsidR="005D4672" w:rsidRPr="00DA417E" w:rsidSect="00426EF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D851E" w14:textId="77777777" w:rsidR="009258CB" w:rsidRDefault="009258CB">
      <w:r>
        <w:separator/>
      </w:r>
    </w:p>
    <w:p w14:paraId="4918986E" w14:textId="77777777" w:rsidR="009258CB" w:rsidRDefault="009258CB"/>
  </w:endnote>
  <w:endnote w:type="continuationSeparator" w:id="0">
    <w:p w14:paraId="42FBCE86" w14:textId="77777777" w:rsidR="009258CB" w:rsidRDefault="009258CB">
      <w:r>
        <w:continuationSeparator/>
      </w:r>
    </w:p>
    <w:p w14:paraId="512ED574" w14:textId="77777777" w:rsidR="009258CB" w:rsidRDefault="00925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933808"/>
      <w:docPartObj>
        <w:docPartGallery w:val="Page Numbers (Bottom of Page)"/>
        <w:docPartUnique/>
      </w:docPartObj>
    </w:sdtPr>
    <w:sdtEndPr>
      <w:rPr>
        <w:rFonts w:asciiTheme="minorHAnsi" w:hAnsiTheme="minorHAnsi" w:cstheme="minorHAnsi"/>
        <w:noProof/>
      </w:rPr>
    </w:sdtEndPr>
    <w:sdtContent>
      <w:p w14:paraId="62E2B136" w14:textId="2728C2FB" w:rsidR="008A71FF" w:rsidRPr="005D4672" w:rsidRDefault="008A71FF" w:rsidP="00595CE3">
        <w:pPr>
          <w:pStyle w:val="Footer"/>
          <w:jc w:val="center"/>
          <w:rPr>
            <w:rFonts w:asciiTheme="minorHAnsi" w:hAnsiTheme="minorHAnsi" w:cstheme="minorHAnsi"/>
          </w:rPr>
        </w:pPr>
        <w:r w:rsidRPr="005D4672">
          <w:rPr>
            <w:rFonts w:asciiTheme="minorHAnsi" w:hAnsiTheme="minorHAnsi" w:cstheme="minorHAnsi"/>
          </w:rPr>
          <w:fldChar w:fldCharType="begin"/>
        </w:r>
        <w:r w:rsidRPr="005D4672">
          <w:rPr>
            <w:rFonts w:asciiTheme="minorHAnsi" w:hAnsiTheme="minorHAnsi" w:cstheme="minorHAnsi"/>
          </w:rPr>
          <w:instrText xml:space="preserve"> PAGE   \* MERGEFORMAT </w:instrText>
        </w:r>
        <w:r w:rsidRPr="005D4672">
          <w:rPr>
            <w:rFonts w:asciiTheme="minorHAnsi" w:hAnsiTheme="minorHAnsi" w:cstheme="minorHAnsi"/>
          </w:rPr>
          <w:fldChar w:fldCharType="separate"/>
        </w:r>
        <w:r w:rsidRPr="005D4672">
          <w:rPr>
            <w:rFonts w:asciiTheme="minorHAnsi" w:hAnsiTheme="minorHAnsi" w:cstheme="minorHAnsi"/>
            <w:noProof/>
          </w:rPr>
          <w:t>2</w:t>
        </w:r>
        <w:r w:rsidRPr="005D467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4625" w14:textId="77777777" w:rsidR="009258CB" w:rsidRDefault="009258CB">
      <w:r>
        <w:separator/>
      </w:r>
    </w:p>
    <w:p w14:paraId="1CA7D9F4" w14:textId="77777777" w:rsidR="009258CB" w:rsidRDefault="009258CB"/>
  </w:footnote>
  <w:footnote w:type="continuationSeparator" w:id="0">
    <w:p w14:paraId="1DC868AD" w14:textId="77777777" w:rsidR="009258CB" w:rsidRDefault="009258CB">
      <w:r>
        <w:continuationSeparator/>
      </w:r>
    </w:p>
    <w:p w14:paraId="2C647E34" w14:textId="77777777" w:rsidR="009258CB" w:rsidRDefault="009258CB"/>
  </w:footnote>
  <w:footnote w:id="1">
    <w:p w14:paraId="57FB2E22" w14:textId="77777777" w:rsidR="008A71FF" w:rsidRPr="00393255" w:rsidRDefault="008A71FF" w:rsidP="005A0C45">
      <w:pPr>
        <w:pStyle w:val="FootnoteText"/>
        <w:rPr>
          <w:rFonts w:asciiTheme="minorHAnsi" w:hAnsiTheme="minorHAnsi" w:cstheme="minorHAnsi"/>
          <w:sz w:val="20"/>
        </w:rPr>
      </w:pPr>
      <w:r w:rsidRPr="00393255">
        <w:rPr>
          <w:rStyle w:val="FootnoteReference"/>
          <w:rFonts w:cstheme="minorHAnsi"/>
          <w:sz w:val="20"/>
        </w:rPr>
        <w:footnoteRef/>
      </w:r>
      <w:r w:rsidRPr="00393255">
        <w:rPr>
          <w:rFonts w:asciiTheme="minorHAnsi" w:hAnsiTheme="minorHAnsi" w:cstheme="minorHAnsi"/>
          <w:sz w:val="20"/>
        </w:rPr>
        <w:t xml:space="preserve"> Department of Health, February 2017, DUSC review, </w:t>
      </w:r>
      <w:hyperlink r:id="rId1" w:history="1">
        <w:r w:rsidRPr="00393255">
          <w:rPr>
            <w:rStyle w:val="Hyperlink"/>
            <w:rFonts w:asciiTheme="minorHAnsi" w:hAnsiTheme="minorHAnsi" w:cstheme="minorHAnsi"/>
            <w:i/>
            <w:iCs/>
            <w:sz w:val="20"/>
          </w:rPr>
          <w:t>Medicines for the treatment of diabetes</w:t>
        </w:r>
      </w:hyperlink>
      <w:r w:rsidRPr="00393255">
        <w:rPr>
          <w:rFonts w:asciiTheme="minorHAnsi" w:hAnsiTheme="minorHAnsi" w:cstheme="minorHAnsi"/>
          <w:sz w:val="20"/>
        </w:rPr>
        <w:t>.</w:t>
      </w:r>
    </w:p>
  </w:footnote>
  <w:footnote w:id="2">
    <w:p w14:paraId="7C24D497" w14:textId="77777777" w:rsidR="008A71FF" w:rsidRPr="000D6C7C" w:rsidRDefault="008A71FF" w:rsidP="00CD0297">
      <w:pPr>
        <w:pStyle w:val="FootnoteText"/>
        <w:rPr>
          <w:rFonts w:asciiTheme="minorHAnsi" w:hAnsiTheme="minorHAnsi" w:cstheme="minorHAnsi"/>
        </w:rPr>
      </w:pPr>
      <w:r>
        <w:rPr>
          <w:rStyle w:val="FootnoteReference"/>
        </w:rPr>
        <w:footnoteRef/>
      </w:r>
      <w:r>
        <w:t xml:space="preserve"> </w:t>
      </w:r>
      <w:r w:rsidRPr="000D6C7C">
        <w:rPr>
          <w:rFonts w:asciiTheme="minorHAnsi" w:hAnsiTheme="minorHAnsi" w:cstheme="minorHAnsi"/>
        </w:rPr>
        <w:t xml:space="preserve">Department of Health, October 2012 &amp; February 2013, DUSC review, </w:t>
      </w:r>
      <w:hyperlink r:id="rId2" w:history="1">
        <w:r w:rsidRPr="000D6C7C">
          <w:rPr>
            <w:rStyle w:val="Hyperlink"/>
            <w:rFonts w:asciiTheme="minorHAnsi" w:hAnsiTheme="minorHAnsi" w:cstheme="minorHAnsi"/>
          </w:rPr>
          <w:t>Type 2 Diabetes</w:t>
        </w:r>
      </w:hyperlink>
      <w:r w:rsidRPr="000D6C7C">
        <w:rPr>
          <w:rFonts w:asciiTheme="minorHAnsi" w:hAnsiTheme="minorHAnsi" w:cstheme="minorHAnsi"/>
        </w:rPr>
        <w:t>.</w:t>
      </w:r>
    </w:p>
  </w:footnote>
  <w:footnote w:id="3">
    <w:p w14:paraId="19528683" w14:textId="77777777" w:rsidR="008A71FF" w:rsidRDefault="008A71FF" w:rsidP="007B78C4">
      <w:pPr>
        <w:pStyle w:val="FootnoteText"/>
      </w:pPr>
      <w:r w:rsidRPr="000D6C7C">
        <w:rPr>
          <w:rStyle w:val="FootnoteReference"/>
          <w:rFonts w:asciiTheme="minorHAnsi" w:hAnsiTheme="minorHAnsi" w:cstheme="minorHAnsi"/>
        </w:rPr>
        <w:footnoteRef/>
      </w:r>
      <w:r w:rsidRPr="000D6C7C">
        <w:rPr>
          <w:rFonts w:asciiTheme="minorHAnsi" w:hAnsiTheme="minorHAnsi" w:cstheme="minorHAnsi"/>
        </w:rPr>
        <w:t xml:space="preserve"> </w:t>
      </w:r>
      <w:r w:rsidRPr="000D6C7C">
        <w:rPr>
          <w:rFonts w:asciiTheme="minorHAnsi" w:hAnsiTheme="minorHAnsi" w:cstheme="minorHAnsi"/>
          <w:noProof/>
          <w:sz w:val="20"/>
        </w:rPr>
        <w:t>NICE. Type 2 diabetes in adults: management, NICE guideline [NG28], Updated 31 March 2022</w:t>
      </w:r>
      <w:r>
        <w:rPr>
          <w:rFonts w:asciiTheme="minorHAnsi" w:hAnsiTheme="minorHAnsi" w:cstheme="minorHAnsi"/>
          <w:noProof/>
          <w:sz w:val="20"/>
        </w:rPr>
        <w:t>,</w:t>
      </w:r>
      <w:r w:rsidRPr="000D6C7C">
        <w:rPr>
          <w:rFonts w:asciiTheme="minorHAnsi" w:hAnsiTheme="minorHAnsi" w:cstheme="minorHAnsi"/>
          <w:noProof/>
          <w:sz w:val="20"/>
        </w:rPr>
        <w:t xml:space="preserve"> </w:t>
      </w:r>
      <w:hyperlink r:id="rId3" w:history="1">
        <w:r w:rsidRPr="000D6C7C">
          <w:rPr>
            <w:rStyle w:val="Hyperlink"/>
            <w:rFonts w:asciiTheme="minorHAnsi" w:hAnsiTheme="minorHAnsi" w:cstheme="minorHAnsi"/>
            <w:noProof/>
            <w:sz w:val="20"/>
          </w:rPr>
          <w:t>Type 2 diabetes in adults: treatment options if further interventions are needed</w:t>
        </w:r>
      </w:hyperlink>
      <w:r w:rsidRPr="000D6C7C">
        <w:rPr>
          <w:rFonts w:asciiTheme="minorHAnsi" w:hAnsiTheme="minorHAnsi" w:cstheme="minorHAnsi"/>
          <w:i/>
          <w:iCs/>
          <w:noProof/>
          <w:sz w:val="20"/>
        </w:rPr>
        <w:t xml:space="preserve">. </w:t>
      </w:r>
      <w:r w:rsidRPr="000D6C7C">
        <w:rPr>
          <w:rFonts w:asciiTheme="minorHAnsi" w:hAnsiTheme="minorHAnsi" w:cstheme="minorHAnsi"/>
          <w:noProof/>
          <w:sz w:val="20"/>
        </w:rPr>
        <w:t>Cited: 19 April 2022.</w:t>
      </w:r>
    </w:p>
  </w:footnote>
  <w:footnote w:id="4">
    <w:p w14:paraId="2C7489E5" w14:textId="04D1EE6D" w:rsidR="008A71FF" w:rsidRPr="00FC0D96" w:rsidRDefault="008A71FF">
      <w:pPr>
        <w:pStyle w:val="FootnoteText"/>
        <w:rPr>
          <w:rFonts w:ascii="Calibri" w:hAnsi="Calibri" w:cs="Calibri"/>
          <w:sz w:val="20"/>
        </w:rPr>
      </w:pPr>
      <w:r w:rsidRPr="00FC0D96">
        <w:rPr>
          <w:rStyle w:val="FootnoteReference"/>
          <w:rFonts w:ascii="Calibri" w:hAnsi="Calibri" w:cs="Calibri"/>
          <w:sz w:val="20"/>
        </w:rPr>
        <w:footnoteRef/>
      </w:r>
      <w:r w:rsidRPr="00FC0D96">
        <w:rPr>
          <w:rFonts w:ascii="Calibri" w:hAnsi="Calibri" w:cs="Calibri"/>
          <w:sz w:val="20"/>
        </w:rPr>
        <w:t xml:space="preserve">  Living Evidence for Diabetes Consortium, </w:t>
      </w:r>
      <w:hyperlink r:id="rId4" w:history="1">
        <w:r w:rsidRPr="00FC0D96">
          <w:rPr>
            <w:rStyle w:val="Hyperlink"/>
            <w:rFonts w:ascii="Calibri" w:hAnsi="Calibri" w:cs="Calibri"/>
            <w:sz w:val="20"/>
          </w:rPr>
          <w:t>Australian Evidence-Based Clinical Guidelines for Diabetes</w:t>
        </w:r>
      </w:hyperlink>
      <w:r w:rsidRPr="00FC0D96">
        <w:rPr>
          <w:rFonts w:ascii="Calibri" w:hAnsi="Calibri" w:cs="Calibri"/>
          <w:sz w:val="20"/>
        </w:rPr>
        <w:t>, v1.3. Cited: 8 July 2022.</w:t>
      </w:r>
    </w:p>
  </w:footnote>
  <w:footnote w:id="5">
    <w:p w14:paraId="5EE4D608" w14:textId="09482E28" w:rsidR="008A71FF" w:rsidRPr="005909AA" w:rsidRDefault="008A71FF">
      <w:pPr>
        <w:pStyle w:val="FootnoteText"/>
        <w:rPr>
          <w:rFonts w:ascii="Calibri" w:hAnsi="Calibri" w:cs="Calibri"/>
          <w:sz w:val="20"/>
        </w:rPr>
      </w:pPr>
      <w:r w:rsidRPr="005909AA">
        <w:rPr>
          <w:rStyle w:val="FootnoteReference"/>
          <w:rFonts w:ascii="Calibri" w:hAnsi="Calibri" w:cs="Calibri"/>
          <w:sz w:val="20"/>
        </w:rPr>
        <w:footnoteRef/>
      </w:r>
      <w:r w:rsidRPr="005909AA">
        <w:rPr>
          <w:rFonts w:ascii="Calibri" w:hAnsi="Calibri" w:cs="Calibri"/>
          <w:sz w:val="20"/>
        </w:rPr>
        <w:t xml:space="preserve"> </w:t>
      </w:r>
      <w:proofErr w:type="spellStart"/>
      <w:r w:rsidRPr="005909AA">
        <w:rPr>
          <w:rFonts w:ascii="Calibri" w:hAnsi="Calibri" w:cs="Calibri"/>
          <w:sz w:val="20"/>
        </w:rPr>
        <w:t>Tsapas</w:t>
      </w:r>
      <w:proofErr w:type="spellEnd"/>
      <w:r w:rsidRPr="005909AA">
        <w:rPr>
          <w:rFonts w:ascii="Calibri" w:hAnsi="Calibri" w:cs="Calibri"/>
          <w:sz w:val="20"/>
        </w:rPr>
        <w:t xml:space="preserve"> A et al. Comparative effectiveness of glucose-lowering drugs for type 2 diabetes, Ann Intern Med. 2020;173:278-286.</w:t>
      </w:r>
    </w:p>
  </w:footnote>
  <w:footnote w:id="6">
    <w:p w14:paraId="02AA4980" w14:textId="3DEF4AE1" w:rsidR="008A71FF" w:rsidRPr="0004221F" w:rsidRDefault="008A71FF">
      <w:pPr>
        <w:pStyle w:val="FootnoteText"/>
        <w:rPr>
          <w:rFonts w:asciiTheme="minorHAnsi" w:hAnsiTheme="minorHAnsi" w:cstheme="minorHAnsi"/>
          <w:sz w:val="20"/>
        </w:rPr>
      </w:pPr>
      <w:r w:rsidRPr="0004221F">
        <w:rPr>
          <w:rStyle w:val="FootnoteReference"/>
          <w:rFonts w:asciiTheme="minorHAnsi" w:hAnsiTheme="minorHAnsi" w:cstheme="minorHAnsi"/>
          <w:sz w:val="20"/>
        </w:rPr>
        <w:footnoteRef/>
      </w:r>
      <w:r w:rsidRPr="0004221F">
        <w:rPr>
          <w:rFonts w:asciiTheme="minorHAnsi" w:hAnsiTheme="minorHAnsi" w:cstheme="minorHAnsi"/>
          <w:sz w:val="20"/>
        </w:rPr>
        <w:t xml:space="preserve"> Palmer SC et al. </w:t>
      </w:r>
      <w:bookmarkStart w:id="12" w:name="_Hlk108793034"/>
      <w:r w:rsidRPr="0004221F">
        <w:rPr>
          <w:rFonts w:asciiTheme="minorHAnsi" w:hAnsiTheme="minorHAnsi" w:cstheme="minorHAnsi"/>
          <w:sz w:val="20"/>
        </w:rPr>
        <w:t>Sodium-glucose cotransporter protein-2 (SGLT-2) inhibi</w:t>
      </w:r>
      <w:r>
        <w:rPr>
          <w:rFonts w:asciiTheme="minorHAnsi" w:hAnsiTheme="minorHAnsi" w:cstheme="minorHAnsi"/>
          <w:sz w:val="20"/>
        </w:rPr>
        <w:t>to</w:t>
      </w:r>
      <w:r w:rsidRPr="0004221F">
        <w:rPr>
          <w:rFonts w:asciiTheme="minorHAnsi" w:hAnsiTheme="minorHAnsi" w:cstheme="minorHAnsi"/>
          <w:sz w:val="20"/>
        </w:rPr>
        <w:t xml:space="preserve">rs and glucagon-like peptide-1 (GLP-1) receptor agonists for type 2 diabetes: a systematic review and network meta-analysis of randomised controlled trials. </w:t>
      </w:r>
      <w:bookmarkEnd w:id="12"/>
      <w:r w:rsidRPr="0004221F">
        <w:rPr>
          <w:rFonts w:asciiTheme="minorHAnsi" w:hAnsiTheme="minorHAnsi" w:cstheme="minorHAnsi"/>
          <w:i/>
          <w:iCs/>
          <w:sz w:val="20"/>
        </w:rPr>
        <w:t>BMJ</w:t>
      </w:r>
      <w:r w:rsidRPr="0004221F">
        <w:rPr>
          <w:rFonts w:asciiTheme="minorHAnsi" w:hAnsiTheme="minorHAnsi" w:cstheme="minorHAnsi"/>
          <w:sz w:val="20"/>
        </w:rPr>
        <w:t>, 2021;372:m4573.</w:t>
      </w:r>
    </w:p>
  </w:footnote>
  <w:footnote w:id="7">
    <w:p w14:paraId="083AC6EE" w14:textId="4A52C889" w:rsidR="008A71FF" w:rsidRPr="00217383" w:rsidRDefault="008A71FF">
      <w:pPr>
        <w:pStyle w:val="FootnoteText"/>
        <w:rPr>
          <w:rFonts w:ascii="Calibri" w:hAnsi="Calibri" w:cs="Calibri"/>
          <w:sz w:val="20"/>
        </w:rPr>
      </w:pPr>
      <w:r w:rsidRPr="00217383">
        <w:rPr>
          <w:rStyle w:val="FootnoteReference"/>
          <w:rFonts w:ascii="Calibri" w:hAnsi="Calibri" w:cs="Calibri"/>
          <w:sz w:val="20"/>
        </w:rPr>
        <w:footnoteRef/>
      </w:r>
      <w:r w:rsidRPr="00217383">
        <w:rPr>
          <w:rFonts w:ascii="Calibri" w:hAnsi="Calibri" w:cs="Calibri"/>
          <w:sz w:val="20"/>
        </w:rPr>
        <w:t xml:space="preserve"> Nauck MA and Meier JJ. </w:t>
      </w:r>
      <w:r>
        <w:rPr>
          <w:rFonts w:ascii="Calibri" w:hAnsi="Calibri" w:cs="Calibri"/>
          <w:sz w:val="20"/>
        </w:rPr>
        <w:t xml:space="preserve">Management of </w:t>
      </w:r>
      <w:r w:rsidR="006A691A">
        <w:rPr>
          <w:rFonts w:ascii="Calibri" w:hAnsi="Calibri" w:cs="Calibri"/>
          <w:sz w:val="20"/>
        </w:rPr>
        <w:t>Endocrine</w:t>
      </w:r>
      <w:r>
        <w:rPr>
          <w:rFonts w:ascii="Calibri" w:hAnsi="Calibri" w:cs="Calibri"/>
          <w:sz w:val="20"/>
        </w:rPr>
        <w:t xml:space="preserve"> Diseases: </w:t>
      </w:r>
      <w:r w:rsidRPr="00217383">
        <w:rPr>
          <w:rFonts w:ascii="Calibri" w:hAnsi="Calibri" w:cs="Calibri"/>
          <w:sz w:val="20"/>
        </w:rPr>
        <w:t xml:space="preserve">Are all GLP-1 agonists equal in the treatment of type 2 diabetes? </w:t>
      </w:r>
      <w:r w:rsidRPr="00217383">
        <w:rPr>
          <w:rFonts w:ascii="Calibri" w:hAnsi="Calibri" w:cs="Calibri"/>
          <w:i/>
          <w:iCs/>
          <w:sz w:val="20"/>
        </w:rPr>
        <w:t>European Journal of Endocrinology</w:t>
      </w:r>
      <w:r w:rsidRPr="00217383">
        <w:rPr>
          <w:rFonts w:ascii="Calibri" w:hAnsi="Calibri" w:cs="Calibri"/>
          <w:sz w:val="20"/>
        </w:rPr>
        <w:t>, 2019;181(6</w:t>
      </w:r>
      <w:proofErr w:type="gramStart"/>
      <w:r w:rsidRPr="00217383">
        <w:rPr>
          <w:rFonts w:ascii="Calibri" w:hAnsi="Calibri" w:cs="Calibri"/>
          <w:sz w:val="20"/>
        </w:rPr>
        <w:t>):R</w:t>
      </w:r>
      <w:proofErr w:type="gramEnd"/>
      <w:r w:rsidRPr="00217383">
        <w:rPr>
          <w:rFonts w:ascii="Calibri" w:hAnsi="Calibri" w:cs="Calibri"/>
          <w:sz w:val="20"/>
        </w:rPr>
        <w:t>211-234.</w:t>
      </w:r>
    </w:p>
  </w:footnote>
  <w:footnote w:id="8">
    <w:p w14:paraId="4674E1AF" w14:textId="77777777" w:rsidR="008A71FF" w:rsidRPr="0090613B" w:rsidRDefault="008A71FF" w:rsidP="00A65968">
      <w:pPr>
        <w:rPr>
          <w:rFonts w:ascii="Calibri" w:hAnsi="Calibri" w:cs="Calibri"/>
          <w:sz w:val="20"/>
          <w:szCs w:val="20"/>
        </w:rPr>
      </w:pPr>
      <w:r w:rsidRPr="00836437">
        <w:rPr>
          <w:rStyle w:val="FootnoteReference"/>
          <w:rFonts w:asciiTheme="minorHAnsi" w:hAnsiTheme="minorHAnsi" w:cstheme="minorHAnsi"/>
          <w:sz w:val="20"/>
          <w:szCs w:val="20"/>
        </w:rPr>
        <w:footnoteRef/>
      </w:r>
      <w:r w:rsidRPr="00836437">
        <w:rPr>
          <w:rFonts w:asciiTheme="minorHAnsi" w:hAnsiTheme="minorHAnsi" w:cstheme="minorHAnsi"/>
          <w:sz w:val="20"/>
          <w:szCs w:val="20"/>
        </w:rPr>
        <w:t xml:space="preserve"> </w:t>
      </w:r>
      <w:r w:rsidRPr="0090613B">
        <w:rPr>
          <w:rFonts w:ascii="Calibri" w:hAnsi="Calibri" w:cs="Calibri"/>
          <w:sz w:val="20"/>
          <w:szCs w:val="20"/>
        </w:rPr>
        <w:t>Harding JL, Shaw JE, Peeters A, et al. Mortality trends among people with type 1 and</w:t>
      </w:r>
      <w:r>
        <w:rPr>
          <w:rFonts w:ascii="Calibri" w:hAnsi="Calibri" w:cs="Calibri"/>
          <w:sz w:val="20"/>
          <w:szCs w:val="20"/>
        </w:rPr>
        <w:t xml:space="preserve"> </w:t>
      </w:r>
      <w:r w:rsidRPr="0090613B">
        <w:rPr>
          <w:rFonts w:ascii="Calibri" w:hAnsi="Calibri" w:cs="Calibri"/>
          <w:sz w:val="20"/>
          <w:szCs w:val="20"/>
        </w:rPr>
        <w:t xml:space="preserve">type 2 diabetes in Australia: 1997–2010. </w:t>
      </w:r>
      <w:r w:rsidRPr="0090613B">
        <w:rPr>
          <w:rFonts w:ascii="Calibri-Italic" w:hAnsi="Calibri-Italic" w:cs="Calibri-Italic"/>
          <w:i/>
          <w:iCs/>
          <w:sz w:val="20"/>
          <w:szCs w:val="20"/>
        </w:rPr>
        <w:t xml:space="preserve">Diabetes care. </w:t>
      </w:r>
      <w:proofErr w:type="gramStart"/>
      <w:r w:rsidRPr="0090613B">
        <w:rPr>
          <w:rFonts w:ascii="Calibri" w:hAnsi="Calibri" w:cs="Calibri"/>
          <w:sz w:val="20"/>
          <w:szCs w:val="20"/>
        </w:rPr>
        <w:t>2014;37:2579</w:t>
      </w:r>
      <w:proofErr w:type="gramEnd"/>
      <w:r w:rsidRPr="0090613B">
        <w:rPr>
          <w:rFonts w:ascii="Calibri" w:hAnsi="Calibri" w:cs="Calibri"/>
          <w:sz w:val="20"/>
          <w:szCs w:val="20"/>
        </w:rPr>
        <w:t>-2586.</w:t>
      </w:r>
    </w:p>
  </w:footnote>
  <w:footnote w:id="9">
    <w:p w14:paraId="7FE1673E" w14:textId="77777777" w:rsidR="008A71FF" w:rsidRPr="00FC0D96" w:rsidRDefault="008A71FF" w:rsidP="008348BB">
      <w:pPr>
        <w:pStyle w:val="FootnoteText"/>
        <w:rPr>
          <w:rFonts w:ascii="Calibri" w:hAnsi="Calibri" w:cs="Calibri"/>
          <w:sz w:val="20"/>
        </w:rPr>
      </w:pPr>
      <w:r w:rsidRPr="00FC0D96">
        <w:rPr>
          <w:rStyle w:val="FootnoteReference"/>
          <w:rFonts w:ascii="Calibri" w:hAnsi="Calibri" w:cs="Calibri"/>
          <w:sz w:val="20"/>
        </w:rPr>
        <w:footnoteRef/>
      </w:r>
      <w:r w:rsidRPr="00FC0D96">
        <w:rPr>
          <w:rFonts w:ascii="Calibri" w:hAnsi="Calibri" w:cs="Calibri"/>
          <w:sz w:val="20"/>
        </w:rPr>
        <w:t xml:space="preserve">  Living Evidence for Diabetes Consortium, </w:t>
      </w:r>
      <w:hyperlink r:id="rId5" w:history="1">
        <w:r w:rsidRPr="00FC0D96">
          <w:rPr>
            <w:rStyle w:val="Hyperlink"/>
            <w:rFonts w:ascii="Calibri" w:hAnsi="Calibri" w:cs="Calibri"/>
            <w:sz w:val="20"/>
          </w:rPr>
          <w:t>Australian Evidence-Based Clinical Guidelines for Diabetes</w:t>
        </w:r>
      </w:hyperlink>
      <w:r w:rsidRPr="00FC0D96">
        <w:rPr>
          <w:rFonts w:ascii="Calibri" w:hAnsi="Calibri" w:cs="Calibri"/>
          <w:sz w:val="20"/>
        </w:rPr>
        <w:t>, v1.3. Cited: 8 July 2022.</w:t>
      </w:r>
    </w:p>
  </w:footnote>
  <w:footnote w:id="10">
    <w:p w14:paraId="0F3881A2" w14:textId="17C0B41B" w:rsidR="008A71FF" w:rsidRPr="00217383" w:rsidRDefault="008A71FF" w:rsidP="003B322D">
      <w:pPr>
        <w:pStyle w:val="FootnoteText"/>
        <w:rPr>
          <w:rFonts w:ascii="Calibri" w:hAnsi="Calibri" w:cs="Calibri"/>
          <w:sz w:val="20"/>
        </w:rPr>
      </w:pPr>
      <w:r w:rsidRPr="00217383">
        <w:rPr>
          <w:rStyle w:val="FootnoteReference"/>
          <w:rFonts w:ascii="Calibri" w:hAnsi="Calibri" w:cs="Calibri"/>
          <w:sz w:val="20"/>
        </w:rPr>
        <w:footnoteRef/>
      </w:r>
      <w:r w:rsidRPr="00217383">
        <w:rPr>
          <w:rFonts w:ascii="Calibri" w:hAnsi="Calibri" w:cs="Calibri"/>
          <w:sz w:val="20"/>
        </w:rPr>
        <w:t xml:space="preserve"> Nauck MA and Meier JJ. </w:t>
      </w:r>
      <w:r>
        <w:rPr>
          <w:rFonts w:ascii="Calibri" w:hAnsi="Calibri" w:cs="Calibri"/>
          <w:sz w:val="20"/>
        </w:rPr>
        <w:t xml:space="preserve">Management of </w:t>
      </w:r>
      <w:r w:rsidR="006A691A">
        <w:rPr>
          <w:rFonts w:ascii="Calibri" w:hAnsi="Calibri" w:cs="Calibri"/>
          <w:sz w:val="20"/>
        </w:rPr>
        <w:t>Endocrine</w:t>
      </w:r>
      <w:r>
        <w:rPr>
          <w:rFonts w:ascii="Calibri" w:hAnsi="Calibri" w:cs="Calibri"/>
          <w:sz w:val="20"/>
        </w:rPr>
        <w:t xml:space="preserve"> Diseases: </w:t>
      </w:r>
      <w:r w:rsidRPr="00217383">
        <w:rPr>
          <w:rFonts w:ascii="Calibri" w:hAnsi="Calibri" w:cs="Calibri"/>
          <w:sz w:val="20"/>
        </w:rPr>
        <w:t xml:space="preserve">Are all GLP-1 agonists equal in the treatment of type 2 diabetes? </w:t>
      </w:r>
      <w:r w:rsidRPr="00217383">
        <w:rPr>
          <w:rFonts w:ascii="Calibri" w:hAnsi="Calibri" w:cs="Calibri"/>
          <w:i/>
          <w:iCs/>
          <w:sz w:val="20"/>
        </w:rPr>
        <w:t>European Journal of Endocrinology</w:t>
      </w:r>
      <w:r w:rsidRPr="00217383">
        <w:rPr>
          <w:rFonts w:ascii="Calibri" w:hAnsi="Calibri" w:cs="Calibri"/>
          <w:sz w:val="20"/>
        </w:rPr>
        <w:t>, 2019;181(6</w:t>
      </w:r>
      <w:proofErr w:type="gramStart"/>
      <w:r w:rsidRPr="00217383">
        <w:rPr>
          <w:rFonts w:ascii="Calibri" w:hAnsi="Calibri" w:cs="Calibri"/>
          <w:sz w:val="20"/>
        </w:rPr>
        <w:t>):R</w:t>
      </w:r>
      <w:proofErr w:type="gramEnd"/>
      <w:r w:rsidRPr="00217383">
        <w:rPr>
          <w:rFonts w:ascii="Calibri" w:hAnsi="Calibri" w:cs="Calibri"/>
          <w:sz w:val="20"/>
        </w:rPr>
        <w:t>211-234.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72C4" w14:textId="5E178326" w:rsidR="008A71FF" w:rsidRPr="00571E51" w:rsidRDefault="00B10585" w:rsidP="00595CE3">
    <w:pPr>
      <w:pStyle w:val="Header"/>
      <w:keepNext/>
      <w:ind w:left="360"/>
      <w:jc w:val="center"/>
      <w:rPr>
        <w:rFonts w:asciiTheme="minorHAnsi" w:hAnsiTheme="minorHAnsi" w:cs="Arial"/>
        <w:i/>
      </w:rPr>
    </w:pPr>
    <w:r w:rsidRPr="00571E51">
      <w:rPr>
        <w:rFonts w:asciiTheme="minorHAnsi" w:hAnsiTheme="minorHAnsi" w:cs="Arial"/>
        <w:i/>
      </w:rPr>
      <w:t xml:space="preserve">Public Release Document </w:t>
    </w:r>
    <w:r w:rsidR="008A71FF" w:rsidRPr="00571E51">
      <w:rPr>
        <w:rFonts w:asciiTheme="minorHAnsi" w:hAnsiTheme="minorHAnsi" w:cs="Arial"/>
        <w:i/>
      </w:rPr>
      <w:t>– July 2022 PBAC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4275"/>
    <w:multiLevelType w:val="hybridMultilevel"/>
    <w:tmpl w:val="304E9966"/>
    <w:lvl w:ilvl="0" w:tplc="286C2768">
      <w:start w:val="1"/>
      <w:numFmt w:val="lowerLetter"/>
      <w:lvlText w:val="%1."/>
      <w:lvlJc w:val="left"/>
      <w:pPr>
        <w:ind w:left="720" w:hanging="360"/>
      </w:pPr>
      <w:rPr>
        <w:rFonts w:ascii="Arial Narrow" w:hAnsi="Arial Narrow"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355E0"/>
    <w:multiLevelType w:val="hybridMultilevel"/>
    <w:tmpl w:val="CFE2B9AA"/>
    <w:lvl w:ilvl="0" w:tplc="D4E4EF08">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1B71F7"/>
    <w:multiLevelType w:val="hybridMultilevel"/>
    <w:tmpl w:val="C7F6BA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855A2F"/>
    <w:multiLevelType w:val="hybridMultilevel"/>
    <w:tmpl w:val="F3D85CE2"/>
    <w:lvl w:ilvl="0" w:tplc="0C090001">
      <w:start w:val="1"/>
      <w:numFmt w:val="bullet"/>
      <w:lvlText w:val=""/>
      <w:lvlJc w:val="left"/>
      <w:pPr>
        <w:ind w:left="142" w:hanging="360"/>
      </w:pPr>
      <w:rPr>
        <w:rFonts w:ascii="Symbol" w:hAnsi="Symbol"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4" w15:restartNumberingAfterBreak="0">
    <w:nsid w:val="12487B19"/>
    <w:multiLevelType w:val="hybridMultilevel"/>
    <w:tmpl w:val="A2367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C75F7A"/>
    <w:multiLevelType w:val="hybridMultilevel"/>
    <w:tmpl w:val="C17C31C2"/>
    <w:lvl w:ilvl="0" w:tplc="610EC2D0">
      <w:start w:val="1"/>
      <w:numFmt w:val="bullet"/>
      <w:lvlText w:val=""/>
      <w:lvlJc w:val="left"/>
      <w:pPr>
        <w:ind w:left="720" w:hanging="360"/>
      </w:pPr>
      <w:rPr>
        <w:rFonts w:ascii="Symbol" w:hAnsi="Symbol" w:hint="default"/>
        <w:i w:val="0"/>
        <w:i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55CA0"/>
    <w:multiLevelType w:val="hybridMultilevel"/>
    <w:tmpl w:val="68920EAC"/>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5C53B03"/>
    <w:multiLevelType w:val="multilevel"/>
    <w:tmpl w:val="C6C6402C"/>
    <w:styleLink w:val="Headings"/>
    <w:lvl w:ilvl="0">
      <w:start w:val="1"/>
      <w:numFmt w:val="decimal"/>
      <w:pStyle w:val="Heading1"/>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2CCD7C58"/>
    <w:multiLevelType w:val="hybridMultilevel"/>
    <w:tmpl w:val="E4D2F8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DB24917"/>
    <w:multiLevelType w:val="hybridMultilevel"/>
    <w:tmpl w:val="90686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EE476C"/>
    <w:multiLevelType w:val="hybridMultilevel"/>
    <w:tmpl w:val="2132F1A2"/>
    <w:lvl w:ilvl="0" w:tplc="667ADD6E">
      <w:start w:val="1"/>
      <w:numFmt w:val="bullet"/>
      <w:pStyle w:val="Style1"/>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5453EB"/>
    <w:multiLevelType w:val="hybridMultilevel"/>
    <w:tmpl w:val="7C00953C"/>
    <w:lvl w:ilvl="0" w:tplc="0C090013">
      <w:start w:val="1"/>
      <w:numFmt w:val="upp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611BFE"/>
    <w:multiLevelType w:val="hybridMultilevel"/>
    <w:tmpl w:val="3A4029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A75336"/>
    <w:multiLevelType w:val="hybridMultilevel"/>
    <w:tmpl w:val="175C73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EB0BD6"/>
    <w:multiLevelType w:val="multilevel"/>
    <w:tmpl w:val="6052A4B2"/>
    <w:lvl w:ilvl="0">
      <w:start w:val="1"/>
      <w:numFmt w:val="decimal"/>
      <w:lvlText w:val="%1"/>
      <w:lvlJc w:val="left"/>
      <w:pPr>
        <w:ind w:left="720" w:hanging="720"/>
      </w:pPr>
      <w:rPr>
        <w:rFonts w:hint="default"/>
        <w:b/>
        <w:color w:val="000000" w:themeColor="text1"/>
      </w:rPr>
    </w:lvl>
    <w:lvl w:ilvl="1">
      <w:start w:val="1"/>
      <w:numFmt w:val="decimal"/>
      <w:lvlText w:val="%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E911D7"/>
    <w:multiLevelType w:val="hybridMultilevel"/>
    <w:tmpl w:val="4576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C5093E"/>
    <w:multiLevelType w:val="hybridMultilevel"/>
    <w:tmpl w:val="87902C7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8" w15:restartNumberingAfterBreak="0">
    <w:nsid w:val="411E51DF"/>
    <w:multiLevelType w:val="hybridMultilevel"/>
    <w:tmpl w:val="D4345A84"/>
    <w:lvl w:ilvl="0" w:tplc="131EA566">
      <w:start w:val="2"/>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1BB5C3A"/>
    <w:multiLevelType w:val="multilevel"/>
    <w:tmpl w:val="E7703AC6"/>
    <w:lvl w:ilvl="0">
      <w:start w:val="1"/>
      <w:numFmt w:val="decimal"/>
      <w:lvlText w:val="%1."/>
      <w:legacy w:legacy="1" w:legacySpace="0" w:legacyIndent="360"/>
      <w:lvlJc w:val="left"/>
      <w:pPr>
        <w:ind w:left="360" w:hanging="360"/>
      </w:p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4396202F"/>
    <w:multiLevelType w:val="hybridMultilevel"/>
    <w:tmpl w:val="A5A4FC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89728B"/>
    <w:multiLevelType w:val="hybridMultilevel"/>
    <w:tmpl w:val="2B1ACF9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44F24628"/>
    <w:multiLevelType w:val="hybridMultilevel"/>
    <w:tmpl w:val="6986D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CD1BEA"/>
    <w:multiLevelType w:val="hybridMultilevel"/>
    <w:tmpl w:val="16EA8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A81CC4"/>
    <w:multiLevelType w:val="hybridMultilevel"/>
    <w:tmpl w:val="6BA61E0A"/>
    <w:lvl w:ilvl="0" w:tplc="DF58F452">
      <w:start w:val="1"/>
      <w:numFmt w:val="bullet"/>
      <w:lvlText w:val=""/>
      <w:lvlJc w:val="left"/>
      <w:pPr>
        <w:tabs>
          <w:tab w:val="num" w:pos="720"/>
        </w:tabs>
        <w:ind w:left="720" w:hanging="360"/>
      </w:pPr>
      <w:rPr>
        <w:rFonts w:ascii="Symbol" w:hAnsi="Symbol" w:hint="default"/>
      </w:rPr>
    </w:lvl>
    <w:lvl w:ilvl="1" w:tplc="946A4192" w:tentative="1">
      <w:start w:val="1"/>
      <w:numFmt w:val="bullet"/>
      <w:lvlText w:val=""/>
      <w:lvlJc w:val="left"/>
      <w:pPr>
        <w:tabs>
          <w:tab w:val="num" w:pos="1440"/>
        </w:tabs>
        <w:ind w:left="1440" w:hanging="360"/>
      </w:pPr>
      <w:rPr>
        <w:rFonts w:ascii="Symbol" w:hAnsi="Symbol" w:hint="default"/>
      </w:rPr>
    </w:lvl>
    <w:lvl w:ilvl="2" w:tplc="CD909064" w:tentative="1">
      <w:start w:val="1"/>
      <w:numFmt w:val="bullet"/>
      <w:lvlText w:val=""/>
      <w:lvlJc w:val="left"/>
      <w:pPr>
        <w:tabs>
          <w:tab w:val="num" w:pos="2160"/>
        </w:tabs>
        <w:ind w:left="2160" w:hanging="360"/>
      </w:pPr>
      <w:rPr>
        <w:rFonts w:ascii="Symbol" w:hAnsi="Symbol" w:hint="default"/>
      </w:rPr>
    </w:lvl>
    <w:lvl w:ilvl="3" w:tplc="D826BC2A" w:tentative="1">
      <w:start w:val="1"/>
      <w:numFmt w:val="bullet"/>
      <w:lvlText w:val=""/>
      <w:lvlJc w:val="left"/>
      <w:pPr>
        <w:tabs>
          <w:tab w:val="num" w:pos="2880"/>
        </w:tabs>
        <w:ind w:left="2880" w:hanging="360"/>
      </w:pPr>
      <w:rPr>
        <w:rFonts w:ascii="Symbol" w:hAnsi="Symbol" w:hint="default"/>
      </w:rPr>
    </w:lvl>
    <w:lvl w:ilvl="4" w:tplc="30768362" w:tentative="1">
      <w:start w:val="1"/>
      <w:numFmt w:val="bullet"/>
      <w:lvlText w:val=""/>
      <w:lvlJc w:val="left"/>
      <w:pPr>
        <w:tabs>
          <w:tab w:val="num" w:pos="3600"/>
        </w:tabs>
        <w:ind w:left="3600" w:hanging="360"/>
      </w:pPr>
      <w:rPr>
        <w:rFonts w:ascii="Symbol" w:hAnsi="Symbol" w:hint="default"/>
      </w:rPr>
    </w:lvl>
    <w:lvl w:ilvl="5" w:tplc="E1D0AAAC" w:tentative="1">
      <w:start w:val="1"/>
      <w:numFmt w:val="bullet"/>
      <w:lvlText w:val=""/>
      <w:lvlJc w:val="left"/>
      <w:pPr>
        <w:tabs>
          <w:tab w:val="num" w:pos="4320"/>
        </w:tabs>
        <w:ind w:left="4320" w:hanging="360"/>
      </w:pPr>
      <w:rPr>
        <w:rFonts w:ascii="Symbol" w:hAnsi="Symbol" w:hint="default"/>
      </w:rPr>
    </w:lvl>
    <w:lvl w:ilvl="6" w:tplc="2898D52E" w:tentative="1">
      <w:start w:val="1"/>
      <w:numFmt w:val="bullet"/>
      <w:lvlText w:val=""/>
      <w:lvlJc w:val="left"/>
      <w:pPr>
        <w:tabs>
          <w:tab w:val="num" w:pos="5040"/>
        </w:tabs>
        <w:ind w:left="5040" w:hanging="360"/>
      </w:pPr>
      <w:rPr>
        <w:rFonts w:ascii="Symbol" w:hAnsi="Symbol" w:hint="default"/>
      </w:rPr>
    </w:lvl>
    <w:lvl w:ilvl="7" w:tplc="DE74A93C" w:tentative="1">
      <w:start w:val="1"/>
      <w:numFmt w:val="bullet"/>
      <w:lvlText w:val=""/>
      <w:lvlJc w:val="left"/>
      <w:pPr>
        <w:tabs>
          <w:tab w:val="num" w:pos="5760"/>
        </w:tabs>
        <w:ind w:left="5760" w:hanging="360"/>
      </w:pPr>
      <w:rPr>
        <w:rFonts w:ascii="Symbol" w:hAnsi="Symbol" w:hint="default"/>
      </w:rPr>
    </w:lvl>
    <w:lvl w:ilvl="8" w:tplc="E89C39F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3C7640"/>
    <w:multiLevelType w:val="hybridMultilevel"/>
    <w:tmpl w:val="2D9C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3B3A4A"/>
    <w:multiLevelType w:val="hybridMultilevel"/>
    <w:tmpl w:val="E8E2EA6C"/>
    <w:lvl w:ilvl="0" w:tplc="0C090001">
      <w:start w:val="1"/>
      <w:numFmt w:val="bullet"/>
      <w:lvlText w:val=""/>
      <w:lvlJc w:val="left"/>
      <w:pPr>
        <w:ind w:left="1485" w:hanging="360"/>
      </w:pPr>
      <w:rPr>
        <w:rFonts w:ascii="Symbol" w:hAnsi="Symbol" w:hint="default"/>
      </w:rPr>
    </w:lvl>
    <w:lvl w:ilvl="1" w:tplc="0C090003">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9" w15:restartNumberingAfterBreak="0">
    <w:nsid w:val="61780EA1"/>
    <w:multiLevelType w:val="hybridMultilevel"/>
    <w:tmpl w:val="B590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F53DA5"/>
    <w:multiLevelType w:val="hybridMultilevel"/>
    <w:tmpl w:val="692C1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F97C7A"/>
    <w:multiLevelType w:val="hybridMultilevel"/>
    <w:tmpl w:val="61B61F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7380A86"/>
    <w:multiLevelType w:val="hybridMultilevel"/>
    <w:tmpl w:val="CD20ECF4"/>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71048D"/>
    <w:multiLevelType w:val="hybridMultilevel"/>
    <w:tmpl w:val="14929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D75791"/>
    <w:multiLevelType w:val="hybridMultilevel"/>
    <w:tmpl w:val="132A8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FB1081"/>
    <w:multiLevelType w:val="hybridMultilevel"/>
    <w:tmpl w:val="E1B8D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C415D3"/>
    <w:multiLevelType w:val="hybridMultilevel"/>
    <w:tmpl w:val="0CE067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36A7E7E"/>
    <w:multiLevelType w:val="hybridMultilevel"/>
    <w:tmpl w:val="F932BB38"/>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5465A5"/>
    <w:multiLevelType w:val="hybridMultilevel"/>
    <w:tmpl w:val="F6689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2F2978"/>
    <w:multiLevelType w:val="hybridMultilevel"/>
    <w:tmpl w:val="355C9A82"/>
    <w:lvl w:ilvl="0" w:tplc="4112DA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68B7604"/>
    <w:multiLevelType w:val="hybridMultilevel"/>
    <w:tmpl w:val="E75A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34342B"/>
    <w:multiLevelType w:val="hybridMultilevel"/>
    <w:tmpl w:val="8E3A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4D033C"/>
    <w:multiLevelType w:val="multilevel"/>
    <w:tmpl w:val="73B8F968"/>
    <w:lvl w:ilvl="0">
      <w:start w:val="1"/>
      <w:numFmt w:val="decimal"/>
      <w:pStyle w:val="2Sections"/>
      <w:lvlText w:val="%1"/>
      <w:lvlJc w:val="left"/>
      <w:pPr>
        <w:ind w:left="720" w:hanging="720"/>
      </w:pPr>
      <w:rPr>
        <w:rFonts w:hint="default"/>
        <w:b/>
        <w:strike w:val="0"/>
      </w:rPr>
    </w:lvl>
    <w:lvl w:ilvl="1">
      <w:start w:val="1"/>
      <w:numFmt w:val="decimal"/>
      <w:pStyle w:val="3Bodytext"/>
      <w:lvlText w:val="%1.%2"/>
      <w:lvlJc w:val="left"/>
      <w:pPr>
        <w:ind w:left="720" w:hanging="720"/>
      </w:pPr>
      <w:rPr>
        <w:rFonts w:asciiTheme="minorHAnsi" w:hAnsiTheme="minorHAnsi" w:cstheme="minorHAnsi" w:hint="default"/>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DA132B"/>
    <w:multiLevelType w:val="hybridMultilevel"/>
    <w:tmpl w:val="92CC3A4A"/>
    <w:lvl w:ilvl="0" w:tplc="86ECA218">
      <w:start w:val="1"/>
      <w:numFmt w:val="bullet"/>
      <w:pStyle w:val="4bulletpoin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15:restartNumberingAfterBreak="0">
    <w:nsid w:val="7EAC7115"/>
    <w:multiLevelType w:val="hybridMultilevel"/>
    <w:tmpl w:val="52644E30"/>
    <w:lvl w:ilvl="0" w:tplc="0C090001">
      <w:start w:val="1"/>
      <w:numFmt w:val="bullet"/>
      <w:lvlText w:val=""/>
      <w:lvlJc w:val="left"/>
      <w:pPr>
        <w:ind w:left="720" w:hanging="360"/>
      </w:pPr>
      <w:rPr>
        <w:rFonts w:ascii="Symbol" w:hAnsi="Symbol" w:hint="default"/>
      </w:rPr>
    </w:lvl>
    <w:lvl w:ilvl="1" w:tplc="0C090011">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6836478">
    <w:abstractNumId w:val="19"/>
  </w:num>
  <w:num w:numId="2" w16cid:durableId="1249659820">
    <w:abstractNumId w:val="13"/>
  </w:num>
  <w:num w:numId="3" w16cid:durableId="539051007">
    <w:abstractNumId w:val="7"/>
  </w:num>
  <w:num w:numId="4" w16cid:durableId="369574292">
    <w:abstractNumId w:val="23"/>
  </w:num>
  <w:num w:numId="5" w16cid:durableId="996885029">
    <w:abstractNumId w:val="32"/>
  </w:num>
  <w:num w:numId="6" w16cid:durableId="1619333826">
    <w:abstractNumId w:val="37"/>
  </w:num>
  <w:num w:numId="7" w16cid:durableId="2113933165">
    <w:abstractNumId w:val="42"/>
  </w:num>
  <w:num w:numId="8" w16cid:durableId="354353888">
    <w:abstractNumId w:val="6"/>
  </w:num>
  <w:num w:numId="9" w16cid:durableId="1317802490">
    <w:abstractNumId w:val="31"/>
  </w:num>
  <w:num w:numId="10" w16cid:durableId="2068531616">
    <w:abstractNumId w:val="14"/>
  </w:num>
  <w:num w:numId="11" w16cid:durableId="154348423">
    <w:abstractNumId w:val="3"/>
  </w:num>
  <w:num w:numId="12" w16cid:durableId="1188375829">
    <w:abstractNumId w:val="27"/>
  </w:num>
  <w:num w:numId="13" w16cid:durableId="690957520">
    <w:abstractNumId w:val="41"/>
  </w:num>
  <w:num w:numId="14" w16cid:durableId="547953824">
    <w:abstractNumId w:val="35"/>
  </w:num>
  <w:num w:numId="15" w16cid:durableId="924537534">
    <w:abstractNumId w:val="12"/>
  </w:num>
  <w:num w:numId="16" w16cid:durableId="1226257884">
    <w:abstractNumId w:val="21"/>
  </w:num>
  <w:num w:numId="17" w16cid:durableId="217864865">
    <w:abstractNumId w:val="28"/>
  </w:num>
  <w:num w:numId="18" w16cid:durableId="1842964680">
    <w:abstractNumId w:val="42"/>
  </w:num>
  <w:num w:numId="19" w16cid:durableId="1858277671">
    <w:abstractNumId w:val="17"/>
  </w:num>
  <w:num w:numId="20" w16cid:durableId="1832257216">
    <w:abstractNumId w:val="8"/>
  </w:num>
  <w:num w:numId="21" w16cid:durableId="1414815049">
    <w:abstractNumId w:val="38"/>
  </w:num>
  <w:num w:numId="22" w16cid:durableId="307321459">
    <w:abstractNumId w:val="44"/>
  </w:num>
  <w:num w:numId="23" w16cid:durableId="587159808">
    <w:abstractNumId w:val="18"/>
  </w:num>
  <w:num w:numId="24" w16cid:durableId="840392109">
    <w:abstractNumId w:val="1"/>
  </w:num>
  <w:num w:numId="25" w16cid:durableId="774978314">
    <w:abstractNumId w:val="33"/>
  </w:num>
  <w:num w:numId="26" w16cid:durableId="2053578860">
    <w:abstractNumId w:val="11"/>
  </w:num>
  <w:num w:numId="27" w16cid:durableId="516390041">
    <w:abstractNumId w:val="25"/>
  </w:num>
  <w:num w:numId="28" w16cid:durableId="1702051882">
    <w:abstractNumId w:val="34"/>
  </w:num>
  <w:num w:numId="29" w16cid:durableId="1280798325">
    <w:abstractNumId w:val="5"/>
  </w:num>
  <w:num w:numId="30" w16cid:durableId="874192928">
    <w:abstractNumId w:val="36"/>
  </w:num>
  <w:num w:numId="31" w16cid:durableId="1699309048">
    <w:abstractNumId w:val="39"/>
  </w:num>
  <w:num w:numId="32" w16cid:durableId="397243274">
    <w:abstractNumId w:val="2"/>
  </w:num>
  <w:num w:numId="33" w16cid:durableId="1609197546">
    <w:abstractNumId w:val="10"/>
  </w:num>
  <w:num w:numId="34" w16cid:durableId="431825577">
    <w:abstractNumId w:val="40"/>
  </w:num>
  <w:num w:numId="35" w16cid:durableId="10328047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6635076">
    <w:abstractNumId w:val="43"/>
  </w:num>
  <w:num w:numId="37" w16cid:durableId="1464926957">
    <w:abstractNumId w:val="15"/>
  </w:num>
  <w:num w:numId="38" w16cid:durableId="1880431446">
    <w:abstractNumId w:val="26"/>
  </w:num>
  <w:num w:numId="39" w16cid:durableId="191843924">
    <w:abstractNumId w:val="24"/>
  </w:num>
  <w:num w:numId="40" w16cid:durableId="2088722138">
    <w:abstractNumId w:val="29"/>
  </w:num>
  <w:num w:numId="41" w16cid:durableId="332684962">
    <w:abstractNumId w:val="9"/>
  </w:num>
  <w:num w:numId="42" w16cid:durableId="950403395">
    <w:abstractNumId w:val="16"/>
  </w:num>
  <w:num w:numId="43" w16cid:durableId="1894776996">
    <w:abstractNumId w:val="4"/>
  </w:num>
  <w:num w:numId="44" w16cid:durableId="1403407117">
    <w:abstractNumId w:val="22"/>
  </w:num>
  <w:num w:numId="45" w16cid:durableId="2103333713">
    <w:abstractNumId w:val="0"/>
  </w:num>
  <w:num w:numId="46" w16cid:durableId="937569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FC"/>
    <w:rsid w:val="00000840"/>
    <w:rsid w:val="0000102F"/>
    <w:rsid w:val="0000265A"/>
    <w:rsid w:val="00002D7D"/>
    <w:rsid w:val="00003257"/>
    <w:rsid w:val="00005370"/>
    <w:rsid w:val="0001034F"/>
    <w:rsid w:val="00011592"/>
    <w:rsid w:val="000122C2"/>
    <w:rsid w:val="00012477"/>
    <w:rsid w:val="00012C3B"/>
    <w:rsid w:val="00013F95"/>
    <w:rsid w:val="00015E39"/>
    <w:rsid w:val="000222DC"/>
    <w:rsid w:val="0002417A"/>
    <w:rsid w:val="00027FE9"/>
    <w:rsid w:val="00030687"/>
    <w:rsid w:val="00030E41"/>
    <w:rsid w:val="00031447"/>
    <w:rsid w:val="0003146C"/>
    <w:rsid w:val="0003250A"/>
    <w:rsid w:val="000325E0"/>
    <w:rsid w:val="00033F44"/>
    <w:rsid w:val="00034AD5"/>
    <w:rsid w:val="000352DE"/>
    <w:rsid w:val="00035705"/>
    <w:rsid w:val="000365C5"/>
    <w:rsid w:val="00036EF5"/>
    <w:rsid w:val="00037211"/>
    <w:rsid w:val="0003759D"/>
    <w:rsid w:val="00040A5B"/>
    <w:rsid w:val="00041F8C"/>
    <w:rsid w:val="0004221F"/>
    <w:rsid w:val="00043B92"/>
    <w:rsid w:val="00044010"/>
    <w:rsid w:val="00044DC2"/>
    <w:rsid w:val="00050F72"/>
    <w:rsid w:val="000515BD"/>
    <w:rsid w:val="00052085"/>
    <w:rsid w:val="000527A0"/>
    <w:rsid w:val="000529B3"/>
    <w:rsid w:val="0005408D"/>
    <w:rsid w:val="00054277"/>
    <w:rsid w:val="00056D7F"/>
    <w:rsid w:val="00057AB5"/>
    <w:rsid w:val="00057CC9"/>
    <w:rsid w:val="00060CE0"/>
    <w:rsid w:val="00060D7C"/>
    <w:rsid w:val="00061179"/>
    <w:rsid w:val="00062287"/>
    <w:rsid w:val="00063020"/>
    <w:rsid w:val="00063BB6"/>
    <w:rsid w:val="00063E6E"/>
    <w:rsid w:val="000645D7"/>
    <w:rsid w:val="00065200"/>
    <w:rsid w:val="00065F4A"/>
    <w:rsid w:val="00071EE1"/>
    <w:rsid w:val="00072213"/>
    <w:rsid w:val="00072BC9"/>
    <w:rsid w:val="00073BF0"/>
    <w:rsid w:val="000744DD"/>
    <w:rsid w:val="00074E18"/>
    <w:rsid w:val="00076AD4"/>
    <w:rsid w:val="00080434"/>
    <w:rsid w:val="00080633"/>
    <w:rsid w:val="000814FE"/>
    <w:rsid w:val="00083E5E"/>
    <w:rsid w:val="00085C2B"/>
    <w:rsid w:val="00087496"/>
    <w:rsid w:val="00090787"/>
    <w:rsid w:val="000914A6"/>
    <w:rsid w:val="000950F3"/>
    <w:rsid w:val="000A252F"/>
    <w:rsid w:val="000A266B"/>
    <w:rsid w:val="000A44E5"/>
    <w:rsid w:val="000A4D25"/>
    <w:rsid w:val="000A4F13"/>
    <w:rsid w:val="000A6EE7"/>
    <w:rsid w:val="000A7421"/>
    <w:rsid w:val="000A7FFD"/>
    <w:rsid w:val="000B1898"/>
    <w:rsid w:val="000B330C"/>
    <w:rsid w:val="000B3B22"/>
    <w:rsid w:val="000B3F8B"/>
    <w:rsid w:val="000B487C"/>
    <w:rsid w:val="000B4B26"/>
    <w:rsid w:val="000B5804"/>
    <w:rsid w:val="000B7746"/>
    <w:rsid w:val="000B7FC1"/>
    <w:rsid w:val="000C0C40"/>
    <w:rsid w:val="000C12C5"/>
    <w:rsid w:val="000C1A69"/>
    <w:rsid w:val="000C2E9F"/>
    <w:rsid w:val="000C3FDC"/>
    <w:rsid w:val="000C7179"/>
    <w:rsid w:val="000D0322"/>
    <w:rsid w:val="000D0C37"/>
    <w:rsid w:val="000D335E"/>
    <w:rsid w:val="000D3B7B"/>
    <w:rsid w:val="000D4A76"/>
    <w:rsid w:val="000D6091"/>
    <w:rsid w:val="000D60A0"/>
    <w:rsid w:val="000D6C7C"/>
    <w:rsid w:val="000D7F3A"/>
    <w:rsid w:val="000E04B7"/>
    <w:rsid w:val="000E05DC"/>
    <w:rsid w:val="000E08B2"/>
    <w:rsid w:val="000E0BA8"/>
    <w:rsid w:val="000E2B1F"/>
    <w:rsid w:val="000E4822"/>
    <w:rsid w:val="000E4B5D"/>
    <w:rsid w:val="000E4B60"/>
    <w:rsid w:val="000E6976"/>
    <w:rsid w:val="000E7FDA"/>
    <w:rsid w:val="000F20C7"/>
    <w:rsid w:val="000F2CA0"/>
    <w:rsid w:val="000F3A5B"/>
    <w:rsid w:val="000F5162"/>
    <w:rsid w:val="000F52C0"/>
    <w:rsid w:val="000F63C6"/>
    <w:rsid w:val="000F64B8"/>
    <w:rsid w:val="000F6F0F"/>
    <w:rsid w:val="0010182A"/>
    <w:rsid w:val="00105438"/>
    <w:rsid w:val="00105AA6"/>
    <w:rsid w:val="001071DB"/>
    <w:rsid w:val="0010736F"/>
    <w:rsid w:val="0011013A"/>
    <w:rsid w:val="00115145"/>
    <w:rsid w:val="00115D14"/>
    <w:rsid w:val="0011742D"/>
    <w:rsid w:val="001177F1"/>
    <w:rsid w:val="001205B3"/>
    <w:rsid w:val="00120C89"/>
    <w:rsid w:val="00120F0C"/>
    <w:rsid w:val="0012164C"/>
    <w:rsid w:val="00121B80"/>
    <w:rsid w:val="00122AAD"/>
    <w:rsid w:val="00124C00"/>
    <w:rsid w:val="00125238"/>
    <w:rsid w:val="00126B95"/>
    <w:rsid w:val="001307AB"/>
    <w:rsid w:val="00130A4B"/>
    <w:rsid w:val="00130F94"/>
    <w:rsid w:val="001314FE"/>
    <w:rsid w:val="00132B37"/>
    <w:rsid w:val="0013374C"/>
    <w:rsid w:val="001344ED"/>
    <w:rsid w:val="00134825"/>
    <w:rsid w:val="001377B5"/>
    <w:rsid w:val="00140E3F"/>
    <w:rsid w:val="00143271"/>
    <w:rsid w:val="00152A77"/>
    <w:rsid w:val="00155563"/>
    <w:rsid w:val="00161915"/>
    <w:rsid w:val="001629B7"/>
    <w:rsid w:val="001636B2"/>
    <w:rsid w:val="00163B3F"/>
    <w:rsid w:val="00163BB5"/>
    <w:rsid w:val="00164E46"/>
    <w:rsid w:val="00167F06"/>
    <w:rsid w:val="00174B64"/>
    <w:rsid w:val="00177BA6"/>
    <w:rsid w:val="00180405"/>
    <w:rsid w:val="001807EB"/>
    <w:rsid w:val="00184EA9"/>
    <w:rsid w:val="00190986"/>
    <w:rsid w:val="00192BB9"/>
    <w:rsid w:val="001935B8"/>
    <w:rsid w:val="001950BD"/>
    <w:rsid w:val="00197419"/>
    <w:rsid w:val="001A2A45"/>
    <w:rsid w:val="001A37C9"/>
    <w:rsid w:val="001A3DB9"/>
    <w:rsid w:val="001A64AB"/>
    <w:rsid w:val="001B06A0"/>
    <w:rsid w:val="001B2F27"/>
    <w:rsid w:val="001B382F"/>
    <w:rsid w:val="001B4C17"/>
    <w:rsid w:val="001B5182"/>
    <w:rsid w:val="001B63AF"/>
    <w:rsid w:val="001B678D"/>
    <w:rsid w:val="001B7976"/>
    <w:rsid w:val="001B7EB3"/>
    <w:rsid w:val="001C08D9"/>
    <w:rsid w:val="001C14D5"/>
    <w:rsid w:val="001C36FC"/>
    <w:rsid w:val="001C46EE"/>
    <w:rsid w:val="001C5757"/>
    <w:rsid w:val="001C67F0"/>
    <w:rsid w:val="001D18A2"/>
    <w:rsid w:val="001D1C9E"/>
    <w:rsid w:val="001D229A"/>
    <w:rsid w:val="001D7BFC"/>
    <w:rsid w:val="001E54B8"/>
    <w:rsid w:val="001E5E4B"/>
    <w:rsid w:val="001E6DCF"/>
    <w:rsid w:val="001E6FD2"/>
    <w:rsid w:val="001F059C"/>
    <w:rsid w:val="001F2C04"/>
    <w:rsid w:val="001F303B"/>
    <w:rsid w:val="001F7212"/>
    <w:rsid w:val="00201613"/>
    <w:rsid w:val="00202F31"/>
    <w:rsid w:val="00204A55"/>
    <w:rsid w:val="00204E08"/>
    <w:rsid w:val="00206639"/>
    <w:rsid w:val="002071BE"/>
    <w:rsid w:val="00207782"/>
    <w:rsid w:val="0021024F"/>
    <w:rsid w:val="00211558"/>
    <w:rsid w:val="0021290C"/>
    <w:rsid w:val="00215213"/>
    <w:rsid w:val="002158B3"/>
    <w:rsid w:val="00216924"/>
    <w:rsid w:val="00216C49"/>
    <w:rsid w:val="002170B0"/>
    <w:rsid w:val="00217383"/>
    <w:rsid w:val="00217C6B"/>
    <w:rsid w:val="0022083A"/>
    <w:rsid w:val="00220A01"/>
    <w:rsid w:val="0022700E"/>
    <w:rsid w:val="0022731F"/>
    <w:rsid w:val="00227A8E"/>
    <w:rsid w:val="0023022A"/>
    <w:rsid w:val="00231745"/>
    <w:rsid w:val="0023192F"/>
    <w:rsid w:val="002324F7"/>
    <w:rsid w:val="00232BD9"/>
    <w:rsid w:val="00233495"/>
    <w:rsid w:val="00235ADF"/>
    <w:rsid w:val="002408F0"/>
    <w:rsid w:val="002416BA"/>
    <w:rsid w:val="002418B3"/>
    <w:rsid w:val="002432B3"/>
    <w:rsid w:val="002451F8"/>
    <w:rsid w:val="002460DB"/>
    <w:rsid w:val="00247117"/>
    <w:rsid w:val="002479E7"/>
    <w:rsid w:val="00250651"/>
    <w:rsid w:val="0025116C"/>
    <w:rsid w:val="002533BA"/>
    <w:rsid w:val="00254442"/>
    <w:rsid w:val="00256067"/>
    <w:rsid w:val="00257F91"/>
    <w:rsid w:val="0026022A"/>
    <w:rsid w:val="00261A42"/>
    <w:rsid w:val="00262F1E"/>
    <w:rsid w:val="00267A45"/>
    <w:rsid w:val="00270319"/>
    <w:rsid w:val="00270CE1"/>
    <w:rsid w:val="0027120F"/>
    <w:rsid w:val="00271FB1"/>
    <w:rsid w:val="00274F9C"/>
    <w:rsid w:val="002750F3"/>
    <w:rsid w:val="00275549"/>
    <w:rsid w:val="00276461"/>
    <w:rsid w:val="00276C17"/>
    <w:rsid w:val="00277416"/>
    <w:rsid w:val="00277BEA"/>
    <w:rsid w:val="002805E9"/>
    <w:rsid w:val="00280918"/>
    <w:rsid w:val="00280A97"/>
    <w:rsid w:val="002822EA"/>
    <w:rsid w:val="0028351B"/>
    <w:rsid w:val="002845D8"/>
    <w:rsid w:val="00286E1F"/>
    <w:rsid w:val="00287596"/>
    <w:rsid w:val="0029099D"/>
    <w:rsid w:val="0029447B"/>
    <w:rsid w:val="00294563"/>
    <w:rsid w:val="002A1E6B"/>
    <w:rsid w:val="002A20B2"/>
    <w:rsid w:val="002A20CE"/>
    <w:rsid w:val="002A245A"/>
    <w:rsid w:val="002A3BB7"/>
    <w:rsid w:val="002A3E40"/>
    <w:rsid w:val="002A59CA"/>
    <w:rsid w:val="002A5D93"/>
    <w:rsid w:val="002A6331"/>
    <w:rsid w:val="002A78A3"/>
    <w:rsid w:val="002B0558"/>
    <w:rsid w:val="002B0CDD"/>
    <w:rsid w:val="002B1E72"/>
    <w:rsid w:val="002B3BF9"/>
    <w:rsid w:val="002B46D2"/>
    <w:rsid w:val="002B4E5C"/>
    <w:rsid w:val="002B61D0"/>
    <w:rsid w:val="002C5188"/>
    <w:rsid w:val="002C579C"/>
    <w:rsid w:val="002D013F"/>
    <w:rsid w:val="002D0AF4"/>
    <w:rsid w:val="002D2588"/>
    <w:rsid w:val="002D2DDA"/>
    <w:rsid w:val="002D3218"/>
    <w:rsid w:val="002D461B"/>
    <w:rsid w:val="002D48D5"/>
    <w:rsid w:val="002D5356"/>
    <w:rsid w:val="002E17CE"/>
    <w:rsid w:val="002E1ACF"/>
    <w:rsid w:val="002E5546"/>
    <w:rsid w:val="002E7089"/>
    <w:rsid w:val="002E723D"/>
    <w:rsid w:val="002F285E"/>
    <w:rsid w:val="002F2977"/>
    <w:rsid w:val="002F37BC"/>
    <w:rsid w:val="002F40F5"/>
    <w:rsid w:val="002F6283"/>
    <w:rsid w:val="002F6FA8"/>
    <w:rsid w:val="0030004D"/>
    <w:rsid w:val="00300B32"/>
    <w:rsid w:val="00301AB3"/>
    <w:rsid w:val="003047B8"/>
    <w:rsid w:val="003049BE"/>
    <w:rsid w:val="0030506B"/>
    <w:rsid w:val="00305648"/>
    <w:rsid w:val="00305928"/>
    <w:rsid w:val="00306F96"/>
    <w:rsid w:val="00311AFA"/>
    <w:rsid w:val="0031471E"/>
    <w:rsid w:val="00314D94"/>
    <w:rsid w:val="00314F51"/>
    <w:rsid w:val="0031754C"/>
    <w:rsid w:val="0032195B"/>
    <w:rsid w:val="00323002"/>
    <w:rsid w:val="0032431F"/>
    <w:rsid w:val="003253AC"/>
    <w:rsid w:val="00327016"/>
    <w:rsid w:val="00327333"/>
    <w:rsid w:val="003279EF"/>
    <w:rsid w:val="0033052E"/>
    <w:rsid w:val="00331C42"/>
    <w:rsid w:val="00332474"/>
    <w:rsid w:val="0033527A"/>
    <w:rsid w:val="0033550F"/>
    <w:rsid w:val="003361E1"/>
    <w:rsid w:val="00336390"/>
    <w:rsid w:val="003374F1"/>
    <w:rsid w:val="00337830"/>
    <w:rsid w:val="0034135C"/>
    <w:rsid w:val="00342C6B"/>
    <w:rsid w:val="00345FD8"/>
    <w:rsid w:val="00350D3C"/>
    <w:rsid w:val="003522B9"/>
    <w:rsid w:val="00352A2B"/>
    <w:rsid w:val="00353BAC"/>
    <w:rsid w:val="0035503D"/>
    <w:rsid w:val="0035509C"/>
    <w:rsid w:val="00355470"/>
    <w:rsid w:val="00360143"/>
    <w:rsid w:val="00360E38"/>
    <w:rsid w:val="00362DBA"/>
    <w:rsid w:val="0036370B"/>
    <w:rsid w:val="00363AAD"/>
    <w:rsid w:val="00364D91"/>
    <w:rsid w:val="003657D1"/>
    <w:rsid w:val="00365D2D"/>
    <w:rsid w:val="003660F2"/>
    <w:rsid w:val="00366E8B"/>
    <w:rsid w:val="003677A1"/>
    <w:rsid w:val="00367F34"/>
    <w:rsid w:val="00370E31"/>
    <w:rsid w:val="00372EA4"/>
    <w:rsid w:val="003758C6"/>
    <w:rsid w:val="0037596E"/>
    <w:rsid w:val="003769C7"/>
    <w:rsid w:val="00382639"/>
    <w:rsid w:val="003826EA"/>
    <w:rsid w:val="003829A0"/>
    <w:rsid w:val="00385E81"/>
    <w:rsid w:val="00390F10"/>
    <w:rsid w:val="00392C9A"/>
    <w:rsid w:val="00393255"/>
    <w:rsid w:val="00393D59"/>
    <w:rsid w:val="003A0CC4"/>
    <w:rsid w:val="003A0D0E"/>
    <w:rsid w:val="003A1C52"/>
    <w:rsid w:val="003A220C"/>
    <w:rsid w:val="003A4F35"/>
    <w:rsid w:val="003A6377"/>
    <w:rsid w:val="003A6922"/>
    <w:rsid w:val="003B0954"/>
    <w:rsid w:val="003B2119"/>
    <w:rsid w:val="003B322D"/>
    <w:rsid w:val="003B43A6"/>
    <w:rsid w:val="003B47BE"/>
    <w:rsid w:val="003B5A80"/>
    <w:rsid w:val="003C254F"/>
    <w:rsid w:val="003C28FD"/>
    <w:rsid w:val="003C696B"/>
    <w:rsid w:val="003C69CF"/>
    <w:rsid w:val="003C77F6"/>
    <w:rsid w:val="003C7A54"/>
    <w:rsid w:val="003D03FD"/>
    <w:rsid w:val="003D0E31"/>
    <w:rsid w:val="003D1E8A"/>
    <w:rsid w:val="003D42BA"/>
    <w:rsid w:val="003D42EC"/>
    <w:rsid w:val="003D4B4B"/>
    <w:rsid w:val="003D4FAA"/>
    <w:rsid w:val="003D50C4"/>
    <w:rsid w:val="003D57DF"/>
    <w:rsid w:val="003D746B"/>
    <w:rsid w:val="003D7841"/>
    <w:rsid w:val="003E3F00"/>
    <w:rsid w:val="003E43DC"/>
    <w:rsid w:val="003E5B88"/>
    <w:rsid w:val="003E5E49"/>
    <w:rsid w:val="003E5F12"/>
    <w:rsid w:val="003E607B"/>
    <w:rsid w:val="003E6363"/>
    <w:rsid w:val="003E6CE5"/>
    <w:rsid w:val="003F1263"/>
    <w:rsid w:val="003F2D27"/>
    <w:rsid w:val="003F2D85"/>
    <w:rsid w:val="003F3153"/>
    <w:rsid w:val="003F413B"/>
    <w:rsid w:val="003F5D2E"/>
    <w:rsid w:val="003F5D32"/>
    <w:rsid w:val="00400C2B"/>
    <w:rsid w:val="00404E81"/>
    <w:rsid w:val="0040572E"/>
    <w:rsid w:val="00407DCA"/>
    <w:rsid w:val="00410063"/>
    <w:rsid w:val="00410E65"/>
    <w:rsid w:val="00411A85"/>
    <w:rsid w:val="00412303"/>
    <w:rsid w:val="0041310D"/>
    <w:rsid w:val="00413774"/>
    <w:rsid w:val="00414EB1"/>
    <w:rsid w:val="004152A3"/>
    <w:rsid w:val="00417EF9"/>
    <w:rsid w:val="00424420"/>
    <w:rsid w:val="00424890"/>
    <w:rsid w:val="004248B0"/>
    <w:rsid w:val="00424BAC"/>
    <w:rsid w:val="004260F0"/>
    <w:rsid w:val="00426BD4"/>
    <w:rsid w:val="00426E7F"/>
    <w:rsid w:val="00426EFC"/>
    <w:rsid w:val="00431466"/>
    <w:rsid w:val="00432211"/>
    <w:rsid w:val="00433088"/>
    <w:rsid w:val="00434D89"/>
    <w:rsid w:val="0043563A"/>
    <w:rsid w:val="00442987"/>
    <w:rsid w:val="00442AE5"/>
    <w:rsid w:val="00443CD7"/>
    <w:rsid w:val="00443DC0"/>
    <w:rsid w:val="00445C54"/>
    <w:rsid w:val="0044608F"/>
    <w:rsid w:val="00446D68"/>
    <w:rsid w:val="0044714A"/>
    <w:rsid w:val="0044763A"/>
    <w:rsid w:val="00450C39"/>
    <w:rsid w:val="00450D06"/>
    <w:rsid w:val="00450E1E"/>
    <w:rsid w:val="0046192F"/>
    <w:rsid w:val="00461A44"/>
    <w:rsid w:val="00461BF9"/>
    <w:rsid w:val="004652AF"/>
    <w:rsid w:val="00466DB0"/>
    <w:rsid w:val="004671B8"/>
    <w:rsid w:val="00471355"/>
    <w:rsid w:val="004716F5"/>
    <w:rsid w:val="00471FF5"/>
    <w:rsid w:val="004730D6"/>
    <w:rsid w:val="00474107"/>
    <w:rsid w:val="00474E1B"/>
    <w:rsid w:val="004753CC"/>
    <w:rsid w:val="00477578"/>
    <w:rsid w:val="00477894"/>
    <w:rsid w:val="004800E3"/>
    <w:rsid w:val="00480ED1"/>
    <w:rsid w:val="00481BB7"/>
    <w:rsid w:val="00482BCA"/>
    <w:rsid w:val="004832EA"/>
    <w:rsid w:val="00485F11"/>
    <w:rsid w:val="00487D2B"/>
    <w:rsid w:val="004A071F"/>
    <w:rsid w:val="004A2A7D"/>
    <w:rsid w:val="004A3FA1"/>
    <w:rsid w:val="004A43C7"/>
    <w:rsid w:val="004A4EAC"/>
    <w:rsid w:val="004A66D8"/>
    <w:rsid w:val="004A6A93"/>
    <w:rsid w:val="004B1D11"/>
    <w:rsid w:val="004B2FFA"/>
    <w:rsid w:val="004B3664"/>
    <w:rsid w:val="004B4D72"/>
    <w:rsid w:val="004B6D0F"/>
    <w:rsid w:val="004B7CFF"/>
    <w:rsid w:val="004C1432"/>
    <w:rsid w:val="004C3C28"/>
    <w:rsid w:val="004C405C"/>
    <w:rsid w:val="004C4410"/>
    <w:rsid w:val="004C4747"/>
    <w:rsid w:val="004C58F2"/>
    <w:rsid w:val="004D1CC2"/>
    <w:rsid w:val="004D24F0"/>
    <w:rsid w:val="004D4956"/>
    <w:rsid w:val="004D585C"/>
    <w:rsid w:val="004D631D"/>
    <w:rsid w:val="004D6599"/>
    <w:rsid w:val="004D6A1C"/>
    <w:rsid w:val="004E081C"/>
    <w:rsid w:val="004E188A"/>
    <w:rsid w:val="004E195A"/>
    <w:rsid w:val="004E1D49"/>
    <w:rsid w:val="004E1EBD"/>
    <w:rsid w:val="004E3045"/>
    <w:rsid w:val="004E34DA"/>
    <w:rsid w:val="004E4E22"/>
    <w:rsid w:val="004E610C"/>
    <w:rsid w:val="004E6546"/>
    <w:rsid w:val="004E6650"/>
    <w:rsid w:val="004E7329"/>
    <w:rsid w:val="004E7FC2"/>
    <w:rsid w:val="004F1554"/>
    <w:rsid w:val="004F159F"/>
    <w:rsid w:val="004F35BD"/>
    <w:rsid w:val="004F40F6"/>
    <w:rsid w:val="004F7F08"/>
    <w:rsid w:val="005003E2"/>
    <w:rsid w:val="00502B31"/>
    <w:rsid w:val="00504139"/>
    <w:rsid w:val="00505B2D"/>
    <w:rsid w:val="00506C75"/>
    <w:rsid w:val="005071F7"/>
    <w:rsid w:val="00510BF8"/>
    <w:rsid w:val="00511448"/>
    <w:rsid w:val="00511485"/>
    <w:rsid w:val="00512160"/>
    <w:rsid w:val="005123A0"/>
    <w:rsid w:val="005132CB"/>
    <w:rsid w:val="005142FC"/>
    <w:rsid w:val="00514EC7"/>
    <w:rsid w:val="00515107"/>
    <w:rsid w:val="0051666D"/>
    <w:rsid w:val="00517B8C"/>
    <w:rsid w:val="00522F50"/>
    <w:rsid w:val="00523377"/>
    <w:rsid w:val="005233F3"/>
    <w:rsid w:val="0052398E"/>
    <w:rsid w:val="00524EAD"/>
    <w:rsid w:val="0052500D"/>
    <w:rsid w:val="00526905"/>
    <w:rsid w:val="00530C3B"/>
    <w:rsid w:val="00530DAC"/>
    <w:rsid w:val="00534A01"/>
    <w:rsid w:val="00535D77"/>
    <w:rsid w:val="00537668"/>
    <w:rsid w:val="005400BE"/>
    <w:rsid w:val="0054259B"/>
    <w:rsid w:val="00543618"/>
    <w:rsid w:val="005444D8"/>
    <w:rsid w:val="00545745"/>
    <w:rsid w:val="00551D45"/>
    <w:rsid w:val="00552E92"/>
    <w:rsid w:val="00553200"/>
    <w:rsid w:val="00554F3E"/>
    <w:rsid w:val="00555B56"/>
    <w:rsid w:val="00556826"/>
    <w:rsid w:val="00556A53"/>
    <w:rsid w:val="005647E3"/>
    <w:rsid w:val="005670DB"/>
    <w:rsid w:val="005705CB"/>
    <w:rsid w:val="00570EA1"/>
    <w:rsid w:val="00571956"/>
    <w:rsid w:val="00571E51"/>
    <w:rsid w:val="00571FBB"/>
    <w:rsid w:val="005741AB"/>
    <w:rsid w:val="0057462A"/>
    <w:rsid w:val="00575D0A"/>
    <w:rsid w:val="00575F6D"/>
    <w:rsid w:val="00577FBF"/>
    <w:rsid w:val="0058263A"/>
    <w:rsid w:val="00582762"/>
    <w:rsid w:val="00582AD2"/>
    <w:rsid w:val="00584F60"/>
    <w:rsid w:val="00585E88"/>
    <w:rsid w:val="005874D9"/>
    <w:rsid w:val="005909AA"/>
    <w:rsid w:val="005910AF"/>
    <w:rsid w:val="005928A2"/>
    <w:rsid w:val="00592CCF"/>
    <w:rsid w:val="005933AA"/>
    <w:rsid w:val="00594864"/>
    <w:rsid w:val="00595CE3"/>
    <w:rsid w:val="0059625A"/>
    <w:rsid w:val="0059646B"/>
    <w:rsid w:val="00596950"/>
    <w:rsid w:val="005A087B"/>
    <w:rsid w:val="005A0C45"/>
    <w:rsid w:val="005A0DDC"/>
    <w:rsid w:val="005A18BD"/>
    <w:rsid w:val="005A198F"/>
    <w:rsid w:val="005A1C96"/>
    <w:rsid w:val="005A1E2F"/>
    <w:rsid w:val="005A1E52"/>
    <w:rsid w:val="005A31C2"/>
    <w:rsid w:val="005A75C0"/>
    <w:rsid w:val="005B1854"/>
    <w:rsid w:val="005B24B9"/>
    <w:rsid w:val="005B28B0"/>
    <w:rsid w:val="005B2975"/>
    <w:rsid w:val="005B2B05"/>
    <w:rsid w:val="005B41A9"/>
    <w:rsid w:val="005B5E7C"/>
    <w:rsid w:val="005B61F3"/>
    <w:rsid w:val="005C0879"/>
    <w:rsid w:val="005C321B"/>
    <w:rsid w:val="005C4B6F"/>
    <w:rsid w:val="005C4C41"/>
    <w:rsid w:val="005C50FA"/>
    <w:rsid w:val="005C5EBC"/>
    <w:rsid w:val="005C62F2"/>
    <w:rsid w:val="005C755A"/>
    <w:rsid w:val="005D2996"/>
    <w:rsid w:val="005D2CDB"/>
    <w:rsid w:val="005D3044"/>
    <w:rsid w:val="005D4672"/>
    <w:rsid w:val="005D5F8F"/>
    <w:rsid w:val="005D6755"/>
    <w:rsid w:val="005D79C9"/>
    <w:rsid w:val="005E0A78"/>
    <w:rsid w:val="005E0C58"/>
    <w:rsid w:val="005E0EED"/>
    <w:rsid w:val="005E1699"/>
    <w:rsid w:val="005E1FF6"/>
    <w:rsid w:val="005E2096"/>
    <w:rsid w:val="005E28D0"/>
    <w:rsid w:val="005E391F"/>
    <w:rsid w:val="005E6D38"/>
    <w:rsid w:val="005E7A41"/>
    <w:rsid w:val="005F2412"/>
    <w:rsid w:val="005F2AFF"/>
    <w:rsid w:val="005F32E1"/>
    <w:rsid w:val="0060012A"/>
    <w:rsid w:val="00603BC3"/>
    <w:rsid w:val="006047B0"/>
    <w:rsid w:val="00605606"/>
    <w:rsid w:val="006116D9"/>
    <w:rsid w:val="00611F7B"/>
    <w:rsid w:val="0061267F"/>
    <w:rsid w:val="0061343B"/>
    <w:rsid w:val="0061482B"/>
    <w:rsid w:val="00615ACE"/>
    <w:rsid w:val="00616128"/>
    <w:rsid w:val="00617A7D"/>
    <w:rsid w:val="00621472"/>
    <w:rsid w:val="00624572"/>
    <w:rsid w:val="00625CD1"/>
    <w:rsid w:val="0062616C"/>
    <w:rsid w:val="00633819"/>
    <w:rsid w:val="00633D8C"/>
    <w:rsid w:val="0063625B"/>
    <w:rsid w:val="00637502"/>
    <w:rsid w:val="00637CDE"/>
    <w:rsid w:val="0064172C"/>
    <w:rsid w:val="0064254A"/>
    <w:rsid w:val="00642E97"/>
    <w:rsid w:val="00643B53"/>
    <w:rsid w:val="00645D1D"/>
    <w:rsid w:val="00645D31"/>
    <w:rsid w:val="00645E39"/>
    <w:rsid w:val="006500E8"/>
    <w:rsid w:val="006509C1"/>
    <w:rsid w:val="00650ED7"/>
    <w:rsid w:val="00661A54"/>
    <w:rsid w:val="006645A6"/>
    <w:rsid w:val="00664F82"/>
    <w:rsid w:val="00665BCC"/>
    <w:rsid w:val="00673397"/>
    <w:rsid w:val="00673904"/>
    <w:rsid w:val="0067630B"/>
    <w:rsid w:val="00677422"/>
    <w:rsid w:val="006805B5"/>
    <w:rsid w:val="00680D82"/>
    <w:rsid w:val="0068355B"/>
    <w:rsid w:val="006838A5"/>
    <w:rsid w:val="006857BD"/>
    <w:rsid w:val="00685B83"/>
    <w:rsid w:val="006868C6"/>
    <w:rsid w:val="006900D5"/>
    <w:rsid w:val="0069042B"/>
    <w:rsid w:val="00691A62"/>
    <w:rsid w:val="00692BF1"/>
    <w:rsid w:val="00694942"/>
    <w:rsid w:val="00695A80"/>
    <w:rsid w:val="00695D91"/>
    <w:rsid w:val="00696829"/>
    <w:rsid w:val="00696FE3"/>
    <w:rsid w:val="006A691A"/>
    <w:rsid w:val="006A7185"/>
    <w:rsid w:val="006A75CE"/>
    <w:rsid w:val="006A7C92"/>
    <w:rsid w:val="006B0C00"/>
    <w:rsid w:val="006B242A"/>
    <w:rsid w:val="006B33FE"/>
    <w:rsid w:val="006B3AD7"/>
    <w:rsid w:val="006B6E39"/>
    <w:rsid w:val="006C0440"/>
    <w:rsid w:val="006C0F1A"/>
    <w:rsid w:val="006C2836"/>
    <w:rsid w:val="006C3E31"/>
    <w:rsid w:val="006C47BC"/>
    <w:rsid w:val="006C679F"/>
    <w:rsid w:val="006C7020"/>
    <w:rsid w:val="006C72BD"/>
    <w:rsid w:val="006C7C5D"/>
    <w:rsid w:val="006D12F4"/>
    <w:rsid w:val="006D3004"/>
    <w:rsid w:val="006D353C"/>
    <w:rsid w:val="006D3776"/>
    <w:rsid w:val="006D590E"/>
    <w:rsid w:val="006D5FF7"/>
    <w:rsid w:val="006E088F"/>
    <w:rsid w:val="006E208D"/>
    <w:rsid w:val="006E4562"/>
    <w:rsid w:val="006E731C"/>
    <w:rsid w:val="006E7B5F"/>
    <w:rsid w:val="006F0B15"/>
    <w:rsid w:val="006F1601"/>
    <w:rsid w:val="006F1F00"/>
    <w:rsid w:val="006F231E"/>
    <w:rsid w:val="006F2A74"/>
    <w:rsid w:val="006F4291"/>
    <w:rsid w:val="006F7540"/>
    <w:rsid w:val="00700441"/>
    <w:rsid w:val="007005BB"/>
    <w:rsid w:val="007008DD"/>
    <w:rsid w:val="00700C14"/>
    <w:rsid w:val="007014C3"/>
    <w:rsid w:val="007016A1"/>
    <w:rsid w:val="007024C2"/>
    <w:rsid w:val="0070654A"/>
    <w:rsid w:val="00707E86"/>
    <w:rsid w:val="00711793"/>
    <w:rsid w:val="00713941"/>
    <w:rsid w:val="00714EDE"/>
    <w:rsid w:val="007154DB"/>
    <w:rsid w:val="007178B5"/>
    <w:rsid w:val="007203B8"/>
    <w:rsid w:val="0072109F"/>
    <w:rsid w:val="0072118E"/>
    <w:rsid w:val="0072187C"/>
    <w:rsid w:val="0072194C"/>
    <w:rsid w:val="00723B2F"/>
    <w:rsid w:val="007258C1"/>
    <w:rsid w:val="00726700"/>
    <w:rsid w:val="00726FA6"/>
    <w:rsid w:val="00731C32"/>
    <w:rsid w:val="00732737"/>
    <w:rsid w:val="00733EF7"/>
    <w:rsid w:val="00735297"/>
    <w:rsid w:val="007370D9"/>
    <w:rsid w:val="0074082F"/>
    <w:rsid w:val="00740BDF"/>
    <w:rsid w:val="007411E6"/>
    <w:rsid w:val="007427CC"/>
    <w:rsid w:val="007436AC"/>
    <w:rsid w:val="007468B5"/>
    <w:rsid w:val="00751DB0"/>
    <w:rsid w:val="007523DF"/>
    <w:rsid w:val="007523F9"/>
    <w:rsid w:val="00753B88"/>
    <w:rsid w:val="007548E5"/>
    <w:rsid w:val="00754BF4"/>
    <w:rsid w:val="00754CE4"/>
    <w:rsid w:val="00754D71"/>
    <w:rsid w:val="0075562D"/>
    <w:rsid w:val="0075572E"/>
    <w:rsid w:val="007617B9"/>
    <w:rsid w:val="00763306"/>
    <w:rsid w:val="007644A9"/>
    <w:rsid w:val="00765410"/>
    <w:rsid w:val="00766194"/>
    <w:rsid w:val="007668B9"/>
    <w:rsid w:val="00767641"/>
    <w:rsid w:val="00767F19"/>
    <w:rsid w:val="007701E1"/>
    <w:rsid w:val="00770681"/>
    <w:rsid w:val="007715EC"/>
    <w:rsid w:val="007735B7"/>
    <w:rsid w:val="00774173"/>
    <w:rsid w:val="00776A8D"/>
    <w:rsid w:val="007770B5"/>
    <w:rsid w:val="00777B4F"/>
    <w:rsid w:val="0078087C"/>
    <w:rsid w:val="00781045"/>
    <w:rsid w:val="00783F4A"/>
    <w:rsid w:val="00786557"/>
    <w:rsid w:val="0078729F"/>
    <w:rsid w:val="0078761E"/>
    <w:rsid w:val="00787CFE"/>
    <w:rsid w:val="00791A70"/>
    <w:rsid w:val="00792D9A"/>
    <w:rsid w:val="00793D3C"/>
    <w:rsid w:val="00793EFE"/>
    <w:rsid w:val="007941FF"/>
    <w:rsid w:val="00795366"/>
    <w:rsid w:val="0079615B"/>
    <w:rsid w:val="0079689C"/>
    <w:rsid w:val="007A04FF"/>
    <w:rsid w:val="007A1A1C"/>
    <w:rsid w:val="007A2B70"/>
    <w:rsid w:val="007A58DC"/>
    <w:rsid w:val="007A637E"/>
    <w:rsid w:val="007A7157"/>
    <w:rsid w:val="007A76D9"/>
    <w:rsid w:val="007B1D68"/>
    <w:rsid w:val="007B1DA3"/>
    <w:rsid w:val="007B2D4B"/>
    <w:rsid w:val="007B44FB"/>
    <w:rsid w:val="007B4EAF"/>
    <w:rsid w:val="007B5AC9"/>
    <w:rsid w:val="007B78C4"/>
    <w:rsid w:val="007C194E"/>
    <w:rsid w:val="007C31CA"/>
    <w:rsid w:val="007C3894"/>
    <w:rsid w:val="007C3F8F"/>
    <w:rsid w:val="007C4BF5"/>
    <w:rsid w:val="007C6003"/>
    <w:rsid w:val="007C7325"/>
    <w:rsid w:val="007D0A8F"/>
    <w:rsid w:val="007D20DE"/>
    <w:rsid w:val="007D2E94"/>
    <w:rsid w:val="007D3211"/>
    <w:rsid w:val="007D332D"/>
    <w:rsid w:val="007D457F"/>
    <w:rsid w:val="007D5437"/>
    <w:rsid w:val="007D66EE"/>
    <w:rsid w:val="007D67CD"/>
    <w:rsid w:val="007D6B97"/>
    <w:rsid w:val="007D7361"/>
    <w:rsid w:val="007D7C3B"/>
    <w:rsid w:val="007E384F"/>
    <w:rsid w:val="007E4CC2"/>
    <w:rsid w:val="007E7832"/>
    <w:rsid w:val="007F0385"/>
    <w:rsid w:val="007F0C35"/>
    <w:rsid w:val="007F2259"/>
    <w:rsid w:val="007F461E"/>
    <w:rsid w:val="007F51E6"/>
    <w:rsid w:val="007F63EC"/>
    <w:rsid w:val="00800771"/>
    <w:rsid w:val="00803DCD"/>
    <w:rsid w:val="00806DC2"/>
    <w:rsid w:val="00812426"/>
    <w:rsid w:val="0081322F"/>
    <w:rsid w:val="008133E7"/>
    <w:rsid w:val="008140D9"/>
    <w:rsid w:val="0081716D"/>
    <w:rsid w:val="00820FC2"/>
    <w:rsid w:val="008228F2"/>
    <w:rsid w:val="00825BB8"/>
    <w:rsid w:val="00825F73"/>
    <w:rsid w:val="00826473"/>
    <w:rsid w:val="008272CC"/>
    <w:rsid w:val="0082771F"/>
    <w:rsid w:val="00827B44"/>
    <w:rsid w:val="00827E01"/>
    <w:rsid w:val="00831684"/>
    <w:rsid w:val="00832D2B"/>
    <w:rsid w:val="00833241"/>
    <w:rsid w:val="00833FE3"/>
    <w:rsid w:val="00834374"/>
    <w:rsid w:val="008348BB"/>
    <w:rsid w:val="00835A5A"/>
    <w:rsid w:val="00836437"/>
    <w:rsid w:val="008411A0"/>
    <w:rsid w:val="008413A4"/>
    <w:rsid w:val="0084198E"/>
    <w:rsid w:val="008422B5"/>
    <w:rsid w:val="00844E1D"/>
    <w:rsid w:val="00850421"/>
    <w:rsid w:val="00850B06"/>
    <w:rsid w:val="0085209A"/>
    <w:rsid w:val="00854329"/>
    <w:rsid w:val="00854D98"/>
    <w:rsid w:val="00855AB5"/>
    <w:rsid w:val="00855B3F"/>
    <w:rsid w:val="0085671D"/>
    <w:rsid w:val="008567F8"/>
    <w:rsid w:val="00860C32"/>
    <w:rsid w:val="00864085"/>
    <w:rsid w:val="00864559"/>
    <w:rsid w:val="00864E9D"/>
    <w:rsid w:val="008674E2"/>
    <w:rsid w:val="008678E3"/>
    <w:rsid w:val="00871E16"/>
    <w:rsid w:val="00871E96"/>
    <w:rsid w:val="00873EDC"/>
    <w:rsid w:val="00876DFA"/>
    <w:rsid w:val="00876FF6"/>
    <w:rsid w:val="00877845"/>
    <w:rsid w:val="00880F25"/>
    <w:rsid w:val="00881A35"/>
    <w:rsid w:val="00881A66"/>
    <w:rsid w:val="00882395"/>
    <w:rsid w:val="008831F9"/>
    <w:rsid w:val="00885BEB"/>
    <w:rsid w:val="00887601"/>
    <w:rsid w:val="008900A7"/>
    <w:rsid w:val="00891188"/>
    <w:rsid w:val="00891A1C"/>
    <w:rsid w:val="00892473"/>
    <w:rsid w:val="00895CA0"/>
    <w:rsid w:val="0089696D"/>
    <w:rsid w:val="008A018F"/>
    <w:rsid w:val="008A04A8"/>
    <w:rsid w:val="008A1EC7"/>
    <w:rsid w:val="008A2D4A"/>
    <w:rsid w:val="008A31B3"/>
    <w:rsid w:val="008A3E76"/>
    <w:rsid w:val="008A5998"/>
    <w:rsid w:val="008A59EE"/>
    <w:rsid w:val="008A6FB1"/>
    <w:rsid w:val="008A71FF"/>
    <w:rsid w:val="008A7DC6"/>
    <w:rsid w:val="008B1068"/>
    <w:rsid w:val="008B3D85"/>
    <w:rsid w:val="008C2E99"/>
    <w:rsid w:val="008C2F72"/>
    <w:rsid w:val="008C688B"/>
    <w:rsid w:val="008C781D"/>
    <w:rsid w:val="008D16B2"/>
    <w:rsid w:val="008D2943"/>
    <w:rsid w:val="008D3D16"/>
    <w:rsid w:val="008D75E5"/>
    <w:rsid w:val="008E0088"/>
    <w:rsid w:val="008E182C"/>
    <w:rsid w:val="008E1A3A"/>
    <w:rsid w:val="008E3A8E"/>
    <w:rsid w:val="008E3C28"/>
    <w:rsid w:val="008E4002"/>
    <w:rsid w:val="008E4C5C"/>
    <w:rsid w:val="008E4D98"/>
    <w:rsid w:val="008E5853"/>
    <w:rsid w:val="008E58D2"/>
    <w:rsid w:val="008E65A7"/>
    <w:rsid w:val="008F22C0"/>
    <w:rsid w:val="008F28EB"/>
    <w:rsid w:val="008F2A28"/>
    <w:rsid w:val="008F3534"/>
    <w:rsid w:val="008F45BF"/>
    <w:rsid w:val="008F4CDA"/>
    <w:rsid w:val="008F4F08"/>
    <w:rsid w:val="008F5408"/>
    <w:rsid w:val="008F7BE4"/>
    <w:rsid w:val="009011F4"/>
    <w:rsid w:val="00904273"/>
    <w:rsid w:val="00906930"/>
    <w:rsid w:val="00910061"/>
    <w:rsid w:val="00910AB9"/>
    <w:rsid w:val="00912486"/>
    <w:rsid w:val="00913509"/>
    <w:rsid w:val="0091383D"/>
    <w:rsid w:val="00914FD0"/>
    <w:rsid w:val="009160EF"/>
    <w:rsid w:val="0091614D"/>
    <w:rsid w:val="009176B9"/>
    <w:rsid w:val="00920C97"/>
    <w:rsid w:val="009258CB"/>
    <w:rsid w:val="009270C6"/>
    <w:rsid w:val="00927E90"/>
    <w:rsid w:val="009305FA"/>
    <w:rsid w:val="00930F24"/>
    <w:rsid w:val="00934D13"/>
    <w:rsid w:val="00936920"/>
    <w:rsid w:val="00936F72"/>
    <w:rsid w:val="00940441"/>
    <w:rsid w:val="00942D3E"/>
    <w:rsid w:val="00942FDC"/>
    <w:rsid w:val="00943283"/>
    <w:rsid w:val="009447EF"/>
    <w:rsid w:val="00952FD0"/>
    <w:rsid w:val="009541D2"/>
    <w:rsid w:val="00954F7A"/>
    <w:rsid w:val="00955945"/>
    <w:rsid w:val="009567BD"/>
    <w:rsid w:val="00960B04"/>
    <w:rsid w:val="009615D1"/>
    <w:rsid w:val="00961F1B"/>
    <w:rsid w:val="009635A9"/>
    <w:rsid w:val="00964515"/>
    <w:rsid w:val="0096535E"/>
    <w:rsid w:val="00965CDD"/>
    <w:rsid w:val="009665F8"/>
    <w:rsid w:val="00966E96"/>
    <w:rsid w:val="009675DB"/>
    <w:rsid w:val="00967B83"/>
    <w:rsid w:val="00971259"/>
    <w:rsid w:val="0097249A"/>
    <w:rsid w:val="00972D65"/>
    <w:rsid w:val="00973484"/>
    <w:rsid w:val="0097519A"/>
    <w:rsid w:val="00981A20"/>
    <w:rsid w:val="00984695"/>
    <w:rsid w:val="00984D34"/>
    <w:rsid w:val="009860CC"/>
    <w:rsid w:val="00987FA5"/>
    <w:rsid w:val="00991BBD"/>
    <w:rsid w:val="00991DEE"/>
    <w:rsid w:val="00993F23"/>
    <w:rsid w:val="00995A49"/>
    <w:rsid w:val="00995B24"/>
    <w:rsid w:val="009A1F6C"/>
    <w:rsid w:val="009A27D1"/>
    <w:rsid w:val="009A62BC"/>
    <w:rsid w:val="009B05CD"/>
    <w:rsid w:val="009B1976"/>
    <w:rsid w:val="009B40A2"/>
    <w:rsid w:val="009B5B01"/>
    <w:rsid w:val="009B624B"/>
    <w:rsid w:val="009B7CC1"/>
    <w:rsid w:val="009C08C3"/>
    <w:rsid w:val="009C1E6A"/>
    <w:rsid w:val="009C2781"/>
    <w:rsid w:val="009C36D4"/>
    <w:rsid w:val="009C550E"/>
    <w:rsid w:val="009C62EB"/>
    <w:rsid w:val="009D2286"/>
    <w:rsid w:val="009D32FA"/>
    <w:rsid w:val="009D5201"/>
    <w:rsid w:val="009D57B2"/>
    <w:rsid w:val="009D5F80"/>
    <w:rsid w:val="009D62CB"/>
    <w:rsid w:val="009D6752"/>
    <w:rsid w:val="009E0E69"/>
    <w:rsid w:val="009E5BB4"/>
    <w:rsid w:val="009E6AC4"/>
    <w:rsid w:val="009E773A"/>
    <w:rsid w:val="009E7D48"/>
    <w:rsid w:val="009F21A3"/>
    <w:rsid w:val="009F3079"/>
    <w:rsid w:val="009F38B7"/>
    <w:rsid w:val="009F4A1D"/>
    <w:rsid w:val="009F580A"/>
    <w:rsid w:val="00A02CB7"/>
    <w:rsid w:val="00A0379A"/>
    <w:rsid w:val="00A043B7"/>
    <w:rsid w:val="00A04FA3"/>
    <w:rsid w:val="00A05C20"/>
    <w:rsid w:val="00A06797"/>
    <w:rsid w:val="00A07060"/>
    <w:rsid w:val="00A07118"/>
    <w:rsid w:val="00A0776D"/>
    <w:rsid w:val="00A07E13"/>
    <w:rsid w:val="00A11298"/>
    <w:rsid w:val="00A161D4"/>
    <w:rsid w:val="00A16923"/>
    <w:rsid w:val="00A17767"/>
    <w:rsid w:val="00A17B90"/>
    <w:rsid w:val="00A17F16"/>
    <w:rsid w:val="00A20501"/>
    <w:rsid w:val="00A2259B"/>
    <w:rsid w:val="00A23D77"/>
    <w:rsid w:val="00A24A58"/>
    <w:rsid w:val="00A24AAB"/>
    <w:rsid w:val="00A25967"/>
    <w:rsid w:val="00A25F03"/>
    <w:rsid w:val="00A3181A"/>
    <w:rsid w:val="00A328E0"/>
    <w:rsid w:val="00A37526"/>
    <w:rsid w:val="00A41C23"/>
    <w:rsid w:val="00A43900"/>
    <w:rsid w:val="00A43CA5"/>
    <w:rsid w:val="00A445B9"/>
    <w:rsid w:val="00A44607"/>
    <w:rsid w:val="00A45077"/>
    <w:rsid w:val="00A50885"/>
    <w:rsid w:val="00A50E76"/>
    <w:rsid w:val="00A51833"/>
    <w:rsid w:val="00A53AFD"/>
    <w:rsid w:val="00A55E3C"/>
    <w:rsid w:val="00A56C5F"/>
    <w:rsid w:val="00A578EA"/>
    <w:rsid w:val="00A60E4D"/>
    <w:rsid w:val="00A61266"/>
    <w:rsid w:val="00A634D6"/>
    <w:rsid w:val="00A64BB8"/>
    <w:rsid w:val="00A65968"/>
    <w:rsid w:val="00A71040"/>
    <w:rsid w:val="00A71425"/>
    <w:rsid w:val="00A74C33"/>
    <w:rsid w:val="00A7558D"/>
    <w:rsid w:val="00A76190"/>
    <w:rsid w:val="00A769A5"/>
    <w:rsid w:val="00A76C2E"/>
    <w:rsid w:val="00A77923"/>
    <w:rsid w:val="00A80482"/>
    <w:rsid w:val="00A80AB6"/>
    <w:rsid w:val="00A83F43"/>
    <w:rsid w:val="00A90433"/>
    <w:rsid w:val="00A93033"/>
    <w:rsid w:val="00A93FBB"/>
    <w:rsid w:val="00A94C23"/>
    <w:rsid w:val="00A95255"/>
    <w:rsid w:val="00A9667F"/>
    <w:rsid w:val="00AA1482"/>
    <w:rsid w:val="00AA3D4A"/>
    <w:rsid w:val="00AA742F"/>
    <w:rsid w:val="00AA7F8E"/>
    <w:rsid w:val="00AB0095"/>
    <w:rsid w:val="00AB2F8E"/>
    <w:rsid w:val="00AB3969"/>
    <w:rsid w:val="00AB42A1"/>
    <w:rsid w:val="00AB6D8E"/>
    <w:rsid w:val="00AB768C"/>
    <w:rsid w:val="00AC05B1"/>
    <w:rsid w:val="00AC1204"/>
    <w:rsid w:val="00AC2ACA"/>
    <w:rsid w:val="00AC671D"/>
    <w:rsid w:val="00AD08B0"/>
    <w:rsid w:val="00AD1243"/>
    <w:rsid w:val="00AD2DE9"/>
    <w:rsid w:val="00AD4E4F"/>
    <w:rsid w:val="00AD5E86"/>
    <w:rsid w:val="00AD7E39"/>
    <w:rsid w:val="00AE1607"/>
    <w:rsid w:val="00AE296A"/>
    <w:rsid w:val="00AE2AAB"/>
    <w:rsid w:val="00AE2C54"/>
    <w:rsid w:val="00AE36F6"/>
    <w:rsid w:val="00AE73FF"/>
    <w:rsid w:val="00AE7D77"/>
    <w:rsid w:val="00AF1B3F"/>
    <w:rsid w:val="00AF3431"/>
    <w:rsid w:val="00AF3C80"/>
    <w:rsid w:val="00AF7599"/>
    <w:rsid w:val="00B01894"/>
    <w:rsid w:val="00B06302"/>
    <w:rsid w:val="00B06332"/>
    <w:rsid w:val="00B10585"/>
    <w:rsid w:val="00B106E8"/>
    <w:rsid w:val="00B108F8"/>
    <w:rsid w:val="00B112BE"/>
    <w:rsid w:val="00B11682"/>
    <w:rsid w:val="00B11D32"/>
    <w:rsid w:val="00B1381E"/>
    <w:rsid w:val="00B143E6"/>
    <w:rsid w:val="00B14D16"/>
    <w:rsid w:val="00B14E17"/>
    <w:rsid w:val="00B15799"/>
    <w:rsid w:val="00B2097C"/>
    <w:rsid w:val="00B23546"/>
    <w:rsid w:val="00B24C68"/>
    <w:rsid w:val="00B254CB"/>
    <w:rsid w:val="00B2575C"/>
    <w:rsid w:val="00B30BC6"/>
    <w:rsid w:val="00B31FF2"/>
    <w:rsid w:val="00B33197"/>
    <w:rsid w:val="00B33AC6"/>
    <w:rsid w:val="00B33CFB"/>
    <w:rsid w:val="00B35FC0"/>
    <w:rsid w:val="00B405F8"/>
    <w:rsid w:val="00B40E12"/>
    <w:rsid w:val="00B412D4"/>
    <w:rsid w:val="00B434E0"/>
    <w:rsid w:val="00B461DD"/>
    <w:rsid w:val="00B46484"/>
    <w:rsid w:val="00B47255"/>
    <w:rsid w:val="00B4736F"/>
    <w:rsid w:val="00B53B0F"/>
    <w:rsid w:val="00B54027"/>
    <w:rsid w:val="00B546B3"/>
    <w:rsid w:val="00B55C01"/>
    <w:rsid w:val="00B57B0A"/>
    <w:rsid w:val="00B61FC6"/>
    <w:rsid w:val="00B6220A"/>
    <w:rsid w:val="00B6298C"/>
    <w:rsid w:val="00B70C4E"/>
    <w:rsid w:val="00B723B4"/>
    <w:rsid w:val="00B748DB"/>
    <w:rsid w:val="00B75DDD"/>
    <w:rsid w:val="00B77784"/>
    <w:rsid w:val="00B80BE0"/>
    <w:rsid w:val="00B81BCD"/>
    <w:rsid w:val="00B82A6E"/>
    <w:rsid w:val="00B82E68"/>
    <w:rsid w:val="00B834B6"/>
    <w:rsid w:val="00B8479A"/>
    <w:rsid w:val="00B84C9C"/>
    <w:rsid w:val="00B853E1"/>
    <w:rsid w:val="00B8559C"/>
    <w:rsid w:val="00B87F4B"/>
    <w:rsid w:val="00B911DC"/>
    <w:rsid w:val="00B919B0"/>
    <w:rsid w:val="00B92B0E"/>
    <w:rsid w:val="00B92F6F"/>
    <w:rsid w:val="00B92FA8"/>
    <w:rsid w:val="00B95255"/>
    <w:rsid w:val="00B95602"/>
    <w:rsid w:val="00B96B90"/>
    <w:rsid w:val="00B97208"/>
    <w:rsid w:val="00BA08D1"/>
    <w:rsid w:val="00BA15E2"/>
    <w:rsid w:val="00BA4767"/>
    <w:rsid w:val="00BA519E"/>
    <w:rsid w:val="00BA5E15"/>
    <w:rsid w:val="00BA75DB"/>
    <w:rsid w:val="00BA7639"/>
    <w:rsid w:val="00BB10CE"/>
    <w:rsid w:val="00BB20FC"/>
    <w:rsid w:val="00BB25DB"/>
    <w:rsid w:val="00BB28DB"/>
    <w:rsid w:val="00BC0F77"/>
    <w:rsid w:val="00BC1F2D"/>
    <w:rsid w:val="00BC43B5"/>
    <w:rsid w:val="00BC66A6"/>
    <w:rsid w:val="00BD01FA"/>
    <w:rsid w:val="00BD0B60"/>
    <w:rsid w:val="00BD134E"/>
    <w:rsid w:val="00BD22BD"/>
    <w:rsid w:val="00BD33B3"/>
    <w:rsid w:val="00BD365E"/>
    <w:rsid w:val="00BD4CAF"/>
    <w:rsid w:val="00BD5A4A"/>
    <w:rsid w:val="00BD65E1"/>
    <w:rsid w:val="00BD7845"/>
    <w:rsid w:val="00BE2CA8"/>
    <w:rsid w:val="00BE2D64"/>
    <w:rsid w:val="00BE328B"/>
    <w:rsid w:val="00BE51BD"/>
    <w:rsid w:val="00BE5628"/>
    <w:rsid w:val="00BE570C"/>
    <w:rsid w:val="00BE6454"/>
    <w:rsid w:val="00BE65C5"/>
    <w:rsid w:val="00BE6A10"/>
    <w:rsid w:val="00BE6DC4"/>
    <w:rsid w:val="00BE741C"/>
    <w:rsid w:val="00BE76F7"/>
    <w:rsid w:val="00BF0C6D"/>
    <w:rsid w:val="00BF4EDC"/>
    <w:rsid w:val="00BF670A"/>
    <w:rsid w:val="00BF6B64"/>
    <w:rsid w:val="00C023E1"/>
    <w:rsid w:val="00C04017"/>
    <w:rsid w:val="00C0493C"/>
    <w:rsid w:val="00C04994"/>
    <w:rsid w:val="00C06511"/>
    <w:rsid w:val="00C10558"/>
    <w:rsid w:val="00C11CCD"/>
    <w:rsid w:val="00C16168"/>
    <w:rsid w:val="00C16478"/>
    <w:rsid w:val="00C1654C"/>
    <w:rsid w:val="00C17F2E"/>
    <w:rsid w:val="00C20CE4"/>
    <w:rsid w:val="00C20CEB"/>
    <w:rsid w:val="00C22506"/>
    <w:rsid w:val="00C24AC9"/>
    <w:rsid w:val="00C253B6"/>
    <w:rsid w:val="00C25759"/>
    <w:rsid w:val="00C275CB"/>
    <w:rsid w:val="00C321E6"/>
    <w:rsid w:val="00C3269D"/>
    <w:rsid w:val="00C326E2"/>
    <w:rsid w:val="00C3354D"/>
    <w:rsid w:val="00C3363D"/>
    <w:rsid w:val="00C34C84"/>
    <w:rsid w:val="00C35820"/>
    <w:rsid w:val="00C362CB"/>
    <w:rsid w:val="00C406F6"/>
    <w:rsid w:val="00C40CC7"/>
    <w:rsid w:val="00C41A88"/>
    <w:rsid w:val="00C420C2"/>
    <w:rsid w:val="00C4228E"/>
    <w:rsid w:val="00C436B7"/>
    <w:rsid w:val="00C43991"/>
    <w:rsid w:val="00C46772"/>
    <w:rsid w:val="00C46FE7"/>
    <w:rsid w:val="00C475A5"/>
    <w:rsid w:val="00C50628"/>
    <w:rsid w:val="00C5111C"/>
    <w:rsid w:val="00C61FD0"/>
    <w:rsid w:val="00C63435"/>
    <w:rsid w:val="00C6523A"/>
    <w:rsid w:val="00C65BE7"/>
    <w:rsid w:val="00C65D89"/>
    <w:rsid w:val="00C672E4"/>
    <w:rsid w:val="00C70E30"/>
    <w:rsid w:val="00C711AD"/>
    <w:rsid w:val="00C71507"/>
    <w:rsid w:val="00C73B8A"/>
    <w:rsid w:val="00C73DA7"/>
    <w:rsid w:val="00C74121"/>
    <w:rsid w:val="00C74489"/>
    <w:rsid w:val="00C7514B"/>
    <w:rsid w:val="00C76AE0"/>
    <w:rsid w:val="00C82302"/>
    <w:rsid w:val="00C82A42"/>
    <w:rsid w:val="00C83992"/>
    <w:rsid w:val="00C83E31"/>
    <w:rsid w:val="00C85085"/>
    <w:rsid w:val="00C85930"/>
    <w:rsid w:val="00C86A1F"/>
    <w:rsid w:val="00C86B32"/>
    <w:rsid w:val="00C86CE3"/>
    <w:rsid w:val="00C900A1"/>
    <w:rsid w:val="00C9116E"/>
    <w:rsid w:val="00C91B78"/>
    <w:rsid w:val="00C93B64"/>
    <w:rsid w:val="00C95BBB"/>
    <w:rsid w:val="00C95C43"/>
    <w:rsid w:val="00C95E59"/>
    <w:rsid w:val="00C95E85"/>
    <w:rsid w:val="00C96A4A"/>
    <w:rsid w:val="00C976EB"/>
    <w:rsid w:val="00C977BA"/>
    <w:rsid w:val="00CA030E"/>
    <w:rsid w:val="00CA05AC"/>
    <w:rsid w:val="00CA2999"/>
    <w:rsid w:val="00CA2DB2"/>
    <w:rsid w:val="00CA45C7"/>
    <w:rsid w:val="00CA5437"/>
    <w:rsid w:val="00CA61E0"/>
    <w:rsid w:val="00CA7A9A"/>
    <w:rsid w:val="00CA7A9F"/>
    <w:rsid w:val="00CB02CC"/>
    <w:rsid w:val="00CB16DC"/>
    <w:rsid w:val="00CB1706"/>
    <w:rsid w:val="00CB2E97"/>
    <w:rsid w:val="00CB49EE"/>
    <w:rsid w:val="00CB5A53"/>
    <w:rsid w:val="00CB5D83"/>
    <w:rsid w:val="00CB64D5"/>
    <w:rsid w:val="00CB73A3"/>
    <w:rsid w:val="00CB7D91"/>
    <w:rsid w:val="00CC07DC"/>
    <w:rsid w:val="00CC1028"/>
    <w:rsid w:val="00CC18CB"/>
    <w:rsid w:val="00CC2E59"/>
    <w:rsid w:val="00CC31DD"/>
    <w:rsid w:val="00CC5121"/>
    <w:rsid w:val="00CC5142"/>
    <w:rsid w:val="00CC5456"/>
    <w:rsid w:val="00CC71AA"/>
    <w:rsid w:val="00CD0297"/>
    <w:rsid w:val="00CD23D1"/>
    <w:rsid w:val="00CD43E8"/>
    <w:rsid w:val="00CD544A"/>
    <w:rsid w:val="00CD6CBC"/>
    <w:rsid w:val="00CE05A8"/>
    <w:rsid w:val="00CE07D3"/>
    <w:rsid w:val="00CE0CF1"/>
    <w:rsid w:val="00CE1764"/>
    <w:rsid w:val="00CE20A9"/>
    <w:rsid w:val="00CE31E0"/>
    <w:rsid w:val="00CE3A8B"/>
    <w:rsid w:val="00CE3AFC"/>
    <w:rsid w:val="00CE436D"/>
    <w:rsid w:val="00CE4463"/>
    <w:rsid w:val="00CE74AD"/>
    <w:rsid w:val="00CE7C5E"/>
    <w:rsid w:val="00CF1BA5"/>
    <w:rsid w:val="00CF4F42"/>
    <w:rsid w:val="00CF51E6"/>
    <w:rsid w:val="00CF5595"/>
    <w:rsid w:val="00CF7673"/>
    <w:rsid w:val="00D00C51"/>
    <w:rsid w:val="00D00D72"/>
    <w:rsid w:val="00D012AB"/>
    <w:rsid w:val="00D02663"/>
    <w:rsid w:val="00D02805"/>
    <w:rsid w:val="00D03CCF"/>
    <w:rsid w:val="00D046D7"/>
    <w:rsid w:val="00D04CA8"/>
    <w:rsid w:val="00D05405"/>
    <w:rsid w:val="00D05A00"/>
    <w:rsid w:val="00D05B04"/>
    <w:rsid w:val="00D1143A"/>
    <w:rsid w:val="00D11A4B"/>
    <w:rsid w:val="00D1245F"/>
    <w:rsid w:val="00D12FD2"/>
    <w:rsid w:val="00D14759"/>
    <w:rsid w:val="00D15F7D"/>
    <w:rsid w:val="00D16215"/>
    <w:rsid w:val="00D16872"/>
    <w:rsid w:val="00D17636"/>
    <w:rsid w:val="00D176A8"/>
    <w:rsid w:val="00D17959"/>
    <w:rsid w:val="00D1796A"/>
    <w:rsid w:val="00D207F2"/>
    <w:rsid w:val="00D20976"/>
    <w:rsid w:val="00D20E5D"/>
    <w:rsid w:val="00D20F6C"/>
    <w:rsid w:val="00D211A9"/>
    <w:rsid w:val="00D211ED"/>
    <w:rsid w:val="00D231D1"/>
    <w:rsid w:val="00D241EA"/>
    <w:rsid w:val="00D264C6"/>
    <w:rsid w:val="00D26D7A"/>
    <w:rsid w:val="00D27698"/>
    <w:rsid w:val="00D30126"/>
    <w:rsid w:val="00D30C5A"/>
    <w:rsid w:val="00D30EAC"/>
    <w:rsid w:val="00D34307"/>
    <w:rsid w:val="00D34764"/>
    <w:rsid w:val="00D35450"/>
    <w:rsid w:val="00D35B89"/>
    <w:rsid w:val="00D36C94"/>
    <w:rsid w:val="00D41F1F"/>
    <w:rsid w:val="00D428AB"/>
    <w:rsid w:val="00D42B2B"/>
    <w:rsid w:val="00D45787"/>
    <w:rsid w:val="00D463D5"/>
    <w:rsid w:val="00D473C1"/>
    <w:rsid w:val="00D47B91"/>
    <w:rsid w:val="00D50B53"/>
    <w:rsid w:val="00D51605"/>
    <w:rsid w:val="00D51702"/>
    <w:rsid w:val="00D5407F"/>
    <w:rsid w:val="00D55718"/>
    <w:rsid w:val="00D566DF"/>
    <w:rsid w:val="00D57C87"/>
    <w:rsid w:val="00D6099C"/>
    <w:rsid w:val="00D60FDA"/>
    <w:rsid w:val="00D62307"/>
    <w:rsid w:val="00D630A2"/>
    <w:rsid w:val="00D63C66"/>
    <w:rsid w:val="00D6529A"/>
    <w:rsid w:val="00D679A5"/>
    <w:rsid w:val="00D7187D"/>
    <w:rsid w:val="00D75E60"/>
    <w:rsid w:val="00D77275"/>
    <w:rsid w:val="00D77E4A"/>
    <w:rsid w:val="00D83C77"/>
    <w:rsid w:val="00D854C8"/>
    <w:rsid w:val="00D866EC"/>
    <w:rsid w:val="00D86D79"/>
    <w:rsid w:val="00D917E7"/>
    <w:rsid w:val="00D9417C"/>
    <w:rsid w:val="00D946FE"/>
    <w:rsid w:val="00D971CC"/>
    <w:rsid w:val="00DA009D"/>
    <w:rsid w:val="00DA12B7"/>
    <w:rsid w:val="00DA371A"/>
    <w:rsid w:val="00DA417E"/>
    <w:rsid w:val="00DA7B8C"/>
    <w:rsid w:val="00DB04C9"/>
    <w:rsid w:val="00DB12DF"/>
    <w:rsid w:val="00DB25CC"/>
    <w:rsid w:val="00DB2B1B"/>
    <w:rsid w:val="00DB3AD3"/>
    <w:rsid w:val="00DB6735"/>
    <w:rsid w:val="00DB7B11"/>
    <w:rsid w:val="00DC1454"/>
    <w:rsid w:val="00DC34C7"/>
    <w:rsid w:val="00DC51E0"/>
    <w:rsid w:val="00DC5771"/>
    <w:rsid w:val="00DC58E0"/>
    <w:rsid w:val="00DC642C"/>
    <w:rsid w:val="00DC6483"/>
    <w:rsid w:val="00DD0E07"/>
    <w:rsid w:val="00DD1EC0"/>
    <w:rsid w:val="00DD2D03"/>
    <w:rsid w:val="00DD3A72"/>
    <w:rsid w:val="00DE1381"/>
    <w:rsid w:val="00DE3261"/>
    <w:rsid w:val="00DE4312"/>
    <w:rsid w:val="00DE4CF8"/>
    <w:rsid w:val="00DE7934"/>
    <w:rsid w:val="00DE7AEF"/>
    <w:rsid w:val="00DF18E7"/>
    <w:rsid w:val="00DF4D46"/>
    <w:rsid w:val="00DF6708"/>
    <w:rsid w:val="00DF6BDA"/>
    <w:rsid w:val="00DF7315"/>
    <w:rsid w:val="00E0060C"/>
    <w:rsid w:val="00E033E2"/>
    <w:rsid w:val="00E03C08"/>
    <w:rsid w:val="00E03CEE"/>
    <w:rsid w:val="00E118A2"/>
    <w:rsid w:val="00E13ED5"/>
    <w:rsid w:val="00E14722"/>
    <w:rsid w:val="00E14BA2"/>
    <w:rsid w:val="00E150FA"/>
    <w:rsid w:val="00E15CCA"/>
    <w:rsid w:val="00E15D6F"/>
    <w:rsid w:val="00E166F5"/>
    <w:rsid w:val="00E2117E"/>
    <w:rsid w:val="00E213FE"/>
    <w:rsid w:val="00E218F6"/>
    <w:rsid w:val="00E22905"/>
    <w:rsid w:val="00E2389A"/>
    <w:rsid w:val="00E23B46"/>
    <w:rsid w:val="00E24353"/>
    <w:rsid w:val="00E24C6C"/>
    <w:rsid w:val="00E24E2F"/>
    <w:rsid w:val="00E27385"/>
    <w:rsid w:val="00E304F6"/>
    <w:rsid w:val="00E3184E"/>
    <w:rsid w:val="00E330E2"/>
    <w:rsid w:val="00E331FF"/>
    <w:rsid w:val="00E33DEF"/>
    <w:rsid w:val="00E345AA"/>
    <w:rsid w:val="00E3478F"/>
    <w:rsid w:val="00E34C6C"/>
    <w:rsid w:val="00E35BE8"/>
    <w:rsid w:val="00E371DD"/>
    <w:rsid w:val="00E41D90"/>
    <w:rsid w:val="00E43497"/>
    <w:rsid w:val="00E43E47"/>
    <w:rsid w:val="00E444AA"/>
    <w:rsid w:val="00E45CC9"/>
    <w:rsid w:val="00E463EA"/>
    <w:rsid w:val="00E47839"/>
    <w:rsid w:val="00E51586"/>
    <w:rsid w:val="00E53B3A"/>
    <w:rsid w:val="00E54B76"/>
    <w:rsid w:val="00E56375"/>
    <w:rsid w:val="00E56CA5"/>
    <w:rsid w:val="00E56F5A"/>
    <w:rsid w:val="00E579A6"/>
    <w:rsid w:val="00E61820"/>
    <w:rsid w:val="00E62314"/>
    <w:rsid w:val="00E62DB4"/>
    <w:rsid w:val="00E635E9"/>
    <w:rsid w:val="00E63C70"/>
    <w:rsid w:val="00E649E9"/>
    <w:rsid w:val="00E65DF7"/>
    <w:rsid w:val="00E66D3B"/>
    <w:rsid w:val="00E71843"/>
    <w:rsid w:val="00E71C16"/>
    <w:rsid w:val="00E71EA5"/>
    <w:rsid w:val="00E74CD5"/>
    <w:rsid w:val="00E74D75"/>
    <w:rsid w:val="00E770D1"/>
    <w:rsid w:val="00E77C1F"/>
    <w:rsid w:val="00E800E1"/>
    <w:rsid w:val="00E827D2"/>
    <w:rsid w:val="00E82857"/>
    <w:rsid w:val="00E82EEA"/>
    <w:rsid w:val="00E84380"/>
    <w:rsid w:val="00E85212"/>
    <w:rsid w:val="00E86F9C"/>
    <w:rsid w:val="00E91A6F"/>
    <w:rsid w:val="00E930EB"/>
    <w:rsid w:val="00E936A9"/>
    <w:rsid w:val="00E94F92"/>
    <w:rsid w:val="00E96A16"/>
    <w:rsid w:val="00E97002"/>
    <w:rsid w:val="00E97F66"/>
    <w:rsid w:val="00EA29AD"/>
    <w:rsid w:val="00EA60F8"/>
    <w:rsid w:val="00EA6289"/>
    <w:rsid w:val="00EA6449"/>
    <w:rsid w:val="00EA67CE"/>
    <w:rsid w:val="00EA6D55"/>
    <w:rsid w:val="00EA7AEB"/>
    <w:rsid w:val="00EB04E4"/>
    <w:rsid w:val="00EB2E60"/>
    <w:rsid w:val="00EB5B8D"/>
    <w:rsid w:val="00EB5E15"/>
    <w:rsid w:val="00EB6BEE"/>
    <w:rsid w:val="00EC307D"/>
    <w:rsid w:val="00EC31CB"/>
    <w:rsid w:val="00EC39E0"/>
    <w:rsid w:val="00EC479B"/>
    <w:rsid w:val="00EC608A"/>
    <w:rsid w:val="00EC685A"/>
    <w:rsid w:val="00EC793A"/>
    <w:rsid w:val="00EC7D94"/>
    <w:rsid w:val="00ED01DC"/>
    <w:rsid w:val="00ED41A5"/>
    <w:rsid w:val="00ED5D1E"/>
    <w:rsid w:val="00ED5FAD"/>
    <w:rsid w:val="00ED7298"/>
    <w:rsid w:val="00EE153D"/>
    <w:rsid w:val="00EE192F"/>
    <w:rsid w:val="00EE2B19"/>
    <w:rsid w:val="00EE3426"/>
    <w:rsid w:val="00EE5D54"/>
    <w:rsid w:val="00EF162A"/>
    <w:rsid w:val="00EF1E06"/>
    <w:rsid w:val="00EF3AF5"/>
    <w:rsid w:val="00EF58A6"/>
    <w:rsid w:val="00EF6680"/>
    <w:rsid w:val="00EF6CE4"/>
    <w:rsid w:val="00EF789B"/>
    <w:rsid w:val="00F0301C"/>
    <w:rsid w:val="00F05A85"/>
    <w:rsid w:val="00F064EB"/>
    <w:rsid w:val="00F0707B"/>
    <w:rsid w:val="00F07DF4"/>
    <w:rsid w:val="00F102F2"/>
    <w:rsid w:val="00F10714"/>
    <w:rsid w:val="00F1071F"/>
    <w:rsid w:val="00F12841"/>
    <w:rsid w:val="00F13785"/>
    <w:rsid w:val="00F139F4"/>
    <w:rsid w:val="00F1630C"/>
    <w:rsid w:val="00F163D7"/>
    <w:rsid w:val="00F16493"/>
    <w:rsid w:val="00F174F3"/>
    <w:rsid w:val="00F17D79"/>
    <w:rsid w:val="00F21FBE"/>
    <w:rsid w:val="00F244F0"/>
    <w:rsid w:val="00F245C2"/>
    <w:rsid w:val="00F25D62"/>
    <w:rsid w:val="00F25E1B"/>
    <w:rsid w:val="00F26F77"/>
    <w:rsid w:val="00F33760"/>
    <w:rsid w:val="00F33C47"/>
    <w:rsid w:val="00F343FE"/>
    <w:rsid w:val="00F344C3"/>
    <w:rsid w:val="00F34DA5"/>
    <w:rsid w:val="00F34EF7"/>
    <w:rsid w:val="00F3598B"/>
    <w:rsid w:val="00F37913"/>
    <w:rsid w:val="00F407FF"/>
    <w:rsid w:val="00F41378"/>
    <w:rsid w:val="00F4433B"/>
    <w:rsid w:val="00F44F65"/>
    <w:rsid w:val="00F458EB"/>
    <w:rsid w:val="00F45EB3"/>
    <w:rsid w:val="00F522C2"/>
    <w:rsid w:val="00F53EB8"/>
    <w:rsid w:val="00F541A1"/>
    <w:rsid w:val="00F54F79"/>
    <w:rsid w:val="00F565A2"/>
    <w:rsid w:val="00F61652"/>
    <w:rsid w:val="00F65608"/>
    <w:rsid w:val="00F66754"/>
    <w:rsid w:val="00F66B5F"/>
    <w:rsid w:val="00F66E8A"/>
    <w:rsid w:val="00F671A9"/>
    <w:rsid w:val="00F70B08"/>
    <w:rsid w:val="00F71637"/>
    <w:rsid w:val="00F724E2"/>
    <w:rsid w:val="00F72857"/>
    <w:rsid w:val="00F72D1B"/>
    <w:rsid w:val="00F7311C"/>
    <w:rsid w:val="00F74EBB"/>
    <w:rsid w:val="00F75519"/>
    <w:rsid w:val="00F75905"/>
    <w:rsid w:val="00F75929"/>
    <w:rsid w:val="00F80EC4"/>
    <w:rsid w:val="00F84249"/>
    <w:rsid w:val="00F849B4"/>
    <w:rsid w:val="00F87D99"/>
    <w:rsid w:val="00F91179"/>
    <w:rsid w:val="00F91C34"/>
    <w:rsid w:val="00F925FF"/>
    <w:rsid w:val="00F968D5"/>
    <w:rsid w:val="00FA0275"/>
    <w:rsid w:val="00FA166D"/>
    <w:rsid w:val="00FA3880"/>
    <w:rsid w:val="00FA45DB"/>
    <w:rsid w:val="00FA4831"/>
    <w:rsid w:val="00FA5035"/>
    <w:rsid w:val="00FA59EF"/>
    <w:rsid w:val="00FA5D04"/>
    <w:rsid w:val="00FA68AC"/>
    <w:rsid w:val="00FA6A97"/>
    <w:rsid w:val="00FA7991"/>
    <w:rsid w:val="00FB047E"/>
    <w:rsid w:val="00FB0E20"/>
    <w:rsid w:val="00FB12E8"/>
    <w:rsid w:val="00FB3956"/>
    <w:rsid w:val="00FB41A1"/>
    <w:rsid w:val="00FB5B6E"/>
    <w:rsid w:val="00FB64E1"/>
    <w:rsid w:val="00FB665B"/>
    <w:rsid w:val="00FB6E41"/>
    <w:rsid w:val="00FB777E"/>
    <w:rsid w:val="00FC0CE0"/>
    <w:rsid w:val="00FC0D96"/>
    <w:rsid w:val="00FC3F68"/>
    <w:rsid w:val="00FC5460"/>
    <w:rsid w:val="00FC5E12"/>
    <w:rsid w:val="00FC5FC5"/>
    <w:rsid w:val="00FC62A1"/>
    <w:rsid w:val="00FC7942"/>
    <w:rsid w:val="00FD0199"/>
    <w:rsid w:val="00FD0285"/>
    <w:rsid w:val="00FD16A8"/>
    <w:rsid w:val="00FD3087"/>
    <w:rsid w:val="00FD4C9E"/>
    <w:rsid w:val="00FD6BAA"/>
    <w:rsid w:val="00FD6F5E"/>
    <w:rsid w:val="00FD6FD8"/>
    <w:rsid w:val="00FE0B85"/>
    <w:rsid w:val="00FE30BB"/>
    <w:rsid w:val="00FE4452"/>
    <w:rsid w:val="00FE6C8D"/>
    <w:rsid w:val="00FE74F7"/>
    <w:rsid w:val="00FF00DB"/>
    <w:rsid w:val="00FF0BCB"/>
    <w:rsid w:val="00FF261D"/>
    <w:rsid w:val="00FF28CA"/>
    <w:rsid w:val="00FF2B9F"/>
    <w:rsid w:val="00FF3A67"/>
    <w:rsid w:val="00FF6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5B9"/>
    <w:pPr>
      <w:overflowPunct w:val="0"/>
      <w:autoSpaceDE w:val="0"/>
      <w:autoSpaceDN w:val="0"/>
      <w:adjustRightInd w:val="0"/>
      <w:textAlignment w:val="baseline"/>
    </w:pPr>
    <w:rPr>
      <w:sz w:val="24"/>
      <w:szCs w:val="24"/>
      <w:lang w:eastAsia="en-US"/>
    </w:rPr>
  </w:style>
  <w:style w:type="paragraph" w:styleId="Heading1">
    <w:name w:val="heading 1"/>
    <w:next w:val="BodyText"/>
    <w:link w:val="Heading1Char"/>
    <w:uiPriority w:val="9"/>
    <w:qFormat/>
    <w:rsid w:val="000E6976"/>
    <w:pPr>
      <w:numPr>
        <w:numId w:val="3"/>
      </w:numPr>
      <w:spacing w:before="120" w:after="480"/>
      <w:jc w:val="center"/>
      <w:outlineLvl w:val="0"/>
    </w:pPr>
    <w:rPr>
      <w:rFonts w:ascii="Cambria" w:hAnsi="Cambria"/>
      <w:b/>
      <w:color w:val="4F81BD"/>
      <w:sz w:val="36"/>
      <w:szCs w:val="32"/>
      <w:lang w:eastAsia="en-US"/>
    </w:rPr>
  </w:style>
  <w:style w:type="paragraph" w:styleId="Heading2">
    <w:name w:val="heading 2"/>
    <w:basedOn w:val="Normal"/>
    <w:next w:val="BodyText"/>
    <w:link w:val="Heading2Char"/>
    <w:uiPriority w:val="9"/>
    <w:unhideWhenUsed/>
    <w:qFormat/>
    <w:rsid w:val="005D4672"/>
    <w:pPr>
      <w:keepNext/>
      <w:overflowPunct/>
      <w:autoSpaceDE/>
      <w:autoSpaceDN/>
      <w:adjustRightInd/>
      <w:spacing w:before="240" w:after="120"/>
      <w:textAlignment w:val="auto"/>
      <w:outlineLvl w:val="1"/>
    </w:pPr>
    <w:rPr>
      <w:rFonts w:asciiTheme="minorHAnsi" w:eastAsiaTheme="majorEastAsia" w:hAnsiTheme="minorHAnsi"/>
      <w:b/>
      <w:iCs/>
    </w:rPr>
  </w:style>
  <w:style w:type="paragraph" w:styleId="Heading3">
    <w:name w:val="heading 3"/>
    <w:basedOn w:val="Heading4"/>
    <w:next w:val="BodyText"/>
    <w:link w:val="Heading3Char"/>
    <w:uiPriority w:val="9"/>
    <w:unhideWhenUsed/>
    <w:qFormat/>
    <w:rsid w:val="005D4672"/>
    <w:pPr>
      <w:outlineLvl w:val="2"/>
    </w:pPr>
    <w:rPr>
      <w:i/>
      <w:iCs w:val="0"/>
    </w:rPr>
  </w:style>
  <w:style w:type="paragraph" w:styleId="Heading4">
    <w:name w:val="heading 4"/>
    <w:next w:val="BodyText"/>
    <w:link w:val="Heading4Char"/>
    <w:uiPriority w:val="9"/>
    <w:unhideWhenUsed/>
    <w:qFormat/>
    <w:rsid w:val="005A0C45"/>
    <w:pPr>
      <w:keepNext/>
      <w:keepLines/>
      <w:numPr>
        <w:ilvl w:val="3"/>
        <w:numId w:val="3"/>
      </w:numPr>
      <w:spacing w:before="240" w:line="276" w:lineRule="auto"/>
      <w:jc w:val="both"/>
      <w:outlineLvl w:val="3"/>
    </w:pPr>
    <w:rPr>
      <w:rFonts w:asciiTheme="minorHAnsi" w:hAnsiTheme="minorHAnsi" w:cstheme="minorHAnsi"/>
      <w:b/>
      <w:iCs/>
      <w:sz w:val="24"/>
      <w:szCs w:val="24"/>
      <w:lang w:eastAsia="en-US"/>
    </w:rPr>
  </w:style>
  <w:style w:type="paragraph" w:styleId="Heading5">
    <w:name w:val="heading 5"/>
    <w:next w:val="BodyText"/>
    <w:link w:val="Heading5Char"/>
    <w:uiPriority w:val="9"/>
    <w:unhideWhenUsed/>
    <w:qFormat/>
    <w:rsid w:val="000E6976"/>
    <w:pPr>
      <w:keepNext/>
      <w:numPr>
        <w:ilvl w:val="4"/>
        <w:numId w:val="3"/>
      </w:numPr>
      <w:spacing w:before="120" w:line="276" w:lineRule="auto"/>
      <w:jc w:val="both"/>
      <w:outlineLvl w:val="4"/>
    </w:pPr>
    <w:rPr>
      <w:rFonts w:ascii="Cambria" w:hAnsi="Cambria"/>
      <w:sz w:val="24"/>
      <w:szCs w:val="24"/>
      <w:u w:val="single"/>
      <w:lang w:eastAsia="en-US"/>
    </w:rPr>
  </w:style>
  <w:style w:type="paragraph" w:styleId="Heading6">
    <w:name w:val="heading 6"/>
    <w:next w:val="BodyText"/>
    <w:link w:val="Heading6Char"/>
    <w:uiPriority w:val="9"/>
    <w:unhideWhenUsed/>
    <w:qFormat/>
    <w:rsid w:val="000E6976"/>
    <w:pPr>
      <w:keepNext/>
      <w:keepLines/>
      <w:numPr>
        <w:ilvl w:val="5"/>
        <w:numId w:val="3"/>
      </w:numPr>
      <w:spacing w:before="40"/>
      <w:outlineLvl w:val="5"/>
    </w:pPr>
    <w:rPr>
      <w:rFonts w:ascii="Calibri" w:hAnsi="Calibri"/>
      <w:i/>
      <w:sz w:val="24"/>
      <w:szCs w:val="24"/>
      <w:lang w:eastAsia="en-US"/>
    </w:rPr>
  </w:style>
  <w:style w:type="paragraph" w:styleId="Heading7">
    <w:name w:val="heading 7"/>
    <w:aliases w:val="App Heading 1"/>
    <w:next w:val="BodyText"/>
    <w:link w:val="Heading7Char"/>
    <w:uiPriority w:val="9"/>
    <w:unhideWhenUsed/>
    <w:qFormat/>
    <w:rsid w:val="000E6976"/>
    <w:pPr>
      <w:pageBreakBefore/>
      <w:numPr>
        <w:ilvl w:val="6"/>
        <w:numId w:val="3"/>
      </w:numPr>
      <w:tabs>
        <w:tab w:val="left" w:pos="2268"/>
      </w:tabs>
      <w:spacing w:after="360" w:line="276" w:lineRule="auto"/>
      <w:jc w:val="both"/>
      <w:outlineLvl w:val="6"/>
    </w:pPr>
    <w:rPr>
      <w:rFonts w:ascii="Cambria" w:hAnsi="Cambria"/>
      <w:b/>
      <w:iCs/>
      <w:color w:val="4F81BD"/>
      <w:sz w:val="36"/>
      <w:szCs w:val="24"/>
      <w:lang w:eastAsia="en-US"/>
    </w:rPr>
  </w:style>
  <w:style w:type="paragraph" w:styleId="Heading8">
    <w:name w:val="heading 8"/>
    <w:aliases w:val="App Heading 2"/>
    <w:next w:val="BodyText"/>
    <w:link w:val="Heading8Char"/>
    <w:uiPriority w:val="9"/>
    <w:unhideWhenUsed/>
    <w:qFormat/>
    <w:rsid w:val="000E6976"/>
    <w:pPr>
      <w:keepNext/>
      <w:numPr>
        <w:ilvl w:val="7"/>
        <w:numId w:val="3"/>
      </w:numPr>
      <w:tabs>
        <w:tab w:val="left" w:pos="851"/>
      </w:tabs>
      <w:spacing w:before="360" w:line="276" w:lineRule="auto"/>
      <w:jc w:val="both"/>
      <w:outlineLvl w:val="7"/>
    </w:pPr>
    <w:rPr>
      <w:rFonts w:ascii="Cambria" w:hAnsi="Cambria"/>
      <w:color w:val="4F81BD"/>
      <w:sz w:val="32"/>
      <w:szCs w:val="21"/>
      <w:lang w:eastAsia="en-US"/>
    </w:rPr>
  </w:style>
  <w:style w:type="paragraph" w:styleId="Heading9">
    <w:name w:val="heading 9"/>
    <w:aliases w:val="App Heading 3"/>
    <w:next w:val="BodyText"/>
    <w:link w:val="Heading9Char"/>
    <w:uiPriority w:val="9"/>
    <w:unhideWhenUsed/>
    <w:qFormat/>
    <w:rsid w:val="000E6976"/>
    <w:pPr>
      <w:keepNext/>
      <w:numPr>
        <w:ilvl w:val="8"/>
        <w:numId w:val="3"/>
      </w:numPr>
      <w:tabs>
        <w:tab w:val="left" w:pos="851"/>
      </w:tabs>
      <w:spacing w:before="360" w:line="276" w:lineRule="auto"/>
      <w:jc w:val="both"/>
      <w:outlineLvl w:val="8"/>
    </w:pPr>
    <w:rPr>
      <w:rFonts w:ascii="Cambria" w:hAnsi="Cambria"/>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coHeading">
    <w:name w:val="Minco Heading"/>
    <w:basedOn w:val="Normal"/>
    <w:rsid w:val="00426EFC"/>
    <w:pPr>
      <w:jc w:val="center"/>
    </w:pPr>
    <w:rPr>
      <w:b/>
      <w:bCs/>
    </w:rPr>
  </w:style>
  <w:style w:type="paragraph" w:customStyle="1" w:styleId="MincoBold">
    <w:name w:val="Minco Bold"/>
    <w:basedOn w:val="Normal"/>
    <w:rsid w:val="00426EFC"/>
    <w:rPr>
      <w:b/>
      <w:bCs/>
    </w:rPr>
  </w:style>
  <w:style w:type="paragraph" w:customStyle="1" w:styleId="MincoNormal">
    <w:name w:val="Minco Normal"/>
    <w:basedOn w:val="Normal"/>
    <w:rsid w:val="00426EFC"/>
  </w:style>
  <w:style w:type="paragraph" w:customStyle="1" w:styleId="Mincobulleted">
    <w:name w:val="Minco bulleted"/>
    <w:basedOn w:val="Normal"/>
    <w:rsid w:val="00426EFC"/>
    <w:pPr>
      <w:tabs>
        <w:tab w:val="left" w:pos="426"/>
      </w:tabs>
      <w:spacing w:after="120"/>
      <w:ind w:left="425" w:hanging="425"/>
    </w:pPr>
  </w:style>
  <w:style w:type="paragraph" w:customStyle="1" w:styleId="numberedproforma">
    <w:name w:val="numbered proforma"/>
    <w:basedOn w:val="BodyTextIndent2"/>
    <w:rsid w:val="00426EFC"/>
    <w:pPr>
      <w:widowControl w:val="0"/>
      <w:tabs>
        <w:tab w:val="left" w:pos="426"/>
      </w:tabs>
      <w:spacing w:line="240" w:lineRule="auto"/>
      <w:ind w:left="426" w:hanging="426"/>
    </w:pPr>
  </w:style>
  <w:style w:type="paragraph" w:styleId="BodyTextIndent2">
    <w:name w:val="Body Text Indent 2"/>
    <w:basedOn w:val="Normal"/>
    <w:rsid w:val="00426EFC"/>
    <w:pPr>
      <w:spacing w:after="120" w:line="480" w:lineRule="auto"/>
      <w:ind w:left="283"/>
    </w:pPr>
  </w:style>
  <w:style w:type="paragraph" w:styleId="Header">
    <w:name w:val="header"/>
    <w:aliases w:val="Page Header,Header title,he=header,cntr/bld"/>
    <w:basedOn w:val="Normal"/>
    <w:link w:val="HeaderChar"/>
    <w:uiPriority w:val="99"/>
    <w:rsid w:val="00D63C66"/>
    <w:pPr>
      <w:tabs>
        <w:tab w:val="center" w:pos="4153"/>
        <w:tab w:val="right" w:pos="8306"/>
      </w:tabs>
    </w:pPr>
  </w:style>
  <w:style w:type="paragraph" w:styleId="Footer">
    <w:name w:val="footer"/>
    <w:basedOn w:val="Normal"/>
    <w:link w:val="FooterChar"/>
    <w:uiPriority w:val="99"/>
    <w:rsid w:val="00D63C66"/>
    <w:pPr>
      <w:tabs>
        <w:tab w:val="center" w:pos="4153"/>
        <w:tab w:val="right" w:pos="8306"/>
      </w:tabs>
    </w:pPr>
  </w:style>
  <w:style w:type="character" w:styleId="PageNumber">
    <w:name w:val="page number"/>
    <w:basedOn w:val="DefaultParagraphFont"/>
    <w:rsid w:val="00D63C66"/>
  </w:style>
  <w:style w:type="paragraph" w:customStyle="1" w:styleId="BodyText1">
    <w:name w:val="Body Text1"/>
    <w:basedOn w:val="Normal"/>
    <w:uiPriority w:val="1"/>
    <w:qFormat/>
    <w:rsid w:val="00F61652"/>
    <w:pPr>
      <w:overflowPunct/>
      <w:autoSpaceDE/>
      <w:autoSpaceDN/>
      <w:adjustRightInd/>
      <w:spacing w:after="120" w:line="276" w:lineRule="auto"/>
      <w:textAlignment w:val="auto"/>
    </w:pPr>
    <w:rPr>
      <w:rFonts w:ascii="Cambria" w:hAnsi="Cambria" w:cs="Calibri"/>
      <w:noProof/>
    </w:rPr>
  </w:style>
  <w:style w:type="paragraph" w:styleId="ListParagraph">
    <w:name w:val="List Paragraph"/>
    <w:aliases w:val="Footnote,BulletPoints,List Paragraph1,Recommendation,Body Text Bullet Points,Numbered para,Bullet point,List Paragraph11,ES Paragraph,PBAC ES Paragraph,PBAC normal points,Bullet List,Section heading"/>
    <w:basedOn w:val="Normal"/>
    <w:link w:val="ListParagraphChar"/>
    <w:uiPriority w:val="34"/>
    <w:qFormat/>
    <w:rsid w:val="002324F7"/>
    <w:pPr>
      <w:overflowPunct/>
      <w:autoSpaceDE/>
      <w:autoSpaceDN/>
      <w:adjustRightInd/>
      <w:spacing w:after="120" w:line="276" w:lineRule="auto"/>
      <w:contextualSpacing/>
      <w:textAlignment w:val="auto"/>
    </w:pPr>
    <w:rPr>
      <w:rFonts w:ascii="Cambria" w:hAnsi="Cambria" w:cs="Calibri"/>
      <w:noProof/>
    </w:rPr>
  </w:style>
  <w:style w:type="character" w:customStyle="1" w:styleId="ListParagraphChar">
    <w:name w:val="List Paragraph Char"/>
    <w:aliases w:val="Footnote Char,BulletPoints Char,List Paragraph1 Char,Recommendation Char,Body Text Bullet Points Char,Numbered para Char,Bullet point Char,List Paragraph11 Char,ES Paragraph Char,PBAC ES Paragraph Char,PBAC normal points Char"/>
    <w:link w:val="ListParagraph"/>
    <w:uiPriority w:val="34"/>
    <w:qFormat/>
    <w:rsid w:val="002324F7"/>
    <w:rPr>
      <w:rFonts w:ascii="Cambria" w:hAnsi="Cambria" w:cs="Calibri"/>
      <w:noProof/>
      <w:sz w:val="24"/>
      <w:szCs w:val="24"/>
      <w:lang w:eastAsia="en-US"/>
    </w:rPr>
  </w:style>
  <w:style w:type="character" w:styleId="Hyperlink">
    <w:name w:val="Hyperlink"/>
    <w:uiPriority w:val="99"/>
    <w:rsid w:val="00390F10"/>
    <w:rPr>
      <w:color w:val="0000FF"/>
      <w:u w:val="single"/>
    </w:rPr>
  </w:style>
  <w:style w:type="character" w:styleId="FollowedHyperlink">
    <w:name w:val="FollowedHyperlink"/>
    <w:rsid w:val="0044714A"/>
    <w:rPr>
      <w:color w:val="800080"/>
      <w:u w:val="single"/>
    </w:rPr>
  </w:style>
  <w:style w:type="paragraph" w:styleId="BalloonText">
    <w:name w:val="Balloon Text"/>
    <w:basedOn w:val="Normal"/>
    <w:link w:val="BalloonTextChar"/>
    <w:rsid w:val="00400C2B"/>
    <w:rPr>
      <w:rFonts w:ascii="Tahoma" w:hAnsi="Tahoma" w:cs="Tahoma"/>
      <w:sz w:val="16"/>
      <w:szCs w:val="16"/>
    </w:rPr>
  </w:style>
  <w:style w:type="character" w:customStyle="1" w:styleId="BalloonTextChar">
    <w:name w:val="Balloon Text Char"/>
    <w:link w:val="BalloonText"/>
    <w:rsid w:val="00400C2B"/>
    <w:rPr>
      <w:rFonts w:ascii="Tahoma" w:hAnsi="Tahoma" w:cs="Tahoma"/>
      <w:sz w:val="16"/>
      <w:szCs w:val="16"/>
      <w:lang w:eastAsia="en-US"/>
    </w:rPr>
  </w:style>
  <w:style w:type="paragraph" w:customStyle="1" w:styleId="Default">
    <w:name w:val="Default"/>
    <w:rsid w:val="00184EA9"/>
    <w:pPr>
      <w:autoSpaceDE w:val="0"/>
      <w:autoSpaceDN w:val="0"/>
      <w:adjustRightInd w:val="0"/>
    </w:pPr>
    <w:rPr>
      <w:rFonts w:ascii="Symbol" w:hAnsi="Symbol" w:cs="Symbol"/>
      <w:color w:val="000000"/>
      <w:sz w:val="24"/>
      <w:szCs w:val="24"/>
    </w:rPr>
  </w:style>
  <w:style w:type="table" w:styleId="TableGrid">
    <w:name w:val="Table Grid"/>
    <w:aliases w:val="Summary box,Table Gridbeth"/>
    <w:basedOn w:val="TableNormal"/>
    <w:uiPriority w:val="59"/>
    <w:rsid w:val="00FA48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A4831"/>
    <w:pPr>
      <w:overflowPunct/>
      <w:autoSpaceDE/>
      <w:autoSpaceDN/>
      <w:adjustRightInd/>
      <w:spacing w:after="120" w:line="276" w:lineRule="auto"/>
      <w:jc w:val="both"/>
      <w:textAlignment w:val="auto"/>
    </w:pPr>
    <w:rPr>
      <w:rFonts w:ascii="Cambria" w:eastAsia="Calibri" w:hAnsi="Cambria"/>
      <w:szCs w:val="22"/>
    </w:rPr>
  </w:style>
  <w:style w:type="character" w:customStyle="1" w:styleId="BodyTextChar">
    <w:name w:val="Body Text Char"/>
    <w:link w:val="BodyText"/>
    <w:uiPriority w:val="1"/>
    <w:rsid w:val="00FA4831"/>
    <w:rPr>
      <w:rFonts w:ascii="Cambria" w:eastAsia="Calibri" w:hAnsi="Cambria"/>
      <w:sz w:val="24"/>
      <w:szCs w:val="22"/>
      <w:lang w:eastAsia="en-US"/>
    </w:rPr>
  </w:style>
  <w:style w:type="paragraph" w:styleId="NormalWeb">
    <w:name w:val="Normal (Web)"/>
    <w:basedOn w:val="Normal"/>
    <w:link w:val="NormalWebChar"/>
    <w:uiPriority w:val="99"/>
    <w:unhideWhenUsed/>
    <w:rsid w:val="00FE74F7"/>
    <w:pPr>
      <w:overflowPunct/>
      <w:autoSpaceDE/>
      <w:autoSpaceDN/>
      <w:adjustRightInd/>
      <w:spacing w:before="100" w:beforeAutospacing="1" w:after="100" w:afterAutospacing="1"/>
      <w:jc w:val="both"/>
      <w:textAlignment w:val="auto"/>
    </w:pPr>
    <w:rPr>
      <w:rFonts w:ascii="Cambria" w:hAnsi="Cambria"/>
      <w:lang w:eastAsia="en-AU"/>
    </w:rPr>
  </w:style>
  <w:style w:type="paragraph" w:styleId="CommentText">
    <w:name w:val="annotation text"/>
    <w:basedOn w:val="Normal"/>
    <w:link w:val="CommentTextChar"/>
    <w:uiPriority w:val="99"/>
    <w:unhideWhenUsed/>
    <w:rsid w:val="00FE74F7"/>
    <w:pPr>
      <w:overflowPunct/>
      <w:autoSpaceDE/>
      <w:autoSpaceDN/>
      <w:adjustRightInd/>
      <w:spacing w:after="200"/>
      <w:jc w:val="both"/>
      <w:textAlignment w:val="auto"/>
    </w:pPr>
    <w:rPr>
      <w:rFonts w:ascii="Cambria" w:eastAsia="Calibri" w:hAnsi="Cambria"/>
      <w:sz w:val="20"/>
      <w:szCs w:val="20"/>
    </w:rPr>
  </w:style>
  <w:style w:type="character" w:customStyle="1" w:styleId="CommentTextChar">
    <w:name w:val="Comment Text Char"/>
    <w:link w:val="CommentText"/>
    <w:uiPriority w:val="99"/>
    <w:rsid w:val="00FE74F7"/>
    <w:rPr>
      <w:rFonts w:ascii="Cambria" w:eastAsia="Calibri" w:hAnsi="Cambria"/>
      <w:lang w:eastAsia="en-US"/>
    </w:rPr>
  </w:style>
  <w:style w:type="character" w:customStyle="1" w:styleId="NormalWebChar">
    <w:name w:val="Normal (Web) Char"/>
    <w:link w:val="NormalWeb"/>
    <w:uiPriority w:val="99"/>
    <w:rsid w:val="00FE74F7"/>
    <w:rPr>
      <w:rFonts w:ascii="Cambria" w:hAnsi="Cambria"/>
      <w:sz w:val="24"/>
      <w:szCs w:val="24"/>
    </w:rPr>
  </w:style>
  <w:style w:type="character" w:styleId="CommentReference">
    <w:name w:val="annotation reference"/>
    <w:aliases w:val="Table Title"/>
    <w:uiPriority w:val="99"/>
    <w:qFormat/>
    <w:rsid w:val="009F4A1D"/>
    <w:rPr>
      <w:sz w:val="16"/>
      <w:szCs w:val="16"/>
    </w:rPr>
  </w:style>
  <w:style w:type="paragraph" w:styleId="CommentSubject">
    <w:name w:val="annotation subject"/>
    <w:basedOn w:val="CommentText"/>
    <w:next w:val="CommentText"/>
    <w:link w:val="CommentSubjectChar"/>
    <w:rsid w:val="009F4A1D"/>
    <w:pPr>
      <w:overflowPunct w:val="0"/>
      <w:autoSpaceDE w:val="0"/>
      <w:autoSpaceDN w:val="0"/>
      <w:adjustRightInd w:val="0"/>
      <w:spacing w:after="0"/>
      <w:jc w:val="left"/>
      <w:textAlignment w:val="baseline"/>
    </w:pPr>
    <w:rPr>
      <w:rFonts w:ascii="Times New Roman" w:eastAsia="Times New Roman" w:hAnsi="Times New Roman"/>
      <w:b/>
      <w:bCs/>
    </w:rPr>
  </w:style>
  <w:style w:type="character" w:customStyle="1" w:styleId="CommentSubjectChar">
    <w:name w:val="Comment Subject Char"/>
    <w:link w:val="CommentSubject"/>
    <w:rsid w:val="009F4A1D"/>
    <w:rPr>
      <w:rFonts w:ascii="Cambria" w:eastAsia="Calibri" w:hAnsi="Cambria"/>
      <w:b/>
      <w:bCs/>
      <w:lang w:eastAsia="en-US"/>
    </w:rPr>
  </w:style>
  <w:style w:type="character" w:customStyle="1" w:styleId="Heading1Char">
    <w:name w:val="Heading 1 Char"/>
    <w:basedOn w:val="DefaultParagraphFont"/>
    <w:link w:val="Heading1"/>
    <w:uiPriority w:val="9"/>
    <w:rsid w:val="000E6976"/>
    <w:rPr>
      <w:rFonts w:ascii="Cambria" w:hAnsi="Cambria"/>
      <w:b/>
      <w:color w:val="4F81BD"/>
      <w:sz w:val="36"/>
      <w:szCs w:val="32"/>
      <w:lang w:eastAsia="en-US"/>
    </w:rPr>
  </w:style>
  <w:style w:type="character" w:customStyle="1" w:styleId="Heading2Char">
    <w:name w:val="Heading 2 Char"/>
    <w:basedOn w:val="DefaultParagraphFont"/>
    <w:link w:val="Heading2"/>
    <w:uiPriority w:val="9"/>
    <w:rsid w:val="005D4672"/>
    <w:rPr>
      <w:rFonts w:asciiTheme="minorHAnsi" w:eastAsiaTheme="majorEastAsia" w:hAnsiTheme="minorHAnsi"/>
      <w:b/>
      <w:iCs/>
      <w:sz w:val="24"/>
      <w:szCs w:val="24"/>
      <w:lang w:eastAsia="en-US"/>
    </w:rPr>
  </w:style>
  <w:style w:type="character" w:customStyle="1" w:styleId="Heading3Char">
    <w:name w:val="Heading 3 Char"/>
    <w:basedOn w:val="DefaultParagraphFont"/>
    <w:link w:val="Heading3"/>
    <w:uiPriority w:val="9"/>
    <w:rsid w:val="005D4672"/>
    <w:rPr>
      <w:rFonts w:asciiTheme="minorHAnsi" w:hAnsiTheme="minorHAnsi" w:cstheme="minorHAnsi"/>
      <w:b/>
      <w:i/>
      <w:sz w:val="24"/>
      <w:szCs w:val="24"/>
      <w:lang w:eastAsia="en-US"/>
    </w:rPr>
  </w:style>
  <w:style w:type="character" w:customStyle="1" w:styleId="Heading4Char">
    <w:name w:val="Heading 4 Char"/>
    <w:basedOn w:val="DefaultParagraphFont"/>
    <w:link w:val="Heading4"/>
    <w:uiPriority w:val="9"/>
    <w:rsid w:val="005A0C45"/>
    <w:rPr>
      <w:rFonts w:asciiTheme="minorHAnsi" w:hAnsiTheme="minorHAnsi" w:cstheme="minorHAnsi"/>
      <w:b/>
      <w:iCs/>
      <w:sz w:val="24"/>
      <w:szCs w:val="24"/>
      <w:lang w:eastAsia="en-US"/>
    </w:rPr>
  </w:style>
  <w:style w:type="character" w:customStyle="1" w:styleId="Heading5Char">
    <w:name w:val="Heading 5 Char"/>
    <w:basedOn w:val="DefaultParagraphFont"/>
    <w:link w:val="Heading5"/>
    <w:uiPriority w:val="9"/>
    <w:rsid w:val="000E6976"/>
    <w:rPr>
      <w:rFonts w:ascii="Cambria" w:hAnsi="Cambria"/>
      <w:sz w:val="24"/>
      <w:szCs w:val="24"/>
      <w:u w:val="single"/>
      <w:lang w:eastAsia="en-US"/>
    </w:rPr>
  </w:style>
  <w:style w:type="character" w:customStyle="1" w:styleId="Heading6Char">
    <w:name w:val="Heading 6 Char"/>
    <w:basedOn w:val="DefaultParagraphFont"/>
    <w:link w:val="Heading6"/>
    <w:uiPriority w:val="9"/>
    <w:rsid w:val="000E6976"/>
    <w:rPr>
      <w:rFonts w:ascii="Calibri" w:hAnsi="Calibri"/>
      <w:i/>
      <w:sz w:val="24"/>
      <w:szCs w:val="24"/>
      <w:lang w:eastAsia="en-US"/>
    </w:rPr>
  </w:style>
  <w:style w:type="character" w:customStyle="1" w:styleId="Heading7Char">
    <w:name w:val="Heading 7 Char"/>
    <w:aliases w:val="App Heading 1 Char"/>
    <w:basedOn w:val="DefaultParagraphFont"/>
    <w:link w:val="Heading7"/>
    <w:uiPriority w:val="9"/>
    <w:rsid w:val="000E6976"/>
    <w:rPr>
      <w:rFonts w:ascii="Cambria" w:hAnsi="Cambria"/>
      <w:b/>
      <w:iCs/>
      <w:color w:val="4F81BD"/>
      <w:sz w:val="36"/>
      <w:szCs w:val="24"/>
      <w:lang w:eastAsia="en-US"/>
    </w:rPr>
  </w:style>
  <w:style w:type="character" w:customStyle="1" w:styleId="Heading8Char">
    <w:name w:val="Heading 8 Char"/>
    <w:aliases w:val="App Heading 2 Char"/>
    <w:basedOn w:val="DefaultParagraphFont"/>
    <w:link w:val="Heading8"/>
    <w:uiPriority w:val="9"/>
    <w:rsid w:val="000E6976"/>
    <w:rPr>
      <w:rFonts w:ascii="Cambria" w:hAnsi="Cambria"/>
      <w:color w:val="4F81BD"/>
      <w:sz w:val="32"/>
      <w:szCs w:val="21"/>
      <w:lang w:eastAsia="en-US"/>
    </w:rPr>
  </w:style>
  <w:style w:type="character" w:customStyle="1" w:styleId="Heading9Char">
    <w:name w:val="Heading 9 Char"/>
    <w:aliases w:val="App Heading 3 Char"/>
    <w:basedOn w:val="DefaultParagraphFont"/>
    <w:link w:val="Heading9"/>
    <w:uiPriority w:val="9"/>
    <w:rsid w:val="000E6976"/>
    <w:rPr>
      <w:rFonts w:ascii="Cambria" w:hAnsi="Cambria"/>
      <w:b/>
      <w:i/>
      <w:iCs/>
      <w:color w:val="272727"/>
      <w:sz w:val="28"/>
      <w:szCs w:val="21"/>
      <w:lang w:eastAsia="en-US"/>
    </w:rPr>
  </w:style>
  <w:style w:type="paragraph" w:customStyle="1" w:styleId="Bullettext">
    <w:name w:val="Bullet text"/>
    <w:link w:val="BullettextChar"/>
    <w:qFormat/>
    <w:rsid w:val="000E6976"/>
    <w:pPr>
      <w:numPr>
        <w:numId w:val="2"/>
      </w:numPr>
      <w:spacing w:before="120" w:line="276" w:lineRule="auto"/>
      <w:contextualSpacing/>
      <w:jc w:val="both"/>
    </w:pPr>
    <w:rPr>
      <w:rFonts w:ascii="Cambria" w:eastAsia="Calibri" w:hAnsi="Cambria"/>
      <w:sz w:val="24"/>
      <w:szCs w:val="24"/>
      <w:lang w:eastAsia="en-US"/>
    </w:rPr>
  </w:style>
  <w:style w:type="numbering" w:customStyle="1" w:styleId="Headings">
    <w:name w:val="Headings"/>
    <w:uiPriority w:val="99"/>
    <w:rsid w:val="000E6976"/>
    <w:pPr>
      <w:numPr>
        <w:numId w:val="3"/>
      </w:numPr>
    </w:pPr>
  </w:style>
  <w:style w:type="character" w:customStyle="1" w:styleId="BullettextChar">
    <w:name w:val="Bullet text Char"/>
    <w:link w:val="Bullettext"/>
    <w:rsid w:val="000E6976"/>
    <w:rPr>
      <w:rFonts w:ascii="Cambria" w:eastAsia="Calibri" w:hAnsi="Cambria"/>
      <w:sz w:val="24"/>
      <w:szCs w:val="24"/>
      <w:lang w:eastAsia="en-US"/>
    </w:rPr>
  </w:style>
  <w:style w:type="paragraph" w:styleId="FootnoteText">
    <w:name w:val="footnote text"/>
    <w:basedOn w:val="Normal"/>
    <w:link w:val="FootnoteTextChar"/>
    <w:uiPriority w:val="99"/>
    <w:unhideWhenUsed/>
    <w:rsid w:val="000E6976"/>
    <w:pPr>
      <w:overflowPunct/>
      <w:autoSpaceDE/>
      <w:autoSpaceDN/>
      <w:adjustRightInd/>
      <w:textAlignment w:val="auto"/>
    </w:pPr>
    <w:rPr>
      <w:rFonts w:ascii="Arial Narrow" w:eastAsia="Calibri" w:hAnsi="Arial Narrow"/>
      <w:sz w:val="18"/>
      <w:szCs w:val="20"/>
    </w:rPr>
  </w:style>
  <w:style w:type="character" w:customStyle="1" w:styleId="FootnoteTextChar">
    <w:name w:val="Footnote Text Char"/>
    <w:basedOn w:val="DefaultParagraphFont"/>
    <w:link w:val="FootnoteText"/>
    <w:uiPriority w:val="99"/>
    <w:rsid w:val="000E6976"/>
    <w:rPr>
      <w:rFonts w:ascii="Arial Narrow" w:eastAsia="Calibri" w:hAnsi="Arial Narrow"/>
      <w:sz w:val="18"/>
      <w:lang w:eastAsia="en-US"/>
    </w:rPr>
  </w:style>
  <w:style w:type="character" w:styleId="FootnoteReference">
    <w:name w:val="footnote reference"/>
    <w:uiPriority w:val="99"/>
    <w:unhideWhenUsed/>
    <w:rsid w:val="000E6976"/>
    <w:rPr>
      <w:vertAlign w:val="superscript"/>
    </w:rPr>
  </w:style>
  <w:style w:type="character" w:styleId="Emphasis">
    <w:name w:val="Emphasis"/>
    <w:qFormat/>
    <w:rsid w:val="000E6976"/>
    <w:rPr>
      <w:i/>
      <w:iCs/>
    </w:rPr>
  </w:style>
  <w:style w:type="paragraph" w:customStyle="1" w:styleId="05Tabletext">
    <w:name w:val="05 Table text"/>
    <w:next w:val="06Tabletextspacebefore"/>
    <w:qFormat/>
    <w:rsid w:val="00E56375"/>
    <w:pPr>
      <w:spacing w:before="20"/>
      <w:ind w:left="57" w:right="57"/>
    </w:pPr>
    <w:rPr>
      <w:rFonts w:ascii="Arial Narrow" w:eastAsia="Calibri" w:hAnsi="Arial Narrow"/>
      <w:sz w:val="18"/>
      <w:szCs w:val="24"/>
      <w:lang w:eastAsia="en-US"/>
    </w:rPr>
  </w:style>
  <w:style w:type="paragraph" w:styleId="Caption">
    <w:name w:val="caption"/>
    <w:next w:val="05Tabletext"/>
    <w:uiPriority w:val="35"/>
    <w:unhideWhenUsed/>
    <w:qFormat/>
    <w:rsid w:val="00E56375"/>
    <w:pPr>
      <w:keepNext/>
      <w:tabs>
        <w:tab w:val="left" w:pos="1134"/>
      </w:tabs>
      <w:spacing w:before="240" w:after="40"/>
      <w:ind w:left="1134" w:hanging="1134"/>
      <w:jc w:val="both"/>
    </w:pPr>
    <w:rPr>
      <w:rFonts w:ascii="Arial" w:eastAsia="Calibri" w:hAnsi="Arial"/>
      <w:b/>
      <w:iCs/>
      <w:szCs w:val="18"/>
      <w:lang w:eastAsia="en-US"/>
    </w:rPr>
  </w:style>
  <w:style w:type="paragraph" w:customStyle="1" w:styleId="06Tabletextspacebefore">
    <w:name w:val="06 Table text space before"/>
    <w:qFormat/>
    <w:rsid w:val="00E56375"/>
    <w:pPr>
      <w:spacing w:before="80"/>
      <w:ind w:left="57" w:right="57"/>
    </w:pPr>
    <w:rPr>
      <w:rFonts w:ascii="Arial Narrow" w:eastAsia="Calibri" w:hAnsi="Arial Narrow"/>
      <w:sz w:val="18"/>
      <w:szCs w:val="24"/>
      <w:lang w:eastAsia="en-US"/>
    </w:rPr>
  </w:style>
  <w:style w:type="paragraph" w:customStyle="1" w:styleId="10TableorFigurefootnote">
    <w:name w:val="10 Table or Figure footnote"/>
    <w:qFormat/>
    <w:rsid w:val="00E56375"/>
    <w:pPr>
      <w:keepNext/>
    </w:pPr>
    <w:rPr>
      <w:rFonts w:ascii="Arial Narrow" w:eastAsia="Calibri" w:hAnsi="Arial Narrow"/>
      <w:sz w:val="16"/>
      <w:szCs w:val="24"/>
      <w:lang w:eastAsia="en-US"/>
    </w:rPr>
  </w:style>
  <w:style w:type="paragraph" w:customStyle="1" w:styleId="11TableorFigurefootnotenostick">
    <w:name w:val="11 Table or Figure footnote – no stick"/>
    <w:next w:val="BodyText"/>
    <w:qFormat/>
    <w:rsid w:val="00E56375"/>
    <w:pPr>
      <w:spacing w:after="360"/>
    </w:pPr>
    <w:rPr>
      <w:rFonts w:ascii="Arial Narrow" w:eastAsia="Calibri" w:hAnsi="Arial Narrow"/>
      <w:sz w:val="16"/>
      <w:szCs w:val="24"/>
      <w:lang w:eastAsia="en-US"/>
    </w:rPr>
  </w:style>
  <w:style w:type="paragraph" w:customStyle="1" w:styleId="01TableHEADINGleftaligned">
    <w:name w:val="01 Table HEADING left aligned"/>
    <w:basedOn w:val="BodyText"/>
    <w:qFormat/>
    <w:rsid w:val="00E56375"/>
    <w:pPr>
      <w:keepNext/>
      <w:spacing w:before="60" w:after="0" w:line="240" w:lineRule="auto"/>
      <w:ind w:left="57" w:right="57"/>
      <w:jc w:val="left"/>
    </w:pPr>
    <w:rPr>
      <w:rFonts w:ascii="Arial Narrow" w:hAnsi="Arial Narrow"/>
      <w:b/>
      <w:sz w:val="18"/>
      <w:szCs w:val="24"/>
    </w:rPr>
  </w:style>
  <w:style w:type="paragraph" w:customStyle="1" w:styleId="04Tablesubheading">
    <w:name w:val="04 Table subheading"/>
    <w:qFormat/>
    <w:rsid w:val="00E56375"/>
    <w:pPr>
      <w:keepNext/>
      <w:spacing w:before="20"/>
      <w:ind w:left="57" w:right="57"/>
    </w:pPr>
    <w:rPr>
      <w:rFonts w:ascii="Arial Narrow" w:eastAsia="Calibri" w:hAnsi="Arial Narrow"/>
      <w:b/>
      <w:sz w:val="18"/>
      <w:szCs w:val="24"/>
      <w:lang w:eastAsia="en-US"/>
    </w:rPr>
  </w:style>
  <w:style w:type="paragraph" w:customStyle="1" w:styleId="PBACheading1">
    <w:name w:val="PBAC heading 1"/>
    <w:qFormat/>
    <w:rsid w:val="00352A2B"/>
    <w:pPr>
      <w:outlineLvl w:val="0"/>
    </w:pPr>
    <w:rPr>
      <w:rFonts w:ascii="Arial" w:hAnsi="Arial" w:cs="Arial"/>
      <w:b/>
      <w:snapToGrid w:val="0"/>
      <w:sz w:val="22"/>
      <w:szCs w:val="22"/>
      <w:lang w:eastAsia="en-US"/>
    </w:rPr>
  </w:style>
  <w:style w:type="paragraph" w:customStyle="1" w:styleId="PBACHeading10">
    <w:name w:val="PBAC Heading 1"/>
    <w:qFormat/>
    <w:rsid w:val="00352A2B"/>
    <w:pPr>
      <w:ind w:left="720" w:hanging="720"/>
    </w:pPr>
    <w:rPr>
      <w:rFonts w:ascii="Arial" w:hAnsi="Arial" w:cs="Arial"/>
      <w:b/>
      <w:snapToGrid w:val="0"/>
      <w:sz w:val="22"/>
      <w:szCs w:val="22"/>
      <w:lang w:eastAsia="en-US"/>
    </w:rPr>
  </w:style>
  <w:style w:type="character" w:customStyle="1" w:styleId="apple-converted-space">
    <w:name w:val="apple-converted-space"/>
    <w:basedOn w:val="DefaultParagraphFont"/>
    <w:rsid w:val="00685B83"/>
  </w:style>
  <w:style w:type="character" w:customStyle="1" w:styleId="form-strength">
    <w:name w:val="form-strength"/>
    <w:basedOn w:val="DefaultParagraphFont"/>
    <w:rsid w:val="00645E39"/>
  </w:style>
  <w:style w:type="character" w:customStyle="1" w:styleId="HeaderChar">
    <w:name w:val="Header Char"/>
    <w:aliases w:val="Page Header Char,Header title Char,he=header Char,cntr/bld Char"/>
    <w:link w:val="Header"/>
    <w:uiPriority w:val="99"/>
    <w:rsid w:val="00450D06"/>
    <w:rPr>
      <w:sz w:val="24"/>
      <w:szCs w:val="24"/>
      <w:lang w:eastAsia="en-US"/>
    </w:rPr>
  </w:style>
  <w:style w:type="character" w:customStyle="1" w:styleId="FooterChar">
    <w:name w:val="Footer Char"/>
    <w:basedOn w:val="DefaultParagraphFont"/>
    <w:link w:val="Footer"/>
    <w:uiPriority w:val="99"/>
    <w:rsid w:val="00450D06"/>
    <w:rPr>
      <w:sz w:val="24"/>
      <w:szCs w:val="24"/>
      <w:lang w:eastAsia="en-US"/>
    </w:rPr>
  </w:style>
  <w:style w:type="paragraph" w:customStyle="1" w:styleId="MDTabCaption">
    <w:name w:val="MD_TabCaption"/>
    <w:basedOn w:val="Normal"/>
    <w:next w:val="Normal"/>
    <w:link w:val="MDTabCaptionChar"/>
    <w:qFormat/>
    <w:rsid w:val="004C3C28"/>
    <w:pPr>
      <w:keepNext/>
      <w:overflowPunct/>
      <w:autoSpaceDE/>
      <w:autoSpaceDN/>
      <w:adjustRightInd/>
      <w:spacing w:before="200" w:after="20"/>
      <w:ind w:right="57"/>
      <w:contextualSpacing/>
      <w:textAlignment w:val="auto"/>
    </w:pPr>
    <w:rPr>
      <w:rFonts w:asciiTheme="minorHAnsi" w:eastAsiaTheme="minorEastAsia" w:hAnsiTheme="minorHAnsi" w:cs="Calibri"/>
      <w:b/>
      <w:lang w:val="en-US"/>
    </w:rPr>
  </w:style>
  <w:style w:type="character" w:customStyle="1" w:styleId="MDTabCaptionChar">
    <w:name w:val="MD_TabCaption Char"/>
    <w:basedOn w:val="DefaultParagraphFont"/>
    <w:link w:val="MDTabCaption"/>
    <w:rsid w:val="004C3C28"/>
    <w:rPr>
      <w:rFonts w:asciiTheme="minorHAnsi" w:eastAsiaTheme="minorEastAsia" w:hAnsiTheme="minorHAnsi" w:cs="Calibri"/>
      <w:b/>
      <w:sz w:val="24"/>
      <w:szCs w:val="24"/>
      <w:lang w:val="en-US" w:eastAsia="en-US"/>
    </w:rPr>
  </w:style>
  <w:style w:type="paragraph" w:customStyle="1" w:styleId="Footnotes">
    <w:name w:val="Footnotes"/>
    <w:basedOn w:val="Normal"/>
    <w:link w:val="FootnotesChar"/>
    <w:qFormat/>
    <w:rsid w:val="004C3C28"/>
    <w:pPr>
      <w:overflowPunct/>
      <w:autoSpaceDE/>
      <w:autoSpaceDN/>
      <w:adjustRightInd/>
      <w:spacing w:after="200"/>
      <w:ind w:right="57"/>
      <w:contextualSpacing/>
      <w:textAlignment w:val="auto"/>
    </w:pPr>
    <w:rPr>
      <w:rFonts w:asciiTheme="minorHAnsi" w:eastAsiaTheme="minorEastAsia" w:hAnsiTheme="minorHAnsi" w:cs="Calibri"/>
      <w:sz w:val="20"/>
      <w:szCs w:val="20"/>
      <w:lang w:val="en-GB" w:eastAsia="en-AU"/>
    </w:rPr>
  </w:style>
  <w:style w:type="character" w:customStyle="1" w:styleId="FootnotesChar">
    <w:name w:val="Footnotes Char"/>
    <w:basedOn w:val="DefaultParagraphFont"/>
    <w:link w:val="Footnotes"/>
    <w:rsid w:val="004C3C28"/>
    <w:rPr>
      <w:rFonts w:asciiTheme="minorHAnsi" w:eastAsiaTheme="minorEastAsia" w:hAnsiTheme="minorHAnsi" w:cs="Calibri"/>
      <w:lang w:val="en-GB"/>
    </w:rPr>
  </w:style>
  <w:style w:type="paragraph" w:customStyle="1" w:styleId="02TableHEADINGcentred">
    <w:name w:val="02 Table HEADING centred"/>
    <w:qFormat/>
    <w:rsid w:val="004C3C28"/>
    <w:pPr>
      <w:keepNext/>
      <w:spacing w:before="60"/>
      <w:ind w:left="57" w:right="57"/>
      <w:jc w:val="center"/>
    </w:pPr>
    <w:rPr>
      <w:rFonts w:ascii="Arial Narrow" w:eastAsia="Calibri" w:hAnsi="Arial Narrow"/>
      <w:b/>
      <w:sz w:val="18"/>
      <w:szCs w:val="24"/>
      <w:lang w:eastAsia="en-US"/>
    </w:rPr>
  </w:style>
  <w:style w:type="table" w:customStyle="1" w:styleId="TableGridLight2">
    <w:name w:val="Table Grid Light2"/>
    <w:basedOn w:val="TableNormal"/>
    <w:uiPriority w:val="40"/>
    <w:rsid w:val="004C3C28"/>
    <w:rPr>
      <w:rFonts w:eastAsiaTheme="minorHAnsi" w:cstheme="minorBidi"/>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3478F"/>
    <w:rPr>
      <w:sz w:val="24"/>
      <w:szCs w:val="24"/>
      <w:lang w:eastAsia="en-US"/>
    </w:rPr>
  </w:style>
  <w:style w:type="paragraph" w:customStyle="1" w:styleId="Tablebullet">
    <w:name w:val="Table bullet"/>
    <w:basedOn w:val="Normal"/>
    <w:uiPriority w:val="53"/>
    <w:rsid w:val="005D6755"/>
    <w:pPr>
      <w:numPr>
        <w:numId w:val="4"/>
      </w:numPr>
      <w:overflowPunct/>
      <w:autoSpaceDE/>
      <w:autoSpaceDN/>
      <w:adjustRightInd/>
      <w:textAlignment w:val="auto"/>
    </w:pPr>
    <w:rPr>
      <w:rFonts w:ascii="Arial Narrow" w:hAnsi="Arial Narrow"/>
      <w:sz w:val="20"/>
      <w:lang w:eastAsia="en-AU"/>
    </w:rPr>
  </w:style>
  <w:style w:type="paragraph" w:customStyle="1" w:styleId="NEWNORM">
    <w:name w:val="NEW NORM"/>
    <w:basedOn w:val="Normal"/>
    <w:link w:val="NEWNORMChar"/>
    <w:qFormat/>
    <w:rsid w:val="00A83F43"/>
    <w:pPr>
      <w:overflowPunct/>
      <w:autoSpaceDE/>
      <w:autoSpaceDN/>
      <w:adjustRightInd/>
      <w:spacing w:after="120"/>
      <w:textAlignment w:val="auto"/>
    </w:pPr>
    <w:rPr>
      <w:rFonts w:ascii="Arial" w:hAnsi="Arial" w:cs="Arial"/>
      <w:sz w:val="22"/>
    </w:rPr>
  </w:style>
  <w:style w:type="character" w:customStyle="1" w:styleId="NEWNORMChar">
    <w:name w:val="NEW NORM Char"/>
    <w:link w:val="NEWNORM"/>
    <w:rsid w:val="00A83F43"/>
    <w:rPr>
      <w:rFonts w:ascii="Arial" w:hAnsi="Arial" w:cs="Arial"/>
      <w:sz w:val="22"/>
      <w:szCs w:val="24"/>
      <w:lang w:eastAsia="en-US"/>
    </w:rPr>
  </w:style>
  <w:style w:type="paragraph" w:customStyle="1" w:styleId="V50Heading2nonumbers">
    <w:name w:val="V5.0 Heading 2 no numbers"/>
    <w:basedOn w:val="Heading2"/>
    <w:qFormat/>
    <w:rsid w:val="00A83F43"/>
    <w:pPr>
      <w:keepLines/>
      <w:ind w:left="578" w:hanging="578"/>
    </w:pPr>
    <w:rPr>
      <w:rFonts w:ascii="Calibri" w:hAnsi="Calibri"/>
      <w:i/>
      <w:sz w:val="28"/>
      <w:szCs w:val="28"/>
    </w:rPr>
  </w:style>
  <w:style w:type="paragraph" w:styleId="NoSpacing">
    <w:name w:val="No Spacing"/>
    <w:aliases w:val="Figure footer"/>
    <w:link w:val="NoSpacingChar"/>
    <w:uiPriority w:val="1"/>
    <w:qFormat/>
    <w:rsid w:val="00030687"/>
    <w:rPr>
      <w:sz w:val="24"/>
      <w:szCs w:val="24"/>
      <w:lang w:eastAsia="en-US"/>
    </w:rPr>
  </w:style>
  <w:style w:type="paragraph" w:customStyle="1" w:styleId="2Sections">
    <w:name w:val="2. Sections"/>
    <w:qFormat/>
    <w:rsid w:val="007A7157"/>
    <w:pPr>
      <w:numPr>
        <w:numId w:val="7"/>
      </w:num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7A7157"/>
    <w:pPr>
      <w:numPr>
        <w:ilvl w:val="1"/>
        <w:numId w:val="7"/>
      </w:numPr>
      <w:spacing w:line="240" w:lineRule="auto"/>
      <w:contextualSpacing w:val="0"/>
      <w:jc w:val="both"/>
    </w:pPr>
    <w:rPr>
      <w:rFonts w:asciiTheme="minorHAnsi" w:eastAsiaTheme="minorHAnsi" w:hAnsiTheme="minorHAnsi" w:cstheme="minorBidi"/>
      <w:noProof w:val="0"/>
      <w:szCs w:val="22"/>
    </w:rPr>
  </w:style>
  <w:style w:type="character" w:customStyle="1" w:styleId="3BodytextChar">
    <w:name w:val="3. Body text Char"/>
    <w:basedOn w:val="DefaultParagraphFont"/>
    <w:link w:val="3Bodytext"/>
    <w:rsid w:val="007A7157"/>
    <w:rPr>
      <w:rFonts w:asciiTheme="minorHAnsi" w:eastAsiaTheme="minorHAnsi" w:hAnsiTheme="minorHAnsi" w:cstheme="minorBidi"/>
      <w:sz w:val="24"/>
      <w:szCs w:val="22"/>
      <w:lang w:eastAsia="en-US"/>
    </w:rPr>
  </w:style>
  <w:style w:type="character" w:styleId="UnresolvedMention">
    <w:name w:val="Unresolved Mention"/>
    <w:basedOn w:val="DefaultParagraphFont"/>
    <w:uiPriority w:val="99"/>
    <w:semiHidden/>
    <w:unhideWhenUsed/>
    <w:rsid w:val="00800771"/>
    <w:rPr>
      <w:color w:val="605E5C"/>
      <w:shd w:val="clear" w:color="auto" w:fill="E1DFDD"/>
    </w:rPr>
  </w:style>
  <w:style w:type="paragraph" w:customStyle="1" w:styleId="4Bodytextnumbered">
    <w:name w:val="4. Body text numbered"/>
    <w:basedOn w:val="ListParagraph"/>
    <w:qFormat/>
    <w:rsid w:val="002805E9"/>
    <w:pPr>
      <w:spacing w:line="240" w:lineRule="auto"/>
      <w:ind w:left="720" w:hanging="720"/>
      <w:contextualSpacing w:val="0"/>
      <w:jc w:val="both"/>
    </w:pPr>
    <w:rPr>
      <w:rFonts w:asciiTheme="minorHAnsi" w:eastAsiaTheme="minorHAnsi" w:hAnsiTheme="minorHAnsi" w:cstheme="minorBidi"/>
      <w:noProof w:val="0"/>
      <w:szCs w:val="22"/>
    </w:rPr>
  </w:style>
  <w:style w:type="paragraph" w:customStyle="1" w:styleId="Style1">
    <w:name w:val="Style1"/>
    <w:basedOn w:val="ListParagraph"/>
    <w:link w:val="Style1Char"/>
    <w:qFormat/>
    <w:rsid w:val="002805E9"/>
    <w:pPr>
      <w:widowControl w:val="0"/>
      <w:numPr>
        <w:numId w:val="33"/>
      </w:numPr>
      <w:spacing w:before="120" w:line="240" w:lineRule="auto"/>
      <w:ind w:left="1434" w:hanging="357"/>
      <w:jc w:val="both"/>
    </w:pPr>
    <w:rPr>
      <w:rFonts w:asciiTheme="minorHAnsi" w:eastAsiaTheme="minorHAnsi" w:hAnsiTheme="minorHAnsi" w:cstheme="minorBidi"/>
    </w:rPr>
  </w:style>
  <w:style w:type="character" w:customStyle="1" w:styleId="Style1Char">
    <w:name w:val="Style1 Char"/>
    <w:basedOn w:val="ListParagraphChar"/>
    <w:link w:val="Style1"/>
    <w:rsid w:val="002805E9"/>
    <w:rPr>
      <w:rFonts w:asciiTheme="minorHAnsi" w:eastAsiaTheme="minorHAnsi" w:hAnsiTheme="minorHAnsi" w:cstheme="minorBidi"/>
      <w:noProof/>
      <w:sz w:val="24"/>
      <w:szCs w:val="24"/>
      <w:lang w:eastAsia="en-US"/>
    </w:rPr>
  </w:style>
  <w:style w:type="paragraph" w:customStyle="1" w:styleId="In-tableHeading">
    <w:name w:val="In-table Heading"/>
    <w:qFormat/>
    <w:rsid w:val="00B82A6E"/>
    <w:pPr>
      <w:keepNext/>
    </w:pPr>
    <w:rPr>
      <w:rFonts w:ascii="Arial Narrow" w:eastAsiaTheme="majorEastAsia" w:hAnsi="Arial Narrow"/>
      <w:b/>
      <w:szCs w:val="24"/>
      <w:lang w:val="en-US" w:eastAsia="en-US"/>
    </w:rPr>
  </w:style>
  <w:style w:type="paragraph" w:customStyle="1" w:styleId="3Subheading1">
    <w:name w:val="3. Subheading 1"/>
    <w:basedOn w:val="Heading2"/>
    <w:link w:val="3Subheading1Char"/>
    <w:qFormat/>
    <w:rsid w:val="005A0C45"/>
    <w:rPr>
      <w:i/>
      <w:sz w:val="28"/>
      <w:szCs w:val="28"/>
    </w:rPr>
  </w:style>
  <w:style w:type="character" w:customStyle="1" w:styleId="3Subheading1Char">
    <w:name w:val="3. Subheading 1 Char"/>
    <w:basedOn w:val="DefaultParagraphFont"/>
    <w:link w:val="3Subheading1"/>
    <w:rsid w:val="005A0C45"/>
    <w:rPr>
      <w:rFonts w:asciiTheme="minorHAnsi" w:eastAsiaTheme="majorEastAsia" w:hAnsiTheme="minorHAnsi"/>
      <w:b/>
      <w:i/>
      <w:sz w:val="28"/>
      <w:szCs w:val="28"/>
      <w:lang w:eastAsia="en-US"/>
    </w:rPr>
  </w:style>
  <w:style w:type="character" w:customStyle="1" w:styleId="NoSpacingChar">
    <w:name w:val="No Spacing Char"/>
    <w:aliases w:val="Figure footer Char"/>
    <w:basedOn w:val="DefaultParagraphFont"/>
    <w:link w:val="NoSpacing"/>
    <w:uiPriority w:val="1"/>
    <w:rsid w:val="00A043B7"/>
    <w:rPr>
      <w:sz w:val="24"/>
      <w:szCs w:val="24"/>
      <w:lang w:eastAsia="en-US"/>
    </w:rPr>
  </w:style>
  <w:style w:type="paragraph" w:customStyle="1" w:styleId="4bulletpoint">
    <w:name w:val="4. bullet point"/>
    <w:basedOn w:val="ListParagraph"/>
    <w:link w:val="4bulletpointChar"/>
    <w:qFormat/>
    <w:rsid w:val="00595CE3"/>
    <w:pPr>
      <w:widowControl w:val="0"/>
      <w:numPr>
        <w:numId w:val="36"/>
      </w:numPr>
      <w:spacing w:line="240" w:lineRule="auto"/>
      <w:ind w:left="1077" w:hanging="357"/>
      <w:contextualSpacing w:val="0"/>
      <w:jc w:val="both"/>
    </w:pPr>
    <w:rPr>
      <w:rFonts w:asciiTheme="minorHAnsi" w:hAnsiTheme="minorHAnsi" w:cs="Arial"/>
      <w:snapToGrid w:val="0"/>
    </w:rPr>
  </w:style>
  <w:style w:type="character" w:customStyle="1" w:styleId="4bulletpointChar">
    <w:name w:val="4. bullet point Char"/>
    <w:basedOn w:val="ListParagraphChar"/>
    <w:link w:val="4bulletpoint"/>
    <w:rsid w:val="00595CE3"/>
    <w:rPr>
      <w:rFonts w:asciiTheme="minorHAnsi" w:hAnsiTheme="minorHAnsi" w:cs="Arial"/>
      <w:noProof/>
      <w:snapToGrid w:val="0"/>
      <w:sz w:val="24"/>
      <w:szCs w:val="24"/>
      <w:lang w:eastAsia="en-US"/>
    </w:rPr>
  </w:style>
  <w:style w:type="paragraph" w:customStyle="1" w:styleId="EndNoteBibliography">
    <w:name w:val="EndNote Bibliography"/>
    <w:basedOn w:val="Normal"/>
    <w:link w:val="EndNoteBibliographyChar"/>
    <w:rsid w:val="00B30BC6"/>
    <w:pPr>
      <w:overflowPunct/>
      <w:autoSpaceDE/>
      <w:autoSpaceDN/>
      <w:adjustRightInd/>
      <w:spacing w:before="120"/>
      <w:textAlignment w:val="auto"/>
    </w:pPr>
    <w:rPr>
      <w:rFonts w:ascii="Calibri" w:hAnsi="Calibri" w:cs="Calibri"/>
      <w:lang w:val="en-GB" w:eastAsia="en-GB"/>
    </w:rPr>
  </w:style>
  <w:style w:type="character" w:customStyle="1" w:styleId="EndNoteBibliographyChar">
    <w:name w:val="EndNote Bibliography Char"/>
    <w:basedOn w:val="DefaultParagraphFont"/>
    <w:link w:val="EndNoteBibliography"/>
    <w:rsid w:val="00B30BC6"/>
    <w:rPr>
      <w:rFonts w:ascii="Calibri" w:hAnsi="Calibri" w:cs="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3090">
      <w:bodyDiv w:val="1"/>
      <w:marLeft w:val="0"/>
      <w:marRight w:val="0"/>
      <w:marTop w:val="0"/>
      <w:marBottom w:val="0"/>
      <w:divBdr>
        <w:top w:val="none" w:sz="0" w:space="0" w:color="auto"/>
        <w:left w:val="none" w:sz="0" w:space="0" w:color="auto"/>
        <w:bottom w:val="none" w:sz="0" w:space="0" w:color="auto"/>
        <w:right w:val="none" w:sz="0" w:space="0" w:color="auto"/>
      </w:divBdr>
    </w:div>
    <w:div w:id="227568953">
      <w:bodyDiv w:val="1"/>
      <w:marLeft w:val="0"/>
      <w:marRight w:val="0"/>
      <w:marTop w:val="0"/>
      <w:marBottom w:val="0"/>
      <w:divBdr>
        <w:top w:val="none" w:sz="0" w:space="0" w:color="auto"/>
        <w:left w:val="none" w:sz="0" w:space="0" w:color="auto"/>
        <w:bottom w:val="none" w:sz="0" w:space="0" w:color="auto"/>
        <w:right w:val="none" w:sz="0" w:space="0" w:color="auto"/>
      </w:divBdr>
    </w:div>
    <w:div w:id="353583247">
      <w:bodyDiv w:val="1"/>
      <w:marLeft w:val="0"/>
      <w:marRight w:val="0"/>
      <w:marTop w:val="0"/>
      <w:marBottom w:val="0"/>
      <w:divBdr>
        <w:top w:val="none" w:sz="0" w:space="0" w:color="auto"/>
        <w:left w:val="none" w:sz="0" w:space="0" w:color="auto"/>
        <w:bottom w:val="none" w:sz="0" w:space="0" w:color="auto"/>
        <w:right w:val="none" w:sz="0" w:space="0" w:color="auto"/>
      </w:divBdr>
    </w:div>
    <w:div w:id="437724368">
      <w:bodyDiv w:val="1"/>
      <w:marLeft w:val="0"/>
      <w:marRight w:val="0"/>
      <w:marTop w:val="0"/>
      <w:marBottom w:val="0"/>
      <w:divBdr>
        <w:top w:val="none" w:sz="0" w:space="0" w:color="auto"/>
        <w:left w:val="none" w:sz="0" w:space="0" w:color="auto"/>
        <w:bottom w:val="none" w:sz="0" w:space="0" w:color="auto"/>
        <w:right w:val="none" w:sz="0" w:space="0" w:color="auto"/>
      </w:divBdr>
    </w:div>
    <w:div w:id="551312050">
      <w:bodyDiv w:val="1"/>
      <w:marLeft w:val="0"/>
      <w:marRight w:val="0"/>
      <w:marTop w:val="0"/>
      <w:marBottom w:val="0"/>
      <w:divBdr>
        <w:top w:val="none" w:sz="0" w:space="0" w:color="auto"/>
        <w:left w:val="none" w:sz="0" w:space="0" w:color="auto"/>
        <w:bottom w:val="none" w:sz="0" w:space="0" w:color="auto"/>
        <w:right w:val="none" w:sz="0" w:space="0" w:color="auto"/>
      </w:divBdr>
    </w:div>
    <w:div w:id="585262397">
      <w:bodyDiv w:val="1"/>
      <w:marLeft w:val="0"/>
      <w:marRight w:val="0"/>
      <w:marTop w:val="0"/>
      <w:marBottom w:val="0"/>
      <w:divBdr>
        <w:top w:val="none" w:sz="0" w:space="0" w:color="auto"/>
        <w:left w:val="none" w:sz="0" w:space="0" w:color="auto"/>
        <w:bottom w:val="none" w:sz="0" w:space="0" w:color="auto"/>
        <w:right w:val="none" w:sz="0" w:space="0" w:color="auto"/>
      </w:divBdr>
    </w:div>
    <w:div w:id="876703076">
      <w:bodyDiv w:val="1"/>
      <w:marLeft w:val="0"/>
      <w:marRight w:val="0"/>
      <w:marTop w:val="0"/>
      <w:marBottom w:val="0"/>
      <w:divBdr>
        <w:top w:val="none" w:sz="0" w:space="0" w:color="auto"/>
        <w:left w:val="none" w:sz="0" w:space="0" w:color="auto"/>
        <w:bottom w:val="none" w:sz="0" w:space="0" w:color="auto"/>
        <w:right w:val="none" w:sz="0" w:space="0" w:color="auto"/>
      </w:divBdr>
    </w:div>
    <w:div w:id="903026446">
      <w:bodyDiv w:val="1"/>
      <w:marLeft w:val="0"/>
      <w:marRight w:val="0"/>
      <w:marTop w:val="0"/>
      <w:marBottom w:val="0"/>
      <w:divBdr>
        <w:top w:val="none" w:sz="0" w:space="0" w:color="auto"/>
        <w:left w:val="none" w:sz="0" w:space="0" w:color="auto"/>
        <w:bottom w:val="none" w:sz="0" w:space="0" w:color="auto"/>
        <w:right w:val="none" w:sz="0" w:space="0" w:color="auto"/>
      </w:divBdr>
    </w:div>
    <w:div w:id="1008942567">
      <w:bodyDiv w:val="1"/>
      <w:marLeft w:val="0"/>
      <w:marRight w:val="0"/>
      <w:marTop w:val="0"/>
      <w:marBottom w:val="0"/>
      <w:divBdr>
        <w:top w:val="none" w:sz="0" w:space="0" w:color="auto"/>
        <w:left w:val="none" w:sz="0" w:space="0" w:color="auto"/>
        <w:bottom w:val="none" w:sz="0" w:space="0" w:color="auto"/>
        <w:right w:val="none" w:sz="0" w:space="0" w:color="auto"/>
      </w:divBdr>
    </w:div>
    <w:div w:id="1064179129">
      <w:bodyDiv w:val="1"/>
      <w:marLeft w:val="0"/>
      <w:marRight w:val="0"/>
      <w:marTop w:val="0"/>
      <w:marBottom w:val="0"/>
      <w:divBdr>
        <w:top w:val="none" w:sz="0" w:space="0" w:color="auto"/>
        <w:left w:val="none" w:sz="0" w:space="0" w:color="auto"/>
        <w:bottom w:val="none" w:sz="0" w:space="0" w:color="auto"/>
        <w:right w:val="none" w:sz="0" w:space="0" w:color="auto"/>
      </w:divBdr>
    </w:div>
    <w:div w:id="1072045836">
      <w:bodyDiv w:val="1"/>
      <w:marLeft w:val="0"/>
      <w:marRight w:val="0"/>
      <w:marTop w:val="0"/>
      <w:marBottom w:val="0"/>
      <w:divBdr>
        <w:top w:val="none" w:sz="0" w:space="0" w:color="auto"/>
        <w:left w:val="none" w:sz="0" w:space="0" w:color="auto"/>
        <w:bottom w:val="none" w:sz="0" w:space="0" w:color="auto"/>
        <w:right w:val="none" w:sz="0" w:space="0" w:color="auto"/>
      </w:divBdr>
    </w:div>
    <w:div w:id="1085958687">
      <w:bodyDiv w:val="1"/>
      <w:marLeft w:val="0"/>
      <w:marRight w:val="0"/>
      <w:marTop w:val="0"/>
      <w:marBottom w:val="0"/>
      <w:divBdr>
        <w:top w:val="none" w:sz="0" w:space="0" w:color="auto"/>
        <w:left w:val="none" w:sz="0" w:space="0" w:color="auto"/>
        <w:bottom w:val="none" w:sz="0" w:space="0" w:color="auto"/>
        <w:right w:val="none" w:sz="0" w:space="0" w:color="auto"/>
      </w:divBdr>
    </w:div>
    <w:div w:id="1204556496">
      <w:bodyDiv w:val="1"/>
      <w:marLeft w:val="0"/>
      <w:marRight w:val="0"/>
      <w:marTop w:val="0"/>
      <w:marBottom w:val="0"/>
      <w:divBdr>
        <w:top w:val="none" w:sz="0" w:space="0" w:color="auto"/>
        <w:left w:val="none" w:sz="0" w:space="0" w:color="auto"/>
        <w:bottom w:val="none" w:sz="0" w:space="0" w:color="auto"/>
        <w:right w:val="none" w:sz="0" w:space="0" w:color="auto"/>
      </w:divBdr>
    </w:div>
    <w:div w:id="1207988082">
      <w:bodyDiv w:val="1"/>
      <w:marLeft w:val="0"/>
      <w:marRight w:val="0"/>
      <w:marTop w:val="0"/>
      <w:marBottom w:val="0"/>
      <w:divBdr>
        <w:top w:val="none" w:sz="0" w:space="0" w:color="auto"/>
        <w:left w:val="none" w:sz="0" w:space="0" w:color="auto"/>
        <w:bottom w:val="none" w:sz="0" w:space="0" w:color="auto"/>
        <w:right w:val="none" w:sz="0" w:space="0" w:color="auto"/>
      </w:divBdr>
    </w:div>
    <w:div w:id="1222254265">
      <w:bodyDiv w:val="1"/>
      <w:marLeft w:val="0"/>
      <w:marRight w:val="0"/>
      <w:marTop w:val="0"/>
      <w:marBottom w:val="0"/>
      <w:divBdr>
        <w:top w:val="none" w:sz="0" w:space="0" w:color="auto"/>
        <w:left w:val="none" w:sz="0" w:space="0" w:color="auto"/>
        <w:bottom w:val="none" w:sz="0" w:space="0" w:color="auto"/>
        <w:right w:val="none" w:sz="0" w:space="0" w:color="auto"/>
      </w:divBdr>
    </w:div>
    <w:div w:id="1381321106">
      <w:bodyDiv w:val="1"/>
      <w:marLeft w:val="0"/>
      <w:marRight w:val="0"/>
      <w:marTop w:val="0"/>
      <w:marBottom w:val="0"/>
      <w:divBdr>
        <w:top w:val="none" w:sz="0" w:space="0" w:color="auto"/>
        <w:left w:val="none" w:sz="0" w:space="0" w:color="auto"/>
        <w:bottom w:val="none" w:sz="0" w:space="0" w:color="auto"/>
        <w:right w:val="none" w:sz="0" w:space="0" w:color="auto"/>
      </w:divBdr>
    </w:div>
    <w:div w:id="1386638296">
      <w:bodyDiv w:val="1"/>
      <w:marLeft w:val="0"/>
      <w:marRight w:val="0"/>
      <w:marTop w:val="0"/>
      <w:marBottom w:val="0"/>
      <w:divBdr>
        <w:top w:val="none" w:sz="0" w:space="0" w:color="auto"/>
        <w:left w:val="none" w:sz="0" w:space="0" w:color="auto"/>
        <w:bottom w:val="none" w:sz="0" w:space="0" w:color="auto"/>
        <w:right w:val="none" w:sz="0" w:space="0" w:color="auto"/>
      </w:divBdr>
      <w:divsChild>
        <w:div w:id="2038385421">
          <w:marLeft w:val="288"/>
          <w:marRight w:val="0"/>
          <w:marTop w:val="115"/>
          <w:marBottom w:val="0"/>
          <w:divBdr>
            <w:top w:val="none" w:sz="0" w:space="0" w:color="auto"/>
            <w:left w:val="none" w:sz="0" w:space="0" w:color="auto"/>
            <w:bottom w:val="none" w:sz="0" w:space="0" w:color="auto"/>
            <w:right w:val="none" w:sz="0" w:space="0" w:color="auto"/>
          </w:divBdr>
        </w:div>
      </w:divsChild>
    </w:div>
    <w:div w:id="1424884235">
      <w:bodyDiv w:val="1"/>
      <w:marLeft w:val="0"/>
      <w:marRight w:val="0"/>
      <w:marTop w:val="0"/>
      <w:marBottom w:val="0"/>
      <w:divBdr>
        <w:top w:val="none" w:sz="0" w:space="0" w:color="auto"/>
        <w:left w:val="none" w:sz="0" w:space="0" w:color="auto"/>
        <w:bottom w:val="none" w:sz="0" w:space="0" w:color="auto"/>
        <w:right w:val="none" w:sz="0" w:space="0" w:color="auto"/>
      </w:divBdr>
    </w:div>
    <w:div w:id="1493987430">
      <w:bodyDiv w:val="1"/>
      <w:marLeft w:val="0"/>
      <w:marRight w:val="0"/>
      <w:marTop w:val="0"/>
      <w:marBottom w:val="0"/>
      <w:divBdr>
        <w:top w:val="none" w:sz="0" w:space="0" w:color="auto"/>
        <w:left w:val="none" w:sz="0" w:space="0" w:color="auto"/>
        <w:bottom w:val="none" w:sz="0" w:space="0" w:color="auto"/>
        <w:right w:val="none" w:sz="0" w:space="0" w:color="auto"/>
      </w:divBdr>
      <w:divsChild>
        <w:div w:id="553005685">
          <w:marLeft w:val="547"/>
          <w:marRight w:val="0"/>
          <w:marTop w:val="240"/>
          <w:marBottom w:val="120"/>
          <w:divBdr>
            <w:top w:val="none" w:sz="0" w:space="0" w:color="auto"/>
            <w:left w:val="none" w:sz="0" w:space="0" w:color="auto"/>
            <w:bottom w:val="none" w:sz="0" w:space="0" w:color="auto"/>
            <w:right w:val="none" w:sz="0" w:space="0" w:color="auto"/>
          </w:divBdr>
        </w:div>
        <w:div w:id="318579253">
          <w:marLeft w:val="547"/>
          <w:marRight w:val="0"/>
          <w:marTop w:val="240"/>
          <w:marBottom w:val="120"/>
          <w:divBdr>
            <w:top w:val="none" w:sz="0" w:space="0" w:color="auto"/>
            <w:left w:val="none" w:sz="0" w:space="0" w:color="auto"/>
            <w:bottom w:val="none" w:sz="0" w:space="0" w:color="auto"/>
            <w:right w:val="none" w:sz="0" w:space="0" w:color="auto"/>
          </w:divBdr>
        </w:div>
      </w:divsChild>
    </w:div>
    <w:div w:id="1575579279">
      <w:bodyDiv w:val="1"/>
      <w:marLeft w:val="0"/>
      <w:marRight w:val="0"/>
      <w:marTop w:val="0"/>
      <w:marBottom w:val="0"/>
      <w:divBdr>
        <w:top w:val="none" w:sz="0" w:space="0" w:color="auto"/>
        <w:left w:val="none" w:sz="0" w:space="0" w:color="auto"/>
        <w:bottom w:val="none" w:sz="0" w:space="0" w:color="auto"/>
        <w:right w:val="none" w:sz="0" w:space="0" w:color="auto"/>
      </w:divBdr>
      <w:divsChild>
        <w:div w:id="1577395181">
          <w:marLeft w:val="288"/>
          <w:marRight w:val="0"/>
          <w:marTop w:val="115"/>
          <w:marBottom w:val="0"/>
          <w:divBdr>
            <w:top w:val="none" w:sz="0" w:space="0" w:color="auto"/>
            <w:left w:val="none" w:sz="0" w:space="0" w:color="auto"/>
            <w:bottom w:val="none" w:sz="0" w:space="0" w:color="auto"/>
            <w:right w:val="none" w:sz="0" w:space="0" w:color="auto"/>
          </w:divBdr>
        </w:div>
      </w:divsChild>
    </w:div>
    <w:div w:id="1705134025">
      <w:bodyDiv w:val="1"/>
      <w:marLeft w:val="0"/>
      <w:marRight w:val="0"/>
      <w:marTop w:val="0"/>
      <w:marBottom w:val="0"/>
      <w:divBdr>
        <w:top w:val="none" w:sz="0" w:space="0" w:color="auto"/>
        <w:left w:val="none" w:sz="0" w:space="0" w:color="auto"/>
        <w:bottom w:val="none" w:sz="0" w:space="0" w:color="auto"/>
        <w:right w:val="none" w:sz="0" w:space="0" w:color="auto"/>
      </w:divBdr>
    </w:div>
    <w:div w:id="1777863476">
      <w:bodyDiv w:val="1"/>
      <w:marLeft w:val="0"/>
      <w:marRight w:val="0"/>
      <w:marTop w:val="0"/>
      <w:marBottom w:val="0"/>
      <w:divBdr>
        <w:top w:val="none" w:sz="0" w:space="0" w:color="auto"/>
        <w:left w:val="none" w:sz="0" w:space="0" w:color="auto"/>
        <w:bottom w:val="none" w:sz="0" w:space="0" w:color="auto"/>
        <w:right w:val="none" w:sz="0" w:space="0" w:color="auto"/>
      </w:divBdr>
    </w:div>
    <w:div w:id="1792892130">
      <w:bodyDiv w:val="1"/>
      <w:marLeft w:val="0"/>
      <w:marRight w:val="0"/>
      <w:marTop w:val="0"/>
      <w:marBottom w:val="0"/>
      <w:divBdr>
        <w:top w:val="none" w:sz="0" w:space="0" w:color="auto"/>
        <w:left w:val="none" w:sz="0" w:space="0" w:color="auto"/>
        <w:bottom w:val="none" w:sz="0" w:space="0" w:color="auto"/>
        <w:right w:val="none" w:sz="0" w:space="0" w:color="auto"/>
      </w:divBdr>
    </w:div>
    <w:div w:id="1800756237">
      <w:bodyDiv w:val="1"/>
      <w:marLeft w:val="0"/>
      <w:marRight w:val="0"/>
      <w:marTop w:val="0"/>
      <w:marBottom w:val="0"/>
      <w:divBdr>
        <w:top w:val="none" w:sz="0" w:space="0" w:color="auto"/>
        <w:left w:val="none" w:sz="0" w:space="0" w:color="auto"/>
        <w:bottom w:val="none" w:sz="0" w:space="0" w:color="auto"/>
        <w:right w:val="none" w:sz="0" w:space="0" w:color="auto"/>
      </w:divBdr>
    </w:div>
    <w:div w:id="1853763956">
      <w:bodyDiv w:val="1"/>
      <w:marLeft w:val="0"/>
      <w:marRight w:val="0"/>
      <w:marTop w:val="0"/>
      <w:marBottom w:val="0"/>
      <w:divBdr>
        <w:top w:val="none" w:sz="0" w:space="0" w:color="auto"/>
        <w:left w:val="none" w:sz="0" w:space="0" w:color="auto"/>
        <w:bottom w:val="none" w:sz="0" w:space="0" w:color="auto"/>
        <w:right w:val="none" w:sz="0" w:space="0" w:color="auto"/>
      </w:divBdr>
    </w:div>
    <w:div w:id="19875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ng28/resources/visual-summary-short-version-choosing-medicines-for-further-treatment-pdf-10956472095" TargetMode="External"/><Relationship Id="rId2" Type="http://schemas.openxmlformats.org/officeDocument/2006/relationships/hyperlink" Target="https://www.pbs.gov.au/pbs/industry/listing/participants/public-release-docs/diabetes-drugs/analysis-drugs-type-2-diabetes-2013" TargetMode="External"/><Relationship Id="rId1" Type="http://schemas.openxmlformats.org/officeDocument/2006/relationships/hyperlink" Target="https://www.pbs.gov.au/info/industry/listing/participants/public-release-docs/2017-02/medicines-diabetes-feb-2017" TargetMode="External"/><Relationship Id="rId5" Type="http://schemas.openxmlformats.org/officeDocument/2006/relationships/hyperlink" Target="https://diabetessociety.com.au/20211104%20Guideline-Australian-Evidence-Based-Clinical-Guidelines-for-Diabetes.pdf" TargetMode="External"/><Relationship Id="rId4" Type="http://schemas.openxmlformats.org/officeDocument/2006/relationships/hyperlink" Target="https://diabetessociety.com.au/20211104%20Guideline-Australian-Evidence-Based-Clinical-Guidelines-for-Diabete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llis\AppData\Roaming\Hewlett-Packard\HP%20TRIM\Offline%20Records%20(A7)\Report%20~%20BENEFITS%20&amp;%20ACCESS%20-%20Contracting%20out\GLP1%20PBS%20scripts%20and%20expenditure%20to%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Scripts!$E$2</c:f>
              <c:strCache>
                <c:ptCount val="1"/>
                <c:pt idx="0">
                  <c:v>Exenatide</c:v>
                </c:pt>
              </c:strCache>
            </c:strRef>
          </c:tx>
          <c:spPr>
            <a:solidFill>
              <a:schemeClr val="accent1"/>
            </a:solidFill>
            <a:ln>
              <a:noFill/>
            </a:ln>
            <a:effectLst/>
          </c:spPr>
          <c:cat>
            <c:numRef>
              <c:f>Scripts!$F$1:$N$1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Scripts!$F$2:$N$2</c:f>
              <c:numCache>
                <c:formatCode>General</c:formatCode>
                <c:ptCount val="9"/>
                <c:pt idx="0">
                  <c:v>120733</c:v>
                </c:pt>
                <c:pt idx="1">
                  <c:v>193112</c:v>
                </c:pt>
                <c:pt idx="2">
                  <c:v>222919</c:v>
                </c:pt>
                <c:pt idx="3">
                  <c:v>263343</c:v>
                </c:pt>
                <c:pt idx="4">
                  <c:v>363017</c:v>
                </c:pt>
                <c:pt idx="5">
                  <c:v>389332</c:v>
                </c:pt>
                <c:pt idx="6">
                  <c:v>312617</c:v>
                </c:pt>
                <c:pt idx="7">
                  <c:v>264212</c:v>
                </c:pt>
                <c:pt idx="8">
                  <c:v>151781</c:v>
                </c:pt>
              </c:numCache>
            </c:numRef>
          </c:val>
          <c:extLst>
            <c:ext xmlns:c16="http://schemas.microsoft.com/office/drawing/2014/chart" uri="{C3380CC4-5D6E-409C-BE32-E72D297353CC}">
              <c16:uniqueId val="{00000000-683F-495A-9003-9D0C9F12A5B3}"/>
            </c:ext>
          </c:extLst>
        </c:ser>
        <c:ser>
          <c:idx val="1"/>
          <c:order val="1"/>
          <c:tx>
            <c:strRef>
              <c:f>Scripts!$E$3</c:f>
              <c:strCache>
                <c:ptCount val="1"/>
                <c:pt idx="0">
                  <c:v>Dulaglutide</c:v>
                </c:pt>
              </c:strCache>
            </c:strRef>
          </c:tx>
          <c:spPr>
            <a:solidFill>
              <a:schemeClr val="accent2"/>
            </a:solidFill>
            <a:ln>
              <a:noFill/>
            </a:ln>
            <a:effectLst/>
          </c:spPr>
          <c:cat>
            <c:numRef>
              <c:f>Scripts!$F$1:$N$1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Scripts!$F$3:$N$3</c:f>
              <c:numCache>
                <c:formatCode>General</c:formatCode>
                <c:ptCount val="9"/>
                <c:pt idx="0">
                  <c:v>0</c:v>
                </c:pt>
                <c:pt idx="1">
                  <c:v>0</c:v>
                </c:pt>
                <c:pt idx="2">
                  <c:v>0</c:v>
                </c:pt>
                <c:pt idx="3">
                  <c:v>0</c:v>
                </c:pt>
                <c:pt idx="4">
                  <c:v>0</c:v>
                </c:pt>
                <c:pt idx="5">
                  <c:v>43118</c:v>
                </c:pt>
                <c:pt idx="6">
                  <c:v>259270</c:v>
                </c:pt>
                <c:pt idx="7">
                  <c:v>461350</c:v>
                </c:pt>
                <c:pt idx="8">
                  <c:v>629634</c:v>
                </c:pt>
              </c:numCache>
            </c:numRef>
          </c:val>
          <c:extLst>
            <c:ext xmlns:c16="http://schemas.microsoft.com/office/drawing/2014/chart" uri="{C3380CC4-5D6E-409C-BE32-E72D297353CC}">
              <c16:uniqueId val="{00000001-683F-495A-9003-9D0C9F12A5B3}"/>
            </c:ext>
          </c:extLst>
        </c:ser>
        <c:ser>
          <c:idx val="2"/>
          <c:order val="2"/>
          <c:tx>
            <c:strRef>
              <c:f>Scripts!$E$4</c:f>
              <c:strCache>
                <c:ptCount val="1"/>
                <c:pt idx="0">
                  <c:v>Semaglutide</c:v>
                </c:pt>
              </c:strCache>
            </c:strRef>
          </c:tx>
          <c:spPr>
            <a:solidFill>
              <a:schemeClr val="accent3"/>
            </a:solidFill>
            <a:ln>
              <a:noFill/>
            </a:ln>
            <a:effectLst/>
          </c:spPr>
          <c:cat>
            <c:numRef>
              <c:f>Scripts!$F$1:$N$1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Scripts!$F$4:$N$4</c:f>
              <c:numCache>
                <c:formatCode>General</c:formatCode>
                <c:ptCount val="9"/>
                <c:pt idx="0">
                  <c:v>0</c:v>
                </c:pt>
                <c:pt idx="1">
                  <c:v>0</c:v>
                </c:pt>
                <c:pt idx="2">
                  <c:v>0</c:v>
                </c:pt>
                <c:pt idx="3">
                  <c:v>0</c:v>
                </c:pt>
                <c:pt idx="4">
                  <c:v>0</c:v>
                </c:pt>
                <c:pt idx="5">
                  <c:v>0</c:v>
                </c:pt>
                <c:pt idx="6">
                  <c:v>0</c:v>
                </c:pt>
                <c:pt idx="7">
                  <c:v>35757</c:v>
                </c:pt>
                <c:pt idx="8">
                  <c:v>429361</c:v>
                </c:pt>
              </c:numCache>
            </c:numRef>
          </c:val>
          <c:extLst>
            <c:ext xmlns:c16="http://schemas.microsoft.com/office/drawing/2014/chart" uri="{C3380CC4-5D6E-409C-BE32-E72D297353CC}">
              <c16:uniqueId val="{00000002-683F-495A-9003-9D0C9F12A5B3}"/>
            </c:ext>
          </c:extLst>
        </c:ser>
        <c:dLbls>
          <c:showLegendKey val="0"/>
          <c:showVal val="0"/>
          <c:showCatName val="0"/>
          <c:showSerName val="0"/>
          <c:showPercent val="0"/>
          <c:showBubbleSize val="0"/>
        </c:dLbls>
        <c:axId val="802402400"/>
        <c:axId val="802404040"/>
      </c:areaChart>
      <c:catAx>
        <c:axId val="80240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404040"/>
        <c:crosses val="autoZero"/>
        <c:auto val="1"/>
        <c:lblAlgn val="ctr"/>
        <c:lblOffset val="100"/>
        <c:noMultiLvlLbl val="0"/>
      </c:catAx>
      <c:valAx>
        <c:axId val="802404040"/>
        <c:scaling>
          <c:orientation val="minMax"/>
          <c:max val="1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dispensed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402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6471-F8B4-499F-AB2B-400B8C4A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CharactersWithSpaces>
  <SharedDoc>false</SharedDoc>
  <HLinks>
    <vt:vector size="24" baseType="variant">
      <vt:variant>
        <vt:i4>2097189</vt:i4>
      </vt:variant>
      <vt:variant>
        <vt:i4>9</vt:i4>
      </vt:variant>
      <vt:variant>
        <vt:i4>0</vt:i4>
      </vt:variant>
      <vt:variant>
        <vt:i4>5</vt:i4>
      </vt:variant>
      <vt:variant>
        <vt:lpwstr>http://www.pbs.gov.au/info/reviews/ezetimibe-review-public-consultation</vt:lpwstr>
      </vt:variant>
      <vt:variant>
        <vt:lpwstr/>
      </vt:variant>
      <vt:variant>
        <vt:i4>2097189</vt:i4>
      </vt:variant>
      <vt:variant>
        <vt:i4>6</vt:i4>
      </vt:variant>
      <vt:variant>
        <vt:i4>0</vt:i4>
      </vt:variant>
      <vt:variant>
        <vt:i4>5</vt:i4>
      </vt:variant>
      <vt:variant>
        <vt:lpwstr>http://www.pbs.gov.au/info/reviews/ezetimibe-review-public-consultation</vt:lpwstr>
      </vt:variant>
      <vt:variant>
        <vt:lpwstr/>
      </vt:variant>
      <vt:variant>
        <vt:i4>2097189</vt:i4>
      </vt:variant>
      <vt:variant>
        <vt:i4>3</vt:i4>
      </vt:variant>
      <vt:variant>
        <vt:i4>0</vt:i4>
      </vt:variant>
      <vt:variant>
        <vt:i4>5</vt:i4>
      </vt:variant>
      <vt:variant>
        <vt:lpwstr>http://www.pbs.gov.au/info/reviews/ezetimibe-review-public-consultation</vt:lpwstr>
      </vt:variant>
      <vt:variant>
        <vt:lpwstr/>
      </vt:variant>
      <vt:variant>
        <vt:i4>8323188</vt:i4>
      </vt:variant>
      <vt:variant>
        <vt:i4>0</vt:i4>
      </vt:variant>
      <vt:variant>
        <vt:i4>0</vt:i4>
      </vt:variant>
      <vt:variant>
        <vt:i4>5</vt:i4>
      </vt:variant>
      <vt:variant>
        <vt:lpwstr>http://www.pbs.gov.au/info/healthpro/explanatory-notes/gs-lipid-lowering-drugs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2022-08-08T04:11:00Z</dcterms:created>
  <dcterms:modified xsi:type="dcterms:W3CDTF">2024-11-14T23:16:00Z</dcterms:modified>
</cp:coreProperties>
</file>