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CEAB" w14:textId="77777777" w:rsidR="006B5B36" w:rsidRDefault="006B5B36" w:rsidP="2ECBDAFF">
      <w:pPr>
        <w:autoSpaceDE w:val="0"/>
        <w:autoSpaceDN w:val="0"/>
        <w:adjustRightInd w:val="0"/>
        <w:spacing w:after="0" w:line="240" w:lineRule="auto"/>
        <w:jc w:val="both"/>
        <w:rPr>
          <w:rFonts w:ascii="Calibri" w:hAnsi="Calibri" w:cs="Calibri"/>
          <w:b/>
          <w:bCs/>
          <w:u w:val="single"/>
        </w:rPr>
      </w:pPr>
      <w:bookmarkStart w:id="0" w:name="_Int_x6UFK2tc"/>
      <w:r w:rsidRPr="2ECBDAFF">
        <w:rPr>
          <w:rFonts w:ascii="Calibri" w:hAnsi="Calibri" w:cs="Calibri"/>
          <w:b/>
          <w:bCs/>
          <w:u w:val="single"/>
        </w:rPr>
        <w:t>CHANGES TO PRESENT (OR RECOMMENDED) PBS AVAILABILITY</w:t>
      </w:r>
      <w:bookmarkEnd w:id="0"/>
    </w:p>
    <w:p w14:paraId="66F9325D" w14:textId="77777777" w:rsidR="006B5B36" w:rsidRDefault="006B5B36" w:rsidP="2ECBDAFF">
      <w:pPr>
        <w:autoSpaceDE w:val="0"/>
        <w:autoSpaceDN w:val="0"/>
        <w:adjustRightInd w:val="0"/>
        <w:spacing w:after="0" w:line="240" w:lineRule="auto"/>
        <w:jc w:val="both"/>
        <w:rPr>
          <w:rFonts w:ascii="Calibri" w:hAnsi="Calibri" w:cs="Calibri"/>
        </w:rPr>
      </w:pPr>
    </w:p>
    <w:p w14:paraId="010DF520" w14:textId="2931116B" w:rsidR="006B5B36" w:rsidRDefault="006B5B36" w:rsidP="006B5B36">
      <w:pPr>
        <w:autoSpaceDE w:val="0"/>
        <w:autoSpaceDN w:val="0"/>
        <w:adjustRightInd w:val="0"/>
        <w:spacing w:after="0" w:line="240" w:lineRule="auto"/>
        <w:jc w:val="both"/>
        <w:rPr>
          <w:rFonts w:ascii="Calibri" w:hAnsi="Calibri" w:cs="Calibri"/>
        </w:rPr>
      </w:pPr>
      <w:r>
        <w:rPr>
          <w:rFonts w:ascii="Calibri" w:hAnsi="Calibri" w:cs="Calibri"/>
        </w:rPr>
        <w:t xml:space="preserve">When the PBAC makes a recommendation under section 101(3) of the </w:t>
      </w:r>
      <w:r>
        <w:rPr>
          <w:rFonts w:ascii="Calibri" w:hAnsi="Calibri" w:cs="Calibri"/>
          <w:i/>
          <w:iCs/>
        </w:rPr>
        <w:t>National Health Act 1953</w:t>
      </w:r>
      <w:r>
        <w:rPr>
          <w:rFonts w:ascii="Calibri" w:hAnsi="Calibri" w:cs="Calibri"/>
        </w:rPr>
        <w:t xml:space="preserve"> (“the Act”) in relation to a drug/medicinal preparation which it considers should be made available as a pharmaceutical benefit under Part VII of the Act, it is also required to consider whether the drug/medicinal preparation should be made available only in certain circumstances (see section 101(3C) of the Act).</w:t>
      </w:r>
      <w:r w:rsidR="00475FD1">
        <w:rPr>
          <w:rFonts w:ascii="Calibri" w:hAnsi="Calibri" w:cs="Calibri"/>
        </w:rPr>
        <w:t xml:space="preserve"> </w:t>
      </w:r>
      <w:r>
        <w:rPr>
          <w:rFonts w:ascii="Calibri" w:hAnsi="Calibri" w:cs="Calibri"/>
        </w:rPr>
        <w:t>Where the PBAC considers that the drug/medicinal preparation should be made available only in certain circumstances, it specifies the circumstances in its recommendation under section 101(3).</w:t>
      </w:r>
    </w:p>
    <w:p w14:paraId="0F819037" w14:textId="77777777" w:rsidR="006B5B36" w:rsidRDefault="006B5B36" w:rsidP="006B5B36">
      <w:pPr>
        <w:autoSpaceDE w:val="0"/>
        <w:autoSpaceDN w:val="0"/>
        <w:adjustRightInd w:val="0"/>
        <w:spacing w:after="0" w:line="240" w:lineRule="auto"/>
        <w:jc w:val="both"/>
        <w:rPr>
          <w:rFonts w:ascii="Calibri" w:hAnsi="Calibri" w:cs="Calibri"/>
        </w:rPr>
      </w:pPr>
    </w:p>
    <w:p w14:paraId="78863B4F" w14:textId="6BA9AFD1" w:rsidR="006B5B36" w:rsidRDefault="006B5B36" w:rsidP="006B5B36">
      <w:pPr>
        <w:autoSpaceDE w:val="0"/>
        <w:autoSpaceDN w:val="0"/>
        <w:adjustRightInd w:val="0"/>
        <w:spacing w:after="0" w:line="240" w:lineRule="auto"/>
        <w:jc w:val="both"/>
        <w:rPr>
          <w:rFonts w:ascii="Calibri" w:hAnsi="Calibri" w:cs="Calibri"/>
        </w:rPr>
      </w:pPr>
      <w:r>
        <w:rPr>
          <w:rFonts w:ascii="Calibri" w:hAnsi="Calibri" w:cs="Calibri"/>
        </w:rPr>
        <w:t xml:space="preserve">At its meeting on </w:t>
      </w:r>
      <w:r w:rsidRPr="006B5B36">
        <w:rPr>
          <w:rFonts w:ascii="Calibri" w:hAnsi="Calibri" w:cs="Calibri"/>
          <w:b/>
          <w:bCs/>
        </w:rPr>
        <w:t>13 December 2024</w:t>
      </w:r>
      <w:r>
        <w:rPr>
          <w:rFonts w:ascii="Calibri" w:hAnsi="Calibri" w:cs="Calibri"/>
        </w:rPr>
        <w:t xml:space="preserve">, the PBAC in making its recommendation under section 101(3) of the Act, decided to recommend a change to the circumstances under which </w:t>
      </w:r>
      <w:r w:rsidR="00D45FAE">
        <w:rPr>
          <w:rFonts w:ascii="Calibri" w:hAnsi="Calibri" w:cs="Calibri"/>
        </w:rPr>
        <w:t xml:space="preserve">the following drugs are </w:t>
      </w:r>
      <w:r>
        <w:rPr>
          <w:rFonts w:ascii="Calibri" w:hAnsi="Calibri" w:cs="Calibri"/>
        </w:rPr>
        <w:t>made available as pharmaceutical benefit</w:t>
      </w:r>
      <w:r w:rsidR="00D45FAE">
        <w:rPr>
          <w:rFonts w:ascii="Calibri" w:hAnsi="Calibri" w:cs="Calibri"/>
        </w:rPr>
        <w:t>s</w:t>
      </w:r>
      <w:r>
        <w:rPr>
          <w:rFonts w:ascii="Calibri" w:hAnsi="Calibri" w:cs="Calibri"/>
        </w:rPr>
        <w:t xml:space="preserve"> under Part VII of the Act</w:t>
      </w:r>
      <w:r w:rsidR="00D45FAE">
        <w:rPr>
          <w:rFonts w:ascii="Calibri" w:hAnsi="Calibri" w:cs="Calibri"/>
        </w:rPr>
        <w:t>:</w:t>
      </w:r>
    </w:p>
    <w:p w14:paraId="6BC6BBA7" w14:textId="35024EC2"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Amlodipine + valsartan</w:t>
      </w:r>
    </w:p>
    <w:p w14:paraId="34374C54" w14:textId="134C41D7"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Candesartan cilexetil + hydrochlorothiazide</w:t>
      </w:r>
    </w:p>
    <w:p w14:paraId="5836EDC5" w14:textId="3B587E92"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Enalapril maleate + hydrochlorothiazide</w:t>
      </w:r>
    </w:p>
    <w:p w14:paraId="0B98E40E" w14:textId="687D8C30"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Eprosartan + hydrochlorothiazide</w:t>
      </w:r>
    </w:p>
    <w:p w14:paraId="1F5FA1E0" w14:textId="299FFEE4"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Irbesartan + hydrochlorothiazide</w:t>
      </w:r>
    </w:p>
    <w:p w14:paraId="44A117AC" w14:textId="5E04304F"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Lercanidipine hydrochloride + enalapril maleate</w:t>
      </w:r>
    </w:p>
    <w:p w14:paraId="5657BB47" w14:textId="1BF40F37"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Olmesartan medoxomil + amlodipine</w:t>
      </w:r>
    </w:p>
    <w:p w14:paraId="6377288A" w14:textId="2BE6A2B5"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Olmesartan medoxomil + hydrochlorothiazide</w:t>
      </w:r>
    </w:p>
    <w:p w14:paraId="7F3ACED5" w14:textId="796B0A2B"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Perindopril arginine + amlodipine</w:t>
      </w:r>
    </w:p>
    <w:p w14:paraId="2455A413" w14:textId="16BEDD94"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Perindopril arginine + indapamide hemihydrate</w:t>
      </w:r>
    </w:p>
    <w:p w14:paraId="3C3AC729" w14:textId="04A4882F"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Perindopril erbutamine + indapamide hemihydrate</w:t>
      </w:r>
    </w:p>
    <w:p w14:paraId="23693910" w14:textId="1EC4ED15"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Quinapril + hydrochlorothiazide</w:t>
      </w:r>
    </w:p>
    <w:p w14:paraId="2BD5E27F" w14:textId="2A054819"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 xml:space="preserve">Ramipril + felodipine </w:t>
      </w:r>
    </w:p>
    <w:p w14:paraId="7E43C6E2" w14:textId="2F5EAE5E"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Telmisartan + amlodipine</w:t>
      </w:r>
    </w:p>
    <w:p w14:paraId="5A2030AA" w14:textId="234912CA"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Telmisartan + hydrochlorothiazide</w:t>
      </w:r>
    </w:p>
    <w:p w14:paraId="708D94B8" w14:textId="030F7561" w:rsid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Trandolapril + verapamil hydrochloride</w:t>
      </w:r>
    </w:p>
    <w:p w14:paraId="1AF4017D" w14:textId="0DD13973" w:rsidR="00D45FAE" w:rsidRPr="00D45FAE" w:rsidRDefault="00D45FAE" w:rsidP="002018F0">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Valsartan + hydrochlorothiazide.</w:t>
      </w:r>
    </w:p>
    <w:p w14:paraId="509E4D48" w14:textId="77777777" w:rsidR="006B5B36" w:rsidRDefault="006B5B36" w:rsidP="006B5B36">
      <w:pPr>
        <w:autoSpaceDE w:val="0"/>
        <w:autoSpaceDN w:val="0"/>
        <w:adjustRightInd w:val="0"/>
        <w:spacing w:after="0" w:line="240" w:lineRule="auto"/>
        <w:jc w:val="both"/>
        <w:rPr>
          <w:rFonts w:ascii="Calibri" w:hAnsi="Calibri" w:cs="Calibri"/>
        </w:rPr>
      </w:pPr>
    </w:p>
    <w:p w14:paraId="6407A3E3" w14:textId="77777777" w:rsidR="006B5B36" w:rsidRDefault="006B5B36" w:rsidP="006B5B36">
      <w:pPr>
        <w:autoSpaceDE w:val="0"/>
        <w:autoSpaceDN w:val="0"/>
        <w:adjustRightInd w:val="0"/>
        <w:spacing w:after="0" w:line="240" w:lineRule="auto"/>
        <w:jc w:val="both"/>
        <w:rPr>
          <w:rFonts w:ascii="Calibri" w:hAnsi="Calibri" w:cs="Calibri"/>
        </w:rPr>
      </w:pPr>
      <w:r>
        <w:rPr>
          <w:rFonts w:ascii="Calibri" w:hAnsi="Calibri" w:cs="Calibri"/>
        </w:rPr>
        <w:t>A note of the PBAC’s decision follows.</w:t>
      </w:r>
    </w:p>
    <w:p w14:paraId="3486D864" w14:textId="77777777" w:rsidR="006448C4" w:rsidRDefault="006448C4" w:rsidP="6AF65A68">
      <w:pPr>
        <w:pStyle w:val="1MainTitle"/>
      </w:pPr>
    </w:p>
    <w:p w14:paraId="1C6D7877" w14:textId="767C4D4E" w:rsidR="00F45A57" w:rsidRPr="00A06E2D" w:rsidRDefault="00F45A57" w:rsidP="6AF65A68">
      <w:pPr>
        <w:pStyle w:val="1MainTitle"/>
        <w:keepNext/>
        <w:keepLines/>
      </w:pPr>
      <w:r>
        <w:t>9.0</w:t>
      </w:r>
      <w:r w:rsidR="008452D1">
        <w:t>1</w:t>
      </w:r>
      <w:r>
        <w:tab/>
      </w:r>
      <w:r w:rsidR="004738B6">
        <w:t xml:space="preserve">PBS restrictions for antihypertensive </w:t>
      </w:r>
      <w:r>
        <w:t>fixed</w:t>
      </w:r>
      <w:r w:rsidR="00A36C7A">
        <w:t xml:space="preserve"> </w:t>
      </w:r>
      <w:r>
        <w:t>dose combinations (FDCs)</w:t>
      </w:r>
    </w:p>
    <w:p w14:paraId="49A80C9C" w14:textId="77777777" w:rsidR="00F45A57" w:rsidRPr="00A06E2D" w:rsidRDefault="00F45A57" w:rsidP="00C57519">
      <w:pPr>
        <w:pStyle w:val="2Sections"/>
        <w:keepNext/>
        <w:keepLines/>
        <w:jc w:val="both"/>
      </w:pPr>
      <w:r w:rsidRPr="00A06E2D">
        <w:t>Purpose of item</w:t>
      </w:r>
    </w:p>
    <w:p w14:paraId="755A27CB" w14:textId="77777777" w:rsidR="00F45A57" w:rsidRPr="00A06E2D" w:rsidRDefault="00F45A57" w:rsidP="44522BBD">
      <w:pPr>
        <w:pStyle w:val="3Bodytext"/>
        <w:keepNext/>
        <w:keepLines/>
        <w:tabs>
          <w:tab w:val="clear" w:pos="360"/>
        </w:tabs>
        <w:ind w:left="0"/>
      </w:pPr>
      <w:r>
        <w:t>To request that the PBAC:</w:t>
      </w:r>
    </w:p>
    <w:p w14:paraId="1FD0589F" w14:textId="77777777" w:rsidR="00893C35" w:rsidRPr="005F1895" w:rsidRDefault="00893C35" w:rsidP="00A8188D">
      <w:pPr>
        <w:pStyle w:val="3-BodyText"/>
      </w:pPr>
      <w:r>
        <w:rPr>
          <w:b/>
        </w:rPr>
        <w:t>NOTE</w:t>
      </w:r>
      <w:r>
        <w:t xml:space="preserve"> the draft report on antihypertensive utilisation through the PBS, which includes a costing analysis and literature review.</w:t>
      </w:r>
    </w:p>
    <w:p w14:paraId="16E47FB1" w14:textId="77777777" w:rsidR="00893C35" w:rsidRDefault="00893C35" w:rsidP="00A8188D">
      <w:pPr>
        <w:pStyle w:val="3-BodyText"/>
      </w:pPr>
      <w:r w:rsidRPr="00A06E2D">
        <w:rPr>
          <w:b/>
        </w:rPr>
        <w:lastRenderedPageBreak/>
        <w:t>PROVIDE ADVICE</w:t>
      </w:r>
      <w:r w:rsidRPr="00A06E2D">
        <w:t xml:space="preserve"> regarding proposed changes to simplify the PBS restrictions for </w:t>
      </w:r>
      <w:r>
        <w:t xml:space="preserve">antihypertensive </w:t>
      </w:r>
      <w:r w:rsidRPr="00A06E2D">
        <w:t>FDCs</w:t>
      </w:r>
      <w:r>
        <w:t>, including any preferred option</w:t>
      </w:r>
      <w:r w:rsidRPr="00A06E2D">
        <w:t>.</w:t>
      </w:r>
    </w:p>
    <w:p w14:paraId="5703580E" w14:textId="77777777" w:rsidR="00893C35" w:rsidRPr="00A06E2D" w:rsidRDefault="00893C35" w:rsidP="00A8188D">
      <w:pPr>
        <w:pStyle w:val="3-BodyText"/>
      </w:pPr>
      <w:r>
        <w:rPr>
          <w:b/>
        </w:rPr>
        <w:t>NOTE</w:t>
      </w:r>
      <w:r>
        <w:t xml:space="preserve"> that the Department will prepare financial estimates of any proposed restriction changes for PBAC consideration at a future meeting.</w:t>
      </w:r>
    </w:p>
    <w:p w14:paraId="3655F81D" w14:textId="77777777" w:rsidR="00893C35" w:rsidRDefault="00893C35" w:rsidP="00A8188D">
      <w:pPr>
        <w:pStyle w:val="3-BodyText"/>
        <w:rPr>
          <w:bCs/>
        </w:rPr>
      </w:pPr>
      <w:r w:rsidRPr="00A06E2D">
        <w:rPr>
          <w:b/>
        </w:rPr>
        <w:t xml:space="preserve">PROVIDE ADVICE </w:t>
      </w:r>
      <w:r w:rsidRPr="00A06E2D">
        <w:t>on the need to consult relevant prescriber and consumer groups regarding the proposed restriction changes.</w:t>
      </w:r>
    </w:p>
    <w:p w14:paraId="1B1C4103" w14:textId="77777777" w:rsidR="00893C35" w:rsidRPr="00A06E2D" w:rsidRDefault="00893C35" w:rsidP="00A8188D">
      <w:pPr>
        <w:pStyle w:val="3-BodyText"/>
        <w:rPr>
          <w:bCs/>
        </w:rPr>
      </w:pPr>
      <w:r>
        <w:rPr>
          <w:b/>
        </w:rPr>
        <w:t xml:space="preserve">PROVIDE ADVICE </w:t>
      </w:r>
      <w:r w:rsidRPr="00BC3E55">
        <w:t xml:space="preserve">on whether the </w:t>
      </w:r>
      <w:r>
        <w:t xml:space="preserve">antihypertensive </w:t>
      </w:r>
      <w:r w:rsidRPr="00BC3E55">
        <w:t xml:space="preserve">report should be provided to the Drug Utilisation Sub-Committee </w:t>
      </w:r>
      <w:r>
        <w:t xml:space="preserve">(DUSC) </w:t>
      </w:r>
      <w:r w:rsidRPr="00BC3E55">
        <w:t xml:space="preserve">for </w:t>
      </w:r>
      <w:r>
        <w:t xml:space="preserve">noting or </w:t>
      </w:r>
      <w:r w:rsidRPr="00BC3E55">
        <w:t>advice.</w:t>
      </w:r>
    </w:p>
    <w:p w14:paraId="25F6C6B7" w14:textId="77777777" w:rsidR="00893C35" w:rsidRPr="00A06E2D" w:rsidRDefault="00893C35" w:rsidP="00A8188D">
      <w:pPr>
        <w:pStyle w:val="3-BodyText"/>
      </w:pPr>
      <w:r w:rsidRPr="00A06E2D">
        <w:rPr>
          <w:b/>
        </w:rPr>
        <w:t xml:space="preserve">NOTE </w:t>
      </w:r>
      <w:r w:rsidRPr="00E36ADE">
        <w:t>any</w:t>
      </w:r>
      <w:r>
        <w:rPr>
          <w:b/>
        </w:rPr>
        <w:t xml:space="preserve"> </w:t>
      </w:r>
      <w:r>
        <w:t>pre-PBAC responses</w:t>
      </w:r>
      <w:r w:rsidRPr="00835A36">
        <w:t xml:space="preserve"> </w:t>
      </w:r>
      <w:r>
        <w:t>from sponsors of PBS-listed antihypertensive FDCs</w:t>
      </w:r>
      <w:r w:rsidRPr="00A06E2D">
        <w:t>.</w:t>
      </w:r>
    </w:p>
    <w:p w14:paraId="41AB512A" w14:textId="77777777" w:rsidR="00F45A57" w:rsidRPr="00A06E2D" w:rsidRDefault="00B44090" w:rsidP="00F45A57">
      <w:pPr>
        <w:pStyle w:val="2Sections"/>
      </w:pPr>
      <w:r w:rsidRPr="00A06E2D">
        <w:t>Background</w:t>
      </w:r>
    </w:p>
    <w:p w14:paraId="5732056B" w14:textId="77777777" w:rsidR="00BA7508" w:rsidRPr="00860782" w:rsidRDefault="00BA7508" w:rsidP="00A8188D">
      <w:pPr>
        <w:pStyle w:val="3-BodyText"/>
      </w:pPr>
      <w:bookmarkStart w:id="1" w:name="_Hlk219813809"/>
      <w:r>
        <w:t xml:space="preserve">In September 2023, the PBAC supported a proposal to undertake a research project on antihypertensives as part of the Post-market Review workplan. </w:t>
      </w:r>
      <w:bookmarkEnd w:id="1"/>
      <w:r w:rsidRPr="00860782">
        <w:t>The PBAC noted that this project would involve:</w:t>
      </w:r>
    </w:p>
    <w:p w14:paraId="42528B10" w14:textId="04B9B8B1" w:rsidR="00695D5B" w:rsidRDefault="00CF25DC" w:rsidP="00657004">
      <w:pPr>
        <w:pStyle w:val="ListParagraph"/>
        <w:numPr>
          <w:ilvl w:val="0"/>
          <w:numId w:val="5"/>
        </w:numPr>
        <w:spacing w:after="120" w:line="240" w:lineRule="auto"/>
        <w:ind w:left="1134" w:hanging="357"/>
        <w:jc w:val="both"/>
      </w:pPr>
      <w:r>
        <w:t>A patient-level analysis of the utilisation of antihypertensives, focusing on quantifying the potential underuse of FDCs, and initiation of antihypertensive therapy with two or more medicines (including initiation with FDCs versus single drug products).</w:t>
      </w:r>
    </w:p>
    <w:p w14:paraId="746D1B4A" w14:textId="77777777" w:rsidR="00773150" w:rsidRDefault="00AA0276" w:rsidP="00657004">
      <w:pPr>
        <w:pStyle w:val="ListParagraph"/>
        <w:numPr>
          <w:ilvl w:val="0"/>
          <w:numId w:val="5"/>
        </w:numPr>
        <w:spacing w:after="120" w:line="240" w:lineRule="auto"/>
        <w:ind w:left="1134" w:hanging="357"/>
        <w:jc w:val="both"/>
      </w:pPr>
      <w:r>
        <w:t>Reviewing the appropriateness of the PBS restrictions for antihypertensives by comparison with current Australian and international clinical guidelines</w:t>
      </w:r>
      <w:r w:rsidR="00773150">
        <w:t>.</w:t>
      </w:r>
    </w:p>
    <w:p w14:paraId="0D46F4DD" w14:textId="4F23CC3D" w:rsidR="00227008" w:rsidRDefault="00773150" w:rsidP="00657004">
      <w:pPr>
        <w:pStyle w:val="ListParagraph"/>
        <w:numPr>
          <w:ilvl w:val="0"/>
          <w:numId w:val="5"/>
        </w:numPr>
        <w:spacing w:after="120" w:line="240" w:lineRule="auto"/>
        <w:ind w:left="1134" w:hanging="357"/>
        <w:jc w:val="both"/>
      </w:pPr>
      <w:r>
        <w:t xml:space="preserve">Quantification of the potential savings to the PBS and consumers from addressing any underuse of </w:t>
      </w:r>
      <w:r w:rsidR="00D91A40">
        <w:t xml:space="preserve">antihypertensive </w:t>
      </w:r>
      <w:r>
        <w:t xml:space="preserve">FDCs </w:t>
      </w:r>
      <w:r w:rsidR="00AA0276">
        <w:t>and o</w:t>
      </w:r>
      <w:r w:rsidR="00CF25DC">
        <w:t>utlining potential options to increase use</w:t>
      </w:r>
      <w:r w:rsidR="00227008">
        <w:t>.</w:t>
      </w:r>
    </w:p>
    <w:p w14:paraId="09AFAC05" w14:textId="77777777" w:rsidR="00227008" w:rsidRDefault="00CF25DC" w:rsidP="00657004">
      <w:pPr>
        <w:pStyle w:val="ListParagraph"/>
        <w:numPr>
          <w:ilvl w:val="0"/>
          <w:numId w:val="5"/>
        </w:numPr>
        <w:spacing w:after="120" w:line="240" w:lineRule="auto"/>
        <w:ind w:left="1134" w:hanging="357"/>
        <w:jc w:val="both"/>
      </w:pPr>
      <w:r>
        <w:t>Stakeholder consultation with relevant peak bodies and consumer organisations.</w:t>
      </w:r>
    </w:p>
    <w:p w14:paraId="5FB500C3" w14:textId="5D4CC270" w:rsidR="00CF25DC" w:rsidRDefault="00227008" w:rsidP="00657004">
      <w:pPr>
        <w:pStyle w:val="ListParagraph"/>
        <w:numPr>
          <w:ilvl w:val="0"/>
          <w:numId w:val="5"/>
        </w:numPr>
        <w:spacing w:after="120" w:line="240" w:lineRule="auto"/>
        <w:ind w:left="1134" w:hanging="357"/>
        <w:jc w:val="both"/>
      </w:pPr>
      <w:r>
        <w:t>An optional</w:t>
      </w:r>
      <w:r w:rsidR="00CF25DC">
        <w:t xml:space="preserve"> literature review of the evidence for commencing antihypertensive therapy with two medications compared to one medication.</w:t>
      </w:r>
    </w:p>
    <w:p w14:paraId="54B6DE7B" w14:textId="1107708E" w:rsidR="00602D2D" w:rsidRPr="00144A11" w:rsidRDefault="00653030" w:rsidP="00A8188D">
      <w:pPr>
        <w:pStyle w:val="3-BodyText"/>
      </w:pPr>
      <w:bookmarkStart w:id="2" w:name="_Hlk219813847"/>
      <w:r>
        <w:t xml:space="preserve">In February 2024, the Department contracted the </w:t>
      </w:r>
      <w:r w:rsidR="00DE5A70">
        <w:t>University the of South Australia to provide a report on antihypertensive utilisation</w:t>
      </w:r>
      <w:r w:rsidR="41BBF51A">
        <w:t>. The report would</w:t>
      </w:r>
      <w:r w:rsidR="00684C05">
        <w:t xml:space="preserve"> </w:t>
      </w:r>
      <w:r w:rsidR="00602D2D" w:rsidRPr="2ECBDAFF">
        <w:rPr>
          <w:rFonts w:ascii="Calibri" w:eastAsia="Times New Roman" w:hAnsi="Calibri" w:cs="Calibri"/>
          <w:color w:val="000000" w:themeColor="text1"/>
          <w:lang w:eastAsia="en-AU"/>
        </w:rPr>
        <w:t>quantify the potential underuse of FDCs</w:t>
      </w:r>
      <w:r w:rsidR="21D9DB09" w:rsidRPr="2ECBDAFF">
        <w:rPr>
          <w:rFonts w:ascii="Calibri" w:eastAsia="Times New Roman" w:hAnsi="Calibri" w:cs="Calibri"/>
          <w:color w:val="000000" w:themeColor="text1"/>
          <w:lang w:eastAsia="en-AU"/>
        </w:rPr>
        <w:t xml:space="preserve"> </w:t>
      </w:r>
      <w:r w:rsidR="0AB61CE1" w:rsidRPr="2ECBDAFF">
        <w:rPr>
          <w:rFonts w:ascii="Calibri" w:eastAsia="Times New Roman" w:hAnsi="Calibri" w:cs="Calibri"/>
          <w:color w:val="000000" w:themeColor="text1"/>
          <w:lang w:eastAsia="en-AU"/>
        </w:rPr>
        <w:t xml:space="preserve">and </w:t>
      </w:r>
      <w:r w:rsidR="21D9DB09" w:rsidRPr="2ECBDAFF">
        <w:rPr>
          <w:rFonts w:ascii="Calibri" w:eastAsia="Times New Roman" w:hAnsi="Calibri" w:cs="Calibri"/>
          <w:color w:val="000000" w:themeColor="text1"/>
          <w:lang w:eastAsia="en-AU"/>
        </w:rPr>
        <w:t xml:space="preserve">aimed </w:t>
      </w:r>
      <w:r w:rsidR="009A6D77" w:rsidRPr="2ECBDAFF">
        <w:rPr>
          <w:rFonts w:ascii="Calibri" w:eastAsia="Times New Roman" w:hAnsi="Calibri" w:cs="Calibri"/>
          <w:color w:val="000000" w:themeColor="text1"/>
          <w:lang w:eastAsia="en-AU"/>
        </w:rPr>
        <w:t xml:space="preserve">to provide </w:t>
      </w:r>
      <w:r w:rsidR="00CE7FBE" w:rsidRPr="2ECBDAFF">
        <w:rPr>
          <w:rFonts w:ascii="Calibri" w:eastAsia="Times New Roman" w:hAnsi="Calibri" w:cs="Calibri"/>
          <w:color w:val="000000" w:themeColor="text1"/>
          <w:lang w:eastAsia="en-AU"/>
        </w:rPr>
        <w:t xml:space="preserve">an estimate of the potential savings to the PBS and consumers </w:t>
      </w:r>
      <w:r w:rsidR="2AE67194" w:rsidRPr="2ECBDAFF">
        <w:rPr>
          <w:rFonts w:ascii="Calibri" w:eastAsia="Times New Roman" w:hAnsi="Calibri" w:cs="Calibri"/>
          <w:color w:val="000000" w:themeColor="text1"/>
          <w:lang w:eastAsia="en-AU"/>
        </w:rPr>
        <w:t xml:space="preserve">that could occur through </w:t>
      </w:r>
      <w:r w:rsidR="00AC0898" w:rsidRPr="2ECBDAFF">
        <w:rPr>
          <w:rFonts w:ascii="Calibri" w:eastAsia="Times New Roman" w:hAnsi="Calibri" w:cs="Calibri"/>
          <w:color w:val="000000" w:themeColor="text1"/>
          <w:lang w:eastAsia="en-AU"/>
        </w:rPr>
        <w:t xml:space="preserve">addressing any </w:t>
      </w:r>
      <w:r w:rsidR="72C932D6" w:rsidRPr="2ECBDAFF">
        <w:rPr>
          <w:rFonts w:ascii="Calibri" w:eastAsia="Times New Roman" w:hAnsi="Calibri" w:cs="Calibri"/>
          <w:color w:val="000000" w:themeColor="text1"/>
          <w:lang w:eastAsia="en-AU"/>
        </w:rPr>
        <w:t xml:space="preserve">FDC </w:t>
      </w:r>
      <w:r w:rsidR="00AC0898" w:rsidRPr="2ECBDAFF">
        <w:rPr>
          <w:rFonts w:ascii="Calibri" w:eastAsia="Times New Roman" w:hAnsi="Calibri" w:cs="Calibri"/>
          <w:color w:val="000000" w:themeColor="text1"/>
          <w:lang w:eastAsia="en-AU"/>
        </w:rPr>
        <w:t>underuse</w:t>
      </w:r>
      <w:r w:rsidR="4D103248" w:rsidRPr="2ECBDAFF">
        <w:rPr>
          <w:rFonts w:ascii="Calibri" w:eastAsia="Times New Roman" w:hAnsi="Calibri" w:cs="Calibri"/>
          <w:color w:val="000000" w:themeColor="text1"/>
          <w:lang w:eastAsia="en-AU"/>
        </w:rPr>
        <w:t>.</w:t>
      </w:r>
      <w:r w:rsidR="009E4A2C" w:rsidRPr="2ECBDAFF">
        <w:rPr>
          <w:rFonts w:ascii="Calibri" w:eastAsia="Times New Roman" w:hAnsi="Calibri" w:cs="Calibri"/>
          <w:color w:val="000000" w:themeColor="text1"/>
          <w:lang w:eastAsia="en-AU"/>
        </w:rPr>
        <w:t xml:space="preserve"> </w:t>
      </w:r>
      <w:r w:rsidR="4D103248" w:rsidRPr="2ECBDAFF">
        <w:rPr>
          <w:rFonts w:ascii="Calibri" w:eastAsia="Times New Roman" w:hAnsi="Calibri" w:cs="Calibri"/>
          <w:color w:val="000000" w:themeColor="text1"/>
          <w:lang w:eastAsia="en-AU"/>
        </w:rPr>
        <w:t>The report would also document</w:t>
      </w:r>
      <w:r w:rsidR="00AC0898" w:rsidRPr="2ECBDAFF">
        <w:rPr>
          <w:rFonts w:ascii="Calibri" w:eastAsia="Times New Roman" w:hAnsi="Calibri" w:cs="Calibri"/>
          <w:color w:val="000000" w:themeColor="text1"/>
          <w:lang w:eastAsia="en-AU"/>
        </w:rPr>
        <w:t xml:space="preserve"> a narrative literature review </w:t>
      </w:r>
      <w:r w:rsidR="00A56BF7" w:rsidRPr="2ECBDAFF">
        <w:rPr>
          <w:rFonts w:ascii="Calibri" w:eastAsia="Times New Roman" w:hAnsi="Calibri" w:cs="Calibri"/>
          <w:color w:val="000000" w:themeColor="text1"/>
          <w:lang w:eastAsia="en-AU"/>
        </w:rPr>
        <w:t>of</w:t>
      </w:r>
      <w:r w:rsidR="00C52B03" w:rsidRPr="2ECBDAFF">
        <w:rPr>
          <w:rFonts w:ascii="Calibri" w:eastAsia="Times New Roman" w:hAnsi="Calibri" w:cs="Calibri"/>
          <w:color w:val="000000" w:themeColor="text1"/>
          <w:lang w:eastAsia="en-AU"/>
        </w:rPr>
        <w:t xml:space="preserve"> the</w:t>
      </w:r>
      <w:r w:rsidR="00C52B03" w:rsidRPr="2ECBDAFF">
        <w:t xml:space="preserve"> comparative effectiveness of commencing antihypertensive therapy with ‘standard care’ (i.e. low dose monotherapy, followed by </w:t>
      </w:r>
      <w:r w:rsidR="4AD37626" w:rsidRPr="2ECBDAFF">
        <w:t>the addition of</w:t>
      </w:r>
      <w:r w:rsidR="00C52B03" w:rsidRPr="2ECBDAFF">
        <w:t xml:space="preserve"> a second low dose therapy, then titrating up the doses) versus commencing low-dose dual FDC therapy.</w:t>
      </w:r>
    </w:p>
    <w:bookmarkEnd w:id="2"/>
    <w:p w14:paraId="07AC5F97" w14:textId="77777777" w:rsidR="00144A11" w:rsidRDefault="00144A11" w:rsidP="008E4C3C">
      <w:pPr>
        <w:pStyle w:val="Heading2"/>
        <w:keepLines/>
        <w:rPr>
          <w:i/>
          <w:iCs/>
        </w:rPr>
      </w:pPr>
      <w:r w:rsidRPr="00B0026B">
        <w:rPr>
          <w:i/>
          <w:iCs/>
        </w:rPr>
        <w:lastRenderedPageBreak/>
        <w:t>PBS listing</w:t>
      </w:r>
      <w:r>
        <w:rPr>
          <w:i/>
          <w:iCs/>
        </w:rPr>
        <w:t>s</w:t>
      </w:r>
      <w:r w:rsidRPr="00B0026B">
        <w:rPr>
          <w:i/>
          <w:iCs/>
        </w:rPr>
        <w:t xml:space="preserve"> </w:t>
      </w:r>
    </w:p>
    <w:p w14:paraId="1A9EAFD1" w14:textId="135BAD1A" w:rsidR="00CE549E" w:rsidRPr="00CE549E" w:rsidRDefault="00CE549E" w:rsidP="008E4C3C">
      <w:pPr>
        <w:pStyle w:val="Heading4"/>
        <w:keepNext/>
        <w:keepLines/>
      </w:pPr>
      <w:r w:rsidRPr="00CE549E">
        <w:t>Restrictions</w:t>
      </w:r>
    </w:p>
    <w:p w14:paraId="079D9897" w14:textId="2B883EBA" w:rsidR="00243F4D" w:rsidRPr="000E1339" w:rsidRDefault="00394863" w:rsidP="008E4C3C">
      <w:pPr>
        <w:pStyle w:val="3-BodyText"/>
        <w:keepNext/>
        <w:keepLines/>
      </w:pPr>
      <w:r w:rsidRPr="000E1339">
        <w:t xml:space="preserve">A summary of the PBS restrictions </w:t>
      </w:r>
      <w:r w:rsidR="4F93C3D6" w:rsidRPr="000E1339">
        <w:t xml:space="preserve">as </w:t>
      </w:r>
      <w:proofErr w:type="gramStart"/>
      <w:r w:rsidRPr="000E1339">
        <w:t>at</w:t>
      </w:r>
      <w:proofErr w:type="gramEnd"/>
      <w:r w:rsidRPr="000E1339">
        <w:t xml:space="preserve"> 1 November 2024 for antihypertensives that were </w:t>
      </w:r>
      <w:r w:rsidR="6F39E727" w:rsidRPr="000E1339">
        <w:t xml:space="preserve">made </w:t>
      </w:r>
      <w:r w:rsidRPr="000E1339">
        <w:t>available through the PBS between 2013-2023 (the period of the utilisation analysis)</w:t>
      </w:r>
      <w:r w:rsidR="00B470CF" w:rsidRPr="000E1339">
        <w:t xml:space="preserve"> </w:t>
      </w:r>
      <w:r w:rsidR="00B12AB7" w:rsidRPr="000E1339">
        <w:t>was presented</w:t>
      </w:r>
      <w:r w:rsidRPr="000E1339">
        <w:t xml:space="preserve">. </w:t>
      </w:r>
    </w:p>
    <w:p w14:paraId="75E88F30" w14:textId="7B7CD982" w:rsidR="0051730B" w:rsidRPr="000E1339" w:rsidRDefault="007D69AB" w:rsidP="000E1339">
      <w:pPr>
        <w:pStyle w:val="3-BodyText"/>
      </w:pPr>
      <w:r>
        <w:t>Of the PBS-listed antihypertensive</w:t>
      </w:r>
      <w:r w:rsidR="00FC6C30">
        <w:t>s available in an</w:t>
      </w:r>
      <w:r w:rsidR="00642402">
        <w:t xml:space="preserve"> </w:t>
      </w:r>
      <w:r>
        <w:t>FDC</w:t>
      </w:r>
      <w:r w:rsidR="00FC6C30">
        <w:t xml:space="preserve"> form</w:t>
      </w:r>
      <w:r>
        <w:t xml:space="preserve"> (which include</w:t>
      </w:r>
      <w:r w:rsidR="00FC6C30">
        <w:t>s</w:t>
      </w:r>
      <w:r>
        <w:t xml:space="preserve"> </w:t>
      </w:r>
      <w:r w:rsidR="00642402">
        <w:t xml:space="preserve">combinations of </w:t>
      </w:r>
      <w:r>
        <w:t>angiotensin-converting enzyme inhibitors – ACE</w:t>
      </w:r>
      <w:r w:rsidR="0051730B">
        <w:t>s</w:t>
      </w:r>
      <w:r>
        <w:t xml:space="preserve">; angiotensin II receptor agonists – ATRAs; </w:t>
      </w:r>
      <w:r w:rsidR="0051730B">
        <w:t xml:space="preserve">calcium-channel blockers – CCBs; and </w:t>
      </w:r>
      <w:r>
        <w:t>thiazide diuretics)</w:t>
      </w:r>
      <w:r w:rsidR="0051730B">
        <w:t>, all are unrestricted listings on the PBS in the monotherapy form</w:t>
      </w:r>
      <w:r w:rsidR="00E85E75">
        <w:t xml:space="preserve">. </w:t>
      </w:r>
      <w:r w:rsidR="6F39E727">
        <w:t>Most of these monotherapy antihypertensives also have 60-day dispensing items that are Restricted Benefit listings with the standard clinical criteria “The condition must be stable for the prescriber to consider the listed maximum quantity of this medicine suitable for this patient”. An exception to this is eprosartan monotherapy, which has Authority Required (</w:t>
      </w:r>
      <w:r w:rsidR="044A0CFD">
        <w:t>telephone</w:t>
      </w:r>
      <w:r w:rsidR="6F39E727">
        <w:t xml:space="preserve">) listings for patients who are unable to initiate or continue other base-priced drugs under the 30-day and 60-day PBS item codes. These listings are in addition to a 30-day PBS item code (inclusive of a brand price premium) that is currently listed as an unrestricted listing, and a 60-day PBS item code (inclusive of a brand price premium), currently listed as a Restricted Benefit with the </w:t>
      </w:r>
      <w:proofErr w:type="gramStart"/>
      <w:r w:rsidR="6F39E727">
        <w:t>aforementioned standard</w:t>
      </w:r>
      <w:proofErr w:type="gramEnd"/>
      <w:r w:rsidR="6F39E727">
        <w:t xml:space="preserve"> clinical criteria</w:t>
      </w:r>
      <w:r w:rsidR="0051730B">
        <w:t xml:space="preserve">. </w:t>
      </w:r>
    </w:p>
    <w:p w14:paraId="5C4FEB63" w14:textId="734AB3FF" w:rsidR="00DB0E9D" w:rsidRPr="00CE549E" w:rsidRDefault="0051730B" w:rsidP="00A8188D">
      <w:pPr>
        <w:pStyle w:val="3-BodyText"/>
      </w:pPr>
      <w:r>
        <w:t xml:space="preserve">All dual therapy FDCs of ACEs, ATRAs, CCBs and thiazide diuretics have Restricted Benefit </w:t>
      </w:r>
      <w:r w:rsidR="00DB0E9D">
        <w:t xml:space="preserve">PBS </w:t>
      </w:r>
      <w:r>
        <w:t xml:space="preserve">listings for the treatment of hypertension that require patients to be inadequately controlled </w:t>
      </w:r>
      <w:r w:rsidR="00DB0E9D">
        <w:t xml:space="preserve">on one of the classes of medicines in the combination. </w:t>
      </w:r>
      <w:r w:rsidR="00B5041F">
        <w:t xml:space="preserve">The only exception is </w:t>
      </w:r>
      <w:r w:rsidR="00B5041F" w:rsidRPr="2ECBDAFF">
        <w:rPr>
          <w:lang w:val="en-US"/>
        </w:rPr>
        <w:t>perindopril 2.5 mg + indapamide 625 µg, which has an unrestricted listing to align with the TGA indication for this strength and an Authority required (Restricted Benefit) listing for the 60-day prescriptions.</w:t>
      </w:r>
      <w:r w:rsidR="00B5041F">
        <w:rPr>
          <w:lang w:val="en-US"/>
        </w:rPr>
        <w:t xml:space="preserve"> </w:t>
      </w:r>
      <w:r w:rsidR="00DB0E9D">
        <w:t xml:space="preserve">For triple therapy </w:t>
      </w:r>
      <w:r w:rsidR="00E85E75">
        <w:t xml:space="preserve">antihypertensive </w:t>
      </w:r>
      <w:r w:rsidR="00DB0E9D">
        <w:t xml:space="preserve">FDCs, patients must be inadequately controlled on two classes. The listings specifically state that the FDCs may not be used </w:t>
      </w:r>
      <w:r w:rsidR="00835A36">
        <w:t xml:space="preserve">for </w:t>
      </w:r>
      <w:r w:rsidR="00DB0E9D">
        <w:t xml:space="preserve">initiation of therapy. </w:t>
      </w:r>
    </w:p>
    <w:p w14:paraId="79D0AF0D" w14:textId="330D33FC" w:rsidR="00CE549E" w:rsidRPr="00AA2156" w:rsidRDefault="00CE549E" w:rsidP="00CE549E">
      <w:pPr>
        <w:pStyle w:val="Heading4"/>
      </w:pPr>
      <w:r>
        <w:rPr>
          <w:lang w:val="en-US"/>
        </w:rPr>
        <w:t>Available strengths</w:t>
      </w:r>
    </w:p>
    <w:p w14:paraId="428F897F" w14:textId="70F3F0BE" w:rsidR="0079564C" w:rsidRDefault="00642402" w:rsidP="00A8188D">
      <w:pPr>
        <w:pStyle w:val="3-BodyText"/>
      </w:pPr>
      <w:r w:rsidRPr="2ECBDAFF">
        <w:rPr>
          <w:lang w:val="en-US"/>
        </w:rPr>
        <w:t>Table 1 shows the PBS-listed antihypertensive FDCs</w:t>
      </w:r>
      <w:r w:rsidR="00502BA3" w:rsidRPr="2ECBDAFF">
        <w:rPr>
          <w:lang w:val="en-US"/>
        </w:rPr>
        <w:t xml:space="preserve"> with the number of available strengths</w:t>
      </w:r>
      <w:r w:rsidR="7335FB73" w:rsidRPr="2ECBDAFF">
        <w:rPr>
          <w:lang w:val="en-US"/>
        </w:rPr>
        <w:t xml:space="preserve"> as</w:t>
      </w:r>
      <w:r w:rsidR="00502BA3" w:rsidRPr="2ECBDAFF">
        <w:rPr>
          <w:lang w:val="en-US"/>
        </w:rPr>
        <w:t xml:space="preserve"> </w:t>
      </w:r>
      <w:bookmarkStart w:id="3" w:name="_Int_WuulxQxH"/>
      <w:r w:rsidR="00502BA3" w:rsidRPr="2ECBDAFF">
        <w:rPr>
          <w:lang w:val="en-US"/>
        </w:rPr>
        <w:t>at</w:t>
      </w:r>
      <w:bookmarkEnd w:id="3"/>
      <w:r w:rsidR="00502BA3" w:rsidRPr="2ECBDAFF">
        <w:rPr>
          <w:lang w:val="en-US"/>
        </w:rPr>
        <w:t xml:space="preserve"> 1 November 2024. </w:t>
      </w:r>
      <w:r w:rsidR="0079564C">
        <w:t>As shown, t</w:t>
      </w:r>
      <w:r w:rsidR="0079564C" w:rsidRPr="2ECBDAFF">
        <w:rPr>
          <w:lang w:val="en-US"/>
        </w:rPr>
        <w:t xml:space="preserve">he number of strengths available for most FDCs is </w:t>
      </w:r>
      <w:r w:rsidR="00B5041F">
        <w:rPr>
          <w:lang w:val="en-US"/>
        </w:rPr>
        <w:t>more</w:t>
      </w:r>
      <w:r w:rsidR="00B5041F" w:rsidRPr="2ECBDAFF">
        <w:rPr>
          <w:lang w:val="en-US"/>
        </w:rPr>
        <w:t xml:space="preserve"> </w:t>
      </w:r>
      <w:r w:rsidR="0079564C" w:rsidRPr="2ECBDAFF">
        <w:rPr>
          <w:lang w:val="en-US"/>
        </w:rPr>
        <w:t>limited</w:t>
      </w:r>
      <w:r w:rsidR="00B5041F">
        <w:rPr>
          <w:lang w:val="en-US"/>
        </w:rPr>
        <w:t xml:space="preserve"> than if the agents are prescribed individually</w:t>
      </w:r>
      <w:r w:rsidR="00B600E5" w:rsidRPr="2ECBDAFF">
        <w:rPr>
          <w:lang w:val="en-US"/>
        </w:rPr>
        <w:t xml:space="preserve">. </w:t>
      </w:r>
      <w:r w:rsidR="00502BA3" w:rsidRPr="2ECBDAFF">
        <w:rPr>
          <w:lang w:val="en-US"/>
        </w:rPr>
        <w:t>There are two triple therapy FDCs available on the PBS</w:t>
      </w:r>
      <w:r w:rsidR="2EB0A77B" w:rsidRPr="2ECBDAFF">
        <w:rPr>
          <w:lang w:val="en-US"/>
        </w:rPr>
        <w:t xml:space="preserve">. These combinations </w:t>
      </w:r>
      <w:r w:rsidR="00B5041F">
        <w:rPr>
          <w:lang w:val="en-US"/>
        </w:rPr>
        <w:t>consist of either</w:t>
      </w:r>
      <w:r w:rsidR="00B5041F" w:rsidRPr="2ECBDAFF">
        <w:rPr>
          <w:lang w:val="en-US"/>
        </w:rPr>
        <w:t xml:space="preserve"> </w:t>
      </w:r>
      <w:r w:rsidR="00502BA3" w:rsidRPr="2ECBDAFF">
        <w:rPr>
          <w:lang w:val="en-US"/>
        </w:rPr>
        <w:t xml:space="preserve">valsartan or </w:t>
      </w:r>
      <w:r w:rsidR="00B5041F">
        <w:rPr>
          <w:lang w:val="en-US"/>
        </w:rPr>
        <w:t>olmesartan,</w:t>
      </w:r>
      <w:r w:rsidR="00502BA3" w:rsidRPr="2ECBDAFF">
        <w:rPr>
          <w:lang w:val="en-US"/>
        </w:rPr>
        <w:t xml:space="preserve"> in combination with amlodipine and hydrochlorothiazide (HCTZ)</w:t>
      </w:r>
      <w:r w:rsidR="00B5041F">
        <w:rPr>
          <w:lang w:val="en-US"/>
        </w:rPr>
        <w:t>. T</w:t>
      </w:r>
      <w:r w:rsidR="00502BA3" w:rsidRPr="2ECBDAFF">
        <w:rPr>
          <w:lang w:val="en-US"/>
        </w:rPr>
        <w:t>here are 5 strength combinations available of each.</w:t>
      </w:r>
      <w:r w:rsidR="00502BA3">
        <w:t xml:space="preserve"> </w:t>
      </w:r>
    </w:p>
    <w:p w14:paraId="6295E588" w14:textId="14675D80" w:rsidR="009E753B" w:rsidRDefault="00476AFE" w:rsidP="00A8188D">
      <w:pPr>
        <w:pStyle w:val="3-BodyText"/>
      </w:pPr>
      <w:r>
        <w:rPr>
          <w:lang w:val="en-US"/>
        </w:rPr>
        <w:t>For some antihypertensive FDCs, the available combinations may</w:t>
      </w:r>
      <w:r>
        <w:t xml:space="preserve"> be limited to moderate to higher strengths</w:t>
      </w:r>
      <w:r w:rsidR="00B5041F">
        <w:t xml:space="preserve"> of the ACE or ATRA</w:t>
      </w:r>
      <w:r w:rsidRPr="0079564C">
        <w:rPr>
          <w:lang w:val="en-US"/>
        </w:rPr>
        <w:t>.</w:t>
      </w:r>
      <w:r>
        <w:rPr>
          <w:lang w:val="en-US"/>
        </w:rPr>
        <w:t xml:space="preserve"> </w:t>
      </w:r>
      <w:r>
        <w:t>For example, candesartan is available in 4 mg, 8 mg, 16</w:t>
      </w:r>
      <w:r w:rsidR="00FC6C30">
        <w:t> </w:t>
      </w:r>
      <w:r w:rsidR="002C7134">
        <w:t>mg,</w:t>
      </w:r>
      <w:r>
        <w:t xml:space="preserve"> and 32 mg strengths, but is only available in 16 mg or 32 mg strengths when in an FDC with hydrochlorothiazide (HCTZ). </w:t>
      </w:r>
    </w:p>
    <w:p w14:paraId="765477CE" w14:textId="46755D57" w:rsidR="00476AFE" w:rsidRDefault="009E753B" w:rsidP="00A8188D">
      <w:pPr>
        <w:pStyle w:val="3-BodyText"/>
      </w:pPr>
      <w:r>
        <w:lastRenderedPageBreak/>
        <w:t>For FDCs with diuretics, the diuretic component is often available in a strength lower than that available with the monotherapy form.</w:t>
      </w:r>
      <w:r w:rsidR="008E4A4D">
        <w:t xml:space="preserve"> </w:t>
      </w:r>
      <w:r w:rsidR="00476AFE">
        <w:t xml:space="preserve">For example, indapamide is available in 1.5 mg and 2.5 mg strengths, but in the FDC with perindopril, it is available in only lower strengths of 1.25 mg or 625 </w:t>
      </w:r>
      <w:r w:rsidR="00476AFE">
        <w:rPr>
          <w:rFonts w:cstheme="minorHAnsi"/>
        </w:rPr>
        <w:t>µ</w:t>
      </w:r>
      <w:r w:rsidR="00476AFE">
        <w:t xml:space="preserve">g. </w:t>
      </w:r>
      <w:r>
        <w:t xml:space="preserve">HCTZ alone is only available in a 25 mg strength, whereas in FDC form it is available in 12.5 mg and 6 mg strengths. Pill cutting </w:t>
      </w:r>
      <w:r w:rsidR="008E4A4D">
        <w:t xml:space="preserve">of monotherapy drugs </w:t>
      </w:r>
      <w:r>
        <w:t>would be required to achieve the strengths available in some FDCs and may not be feasible for some strengths.</w:t>
      </w:r>
    </w:p>
    <w:p w14:paraId="21852308" w14:textId="309E8F6D" w:rsidR="00476AFE" w:rsidRDefault="00476AFE" w:rsidP="00A8188D">
      <w:pPr>
        <w:pStyle w:val="3-BodyText"/>
      </w:pPr>
      <w:r>
        <w:t xml:space="preserve">The strength combinations available for antihypertensive FDCs on the PBS may </w:t>
      </w:r>
      <w:r w:rsidR="00B5041F">
        <w:t xml:space="preserve">pose limitations for </w:t>
      </w:r>
      <w:r>
        <w:t xml:space="preserve">prescribers </w:t>
      </w:r>
      <w:r w:rsidR="00B5041F">
        <w:t xml:space="preserve">in </w:t>
      </w:r>
      <w:r>
        <w:t xml:space="preserve">up- </w:t>
      </w:r>
      <w:r w:rsidR="00B5041F">
        <w:t xml:space="preserve">or </w:t>
      </w:r>
      <w:r>
        <w:t xml:space="preserve">down-titrating patients using an FDC. This may </w:t>
      </w:r>
      <w:r w:rsidR="00B5041F">
        <w:t xml:space="preserve">potentially </w:t>
      </w:r>
      <w:r>
        <w:t xml:space="preserve">discourage use of FDCs or lead to increased medication switches. </w:t>
      </w:r>
    </w:p>
    <w:p w14:paraId="0B9DB3DD" w14:textId="4DF1177F" w:rsidR="00476AFE" w:rsidRDefault="00476AFE" w:rsidP="00A8188D">
      <w:pPr>
        <w:pStyle w:val="3-BodyText"/>
      </w:pPr>
      <w:r>
        <w:t xml:space="preserve">Not all the strength combinations registered in Australia are listed on the PBS. For example, </w:t>
      </w:r>
      <w:r w:rsidR="00B5041F">
        <w:t xml:space="preserve">there are </w:t>
      </w:r>
      <w:r w:rsidR="00FC6C30">
        <w:t xml:space="preserve">multiple </w:t>
      </w:r>
      <w:r>
        <w:t xml:space="preserve">brands of olmesartan 20 mg + amlodipine 10 mg registered with the Therapeutic Goods Administration (TGA), but this </w:t>
      </w:r>
      <w:r w:rsidR="00B5041F">
        <w:t xml:space="preserve">dose </w:t>
      </w:r>
      <w:r>
        <w:t>FDC is not listed on the PBS. The PBAC considered this combination</w:t>
      </w:r>
      <w:r w:rsidR="009274EF">
        <w:t xml:space="preserve"> </w:t>
      </w:r>
      <w:r w:rsidR="2E1B4465">
        <w:t>previously through a PBAC submission requesting the PBS listing of</w:t>
      </w:r>
      <w:r>
        <w:t xml:space="preserve"> olmesartan </w:t>
      </w:r>
      <w:r w:rsidR="734BF957">
        <w:t>and</w:t>
      </w:r>
      <w:r>
        <w:t xml:space="preserve"> amlodipine. The Public Summary Document (PSD) state</w:t>
      </w:r>
      <w:r w:rsidR="3D8D5F3D">
        <w:t>d that</w:t>
      </w:r>
      <w:r>
        <w:t xml:space="preserve"> ‘The PBAC noted with some concern that the sponsor had advised in the pre-subcommittee response that it will not proceed with the listing of the olmesartan 20 mg – amlodipine 10 mg combination tablet. This means that a patient whose hypertension is uncontrolled with the 20 mg – 5 mg tablet who wishes to continue to use the </w:t>
      </w:r>
      <w:r w:rsidR="00B5041F">
        <w:t xml:space="preserve">dual </w:t>
      </w:r>
      <w:r>
        <w:t>combination only has the option of increasing the olmesartan dose by moving to the 40 mg - 5 mg strength</w:t>
      </w:r>
      <w:r w:rsidR="009274EF">
        <w:t>…</w:t>
      </w:r>
      <w:r>
        <w:t>The PBAC noted that the sponsor had provided no explanation for its decision not to proceed with the 20 mg – 10 mg product…’</w:t>
      </w:r>
      <w:r w:rsidR="4BFF4CB5">
        <w:t>.</w:t>
      </w:r>
      <w:r w:rsidRPr="2ECBDAFF">
        <w:rPr>
          <w:rStyle w:val="FootnoteReference"/>
        </w:rPr>
        <w:footnoteReference w:id="2"/>
      </w:r>
      <w:r>
        <w:t xml:space="preserve"> </w:t>
      </w:r>
    </w:p>
    <w:p w14:paraId="77DD1239" w14:textId="7D4AB71F" w:rsidR="009274EF" w:rsidRDefault="00476AFE" w:rsidP="00A8188D">
      <w:pPr>
        <w:pStyle w:val="3-BodyText"/>
      </w:pPr>
      <w:r>
        <w:t xml:space="preserve">The availability of antihypertensive FDC strengths varies between countries. For example, </w:t>
      </w:r>
      <w:r w:rsidRPr="00476AFE">
        <w:t xml:space="preserve">enalapril + </w:t>
      </w:r>
      <w:r>
        <w:t>HCTZ</w:t>
      </w:r>
      <w:r w:rsidRPr="00476AFE">
        <w:t xml:space="preserve"> </w:t>
      </w:r>
      <w:r>
        <w:t xml:space="preserve">is PBS-listed for only the </w:t>
      </w:r>
      <w:r w:rsidRPr="00476AFE">
        <w:t>20 mg</w:t>
      </w:r>
      <w:r>
        <w:t>-6 mg strength, while in the UK it is available as 20 mg-12.5 mg, and in the US as 5</w:t>
      </w:r>
      <w:r w:rsidR="009274EF">
        <w:t> </w:t>
      </w:r>
      <w:r>
        <w:t>mg</w:t>
      </w:r>
      <w:r w:rsidR="009274EF">
        <w:noBreakHyphen/>
      </w:r>
      <w:r>
        <w:t>12.5 mg or 10 mg-25 mg.</w:t>
      </w:r>
    </w:p>
    <w:p w14:paraId="41368323" w14:textId="56CDB148" w:rsidR="00642402" w:rsidRPr="00642402" w:rsidRDefault="00642402" w:rsidP="00502BA3">
      <w:pPr>
        <w:pStyle w:val="3Bodytext"/>
        <w:keepNext/>
        <w:keepLines/>
        <w:tabs>
          <w:tab w:val="clear" w:pos="360"/>
        </w:tabs>
        <w:ind w:left="0"/>
        <w:rPr>
          <w:rFonts w:ascii="Arial Narrow" w:hAnsi="Arial Narrow"/>
          <w:b/>
          <w:bCs w:val="0"/>
          <w:sz w:val="20"/>
          <w:szCs w:val="20"/>
        </w:rPr>
      </w:pPr>
      <w:r w:rsidRPr="00642402">
        <w:rPr>
          <w:rFonts w:ascii="Arial Narrow" w:hAnsi="Arial Narrow"/>
          <w:b/>
          <w:bCs w:val="0"/>
          <w:sz w:val="20"/>
          <w:szCs w:val="20"/>
          <w:lang w:val="en-US"/>
        </w:rPr>
        <w:lastRenderedPageBreak/>
        <w:t xml:space="preserve">Table 1. </w:t>
      </w:r>
      <w:r>
        <w:rPr>
          <w:rFonts w:ascii="Arial Narrow" w:hAnsi="Arial Narrow"/>
          <w:b/>
          <w:bCs w:val="0"/>
          <w:sz w:val="20"/>
          <w:szCs w:val="20"/>
          <w:lang w:val="en-US"/>
        </w:rPr>
        <w:t xml:space="preserve">Antihypertensive FDCs on the PBS showing the number of strengths available for each combination </w:t>
      </w:r>
      <w:r w:rsidR="449F2F15" w:rsidRPr="45563E5B">
        <w:rPr>
          <w:rFonts w:ascii="Arial Narrow" w:hAnsi="Arial Narrow"/>
          <w:b/>
          <w:sz w:val="20"/>
          <w:szCs w:val="20"/>
          <w:lang w:val="en-US"/>
        </w:rPr>
        <w:t xml:space="preserve">as </w:t>
      </w:r>
      <w:r>
        <w:rPr>
          <w:rFonts w:ascii="Arial Narrow" w:hAnsi="Arial Narrow"/>
          <w:b/>
          <w:bCs w:val="0"/>
          <w:sz w:val="20"/>
          <w:szCs w:val="20"/>
          <w:lang w:val="en-US"/>
        </w:rPr>
        <w:t>at 1 November 2024</w:t>
      </w:r>
    </w:p>
    <w:tbl>
      <w:tblPr>
        <w:tblStyle w:val="TableGrid"/>
        <w:tblW w:w="9356" w:type="dxa"/>
        <w:tblLayout w:type="fixed"/>
        <w:tblLook w:val="04A0" w:firstRow="1" w:lastRow="0" w:firstColumn="1" w:lastColumn="0" w:noHBand="0" w:noVBand="1"/>
      </w:tblPr>
      <w:tblGrid>
        <w:gridCol w:w="1843"/>
        <w:gridCol w:w="1418"/>
        <w:gridCol w:w="1275"/>
        <w:gridCol w:w="1134"/>
        <w:gridCol w:w="1418"/>
        <w:gridCol w:w="1134"/>
        <w:gridCol w:w="1134"/>
      </w:tblGrid>
      <w:tr w:rsidR="00D96BE4" w14:paraId="236724F9" w14:textId="77777777" w:rsidTr="00D96BE4">
        <w:trPr>
          <w:trHeight w:val="300"/>
        </w:trPr>
        <w:tc>
          <w:tcPr>
            <w:tcW w:w="1843" w:type="dxa"/>
            <w:tcBorders>
              <w:top w:val="nil"/>
              <w:left w:val="nil"/>
              <w:bottom w:val="single" w:sz="4" w:space="0" w:color="auto"/>
              <w:right w:val="single" w:sz="4" w:space="0" w:color="auto"/>
            </w:tcBorders>
          </w:tcPr>
          <w:p w14:paraId="0BD1DA1B" w14:textId="77777777" w:rsidR="00D96BE4" w:rsidRPr="002A3CDD" w:rsidRDefault="00D96BE4" w:rsidP="00502BA3">
            <w:pPr>
              <w:keepNext/>
              <w:keepLines/>
              <w:rPr>
                <w:rFonts w:ascii="Arial Narrow" w:hAnsi="Arial Narrow"/>
                <w:sz w:val="20"/>
                <w:szCs w:val="20"/>
              </w:rPr>
            </w:pPr>
          </w:p>
        </w:tc>
        <w:tc>
          <w:tcPr>
            <w:tcW w:w="1418" w:type="dxa"/>
            <w:tcBorders>
              <w:left w:val="single" w:sz="4" w:space="0" w:color="auto"/>
            </w:tcBorders>
          </w:tcPr>
          <w:p w14:paraId="1332310C"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HCTZ</w:t>
            </w:r>
          </w:p>
          <w:p w14:paraId="0CA8EBB5" w14:textId="5DD2FF11"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(Diuretic)</w:t>
            </w:r>
          </w:p>
        </w:tc>
        <w:tc>
          <w:tcPr>
            <w:tcW w:w="1275" w:type="dxa"/>
          </w:tcPr>
          <w:p w14:paraId="6FAD36F6"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Indapamide</w:t>
            </w:r>
          </w:p>
          <w:p w14:paraId="476728D3" w14:textId="7923A718"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(Diuretic)</w:t>
            </w:r>
          </w:p>
        </w:tc>
        <w:tc>
          <w:tcPr>
            <w:tcW w:w="1134" w:type="dxa"/>
          </w:tcPr>
          <w:p w14:paraId="6C9F5292"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Amlodipine</w:t>
            </w:r>
          </w:p>
          <w:p w14:paraId="5B961356" w14:textId="586DEA8E"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(CCB)</w:t>
            </w:r>
          </w:p>
        </w:tc>
        <w:tc>
          <w:tcPr>
            <w:tcW w:w="1418" w:type="dxa"/>
          </w:tcPr>
          <w:p w14:paraId="096758B8"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Lercanidipine</w:t>
            </w:r>
          </w:p>
          <w:p w14:paraId="2770A2F6" w14:textId="5CC34BE1"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(CCB)</w:t>
            </w:r>
          </w:p>
        </w:tc>
        <w:tc>
          <w:tcPr>
            <w:tcW w:w="1134" w:type="dxa"/>
          </w:tcPr>
          <w:p w14:paraId="6119E377"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Felodipine</w:t>
            </w:r>
          </w:p>
          <w:p w14:paraId="27286D3E" w14:textId="393837E7"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(CCB)</w:t>
            </w:r>
          </w:p>
        </w:tc>
        <w:tc>
          <w:tcPr>
            <w:tcW w:w="1134" w:type="dxa"/>
          </w:tcPr>
          <w:p w14:paraId="7DEA2CFB" w14:textId="77777777" w:rsidR="00D96BE4" w:rsidRDefault="00D96BE4" w:rsidP="00502BA3">
            <w:pPr>
              <w:keepNext/>
              <w:keepLines/>
              <w:jc w:val="center"/>
              <w:rPr>
                <w:rFonts w:ascii="Arial Narrow" w:hAnsi="Arial Narrow"/>
                <w:b/>
                <w:bCs/>
                <w:sz w:val="20"/>
                <w:szCs w:val="20"/>
              </w:rPr>
            </w:pPr>
            <w:r w:rsidRPr="002A3CDD">
              <w:rPr>
                <w:rFonts w:ascii="Arial Narrow" w:hAnsi="Arial Narrow"/>
                <w:b/>
                <w:bCs/>
                <w:sz w:val="20"/>
                <w:szCs w:val="20"/>
              </w:rPr>
              <w:t>Verapamil</w:t>
            </w:r>
          </w:p>
          <w:p w14:paraId="54F3AE00" w14:textId="1BCC9A36" w:rsidR="00D96BE4" w:rsidRPr="002A3CDD" w:rsidRDefault="00D96BE4" w:rsidP="00502BA3">
            <w:pPr>
              <w:keepNext/>
              <w:keepLines/>
              <w:jc w:val="center"/>
              <w:rPr>
                <w:rFonts w:ascii="Arial Narrow" w:hAnsi="Arial Narrow"/>
                <w:b/>
                <w:bCs/>
                <w:sz w:val="20"/>
                <w:szCs w:val="20"/>
              </w:rPr>
            </w:pPr>
            <w:r>
              <w:rPr>
                <w:rFonts w:ascii="Arial Narrow" w:hAnsi="Arial Narrow"/>
                <w:b/>
                <w:bCs/>
                <w:sz w:val="20"/>
                <w:szCs w:val="20"/>
              </w:rPr>
              <w:t>(CCB)</w:t>
            </w:r>
          </w:p>
        </w:tc>
      </w:tr>
      <w:tr w:rsidR="00D96BE4" w14:paraId="05BB6C1E" w14:textId="77777777" w:rsidTr="00D96BE4">
        <w:tc>
          <w:tcPr>
            <w:tcW w:w="1843" w:type="dxa"/>
            <w:tcBorders>
              <w:top w:val="single" w:sz="4" w:space="0" w:color="auto"/>
            </w:tcBorders>
          </w:tcPr>
          <w:p w14:paraId="366B5CDA" w14:textId="0E8E3A6E"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Enalapril</w:t>
            </w:r>
            <w:r>
              <w:rPr>
                <w:rFonts w:ascii="Arial Narrow" w:hAnsi="Arial Narrow"/>
                <w:b/>
                <w:bCs/>
                <w:sz w:val="20"/>
                <w:szCs w:val="20"/>
              </w:rPr>
              <w:t xml:space="preserve"> (ACE)</w:t>
            </w:r>
          </w:p>
        </w:tc>
        <w:tc>
          <w:tcPr>
            <w:tcW w:w="1418" w:type="dxa"/>
          </w:tcPr>
          <w:p w14:paraId="4FD5DBFB" w14:textId="6EA4DFA0"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1</w:t>
            </w:r>
          </w:p>
        </w:tc>
        <w:tc>
          <w:tcPr>
            <w:tcW w:w="1275" w:type="dxa"/>
            <w:shd w:val="clear" w:color="auto" w:fill="BFBFBF" w:themeFill="background1" w:themeFillShade="BF"/>
          </w:tcPr>
          <w:p w14:paraId="5A64FC48" w14:textId="0691FEB5"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NA</w:t>
            </w:r>
          </w:p>
        </w:tc>
        <w:tc>
          <w:tcPr>
            <w:tcW w:w="1134" w:type="dxa"/>
            <w:shd w:val="clear" w:color="auto" w:fill="BFBFBF" w:themeFill="background1" w:themeFillShade="BF"/>
          </w:tcPr>
          <w:p w14:paraId="6F2F36A9" w14:textId="6CD38D95"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NA</w:t>
            </w:r>
          </w:p>
        </w:tc>
        <w:tc>
          <w:tcPr>
            <w:tcW w:w="1418" w:type="dxa"/>
          </w:tcPr>
          <w:p w14:paraId="0150EFCD" w14:textId="68CF49E8"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2</w:t>
            </w:r>
          </w:p>
        </w:tc>
        <w:tc>
          <w:tcPr>
            <w:tcW w:w="1134" w:type="dxa"/>
            <w:shd w:val="clear" w:color="auto" w:fill="BFBFBF" w:themeFill="background1" w:themeFillShade="BF"/>
          </w:tcPr>
          <w:p w14:paraId="190C4F6F" w14:textId="3F35767F" w:rsidR="00D96BE4" w:rsidRPr="002A3CDD" w:rsidRDefault="00D96BE4" w:rsidP="00D96BE4">
            <w:pPr>
              <w:keepNext/>
              <w:keepLines/>
              <w:jc w:val="center"/>
              <w:rPr>
                <w:rFonts w:ascii="Arial Narrow" w:hAnsi="Arial Narrow"/>
                <w:sz w:val="20"/>
                <w:szCs w:val="20"/>
              </w:rPr>
            </w:pPr>
            <w:r w:rsidRPr="00C14431">
              <w:rPr>
                <w:rFonts w:ascii="Arial Narrow" w:hAnsi="Arial Narrow"/>
                <w:sz w:val="20"/>
                <w:szCs w:val="20"/>
              </w:rPr>
              <w:t>NA</w:t>
            </w:r>
          </w:p>
        </w:tc>
        <w:tc>
          <w:tcPr>
            <w:tcW w:w="1134" w:type="dxa"/>
            <w:shd w:val="clear" w:color="auto" w:fill="BFBFBF" w:themeFill="background1" w:themeFillShade="BF"/>
          </w:tcPr>
          <w:p w14:paraId="08502581" w14:textId="40740439" w:rsidR="00D96BE4" w:rsidRPr="002A3CDD" w:rsidRDefault="00D96BE4" w:rsidP="00D96BE4">
            <w:pPr>
              <w:keepNext/>
              <w:keepLines/>
              <w:jc w:val="center"/>
              <w:rPr>
                <w:rFonts w:ascii="Arial Narrow" w:hAnsi="Arial Narrow"/>
                <w:sz w:val="20"/>
                <w:szCs w:val="20"/>
              </w:rPr>
            </w:pPr>
            <w:r w:rsidRPr="00852AA0">
              <w:rPr>
                <w:rFonts w:ascii="Arial Narrow" w:hAnsi="Arial Narrow"/>
                <w:sz w:val="20"/>
                <w:szCs w:val="20"/>
              </w:rPr>
              <w:t>NA</w:t>
            </w:r>
          </w:p>
        </w:tc>
      </w:tr>
      <w:tr w:rsidR="00D96BE4" w14:paraId="31F5B2A0" w14:textId="77777777" w:rsidTr="00D96BE4">
        <w:trPr>
          <w:trHeight w:val="300"/>
        </w:trPr>
        <w:tc>
          <w:tcPr>
            <w:tcW w:w="1843" w:type="dxa"/>
          </w:tcPr>
          <w:p w14:paraId="71F90B7A" w14:textId="47DBA513"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Perindopril</w:t>
            </w:r>
            <w:r>
              <w:rPr>
                <w:rFonts w:ascii="Arial Narrow" w:hAnsi="Arial Narrow"/>
                <w:b/>
                <w:bCs/>
                <w:sz w:val="20"/>
                <w:szCs w:val="20"/>
              </w:rPr>
              <w:t xml:space="preserve"> (ACE)</w:t>
            </w:r>
          </w:p>
        </w:tc>
        <w:tc>
          <w:tcPr>
            <w:tcW w:w="1418" w:type="dxa"/>
            <w:shd w:val="clear" w:color="auto" w:fill="BFBFBF" w:themeFill="background1" w:themeFillShade="BF"/>
          </w:tcPr>
          <w:p w14:paraId="7A3A4683" w14:textId="0AEB8A43"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NA</w:t>
            </w:r>
          </w:p>
        </w:tc>
        <w:tc>
          <w:tcPr>
            <w:tcW w:w="1275" w:type="dxa"/>
          </w:tcPr>
          <w:p w14:paraId="28AFFA37" w14:textId="26EA1A0E"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134" w:type="dxa"/>
          </w:tcPr>
          <w:p w14:paraId="021ED5BE" w14:textId="74906646"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4</w:t>
            </w:r>
          </w:p>
        </w:tc>
        <w:tc>
          <w:tcPr>
            <w:tcW w:w="1418" w:type="dxa"/>
            <w:shd w:val="clear" w:color="auto" w:fill="BFBFBF" w:themeFill="background1" w:themeFillShade="BF"/>
          </w:tcPr>
          <w:p w14:paraId="73FA919E" w14:textId="62B82601"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6EB1520F" w14:textId="010FAC46" w:rsidR="00D96BE4" w:rsidRPr="002A3CDD" w:rsidRDefault="00D96BE4" w:rsidP="00D96BE4">
            <w:pPr>
              <w:keepNext/>
              <w:keepLines/>
              <w:jc w:val="center"/>
              <w:rPr>
                <w:rFonts w:ascii="Arial Narrow" w:hAnsi="Arial Narrow"/>
                <w:sz w:val="20"/>
                <w:szCs w:val="20"/>
              </w:rPr>
            </w:pPr>
            <w:r w:rsidRPr="00C14431">
              <w:rPr>
                <w:rFonts w:ascii="Arial Narrow" w:hAnsi="Arial Narrow"/>
                <w:sz w:val="20"/>
                <w:szCs w:val="20"/>
              </w:rPr>
              <w:t>NA</w:t>
            </w:r>
          </w:p>
        </w:tc>
        <w:tc>
          <w:tcPr>
            <w:tcW w:w="1134" w:type="dxa"/>
            <w:shd w:val="clear" w:color="auto" w:fill="BFBFBF" w:themeFill="background1" w:themeFillShade="BF"/>
          </w:tcPr>
          <w:p w14:paraId="23A5FD5E" w14:textId="3DD2DB2B" w:rsidR="00D96BE4" w:rsidRPr="002A3CDD" w:rsidRDefault="00D96BE4" w:rsidP="00D96BE4">
            <w:pPr>
              <w:keepNext/>
              <w:keepLines/>
              <w:jc w:val="center"/>
              <w:rPr>
                <w:rFonts w:ascii="Arial Narrow" w:hAnsi="Arial Narrow"/>
                <w:sz w:val="20"/>
                <w:szCs w:val="20"/>
              </w:rPr>
            </w:pPr>
            <w:r w:rsidRPr="00852AA0">
              <w:rPr>
                <w:rFonts w:ascii="Arial Narrow" w:hAnsi="Arial Narrow"/>
                <w:sz w:val="20"/>
                <w:szCs w:val="20"/>
              </w:rPr>
              <w:t>NA</w:t>
            </w:r>
          </w:p>
        </w:tc>
      </w:tr>
      <w:tr w:rsidR="00D96BE4" w14:paraId="40A9440A" w14:textId="77777777" w:rsidTr="00D96BE4">
        <w:tc>
          <w:tcPr>
            <w:tcW w:w="1843" w:type="dxa"/>
          </w:tcPr>
          <w:p w14:paraId="59FDEC7F" w14:textId="2A7D6367"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Quinapril</w:t>
            </w:r>
            <w:r>
              <w:rPr>
                <w:rFonts w:ascii="Arial Narrow" w:hAnsi="Arial Narrow"/>
                <w:b/>
                <w:bCs/>
                <w:sz w:val="20"/>
                <w:szCs w:val="20"/>
              </w:rPr>
              <w:t xml:space="preserve"> (ACE)</w:t>
            </w:r>
          </w:p>
        </w:tc>
        <w:tc>
          <w:tcPr>
            <w:tcW w:w="1418" w:type="dxa"/>
          </w:tcPr>
          <w:p w14:paraId="7D66B8B9" w14:textId="65A01555"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2</w:t>
            </w:r>
          </w:p>
        </w:tc>
        <w:tc>
          <w:tcPr>
            <w:tcW w:w="1275" w:type="dxa"/>
            <w:shd w:val="clear" w:color="auto" w:fill="BFBFBF" w:themeFill="background1" w:themeFillShade="BF"/>
          </w:tcPr>
          <w:p w14:paraId="68C98352" w14:textId="233C3ED5"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15BFD335" w14:textId="0BDC324B" w:rsidR="00D96BE4" w:rsidRPr="002A3CDD" w:rsidRDefault="00D96BE4" w:rsidP="00D96BE4">
            <w:pPr>
              <w:keepNext/>
              <w:keepLines/>
              <w:jc w:val="center"/>
              <w:rPr>
                <w:rFonts w:ascii="Arial Narrow" w:hAnsi="Arial Narrow"/>
                <w:sz w:val="20"/>
                <w:szCs w:val="20"/>
              </w:rPr>
            </w:pPr>
            <w:r w:rsidRPr="00AD3C0B">
              <w:rPr>
                <w:rFonts w:ascii="Arial Narrow" w:hAnsi="Arial Narrow"/>
                <w:sz w:val="20"/>
                <w:szCs w:val="20"/>
              </w:rPr>
              <w:t>NA</w:t>
            </w:r>
          </w:p>
        </w:tc>
        <w:tc>
          <w:tcPr>
            <w:tcW w:w="1418" w:type="dxa"/>
            <w:shd w:val="clear" w:color="auto" w:fill="BFBFBF" w:themeFill="background1" w:themeFillShade="BF"/>
          </w:tcPr>
          <w:p w14:paraId="7B1659BD" w14:textId="4D96D34C"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237D9E6C" w14:textId="5150AD81" w:rsidR="00D96BE4" w:rsidRPr="002A3CDD" w:rsidRDefault="00D96BE4" w:rsidP="00D96BE4">
            <w:pPr>
              <w:keepNext/>
              <w:keepLines/>
              <w:jc w:val="center"/>
              <w:rPr>
                <w:rFonts w:ascii="Arial Narrow" w:hAnsi="Arial Narrow"/>
                <w:sz w:val="20"/>
                <w:szCs w:val="20"/>
              </w:rPr>
            </w:pPr>
            <w:r w:rsidRPr="00C14431">
              <w:rPr>
                <w:rFonts w:ascii="Arial Narrow" w:hAnsi="Arial Narrow"/>
                <w:sz w:val="20"/>
                <w:szCs w:val="20"/>
              </w:rPr>
              <w:t>NA</w:t>
            </w:r>
          </w:p>
        </w:tc>
        <w:tc>
          <w:tcPr>
            <w:tcW w:w="1134" w:type="dxa"/>
            <w:shd w:val="clear" w:color="auto" w:fill="BFBFBF" w:themeFill="background1" w:themeFillShade="BF"/>
          </w:tcPr>
          <w:p w14:paraId="25336B54" w14:textId="5D2EE001" w:rsidR="00D96BE4" w:rsidRPr="002A3CDD" w:rsidRDefault="00D96BE4" w:rsidP="00D96BE4">
            <w:pPr>
              <w:keepNext/>
              <w:keepLines/>
              <w:jc w:val="center"/>
              <w:rPr>
                <w:rFonts w:ascii="Arial Narrow" w:hAnsi="Arial Narrow"/>
                <w:sz w:val="20"/>
                <w:szCs w:val="20"/>
              </w:rPr>
            </w:pPr>
            <w:r w:rsidRPr="00852AA0">
              <w:rPr>
                <w:rFonts w:ascii="Arial Narrow" w:hAnsi="Arial Narrow"/>
                <w:sz w:val="20"/>
                <w:szCs w:val="20"/>
              </w:rPr>
              <w:t>NA</w:t>
            </w:r>
          </w:p>
        </w:tc>
      </w:tr>
      <w:tr w:rsidR="00D96BE4" w14:paraId="516B8052" w14:textId="77777777" w:rsidTr="00D96BE4">
        <w:tc>
          <w:tcPr>
            <w:tcW w:w="1843" w:type="dxa"/>
          </w:tcPr>
          <w:p w14:paraId="0AB694D6" w14:textId="275B3638"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Ramipril</w:t>
            </w:r>
            <w:r>
              <w:rPr>
                <w:rFonts w:ascii="Arial Narrow" w:hAnsi="Arial Narrow"/>
                <w:b/>
                <w:bCs/>
                <w:sz w:val="20"/>
                <w:szCs w:val="20"/>
              </w:rPr>
              <w:t xml:space="preserve"> (ACE)</w:t>
            </w:r>
          </w:p>
        </w:tc>
        <w:tc>
          <w:tcPr>
            <w:tcW w:w="1418" w:type="dxa"/>
            <w:shd w:val="clear" w:color="auto" w:fill="BFBFBF" w:themeFill="background1" w:themeFillShade="BF"/>
          </w:tcPr>
          <w:p w14:paraId="197891C3" w14:textId="2604A010" w:rsidR="00D96BE4" w:rsidRPr="002A3CDD" w:rsidRDefault="00D96BE4" w:rsidP="00D96BE4">
            <w:pPr>
              <w:keepNext/>
              <w:keepLines/>
              <w:jc w:val="center"/>
              <w:rPr>
                <w:rFonts w:ascii="Arial Narrow" w:hAnsi="Arial Narrow"/>
                <w:sz w:val="20"/>
                <w:szCs w:val="20"/>
              </w:rPr>
            </w:pPr>
            <w:r w:rsidRPr="00E463DF">
              <w:rPr>
                <w:rFonts w:ascii="Arial Narrow" w:hAnsi="Arial Narrow"/>
                <w:sz w:val="20"/>
                <w:szCs w:val="20"/>
              </w:rPr>
              <w:t>NA</w:t>
            </w:r>
          </w:p>
        </w:tc>
        <w:tc>
          <w:tcPr>
            <w:tcW w:w="1275" w:type="dxa"/>
            <w:shd w:val="clear" w:color="auto" w:fill="BFBFBF" w:themeFill="background1" w:themeFillShade="BF"/>
          </w:tcPr>
          <w:p w14:paraId="417CAC46" w14:textId="59433AE2"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66E9C960" w14:textId="19821388" w:rsidR="00D96BE4" w:rsidRPr="002A3CDD" w:rsidRDefault="00D96BE4" w:rsidP="00D96BE4">
            <w:pPr>
              <w:keepNext/>
              <w:keepLines/>
              <w:jc w:val="center"/>
              <w:rPr>
                <w:rFonts w:ascii="Arial Narrow" w:hAnsi="Arial Narrow"/>
                <w:sz w:val="20"/>
                <w:szCs w:val="20"/>
              </w:rPr>
            </w:pPr>
            <w:r w:rsidRPr="00AD3C0B">
              <w:rPr>
                <w:rFonts w:ascii="Arial Narrow" w:hAnsi="Arial Narrow"/>
                <w:sz w:val="20"/>
                <w:szCs w:val="20"/>
              </w:rPr>
              <w:t>NA</w:t>
            </w:r>
          </w:p>
        </w:tc>
        <w:tc>
          <w:tcPr>
            <w:tcW w:w="1418" w:type="dxa"/>
            <w:shd w:val="clear" w:color="auto" w:fill="BFBFBF" w:themeFill="background1" w:themeFillShade="BF"/>
          </w:tcPr>
          <w:p w14:paraId="31DF60CF" w14:textId="2E34E9C5"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tcPr>
          <w:p w14:paraId="6191C57B" w14:textId="58BBFF52"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2</w:t>
            </w:r>
          </w:p>
        </w:tc>
        <w:tc>
          <w:tcPr>
            <w:tcW w:w="1134" w:type="dxa"/>
            <w:shd w:val="clear" w:color="auto" w:fill="BFBFBF" w:themeFill="background1" w:themeFillShade="BF"/>
          </w:tcPr>
          <w:p w14:paraId="3051E92F" w14:textId="6A5468F7" w:rsidR="00D96BE4" w:rsidRPr="002A3CDD" w:rsidRDefault="00D96BE4" w:rsidP="00D96BE4">
            <w:pPr>
              <w:keepNext/>
              <w:keepLines/>
              <w:jc w:val="center"/>
              <w:rPr>
                <w:rFonts w:ascii="Arial Narrow" w:hAnsi="Arial Narrow"/>
                <w:sz w:val="20"/>
                <w:szCs w:val="20"/>
              </w:rPr>
            </w:pPr>
            <w:r w:rsidRPr="00852AA0">
              <w:rPr>
                <w:rFonts w:ascii="Arial Narrow" w:hAnsi="Arial Narrow"/>
                <w:sz w:val="20"/>
                <w:szCs w:val="20"/>
              </w:rPr>
              <w:t>NA</w:t>
            </w:r>
          </w:p>
        </w:tc>
      </w:tr>
      <w:tr w:rsidR="00D96BE4" w14:paraId="58CC3673" w14:textId="77777777" w:rsidTr="00D96BE4">
        <w:tc>
          <w:tcPr>
            <w:tcW w:w="1843" w:type="dxa"/>
          </w:tcPr>
          <w:p w14:paraId="7C76A598" w14:textId="739CE10C"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Trandolapril</w:t>
            </w:r>
            <w:r>
              <w:rPr>
                <w:rFonts w:ascii="Arial Narrow" w:hAnsi="Arial Narrow"/>
                <w:b/>
                <w:bCs/>
                <w:sz w:val="20"/>
                <w:szCs w:val="20"/>
              </w:rPr>
              <w:t xml:space="preserve"> (ACE)</w:t>
            </w:r>
          </w:p>
        </w:tc>
        <w:tc>
          <w:tcPr>
            <w:tcW w:w="1418" w:type="dxa"/>
            <w:shd w:val="clear" w:color="auto" w:fill="BFBFBF" w:themeFill="background1" w:themeFillShade="BF"/>
          </w:tcPr>
          <w:p w14:paraId="6EBBA337" w14:textId="1A7D5F2B" w:rsidR="00D96BE4" w:rsidRPr="002A3CDD" w:rsidRDefault="00D96BE4" w:rsidP="00D96BE4">
            <w:pPr>
              <w:keepNext/>
              <w:keepLines/>
              <w:jc w:val="center"/>
              <w:rPr>
                <w:rFonts w:ascii="Arial Narrow" w:hAnsi="Arial Narrow"/>
                <w:sz w:val="20"/>
                <w:szCs w:val="20"/>
              </w:rPr>
            </w:pPr>
            <w:r w:rsidRPr="00E463DF">
              <w:rPr>
                <w:rFonts w:ascii="Arial Narrow" w:hAnsi="Arial Narrow"/>
                <w:sz w:val="20"/>
                <w:szCs w:val="20"/>
              </w:rPr>
              <w:t>NA</w:t>
            </w:r>
          </w:p>
        </w:tc>
        <w:tc>
          <w:tcPr>
            <w:tcW w:w="1275" w:type="dxa"/>
            <w:shd w:val="clear" w:color="auto" w:fill="BFBFBF" w:themeFill="background1" w:themeFillShade="BF"/>
          </w:tcPr>
          <w:p w14:paraId="2F715D82" w14:textId="0336D136"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2B1D06B1" w14:textId="2E34094C" w:rsidR="00D96BE4" w:rsidRPr="002A3CDD" w:rsidRDefault="00D96BE4" w:rsidP="00D96BE4">
            <w:pPr>
              <w:keepNext/>
              <w:keepLines/>
              <w:jc w:val="center"/>
              <w:rPr>
                <w:rFonts w:ascii="Arial Narrow" w:hAnsi="Arial Narrow"/>
                <w:sz w:val="20"/>
                <w:szCs w:val="20"/>
              </w:rPr>
            </w:pPr>
            <w:r w:rsidRPr="00AD3C0B">
              <w:rPr>
                <w:rFonts w:ascii="Arial Narrow" w:hAnsi="Arial Narrow"/>
                <w:sz w:val="20"/>
                <w:szCs w:val="20"/>
              </w:rPr>
              <w:t>NA</w:t>
            </w:r>
          </w:p>
        </w:tc>
        <w:tc>
          <w:tcPr>
            <w:tcW w:w="1418" w:type="dxa"/>
            <w:shd w:val="clear" w:color="auto" w:fill="BFBFBF" w:themeFill="background1" w:themeFillShade="BF"/>
          </w:tcPr>
          <w:p w14:paraId="13966C33" w14:textId="3EF8F844"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0CC1A757" w14:textId="05CD3C2B"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tcPr>
          <w:p w14:paraId="7C3D5AAA" w14:textId="657C69FD"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2</w:t>
            </w:r>
          </w:p>
        </w:tc>
      </w:tr>
      <w:tr w:rsidR="00D96BE4" w14:paraId="0C1F4E3F" w14:textId="77777777" w:rsidTr="00D96BE4">
        <w:tc>
          <w:tcPr>
            <w:tcW w:w="1843" w:type="dxa"/>
          </w:tcPr>
          <w:p w14:paraId="33A67796" w14:textId="70D38C4D" w:rsidR="00D96BE4" w:rsidRPr="00DB28ED" w:rsidRDefault="00D96BE4" w:rsidP="00D96BE4">
            <w:pPr>
              <w:keepNext/>
              <w:keepLines/>
              <w:rPr>
                <w:rFonts w:ascii="Arial Narrow" w:hAnsi="Arial Narrow"/>
                <w:b/>
                <w:bCs/>
                <w:sz w:val="20"/>
                <w:szCs w:val="20"/>
              </w:rPr>
            </w:pPr>
            <w:proofErr w:type="spellStart"/>
            <w:r w:rsidRPr="00DB28ED">
              <w:rPr>
                <w:rFonts w:ascii="Arial Narrow" w:hAnsi="Arial Narrow"/>
                <w:b/>
                <w:bCs/>
                <w:sz w:val="20"/>
                <w:szCs w:val="20"/>
              </w:rPr>
              <w:t>Eprosartan</w:t>
            </w:r>
            <w:proofErr w:type="spellEnd"/>
            <w:r>
              <w:rPr>
                <w:rFonts w:ascii="Arial Narrow" w:hAnsi="Arial Narrow"/>
                <w:b/>
                <w:bCs/>
                <w:sz w:val="20"/>
                <w:szCs w:val="20"/>
              </w:rPr>
              <w:t xml:space="preserve"> (ATRA)</w:t>
            </w:r>
          </w:p>
        </w:tc>
        <w:tc>
          <w:tcPr>
            <w:tcW w:w="1418" w:type="dxa"/>
          </w:tcPr>
          <w:p w14:paraId="14468DB0" w14:textId="686A372A"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1</w:t>
            </w:r>
          </w:p>
        </w:tc>
        <w:tc>
          <w:tcPr>
            <w:tcW w:w="1275" w:type="dxa"/>
            <w:shd w:val="clear" w:color="auto" w:fill="BFBFBF" w:themeFill="background1" w:themeFillShade="BF"/>
          </w:tcPr>
          <w:p w14:paraId="71B64465" w14:textId="6904C7AD"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786ABE04" w14:textId="1D5567A0" w:rsidR="00D96BE4" w:rsidRPr="002A3CDD" w:rsidRDefault="00D96BE4" w:rsidP="00D96BE4">
            <w:pPr>
              <w:keepNext/>
              <w:keepLines/>
              <w:jc w:val="center"/>
              <w:rPr>
                <w:rFonts w:ascii="Arial Narrow" w:hAnsi="Arial Narrow"/>
                <w:sz w:val="20"/>
                <w:szCs w:val="20"/>
              </w:rPr>
            </w:pPr>
            <w:r w:rsidRPr="00AD3C0B">
              <w:rPr>
                <w:rFonts w:ascii="Arial Narrow" w:hAnsi="Arial Narrow"/>
                <w:sz w:val="20"/>
                <w:szCs w:val="20"/>
              </w:rPr>
              <w:t>NA</w:t>
            </w:r>
          </w:p>
        </w:tc>
        <w:tc>
          <w:tcPr>
            <w:tcW w:w="1418" w:type="dxa"/>
            <w:shd w:val="clear" w:color="auto" w:fill="BFBFBF" w:themeFill="background1" w:themeFillShade="BF"/>
          </w:tcPr>
          <w:p w14:paraId="32088BE0" w14:textId="70593067"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0CEAE3EC" w14:textId="2D89E017"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2A369C84" w14:textId="3288F678"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r w:rsidR="00D96BE4" w14:paraId="69B7A3A6" w14:textId="77777777" w:rsidTr="00D96BE4">
        <w:tc>
          <w:tcPr>
            <w:tcW w:w="1843" w:type="dxa"/>
          </w:tcPr>
          <w:p w14:paraId="0DF2FB9C" w14:textId="217DC477"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Valsartan</w:t>
            </w:r>
            <w:r w:rsidRPr="009B5B35">
              <w:rPr>
                <w:rFonts w:ascii="Arial Narrow" w:hAnsi="Arial Narrow"/>
                <w:b/>
                <w:bCs/>
                <w:sz w:val="20"/>
                <w:szCs w:val="20"/>
                <w:vertAlign w:val="superscript"/>
              </w:rPr>
              <w:t>1</w:t>
            </w:r>
            <w:r>
              <w:rPr>
                <w:rFonts w:ascii="Arial Narrow" w:hAnsi="Arial Narrow"/>
                <w:b/>
                <w:bCs/>
                <w:sz w:val="20"/>
                <w:szCs w:val="20"/>
                <w:vertAlign w:val="superscript"/>
              </w:rPr>
              <w:t xml:space="preserve"> </w:t>
            </w:r>
            <w:r>
              <w:rPr>
                <w:rFonts w:ascii="Arial Narrow" w:hAnsi="Arial Narrow"/>
                <w:b/>
                <w:bCs/>
                <w:sz w:val="20"/>
                <w:szCs w:val="20"/>
              </w:rPr>
              <w:t>(ATRA)</w:t>
            </w:r>
          </w:p>
        </w:tc>
        <w:tc>
          <w:tcPr>
            <w:tcW w:w="1418" w:type="dxa"/>
          </w:tcPr>
          <w:p w14:paraId="3DAB39C8" w14:textId="0B1F3529"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5</w:t>
            </w:r>
          </w:p>
        </w:tc>
        <w:tc>
          <w:tcPr>
            <w:tcW w:w="1275" w:type="dxa"/>
            <w:shd w:val="clear" w:color="auto" w:fill="BFBFBF" w:themeFill="background1" w:themeFillShade="BF"/>
          </w:tcPr>
          <w:p w14:paraId="6CD48AA4" w14:textId="776D277D"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tcPr>
          <w:p w14:paraId="30D79F61" w14:textId="3A3AD175"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5</w:t>
            </w:r>
          </w:p>
        </w:tc>
        <w:tc>
          <w:tcPr>
            <w:tcW w:w="1418" w:type="dxa"/>
            <w:shd w:val="clear" w:color="auto" w:fill="BFBFBF" w:themeFill="background1" w:themeFillShade="BF"/>
          </w:tcPr>
          <w:p w14:paraId="5B0A11FF" w14:textId="28A2C83F"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2C614199" w14:textId="1D669B1D"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2A1E5BE2" w14:textId="4B641802"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r w:rsidR="00D96BE4" w14:paraId="5BAF5C6F" w14:textId="77777777" w:rsidTr="00D96BE4">
        <w:tc>
          <w:tcPr>
            <w:tcW w:w="1843" w:type="dxa"/>
          </w:tcPr>
          <w:p w14:paraId="4441DA98" w14:textId="5F103B5B"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Irbesartan</w:t>
            </w:r>
            <w:r>
              <w:rPr>
                <w:rFonts w:ascii="Arial Narrow" w:hAnsi="Arial Narrow"/>
                <w:b/>
                <w:bCs/>
                <w:sz w:val="20"/>
                <w:szCs w:val="20"/>
              </w:rPr>
              <w:t xml:space="preserve"> (ATRA)</w:t>
            </w:r>
          </w:p>
        </w:tc>
        <w:tc>
          <w:tcPr>
            <w:tcW w:w="1418" w:type="dxa"/>
          </w:tcPr>
          <w:p w14:paraId="2D6BD6CE" w14:textId="0A04790A"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275" w:type="dxa"/>
            <w:shd w:val="clear" w:color="auto" w:fill="BFBFBF" w:themeFill="background1" w:themeFillShade="BF"/>
          </w:tcPr>
          <w:p w14:paraId="1D1C71A8" w14:textId="3190EFFB"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6741052F" w14:textId="148C1B83" w:rsidR="00D96BE4" w:rsidRPr="002A3CDD" w:rsidRDefault="00D96BE4" w:rsidP="00D96BE4">
            <w:pPr>
              <w:keepNext/>
              <w:keepLines/>
              <w:jc w:val="center"/>
              <w:rPr>
                <w:rFonts w:ascii="Arial Narrow" w:hAnsi="Arial Narrow"/>
                <w:sz w:val="20"/>
                <w:szCs w:val="20"/>
              </w:rPr>
            </w:pPr>
            <w:r w:rsidRPr="00DB3501">
              <w:rPr>
                <w:rFonts w:ascii="Arial Narrow" w:hAnsi="Arial Narrow"/>
                <w:sz w:val="20"/>
                <w:szCs w:val="20"/>
              </w:rPr>
              <w:t>NA</w:t>
            </w:r>
          </w:p>
        </w:tc>
        <w:tc>
          <w:tcPr>
            <w:tcW w:w="1418" w:type="dxa"/>
            <w:shd w:val="clear" w:color="auto" w:fill="BFBFBF" w:themeFill="background1" w:themeFillShade="BF"/>
          </w:tcPr>
          <w:p w14:paraId="4470BD08" w14:textId="07E8D0DD"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3410B765" w14:textId="04596953"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00586F38" w14:textId="59F9EA54"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r w:rsidR="00D96BE4" w14:paraId="3B1B863C" w14:textId="77777777" w:rsidTr="00D96BE4">
        <w:tc>
          <w:tcPr>
            <w:tcW w:w="1843" w:type="dxa"/>
          </w:tcPr>
          <w:p w14:paraId="6C4B1922" w14:textId="08161620"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Candesartan</w:t>
            </w:r>
            <w:r>
              <w:rPr>
                <w:rFonts w:ascii="Arial Narrow" w:hAnsi="Arial Narrow"/>
                <w:b/>
                <w:bCs/>
                <w:sz w:val="20"/>
                <w:szCs w:val="20"/>
              </w:rPr>
              <w:t xml:space="preserve"> (ATRA)</w:t>
            </w:r>
          </w:p>
        </w:tc>
        <w:tc>
          <w:tcPr>
            <w:tcW w:w="1418" w:type="dxa"/>
          </w:tcPr>
          <w:p w14:paraId="18102205" w14:textId="7B8CB863"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275" w:type="dxa"/>
            <w:shd w:val="clear" w:color="auto" w:fill="BFBFBF" w:themeFill="background1" w:themeFillShade="BF"/>
          </w:tcPr>
          <w:p w14:paraId="3DF5C640" w14:textId="2053368B"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shd w:val="clear" w:color="auto" w:fill="BFBFBF" w:themeFill="background1" w:themeFillShade="BF"/>
          </w:tcPr>
          <w:p w14:paraId="18C35414" w14:textId="5E08281C" w:rsidR="00D96BE4" w:rsidRPr="002A3CDD" w:rsidRDefault="00D96BE4" w:rsidP="00D96BE4">
            <w:pPr>
              <w:keepNext/>
              <w:keepLines/>
              <w:jc w:val="center"/>
              <w:rPr>
                <w:rFonts w:ascii="Arial Narrow" w:hAnsi="Arial Narrow"/>
                <w:sz w:val="20"/>
                <w:szCs w:val="20"/>
              </w:rPr>
            </w:pPr>
            <w:r w:rsidRPr="00DB3501">
              <w:rPr>
                <w:rFonts w:ascii="Arial Narrow" w:hAnsi="Arial Narrow"/>
                <w:sz w:val="20"/>
                <w:szCs w:val="20"/>
              </w:rPr>
              <w:t>NA</w:t>
            </w:r>
          </w:p>
        </w:tc>
        <w:tc>
          <w:tcPr>
            <w:tcW w:w="1418" w:type="dxa"/>
            <w:shd w:val="clear" w:color="auto" w:fill="BFBFBF" w:themeFill="background1" w:themeFillShade="BF"/>
          </w:tcPr>
          <w:p w14:paraId="187D3A0A" w14:textId="09A155B3"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17286302" w14:textId="752A5B0F"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036B013F" w14:textId="639F7E0B"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r w:rsidR="00D96BE4" w14:paraId="43E9A1FD" w14:textId="77777777" w:rsidTr="00D96BE4">
        <w:tc>
          <w:tcPr>
            <w:tcW w:w="1843" w:type="dxa"/>
          </w:tcPr>
          <w:p w14:paraId="6232AAC9" w14:textId="1A90637B"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Telmisartan</w:t>
            </w:r>
            <w:r>
              <w:rPr>
                <w:rFonts w:ascii="Arial Narrow" w:hAnsi="Arial Narrow"/>
                <w:b/>
                <w:bCs/>
                <w:sz w:val="20"/>
                <w:szCs w:val="20"/>
              </w:rPr>
              <w:t xml:space="preserve"> (ATRA)</w:t>
            </w:r>
          </w:p>
        </w:tc>
        <w:tc>
          <w:tcPr>
            <w:tcW w:w="1418" w:type="dxa"/>
          </w:tcPr>
          <w:p w14:paraId="4CCEC799" w14:textId="3B124D01"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275" w:type="dxa"/>
            <w:shd w:val="clear" w:color="auto" w:fill="BFBFBF" w:themeFill="background1" w:themeFillShade="BF"/>
          </w:tcPr>
          <w:p w14:paraId="33CC059C" w14:textId="33603B7A"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tcPr>
          <w:p w14:paraId="35000106" w14:textId="3FE1807B"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4</w:t>
            </w:r>
          </w:p>
        </w:tc>
        <w:tc>
          <w:tcPr>
            <w:tcW w:w="1418" w:type="dxa"/>
            <w:shd w:val="clear" w:color="auto" w:fill="BFBFBF" w:themeFill="background1" w:themeFillShade="BF"/>
          </w:tcPr>
          <w:p w14:paraId="5C34045E" w14:textId="0D617C56"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52986509" w14:textId="74F43A58"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3B68F0C6" w14:textId="78B34A8D"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r w:rsidR="00D96BE4" w14:paraId="6430336B" w14:textId="77777777" w:rsidTr="00D96BE4">
        <w:tc>
          <w:tcPr>
            <w:tcW w:w="1843" w:type="dxa"/>
          </w:tcPr>
          <w:p w14:paraId="71E48269" w14:textId="6A60D7D5" w:rsidR="00D96BE4" w:rsidRPr="00DB28ED" w:rsidRDefault="00D96BE4" w:rsidP="00D96BE4">
            <w:pPr>
              <w:keepNext/>
              <w:keepLines/>
              <w:rPr>
                <w:rFonts w:ascii="Arial Narrow" w:hAnsi="Arial Narrow"/>
                <w:b/>
                <w:bCs/>
                <w:sz w:val="20"/>
                <w:szCs w:val="20"/>
              </w:rPr>
            </w:pPr>
            <w:r w:rsidRPr="00DB28ED">
              <w:rPr>
                <w:rFonts w:ascii="Arial Narrow" w:hAnsi="Arial Narrow"/>
                <w:b/>
                <w:bCs/>
                <w:sz w:val="20"/>
                <w:szCs w:val="20"/>
              </w:rPr>
              <w:t>Olmesartan</w:t>
            </w:r>
            <w:r w:rsidRPr="009B5B35">
              <w:rPr>
                <w:rFonts w:ascii="Arial Narrow" w:hAnsi="Arial Narrow"/>
                <w:b/>
                <w:bCs/>
                <w:sz w:val="20"/>
                <w:szCs w:val="20"/>
                <w:vertAlign w:val="superscript"/>
              </w:rPr>
              <w:t>1</w:t>
            </w:r>
            <w:r>
              <w:rPr>
                <w:rFonts w:ascii="Arial Narrow" w:hAnsi="Arial Narrow"/>
                <w:b/>
                <w:bCs/>
                <w:sz w:val="20"/>
                <w:szCs w:val="20"/>
                <w:vertAlign w:val="superscript"/>
              </w:rPr>
              <w:t xml:space="preserve"> </w:t>
            </w:r>
            <w:r>
              <w:rPr>
                <w:rFonts w:ascii="Arial Narrow" w:hAnsi="Arial Narrow"/>
                <w:b/>
                <w:bCs/>
                <w:sz w:val="20"/>
                <w:szCs w:val="20"/>
              </w:rPr>
              <w:t>(ATRA)</w:t>
            </w:r>
          </w:p>
        </w:tc>
        <w:tc>
          <w:tcPr>
            <w:tcW w:w="1418" w:type="dxa"/>
          </w:tcPr>
          <w:p w14:paraId="666BFAFE" w14:textId="3202103C"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275" w:type="dxa"/>
            <w:shd w:val="clear" w:color="auto" w:fill="BFBFBF" w:themeFill="background1" w:themeFillShade="BF"/>
          </w:tcPr>
          <w:p w14:paraId="5788BE0F" w14:textId="0DD68E04" w:rsidR="00D96BE4" w:rsidRPr="002A3CDD" w:rsidRDefault="00D96BE4" w:rsidP="00D96BE4">
            <w:pPr>
              <w:keepNext/>
              <w:keepLines/>
              <w:jc w:val="center"/>
              <w:rPr>
                <w:rFonts w:ascii="Arial Narrow" w:hAnsi="Arial Narrow"/>
                <w:sz w:val="20"/>
                <w:szCs w:val="20"/>
              </w:rPr>
            </w:pPr>
            <w:r w:rsidRPr="00062839">
              <w:rPr>
                <w:rFonts w:ascii="Arial Narrow" w:hAnsi="Arial Narrow"/>
                <w:sz w:val="20"/>
                <w:szCs w:val="20"/>
              </w:rPr>
              <w:t>NA</w:t>
            </w:r>
          </w:p>
        </w:tc>
        <w:tc>
          <w:tcPr>
            <w:tcW w:w="1134" w:type="dxa"/>
          </w:tcPr>
          <w:p w14:paraId="33F032D8" w14:textId="30D7962A" w:rsidR="00D96BE4" w:rsidRPr="002A3CDD" w:rsidRDefault="00D96BE4" w:rsidP="00D96BE4">
            <w:pPr>
              <w:keepNext/>
              <w:keepLines/>
              <w:jc w:val="center"/>
              <w:rPr>
                <w:rFonts w:ascii="Arial Narrow" w:hAnsi="Arial Narrow"/>
                <w:sz w:val="20"/>
                <w:szCs w:val="20"/>
              </w:rPr>
            </w:pPr>
            <w:r>
              <w:rPr>
                <w:rFonts w:ascii="Arial Narrow" w:hAnsi="Arial Narrow"/>
                <w:sz w:val="20"/>
                <w:szCs w:val="20"/>
              </w:rPr>
              <w:t>3</w:t>
            </w:r>
          </w:p>
        </w:tc>
        <w:tc>
          <w:tcPr>
            <w:tcW w:w="1418" w:type="dxa"/>
            <w:shd w:val="clear" w:color="auto" w:fill="BFBFBF" w:themeFill="background1" w:themeFillShade="BF"/>
          </w:tcPr>
          <w:p w14:paraId="20DB69CE" w14:textId="6FEBAD94" w:rsidR="00D96BE4" w:rsidRPr="002A3CDD" w:rsidRDefault="00D96BE4" w:rsidP="00D96BE4">
            <w:pPr>
              <w:keepNext/>
              <w:keepLines/>
              <w:jc w:val="center"/>
              <w:rPr>
                <w:rFonts w:ascii="Arial Narrow" w:hAnsi="Arial Narrow"/>
                <w:sz w:val="20"/>
                <w:szCs w:val="20"/>
              </w:rPr>
            </w:pPr>
            <w:r w:rsidRPr="002B747E">
              <w:rPr>
                <w:rFonts w:ascii="Arial Narrow" w:hAnsi="Arial Narrow"/>
                <w:sz w:val="20"/>
                <w:szCs w:val="20"/>
              </w:rPr>
              <w:t>NA</w:t>
            </w:r>
          </w:p>
        </w:tc>
        <w:tc>
          <w:tcPr>
            <w:tcW w:w="1134" w:type="dxa"/>
            <w:shd w:val="clear" w:color="auto" w:fill="BFBFBF" w:themeFill="background1" w:themeFillShade="BF"/>
          </w:tcPr>
          <w:p w14:paraId="1C76B571" w14:textId="586F3163" w:rsidR="00D96BE4" w:rsidRPr="002A3CDD" w:rsidRDefault="00D96BE4" w:rsidP="00D96BE4">
            <w:pPr>
              <w:keepNext/>
              <w:keepLines/>
              <w:jc w:val="center"/>
              <w:rPr>
                <w:rFonts w:ascii="Arial Narrow" w:hAnsi="Arial Narrow"/>
                <w:sz w:val="20"/>
                <w:szCs w:val="20"/>
              </w:rPr>
            </w:pPr>
            <w:r w:rsidRPr="00B55ED5">
              <w:rPr>
                <w:rFonts w:ascii="Arial Narrow" w:hAnsi="Arial Narrow"/>
                <w:sz w:val="20"/>
                <w:szCs w:val="20"/>
              </w:rPr>
              <w:t>NA</w:t>
            </w:r>
          </w:p>
        </w:tc>
        <w:tc>
          <w:tcPr>
            <w:tcW w:w="1134" w:type="dxa"/>
            <w:shd w:val="clear" w:color="auto" w:fill="BFBFBF" w:themeFill="background1" w:themeFillShade="BF"/>
          </w:tcPr>
          <w:p w14:paraId="111B6CF8" w14:textId="11400C45" w:rsidR="00D96BE4" w:rsidRPr="002A3CDD" w:rsidRDefault="00D96BE4" w:rsidP="00D96BE4">
            <w:pPr>
              <w:keepNext/>
              <w:keepLines/>
              <w:jc w:val="center"/>
              <w:rPr>
                <w:rFonts w:ascii="Arial Narrow" w:hAnsi="Arial Narrow"/>
                <w:sz w:val="20"/>
                <w:szCs w:val="20"/>
              </w:rPr>
            </w:pPr>
            <w:r w:rsidRPr="00D83AEA">
              <w:rPr>
                <w:rFonts w:ascii="Arial Narrow" w:hAnsi="Arial Narrow"/>
                <w:sz w:val="20"/>
                <w:szCs w:val="20"/>
              </w:rPr>
              <w:t>NA</w:t>
            </w:r>
          </w:p>
        </w:tc>
      </w:tr>
    </w:tbl>
    <w:p w14:paraId="7FBF50AA" w14:textId="2AAD78CD" w:rsidR="00AA2156" w:rsidRDefault="009B5B35" w:rsidP="00502BA3">
      <w:pPr>
        <w:pStyle w:val="3Bodytext"/>
        <w:keepNext/>
        <w:keepLines/>
        <w:tabs>
          <w:tab w:val="clear" w:pos="360"/>
        </w:tabs>
        <w:spacing w:before="40" w:after="40"/>
        <w:ind w:left="0"/>
        <w:rPr>
          <w:rFonts w:ascii="Arial Narrow" w:hAnsi="Arial Narrow"/>
          <w:sz w:val="20"/>
          <w:szCs w:val="20"/>
        </w:rPr>
      </w:pPr>
      <w:r w:rsidRPr="00AC28F4">
        <w:rPr>
          <w:rFonts w:ascii="Arial Narrow" w:hAnsi="Arial Narrow"/>
          <w:sz w:val="20"/>
          <w:szCs w:val="20"/>
        </w:rPr>
        <w:t>Abbreviations:</w:t>
      </w:r>
      <w:r>
        <w:rPr>
          <w:rFonts w:ascii="Arial Narrow" w:hAnsi="Arial Narrow"/>
          <w:sz w:val="20"/>
          <w:szCs w:val="20"/>
        </w:rPr>
        <w:t xml:space="preserve"> </w:t>
      </w:r>
      <w:r w:rsidRPr="00AC28F4">
        <w:rPr>
          <w:rFonts w:ascii="Arial Narrow" w:hAnsi="Arial Narrow"/>
          <w:sz w:val="20"/>
          <w:szCs w:val="20"/>
        </w:rPr>
        <w:t>ACE - Angiotensin converting enzyme</w:t>
      </w:r>
      <w:r>
        <w:rPr>
          <w:rFonts w:ascii="Arial Narrow" w:hAnsi="Arial Narrow"/>
          <w:sz w:val="20"/>
          <w:szCs w:val="20"/>
        </w:rPr>
        <w:t xml:space="preserve"> inhibitor; </w:t>
      </w:r>
      <w:r w:rsidRPr="00AC28F4">
        <w:rPr>
          <w:rFonts w:ascii="Arial Narrow" w:hAnsi="Arial Narrow"/>
          <w:sz w:val="20"/>
          <w:szCs w:val="20"/>
        </w:rPr>
        <w:t>ATRA</w:t>
      </w:r>
      <w:r>
        <w:rPr>
          <w:rFonts w:ascii="Arial Narrow" w:hAnsi="Arial Narrow"/>
          <w:sz w:val="20"/>
          <w:szCs w:val="20"/>
        </w:rPr>
        <w:t xml:space="preserve"> - </w:t>
      </w:r>
      <w:r w:rsidRPr="00AC28F4">
        <w:rPr>
          <w:rFonts w:ascii="Arial Narrow" w:hAnsi="Arial Narrow"/>
          <w:sz w:val="20"/>
          <w:szCs w:val="20"/>
        </w:rPr>
        <w:t>Angiotensin II receptor antagonist</w:t>
      </w:r>
      <w:r>
        <w:rPr>
          <w:rFonts w:ascii="Arial Narrow" w:hAnsi="Arial Narrow"/>
          <w:sz w:val="20"/>
          <w:szCs w:val="20"/>
        </w:rPr>
        <w:t>;</w:t>
      </w:r>
      <w:r w:rsidRPr="00AC28F4">
        <w:rPr>
          <w:rFonts w:ascii="Arial Narrow" w:hAnsi="Arial Narrow"/>
          <w:sz w:val="20"/>
          <w:szCs w:val="20"/>
        </w:rPr>
        <w:t xml:space="preserve"> </w:t>
      </w:r>
      <w:r>
        <w:rPr>
          <w:rFonts w:ascii="Arial Narrow" w:hAnsi="Arial Narrow"/>
          <w:sz w:val="20"/>
          <w:szCs w:val="20"/>
        </w:rPr>
        <w:t>CCB – calcium-channel blocker;</w:t>
      </w:r>
      <w:r w:rsidRPr="00AC28F4">
        <w:rPr>
          <w:rFonts w:ascii="Arial Narrow" w:hAnsi="Arial Narrow"/>
          <w:sz w:val="20"/>
          <w:szCs w:val="20"/>
        </w:rPr>
        <w:t xml:space="preserve"> HCTZ </w:t>
      </w:r>
      <w:r>
        <w:rPr>
          <w:rFonts w:ascii="Arial Narrow" w:hAnsi="Arial Narrow"/>
          <w:sz w:val="20"/>
          <w:szCs w:val="20"/>
        </w:rPr>
        <w:t>–</w:t>
      </w:r>
      <w:r w:rsidRPr="00AC28F4">
        <w:rPr>
          <w:rFonts w:ascii="Arial Narrow" w:hAnsi="Arial Narrow"/>
          <w:sz w:val="20"/>
          <w:szCs w:val="20"/>
        </w:rPr>
        <w:t>Hydrochlorothiazide</w:t>
      </w:r>
      <w:r w:rsidR="00D96BE4">
        <w:rPr>
          <w:rFonts w:ascii="Arial Narrow" w:hAnsi="Arial Narrow"/>
          <w:sz w:val="20"/>
          <w:szCs w:val="20"/>
        </w:rPr>
        <w:t>; NA – Not available</w:t>
      </w:r>
      <w:r>
        <w:rPr>
          <w:rFonts w:ascii="Arial Narrow" w:hAnsi="Arial Narrow"/>
          <w:sz w:val="20"/>
          <w:szCs w:val="20"/>
        </w:rPr>
        <w:t>.</w:t>
      </w:r>
    </w:p>
    <w:p w14:paraId="343C50EC" w14:textId="5FC92F11" w:rsidR="00642402" w:rsidRDefault="00642402" w:rsidP="00502BA3">
      <w:pPr>
        <w:pStyle w:val="3Bodytext"/>
        <w:keepNext/>
        <w:keepLines/>
        <w:tabs>
          <w:tab w:val="clear" w:pos="360"/>
        </w:tabs>
        <w:spacing w:before="40" w:after="40"/>
        <w:ind w:left="0"/>
        <w:rPr>
          <w:rFonts w:ascii="Arial Narrow" w:hAnsi="Arial Narrow"/>
          <w:sz w:val="20"/>
          <w:szCs w:val="20"/>
        </w:rPr>
      </w:pPr>
      <w:r>
        <w:rPr>
          <w:rFonts w:ascii="Arial Narrow" w:hAnsi="Arial Narrow"/>
          <w:sz w:val="20"/>
          <w:szCs w:val="20"/>
        </w:rPr>
        <w:t>Key: Shaded cells - No FDC available through the PBS; Numbered cells –</w:t>
      </w:r>
      <w:r w:rsidR="00D96BE4">
        <w:rPr>
          <w:rFonts w:ascii="Arial Narrow" w:hAnsi="Arial Narrow"/>
          <w:sz w:val="20"/>
          <w:szCs w:val="20"/>
        </w:rPr>
        <w:t xml:space="preserve"> </w:t>
      </w:r>
      <w:r w:rsidR="00FC6C30">
        <w:rPr>
          <w:rFonts w:ascii="Arial Narrow" w:hAnsi="Arial Narrow"/>
          <w:sz w:val="20"/>
          <w:szCs w:val="20"/>
        </w:rPr>
        <w:t>N</w:t>
      </w:r>
      <w:r>
        <w:rPr>
          <w:rFonts w:ascii="Arial Narrow" w:hAnsi="Arial Narrow"/>
          <w:sz w:val="20"/>
          <w:szCs w:val="20"/>
        </w:rPr>
        <w:t xml:space="preserve">umber of strengths available </w:t>
      </w:r>
      <w:r w:rsidR="00FC6C30">
        <w:rPr>
          <w:rFonts w:ascii="Arial Narrow" w:hAnsi="Arial Narrow"/>
          <w:sz w:val="20"/>
          <w:szCs w:val="20"/>
        </w:rPr>
        <w:t>in</w:t>
      </w:r>
      <w:r>
        <w:rPr>
          <w:rFonts w:ascii="Arial Narrow" w:hAnsi="Arial Narrow"/>
          <w:sz w:val="20"/>
          <w:szCs w:val="20"/>
        </w:rPr>
        <w:t xml:space="preserve"> FDC.</w:t>
      </w:r>
    </w:p>
    <w:p w14:paraId="13371283" w14:textId="77777777" w:rsidR="00D96BE4" w:rsidRDefault="009B5B35" w:rsidP="00BB461D">
      <w:pPr>
        <w:pStyle w:val="3Bodytext"/>
        <w:keepNext/>
        <w:keepLines/>
        <w:tabs>
          <w:tab w:val="clear" w:pos="360"/>
        </w:tabs>
        <w:spacing w:before="40" w:after="40"/>
        <w:ind w:left="0"/>
        <w:rPr>
          <w:rFonts w:ascii="Arial Narrow" w:eastAsia="Arial Narrow" w:hAnsi="Arial Narrow" w:cs="Arial Narrow"/>
          <w:sz w:val="20"/>
          <w:szCs w:val="20"/>
        </w:rPr>
      </w:pPr>
      <w:r w:rsidRPr="2ECBDAFF">
        <w:rPr>
          <w:rFonts w:ascii="Arial Narrow" w:eastAsia="Arial Narrow" w:hAnsi="Arial Narrow" w:cs="Arial Narrow"/>
          <w:sz w:val="20"/>
          <w:szCs w:val="20"/>
        </w:rPr>
        <w:t>Notes:</w:t>
      </w:r>
      <w:r w:rsidR="00BB461D">
        <w:rPr>
          <w:rFonts w:ascii="Arial Narrow" w:eastAsia="Arial Narrow" w:hAnsi="Arial Narrow" w:cs="Arial Narrow"/>
          <w:sz w:val="20"/>
          <w:szCs w:val="20"/>
        </w:rPr>
        <w:t xml:space="preserve"> </w:t>
      </w:r>
    </w:p>
    <w:p w14:paraId="10120741" w14:textId="105D1617" w:rsidR="009B5B35" w:rsidRPr="00BD0B9B" w:rsidRDefault="009B5B35" w:rsidP="00D96BE4">
      <w:pPr>
        <w:pStyle w:val="3Bodytext"/>
        <w:keepNext/>
        <w:keepLines/>
        <w:numPr>
          <w:ilvl w:val="0"/>
          <w:numId w:val="11"/>
        </w:numPr>
        <w:spacing w:before="40" w:after="40"/>
        <w:rPr>
          <w:rFonts w:ascii="Arial Narrow" w:eastAsia="Arial Narrow" w:hAnsi="Arial Narrow" w:cs="Arial Narrow"/>
          <w:sz w:val="20"/>
          <w:szCs w:val="20"/>
        </w:rPr>
      </w:pPr>
      <w:r w:rsidRPr="2ECBDAFF">
        <w:rPr>
          <w:rFonts w:ascii="Arial Narrow" w:eastAsia="Arial Narrow" w:hAnsi="Arial Narrow" w:cs="Arial Narrow"/>
          <w:sz w:val="20"/>
          <w:szCs w:val="20"/>
        </w:rPr>
        <w:t>Triple t</w:t>
      </w:r>
      <w:r w:rsidRPr="2ECBDAFF">
        <w:rPr>
          <w:rFonts w:ascii="Arial Narrow" w:hAnsi="Arial Narrow"/>
          <w:sz w:val="20"/>
          <w:szCs w:val="20"/>
        </w:rPr>
        <w:t>herapy FDCs available on the PBS: Amlodipine + valsartan + HCTZ (5 strengths) and</w:t>
      </w:r>
      <w:r w:rsidR="00642402" w:rsidRPr="2ECBDAFF">
        <w:rPr>
          <w:rFonts w:ascii="Arial Narrow" w:hAnsi="Arial Narrow"/>
          <w:sz w:val="20"/>
          <w:szCs w:val="20"/>
        </w:rPr>
        <w:t xml:space="preserve"> Olmesartan + amlodipine + HCTZ (5 strengths)</w:t>
      </w:r>
    </w:p>
    <w:p w14:paraId="223A366D" w14:textId="47D0ECB0" w:rsidR="00CE549E" w:rsidRPr="00CE549E" w:rsidRDefault="00CE549E" w:rsidP="00CE549E">
      <w:pPr>
        <w:pStyle w:val="3Bodytext"/>
        <w:tabs>
          <w:tab w:val="clear" w:pos="360"/>
        </w:tabs>
        <w:ind w:hanging="720"/>
        <w:rPr>
          <w:b/>
          <w:bCs w:val="0"/>
        </w:rPr>
      </w:pPr>
      <w:r w:rsidRPr="00CE549E">
        <w:rPr>
          <w:b/>
          <w:bCs w:val="0"/>
        </w:rPr>
        <w:t>Cost comparison</w:t>
      </w:r>
      <w:r>
        <w:rPr>
          <w:b/>
          <w:bCs w:val="0"/>
        </w:rPr>
        <w:t xml:space="preserve"> between FDCs and component medicines</w:t>
      </w:r>
    </w:p>
    <w:p w14:paraId="24E13D5C" w14:textId="6B4EBD9B" w:rsidR="008E4A4D" w:rsidRPr="003F05B5" w:rsidRDefault="00BD0B9B" w:rsidP="008078CF">
      <w:pPr>
        <w:pStyle w:val="3-BodyText"/>
      </w:pPr>
      <w:r>
        <w:t xml:space="preserve">Antihypertensive FDCs are lower in cost than the </w:t>
      </w:r>
      <w:r w:rsidR="008E4A4D">
        <w:t xml:space="preserve">combined cost of the </w:t>
      </w:r>
      <w:r>
        <w:t xml:space="preserve">component medicines at the same strength. </w:t>
      </w:r>
      <w:r w:rsidR="00D95D49">
        <w:t>For combinations of CCBs with ACE or ATRA, savings are usually around $12-$16 for 30</w:t>
      </w:r>
      <w:r w:rsidR="00856B50">
        <w:noBreakHyphen/>
      </w:r>
      <w:r w:rsidR="00D95D49">
        <w:t>day prescription items.</w:t>
      </w:r>
      <w:r w:rsidR="003F05B5">
        <w:t xml:space="preserve"> </w:t>
      </w:r>
      <w:r w:rsidR="00D95D49">
        <w:t>S</w:t>
      </w:r>
      <w:r>
        <w:t xml:space="preserve">avings are lowest for </w:t>
      </w:r>
      <w:r w:rsidR="00D95D49">
        <w:t>FDCs containing</w:t>
      </w:r>
      <w:r>
        <w:t xml:space="preserve"> </w:t>
      </w:r>
      <w:r w:rsidR="00D95D49">
        <w:t xml:space="preserve">diuretics at </w:t>
      </w:r>
      <w:r>
        <w:t>around $2</w:t>
      </w:r>
      <w:r w:rsidR="00FC6C30">
        <w:noBreakHyphen/>
      </w:r>
      <w:r w:rsidR="005F1895">
        <w:t>$</w:t>
      </w:r>
      <w:r>
        <w:t xml:space="preserve">5 per month, as the PBS listings provide </w:t>
      </w:r>
      <w:r w:rsidR="00380EE8">
        <w:t>90-</w:t>
      </w:r>
      <w:r>
        <w:t xml:space="preserve">100 tablets (around 3 months therapy). </w:t>
      </w:r>
    </w:p>
    <w:p w14:paraId="12D16E38" w14:textId="6A3F9919" w:rsidR="003B630E" w:rsidRPr="009E753B" w:rsidRDefault="003B630E" w:rsidP="09E07EA4">
      <w:pPr>
        <w:pStyle w:val="Heading3"/>
        <w:keepNext/>
        <w:keepLines/>
      </w:pPr>
      <w:r w:rsidRPr="009E753B">
        <w:t xml:space="preserve">Therapeutic Goods Administration (TGA) indication </w:t>
      </w:r>
    </w:p>
    <w:p w14:paraId="077E1AC9" w14:textId="4C898A0C" w:rsidR="003B630E" w:rsidRDefault="003B630E" w:rsidP="09E07EA4">
      <w:pPr>
        <w:pStyle w:val="3-BodyText"/>
        <w:keepNext/>
        <w:keepLines/>
      </w:pPr>
      <w:r w:rsidRPr="00A06E2D">
        <w:t>The TGA indication</w:t>
      </w:r>
      <w:r w:rsidR="005F1895">
        <w:t>s</w:t>
      </w:r>
      <w:r w:rsidRPr="00A06E2D">
        <w:t xml:space="preserve"> </w:t>
      </w:r>
      <w:r w:rsidR="00524932">
        <w:t xml:space="preserve">for antihypertensive FDCs </w:t>
      </w:r>
      <w:r w:rsidR="00FD7B72">
        <w:t xml:space="preserve">generally </w:t>
      </w:r>
      <w:r w:rsidR="00524932">
        <w:t>align with the PBS restrictions</w:t>
      </w:r>
      <w:r w:rsidR="00FD7B72">
        <w:t xml:space="preserve">, with most </w:t>
      </w:r>
      <w:r w:rsidR="00524932">
        <w:t>specify</w:t>
      </w:r>
      <w:r w:rsidR="00FD7B72">
        <w:t>ing</w:t>
      </w:r>
      <w:r w:rsidR="00524932">
        <w:t xml:space="preserve"> that the</w:t>
      </w:r>
      <w:r w:rsidR="00FD7B72">
        <w:t xml:space="preserve">y are </w:t>
      </w:r>
      <w:r w:rsidR="00524932">
        <w:t>not to be used for therapy initiation</w:t>
      </w:r>
      <w:r w:rsidR="00FD7B72">
        <w:t xml:space="preserve">, except for perindopril 2.5 mg + indapamide 625 </w:t>
      </w:r>
      <w:r w:rsidR="00FD7B72" w:rsidRPr="09E07EA4">
        <w:t>µ</w:t>
      </w:r>
      <w:r w:rsidR="00FD7B72">
        <w:t>g which is PBS listed and TGA indicated for hypertension with no additional requirements</w:t>
      </w:r>
      <w:r w:rsidR="007A559F">
        <w:t xml:space="preserve"> (refer to </w:t>
      </w:r>
      <w:r w:rsidR="009151E7">
        <w:t>Appendix 1</w:t>
      </w:r>
      <w:r w:rsidR="007A559F">
        <w:t xml:space="preserve">, Table </w:t>
      </w:r>
      <w:r w:rsidR="009151E7">
        <w:t>1A</w:t>
      </w:r>
      <w:r w:rsidR="007A559F">
        <w:t>)</w:t>
      </w:r>
      <w:r w:rsidR="00FD7B72">
        <w:t>.</w:t>
      </w:r>
    </w:p>
    <w:p w14:paraId="5EFC6F19" w14:textId="4F45033C" w:rsidR="00FD7B72" w:rsidRPr="00A06E2D" w:rsidRDefault="00FD7B72" w:rsidP="008078CF">
      <w:pPr>
        <w:pStyle w:val="3-BodyText"/>
      </w:pPr>
      <w:r>
        <w:t>The TGA indications for two FDCs further specify that they are to be used in s</w:t>
      </w:r>
      <w:r w:rsidRPr="00FD7B72">
        <w:t xml:space="preserve">ubstitution therapy in patients adequately controlled with separate doses of </w:t>
      </w:r>
      <w:r>
        <w:t xml:space="preserve">the component </w:t>
      </w:r>
      <w:r w:rsidRPr="00FD7B72">
        <w:t>drugs at the same dose</w:t>
      </w:r>
      <w:r>
        <w:t xml:space="preserve"> (amlodipine + perindopril FDC; and amlodipine + valsartan + HCTZ FDC).</w:t>
      </w:r>
    </w:p>
    <w:p w14:paraId="6BA08FD2" w14:textId="0C58FC91" w:rsidR="008559A8" w:rsidRDefault="008559A8" w:rsidP="005F1895">
      <w:pPr>
        <w:pStyle w:val="Heading3"/>
        <w:keepNext/>
        <w:keepLines/>
      </w:pPr>
      <w:r>
        <w:lastRenderedPageBreak/>
        <w:t xml:space="preserve">Australian </w:t>
      </w:r>
      <w:r w:rsidR="0084794F">
        <w:t>guidelines</w:t>
      </w:r>
    </w:p>
    <w:p w14:paraId="0034845A" w14:textId="621CD485" w:rsidR="00C62CBA" w:rsidRPr="00C62CBA" w:rsidRDefault="0084794F" w:rsidP="008078CF">
      <w:pPr>
        <w:pStyle w:val="3-BodyText"/>
      </w:pPr>
      <w:r w:rsidRPr="44522BBD">
        <w:t xml:space="preserve">Australian clinical guidelines </w:t>
      </w:r>
      <w:r w:rsidR="00C6671B" w:rsidRPr="44522BBD">
        <w:t xml:space="preserve">(Heart Foundation </w:t>
      </w:r>
      <w:r w:rsidR="007A559F" w:rsidRPr="44522BBD">
        <w:t>g</w:t>
      </w:r>
      <w:r w:rsidR="00C6671B" w:rsidRPr="44522BBD">
        <w:t>uidelines,</w:t>
      </w:r>
      <w:r w:rsidR="00BF2BD6" w:rsidRPr="44522BBD">
        <w:rPr>
          <w:rStyle w:val="FootnoteReference"/>
        </w:rPr>
        <w:footnoteReference w:id="3"/>
      </w:r>
      <w:r w:rsidR="00C6671B" w:rsidRPr="44522BBD">
        <w:t xml:space="preserve"> Therapeutic Guidelines</w:t>
      </w:r>
      <w:r w:rsidR="00BF2BD6" w:rsidRPr="44522BBD">
        <w:rPr>
          <w:rStyle w:val="FootnoteReference"/>
        </w:rPr>
        <w:footnoteReference w:id="4"/>
      </w:r>
      <w:r w:rsidR="00C6671B" w:rsidRPr="44522BBD">
        <w:t xml:space="preserve">) </w:t>
      </w:r>
      <w:r w:rsidRPr="44522BBD">
        <w:t>generally recommend that patients commence antihypertensive treatment with a single drug at a low dose and then add a second drug at a low dose before titrating up the doses.</w:t>
      </w:r>
      <w:r w:rsidR="00BF2BD6" w:rsidRPr="44522BBD">
        <w:t xml:space="preserve"> </w:t>
      </w:r>
      <w:r w:rsidR="00C6671B" w:rsidRPr="44522BBD">
        <w:t>The Heart Foundation guidelines recommend, based on weak evidence, that combination therapy at commencement may be considered for patients with very high baseline blood pressure (BP) (&gt;20</w:t>
      </w:r>
      <w:r w:rsidR="007A559F" w:rsidRPr="44522BBD">
        <w:t>/10</w:t>
      </w:r>
      <w:r w:rsidR="00C6671B" w:rsidRPr="44522BBD">
        <w:t xml:space="preserve"> mmHg above target). Potential benefits of commencing therapy with two drugs are cited as more rapid reduction in BP, reduced clinical inertia, and less drug and dose changes, while limitations include difficulties in assessing efficacy of the individual drugs and attributing any adverse events.</w:t>
      </w:r>
      <w:r w:rsidR="00BF2BD6" w:rsidRPr="44522BBD">
        <w:t xml:space="preserve"> The Therapeutic Guidelines state that antihypertensive treatment can be started with two drugs at a low dose, and that this approach is reasonable in all patients, especially those at high</w:t>
      </w:r>
      <w:r w:rsidR="007A559F" w:rsidRPr="44522BBD">
        <w:t xml:space="preserve"> cardiovascular (</w:t>
      </w:r>
      <w:r w:rsidR="00BF2BD6" w:rsidRPr="44522BBD">
        <w:t>CV</w:t>
      </w:r>
      <w:r w:rsidR="007A559F" w:rsidRPr="44522BBD">
        <w:t>)</w:t>
      </w:r>
      <w:r w:rsidR="00BF2BD6" w:rsidRPr="44522BBD">
        <w:t xml:space="preserve"> risk or particularly elevated BP.</w:t>
      </w:r>
    </w:p>
    <w:p w14:paraId="15771A7E" w14:textId="77777777" w:rsidR="00C6671B" w:rsidRPr="00B35837" w:rsidRDefault="00C6671B" w:rsidP="008078CF">
      <w:pPr>
        <w:pStyle w:val="3-BodyText"/>
      </w:pPr>
      <w:r w:rsidRPr="44522BBD">
        <w:t>The Heart Foundation guidelines note that 50-70% of patients will require treatment with more than one antihypertensive. Further, cumulative data from clinical trials indicates that around 25% of patients will require triple therapy to achieve BP control.</w:t>
      </w:r>
      <w:r w:rsidRPr="44522BBD">
        <w:rPr>
          <w:rStyle w:val="FootnoteReference"/>
        </w:rPr>
        <w:footnoteReference w:id="5"/>
      </w:r>
    </w:p>
    <w:p w14:paraId="44ACC1FA" w14:textId="0AFBFD63" w:rsidR="000D2E47" w:rsidRPr="000D2E47" w:rsidRDefault="00A431FC" w:rsidP="008078CF">
      <w:pPr>
        <w:pStyle w:val="3-BodyText"/>
      </w:pPr>
      <w:r w:rsidRPr="44522BBD">
        <w:t xml:space="preserve">The Heart Foundation and Stroke Foundation </w:t>
      </w:r>
      <w:r w:rsidR="00EC3430" w:rsidRPr="44522BBD">
        <w:t xml:space="preserve">announced in August 2024 </w:t>
      </w:r>
      <w:r w:rsidR="00C12E99" w:rsidRPr="44522BBD">
        <w:t xml:space="preserve">the development of </w:t>
      </w:r>
      <w:r w:rsidR="002F3E1B" w:rsidRPr="44522BBD">
        <w:t xml:space="preserve">new guidelines for managing and treating hypertension </w:t>
      </w:r>
      <w:r w:rsidR="00BE52EB" w:rsidRPr="44522BBD">
        <w:t>that are anticipated to be released in 2025.</w:t>
      </w:r>
      <w:r w:rsidR="00C12E99" w:rsidRPr="44522BBD">
        <w:rPr>
          <w:rStyle w:val="FootnoteReference"/>
        </w:rPr>
        <w:footnoteReference w:id="6"/>
      </w:r>
    </w:p>
    <w:p w14:paraId="2055E528" w14:textId="2A96E33C" w:rsidR="00B35837" w:rsidRPr="00A4376B" w:rsidRDefault="00B35837" w:rsidP="008078CF">
      <w:pPr>
        <w:pStyle w:val="3-BodyText"/>
      </w:pPr>
      <w:r w:rsidRPr="2ECBDAFF">
        <w:t xml:space="preserve">The </w:t>
      </w:r>
      <w:r w:rsidR="00EF16CB" w:rsidRPr="2ECBDAFF">
        <w:t xml:space="preserve">National Hypertension Taskforce </w:t>
      </w:r>
      <w:r w:rsidR="00D44289" w:rsidRPr="2ECBDAFF">
        <w:t>was established in 2022</w:t>
      </w:r>
      <w:r w:rsidR="00B1449C" w:rsidRPr="2ECBDAFF">
        <w:t>, a collaboration between the Australian Cardiovascular Alliance and Hypertension Australia</w:t>
      </w:r>
      <w:r w:rsidR="00E0268F" w:rsidRPr="2ECBDAFF">
        <w:t xml:space="preserve">, with the aim of increasing </w:t>
      </w:r>
      <w:r w:rsidR="003D3E7E" w:rsidRPr="2ECBDAFF">
        <w:t xml:space="preserve">BP control </w:t>
      </w:r>
      <w:r w:rsidR="00E565D8" w:rsidRPr="2ECBDAFF">
        <w:t xml:space="preserve">(defined as &lt;140/90 mmHg) </w:t>
      </w:r>
      <w:r w:rsidR="003D3E7E" w:rsidRPr="2ECBDAFF">
        <w:t xml:space="preserve">from 32% to 80% by 2030 in Australia. </w:t>
      </w:r>
      <w:r w:rsidR="00E509F0" w:rsidRPr="2ECBDAFF">
        <w:t>The Taskforce notes that in 2022, an estimated 6.8 million Australians had hypertension</w:t>
      </w:r>
      <w:r w:rsidR="00E95933" w:rsidRPr="2ECBDAFF">
        <w:t xml:space="preserve">, with 1.2 million (18%) </w:t>
      </w:r>
      <w:r w:rsidR="00780630" w:rsidRPr="2ECBDAFF">
        <w:t xml:space="preserve">having diagnosed but uncontrolled hypertension and </w:t>
      </w:r>
      <w:r w:rsidR="002F1658" w:rsidRPr="2ECBDAFF">
        <w:t xml:space="preserve">2.2 million (32%) </w:t>
      </w:r>
      <w:r w:rsidR="00EB6A77" w:rsidRPr="2ECBDAFF">
        <w:t>having diagnosed and effectively treated hypertension.</w:t>
      </w:r>
      <w:r w:rsidR="002F3E1B" w:rsidRPr="2ECBDAFF">
        <w:rPr>
          <w:rStyle w:val="FootnoteReference"/>
        </w:rPr>
        <w:t xml:space="preserve"> </w:t>
      </w:r>
      <w:r w:rsidR="002F3E1B" w:rsidRPr="2ECBDAFF">
        <w:rPr>
          <w:rStyle w:val="FootnoteReference"/>
        </w:rPr>
        <w:footnoteReference w:id="7"/>
      </w:r>
      <w:r w:rsidR="0064273D" w:rsidRPr="2ECBDAFF">
        <w:rPr>
          <w:vertAlign w:val="superscript"/>
        </w:rPr>
        <w:t>,</w:t>
      </w:r>
      <w:r w:rsidR="0064273D" w:rsidRPr="2ECBDAFF">
        <w:rPr>
          <w:rStyle w:val="FootnoteReference"/>
        </w:rPr>
        <w:footnoteReference w:id="8"/>
      </w:r>
    </w:p>
    <w:p w14:paraId="25C13F5C" w14:textId="7E2B154C" w:rsidR="0084794F" w:rsidRDefault="0084794F" w:rsidP="09E07EA4">
      <w:pPr>
        <w:pStyle w:val="Heading3"/>
        <w:keepNext/>
        <w:keepLines/>
      </w:pPr>
      <w:r>
        <w:lastRenderedPageBreak/>
        <w:t>International guidelines</w:t>
      </w:r>
    </w:p>
    <w:p w14:paraId="600E176A" w14:textId="5CAE5ABF" w:rsidR="00C6671B" w:rsidRDefault="00A72C6C" w:rsidP="09E07EA4">
      <w:pPr>
        <w:pStyle w:val="3-BodyText"/>
        <w:keepNext/>
        <w:keepLines/>
      </w:pPr>
      <w:r>
        <w:t xml:space="preserve">International guidelines </w:t>
      </w:r>
      <w:r w:rsidR="00667FCD">
        <w:t xml:space="preserve">for the treatment of hypertension, </w:t>
      </w:r>
      <w:r>
        <w:t>such as the 2020 International Society of Hypertension (ISH) guideline</w:t>
      </w:r>
      <w:r>
        <w:rPr>
          <w:rStyle w:val="FootnoteReference"/>
        </w:rPr>
        <w:footnoteReference w:id="9"/>
      </w:r>
      <w:r>
        <w:t xml:space="preserve"> and the 202</w:t>
      </w:r>
      <w:r w:rsidR="00667FCD">
        <w:t>4</w:t>
      </w:r>
      <w:r>
        <w:t xml:space="preserve"> European Society of </w:t>
      </w:r>
      <w:r w:rsidR="00667FCD">
        <w:t xml:space="preserve">Cardiology </w:t>
      </w:r>
      <w:r>
        <w:t>(ES</w:t>
      </w:r>
      <w:r w:rsidR="00667FCD">
        <w:t>C</w:t>
      </w:r>
      <w:r>
        <w:t>) guideline</w:t>
      </w:r>
      <w:r>
        <w:rPr>
          <w:rStyle w:val="FootnoteReference"/>
        </w:rPr>
        <w:footnoteReference w:id="10"/>
      </w:r>
      <w:r>
        <w:t xml:space="preserve"> recommend starting antihypertensive treatment with a two-component low dose FDC for most patients, except in frail or very old patients, or low risk grade 1 hypertension</w:t>
      </w:r>
      <w:r w:rsidR="00553C96">
        <w:t>,</w:t>
      </w:r>
      <w:r>
        <w:t xml:space="preserve"> for whom low dose monotherapy is recommended. Guidelines suggest that starting two drugs</w:t>
      </w:r>
      <w:r>
        <w:rPr>
          <w:spacing w:val="-2"/>
        </w:rPr>
        <w:t xml:space="preserve"> </w:t>
      </w:r>
      <w:r>
        <w:t>at</w:t>
      </w:r>
      <w:r>
        <w:rPr>
          <w:spacing w:val="-4"/>
        </w:rPr>
        <w:t xml:space="preserve"> </w:t>
      </w:r>
      <w:r>
        <w:t>low</w:t>
      </w:r>
      <w:r>
        <w:rPr>
          <w:spacing w:val="-2"/>
        </w:rPr>
        <w:t xml:space="preserve"> </w:t>
      </w:r>
      <w:r>
        <w:t>dose</w:t>
      </w:r>
      <w:r>
        <w:rPr>
          <w:spacing w:val="-2"/>
        </w:rPr>
        <w:t xml:space="preserve"> </w:t>
      </w:r>
      <w:r>
        <w:t>is a reasonable</w:t>
      </w:r>
      <w:r>
        <w:rPr>
          <w:spacing w:val="-3"/>
        </w:rPr>
        <w:t xml:space="preserve"> </w:t>
      </w:r>
      <w:r>
        <w:t>approach</w:t>
      </w:r>
      <w:r>
        <w:rPr>
          <w:spacing w:val="-3"/>
        </w:rPr>
        <w:t xml:space="preserve"> </w:t>
      </w:r>
      <w:r>
        <w:t>in most patients but especially</w:t>
      </w:r>
      <w:r>
        <w:rPr>
          <w:spacing w:val="-1"/>
        </w:rPr>
        <w:t xml:space="preserve"> </w:t>
      </w:r>
      <w:r>
        <w:t>those</w:t>
      </w:r>
      <w:r>
        <w:rPr>
          <w:spacing w:val="-2"/>
        </w:rPr>
        <w:t xml:space="preserve"> </w:t>
      </w:r>
      <w:r>
        <w:t>with</w:t>
      </w:r>
      <w:r>
        <w:rPr>
          <w:spacing w:val="-3"/>
        </w:rPr>
        <w:t xml:space="preserve"> </w:t>
      </w:r>
      <w:r>
        <w:t>high</w:t>
      </w:r>
      <w:r>
        <w:rPr>
          <w:spacing w:val="-3"/>
        </w:rPr>
        <w:t xml:space="preserve"> </w:t>
      </w:r>
      <w:r>
        <w:t>CV risk</w:t>
      </w:r>
      <w:r>
        <w:rPr>
          <w:spacing w:val="-2"/>
        </w:rPr>
        <w:t xml:space="preserve"> </w:t>
      </w:r>
      <w:r>
        <w:t>or</w:t>
      </w:r>
      <w:r>
        <w:rPr>
          <w:spacing w:val="-2"/>
        </w:rPr>
        <w:t xml:space="preserve"> </w:t>
      </w:r>
      <w:r>
        <w:t>particularly</w:t>
      </w:r>
      <w:r>
        <w:rPr>
          <w:spacing w:val="-1"/>
        </w:rPr>
        <w:t xml:space="preserve"> </w:t>
      </w:r>
      <w:r>
        <w:t>elevated</w:t>
      </w:r>
      <w:r>
        <w:rPr>
          <w:spacing w:val="-3"/>
        </w:rPr>
        <w:t xml:space="preserve"> </w:t>
      </w:r>
      <w:r>
        <w:t>BP.</w:t>
      </w:r>
    </w:p>
    <w:p w14:paraId="37B87B49" w14:textId="27DC4707" w:rsidR="00553C96" w:rsidRDefault="00553C96" w:rsidP="008078CF">
      <w:pPr>
        <w:pStyle w:val="3-BodyText"/>
      </w:pPr>
      <w:r>
        <w:t>The World Health Organization guideline</w:t>
      </w:r>
      <w:r>
        <w:rPr>
          <w:rStyle w:val="FootnoteReference"/>
        </w:rPr>
        <w:footnoteReference w:id="11"/>
      </w:r>
      <w:r>
        <w:t xml:space="preserve"> </w:t>
      </w:r>
      <w:r w:rsidR="007A559F">
        <w:t xml:space="preserve">includes a conditional recommendation based on moderate-certainty evidence for </w:t>
      </w:r>
      <w:r>
        <w:t>combination therapy</w:t>
      </w:r>
      <w:r w:rsidR="007A559F">
        <w:t xml:space="preserve"> as an initial treatment</w:t>
      </w:r>
      <w:r>
        <w:t>, preferably as a</w:t>
      </w:r>
      <w:r w:rsidR="00667FCD">
        <w:t>n</w:t>
      </w:r>
      <w:r>
        <w:t xml:space="preserve"> FDC to improve therapy adherence and persistence. Combination therapy is </w:t>
      </w:r>
      <w:r w:rsidR="00E065D5">
        <w:t xml:space="preserve">considered </w:t>
      </w:r>
      <w:r>
        <w:t>particularly useful for patients with baseline BP</w:t>
      </w:r>
      <w:r w:rsidR="00856B50">
        <w:t> </w:t>
      </w:r>
      <w:r w:rsidRPr="2ECBDAFF">
        <w:t>≥</w:t>
      </w:r>
      <w:r>
        <w:t>20/10 mm Hg over target.</w:t>
      </w:r>
    </w:p>
    <w:p w14:paraId="175510EC" w14:textId="77777777" w:rsidR="00E75647" w:rsidRPr="00B0026B" w:rsidRDefault="00E75647" w:rsidP="00E75647">
      <w:pPr>
        <w:pStyle w:val="Heading2"/>
        <w:rPr>
          <w:i/>
          <w:iCs/>
        </w:rPr>
      </w:pPr>
      <w:r w:rsidRPr="00B0026B">
        <w:rPr>
          <w:i/>
          <w:iCs/>
        </w:rPr>
        <w:t>Sponsor consultation</w:t>
      </w:r>
    </w:p>
    <w:p w14:paraId="3576F67E" w14:textId="75EA1357" w:rsidR="00E75647" w:rsidRDefault="4287A2F3" w:rsidP="008078CF">
      <w:pPr>
        <w:pStyle w:val="3-BodyText"/>
      </w:pPr>
      <w:r>
        <w:t>All s</w:t>
      </w:r>
      <w:r w:rsidR="00E75647">
        <w:t xml:space="preserve">ponsors of PBS-listed antihypertensive FDCs were </w:t>
      </w:r>
      <w:r w:rsidR="00AF5F2B">
        <w:t xml:space="preserve">consulted on this item </w:t>
      </w:r>
      <w:r w:rsidR="003C6031">
        <w:t xml:space="preserve">in line with standard PBAC </w:t>
      </w:r>
      <w:r w:rsidR="00667FCD">
        <w:t xml:space="preserve">processes and </w:t>
      </w:r>
      <w:r w:rsidR="003C6031">
        <w:t>timelines</w:t>
      </w:r>
      <w:r w:rsidR="00E75647">
        <w:t xml:space="preserve">. </w:t>
      </w:r>
    </w:p>
    <w:p w14:paraId="07BFB91A" w14:textId="790FE81E" w:rsidR="00521499" w:rsidRDefault="00521499" w:rsidP="00521499">
      <w:pPr>
        <w:pStyle w:val="Heading3"/>
      </w:pPr>
      <w:r w:rsidRPr="00C92163">
        <w:t>Consumer comments</w:t>
      </w:r>
    </w:p>
    <w:p w14:paraId="246FBAB2" w14:textId="11D281EB" w:rsidR="005449DC" w:rsidRPr="00A06E2D" w:rsidRDefault="00BB255F" w:rsidP="45563E5B">
      <w:pPr>
        <w:pStyle w:val="3-BodyText"/>
      </w:pPr>
      <w:r w:rsidRPr="00836F75">
        <w:t>The PBAC noted that no consumer comments were received for this item</w:t>
      </w:r>
      <w:r>
        <w:t>.</w:t>
      </w:r>
    </w:p>
    <w:p w14:paraId="2B1D16D5" w14:textId="6EFA181A" w:rsidR="00A6708C" w:rsidRPr="00A06E2D" w:rsidRDefault="00074B80" w:rsidP="00C93469">
      <w:pPr>
        <w:pStyle w:val="2Sections"/>
        <w:keepNext/>
        <w:keepLines/>
        <w:rPr>
          <w:rFonts w:eastAsiaTheme="minorHAnsi"/>
          <w:snapToGrid/>
        </w:rPr>
      </w:pPr>
      <w:r>
        <w:rPr>
          <w:rFonts w:eastAsiaTheme="minorHAnsi"/>
          <w:snapToGrid/>
        </w:rPr>
        <w:t>Antihypertensives</w:t>
      </w:r>
      <w:r w:rsidR="009958F4">
        <w:rPr>
          <w:rFonts w:eastAsiaTheme="minorHAnsi"/>
          <w:snapToGrid/>
        </w:rPr>
        <w:t xml:space="preserve"> report </w:t>
      </w:r>
      <w:r>
        <w:rPr>
          <w:rFonts w:eastAsiaTheme="minorHAnsi"/>
          <w:snapToGrid/>
        </w:rPr>
        <w:t>key findings</w:t>
      </w:r>
    </w:p>
    <w:p w14:paraId="4608F891" w14:textId="7516721C" w:rsidR="00AE0136" w:rsidRDefault="00667FCD" w:rsidP="004E4010">
      <w:pPr>
        <w:pStyle w:val="3-BodyText"/>
      </w:pPr>
      <w:r>
        <w:t xml:space="preserve">The PBAC noted the </w:t>
      </w:r>
      <w:r w:rsidR="00AE0136">
        <w:t>key findings from the report</w:t>
      </w:r>
      <w:r>
        <w:t>, including</w:t>
      </w:r>
      <w:r w:rsidR="00AE0136">
        <w:t>:</w:t>
      </w:r>
    </w:p>
    <w:p w14:paraId="49E59C40" w14:textId="79248FB5" w:rsidR="00AE0136" w:rsidRDefault="00F8150C" w:rsidP="00BB461D">
      <w:pPr>
        <w:pStyle w:val="3Bodytext"/>
        <w:numPr>
          <w:ilvl w:val="3"/>
          <w:numId w:val="7"/>
        </w:numPr>
        <w:ind w:left="1134"/>
      </w:pPr>
      <w:r>
        <w:t xml:space="preserve">In 2023, there were almost 59 million antihypertensive prescriptions dispensed through the PBS </w:t>
      </w:r>
      <w:r w:rsidR="0059321D">
        <w:t>to 5.0 million people (around 19% of the Australian population)</w:t>
      </w:r>
      <w:r>
        <w:t>.</w:t>
      </w:r>
    </w:p>
    <w:p w14:paraId="56925760" w14:textId="0621D6B5" w:rsidR="00DE692B" w:rsidRDefault="00DE692B" w:rsidP="00BB461D">
      <w:pPr>
        <w:pStyle w:val="3Bodytext"/>
        <w:numPr>
          <w:ilvl w:val="2"/>
          <w:numId w:val="3"/>
        </w:numPr>
        <w:ind w:left="1134"/>
      </w:pPr>
      <w:r>
        <w:t>In July 2023,</w:t>
      </w:r>
      <w:r w:rsidRPr="2416F257">
        <w:rPr>
          <w:b/>
        </w:rPr>
        <w:t xml:space="preserve"> </w:t>
      </w:r>
      <w:r w:rsidR="007E16FA" w:rsidRPr="007E16FA">
        <w:rPr>
          <w:bCs w:val="0"/>
        </w:rPr>
        <w:t xml:space="preserve">around </w:t>
      </w:r>
      <w:r>
        <w:t>half of the antihypertensive prevalent population were dispensed multiple classes of antihypertensives</w:t>
      </w:r>
      <w:r w:rsidR="002D6A6B">
        <w:t>; 35% were supplied two concurrent antihypertensive classes, and 15% were supplied three or more concurrent classes. Of those supplied multiple antihypertensive classes, ar</w:t>
      </w:r>
      <w:r w:rsidR="00636FDB">
        <w:t>ound 60</w:t>
      </w:r>
      <w:r>
        <w:t>% were dispensed</w:t>
      </w:r>
      <w:r w:rsidRPr="006D109E">
        <w:t xml:space="preserve"> </w:t>
      </w:r>
      <w:r>
        <w:t xml:space="preserve">at least one </w:t>
      </w:r>
      <w:r w:rsidRPr="006D109E">
        <w:t>FDC</w:t>
      </w:r>
      <w:r>
        <w:t>.</w:t>
      </w:r>
    </w:p>
    <w:p w14:paraId="68417B6B" w14:textId="4A9DB788" w:rsidR="00636FDB" w:rsidRDefault="00636FDB" w:rsidP="00BB461D">
      <w:pPr>
        <w:pStyle w:val="3Bodytext"/>
        <w:numPr>
          <w:ilvl w:val="2"/>
          <w:numId w:val="3"/>
        </w:numPr>
        <w:ind w:left="1134"/>
      </w:pPr>
      <w:r w:rsidRPr="00DE692B">
        <w:lastRenderedPageBreak/>
        <w:t xml:space="preserve">In 2023, </w:t>
      </w:r>
      <w:r>
        <w:t>a</w:t>
      </w:r>
      <w:r w:rsidR="007E16FA">
        <w:t>n estimated</w:t>
      </w:r>
      <w:r>
        <w:t xml:space="preserve"> 378,000 Australians were using multiple antihypertensive classes that could have been using </w:t>
      </w:r>
      <w:r w:rsidR="00085108">
        <w:t>at least one</w:t>
      </w:r>
      <w:r>
        <w:t xml:space="preserve"> FDC</w:t>
      </w:r>
      <w:r w:rsidR="00085108">
        <w:t xml:space="preserve"> (i.e. the classes being used were available in an FDC)</w:t>
      </w:r>
      <w:r>
        <w:t xml:space="preserve">. </w:t>
      </w:r>
    </w:p>
    <w:p w14:paraId="46DAC082" w14:textId="590C6462" w:rsidR="00636FDB" w:rsidRDefault="00906960" w:rsidP="00BB461D">
      <w:pPr>
        <w:pStyle w:val="3Bodytext"/>
        <w:numPr>
          <w:ilvl w:val="2"/>
          <w:numId w:val="3"/>
        </w:numPr>
        <w:ind w:left="1134"/>
      </w:pPr>
      <w:r>
        <w:t>In 2023, a</w:t>
      </w:r>
      <w:r w:rsidR="00636FDB">
        <w:t>round 400,000 patients initiate</w:t>
      </w:r>
      <w:r>
        <w:t>d</w:t>
      </w:r>
      <w:r w:rsidR="00636FDB">
        <w:t xml:space="preserve"> antihypertensive therapy, of whic</w:t>
      </w:r>
      <w:r>
        <w:t>h</w:t>
      </w:r>
      <w:r w:rsidR="00916D98">
        <w:t xml:space="preserve"> </w:t>
      </w:r>
      <w:r>
        <w:t xml:space="preserve">approximately </w:t>
      </w:r>
      <w:r w:rsidR="00636FDB">
        <w:t>90% start</w:t>
      </w:r>
      <w:r w:rsidR="00916D98">
        <w:t>ed</w:t>
      </w:r>
      <w:r w:rsidR="00636FDB">
        <w:t xml:space="preserve"> </w:t>
      </w:r>
      <w:r w:rsidR="001D6775">
        <w:t xml:space="preserve">with </w:t>
      </w:r>
      <w:r w:rsidR="00636FDB">
        <w:t xml:space="preserve">monotherapy, </w:t>
      </w:r>
      <w:r w:rsidR="00916D98">
        <w:t xml:space="preserve">6% commenced multiple therapies </w:t>
      </w:r>
      <w:r w:rsidR="001D6775">
        <w:t>(</w:t>
      </w:r>
      <w:r w:rsidR="00916D98">
        <w:t>not as an FDC</w:t>
      </w:r>
      <w:r w:rsidR="001D6775">
        <w:t>)</w:t>
      </w:r>
      <w:r w:rsidR="00916D98">
        <w:t xml:space="preserve"> and 4% commenced an FDC. </w:t>
      </w:r>
      <w:r w:rsidR="009034B4">
        <w:t>W</w:t>
      </w:r>
      <w:r w:rsidR="00916D98">
        <w:t xml:space="preserve">ithin 12 weeks of commencing </w:t>
      </w:r>
      <w:r>
        <w:t xml:space="preserve">antihypertensive </w:t>
      </w:r>
      <w:r w:rsidR="002D6A6B">
        <w:t>monotherapy</w:t>
      </w:r>
      <w:r w:rsidR="007E16FA">
        <w:t>,</w:t>
      </w:r>
      <w:r>
        <w:t xml:space="preserve"> around </w:t>
      </w:r>
      <w:r w:rsidR="002D6A6B">
        <w:t>8</w:t>
      </w:r>
      <w:r>
        <w:t xml:space="preserve">% of patients </w:t>
      </w:r>
      <w:r w:rsidR="00667FCD">
        <w:t>were</w:t>
      </w:r>
      <w:r>
        <w:t xml:space="preserve"> </w:t>
      </w:r>
      <w:r w:rsidR="00667FCD">
        <w:t>being supplied</w:t>
      </w:r>
      <w:r>
        <w:t xml:space="preserve"> multiple therapies</w:t>
      </w:r>
      <w:r w:rsidR="002D6A6B">
        <w:t xml:space="preserve"> and 17% had ceased all antihypertensive treatment</w:t>
      </w:r>
      <w:r w:rsidR="00CA1229">
        <w:t xml:space="preserve">. At 12-months follow-up, around </w:t>
      </w:r>
      <w:r w:rsidR="002D6A6B">
        <w:t>19</w:t>
      </w:r>
      <w:r>
        <w:t xml:space="preserve">% </w:t>
      </w:r>
      <w:r w:rsidR="00667FCD">
        <w:t>were</w:t>
      </w:r>
      <w:r w:rsidR="00CA1229">
        <w:t xml:space="preserve"> </w:t>
      </w:r>
      <w:r w:rsidR="00667FCD">
        <w:t>supplied</w:t>
      </w:r>
      <w:r w:rsidR="00CA1229">
        <w:t xml:space="preserve"> multiple antihypertensive therapies, </w:t>
      </w:r>
      <w:r w:rsidR="001D6775">
        <w:t xml:space="preserve">while </w:t>
      </w:r>
      <w:r w:rsidR="00916D98">
        <w:t xml:space="preserve">54% </w:t>
      </w:r>
      <w:r w:rsidR="00CA1229">
        <w:t>ha</w:t>
      </w:r>
      <w:r w:rsidR="00667FCD">
        <w:t>d</w:t>
      </w:r>
      <w:r w:rsidR="00CA1229">
        <w:t xml:space="preserve"> ceased </w:t>
      </w:r>
      <w:r>
        <w:t xml:space="preserve">all antihypertensive </w:t>
      </w:r>
      <w:r w:rsidR="00916D98">
        <w:t>treatment</w:t>
      </w:r>
      <w:r>
        <w:t>.</w:t>
      </w:r>
    </w:p>
    <w:p w14:paraId="567A7C26" w14:textId="3FBB9C50" w:rsidR="00DE692B" w:rsidRDefault="001F17C8" w:rsidP="00BB461D">
      <w:pPr>
        <w:pStyle w:val="3Bodytext"/>
        <w:numPr>
          <w:ilvl w:val="2"/>
          <w:numId w:val="3"/>
        </w:numPr>
        <w:ind w:left="1134"/>
      </w:pPr>
      <w:r>
        <w:t xml:space="preserve">Between 2013 and 2023, the </w:t>
      </w:r>
      <w:r w:rsidR="00DE692B" w:rsidRPr="001370D2">
        <w:t xml:space="preserve">proportion of individuals </w:t>
      </w:r>
      <w:r>
        <w:t>dispensed</w:t>
      </w:r>
      <w:r w:rsidR="00DE692B" w:rsidRPr="001370D2">
        <w:t xml:space="preserve"> FDCs containing a CCB with either an ACE or A</w:t>
      </w:r>
      <w:r w:rsidR="00E34976">
        <w:t>TRA</w:t>
      </w:r>
      <w:r w:rsidR="00CA1229">
        <w:t xml:space="preserve"> </w:t>
      </w:r>
      <w:r w:rsidR="007E16FA">
        <w:t>increased</w:t>
      </w:r>
      <w:r>
        <w:t xml:space="preserve">, while </w:t>
      </w:r>
      <w:r w:rsidR="00DE692B" w:rsidRPr="001370D2">
        <w:t xml:space="preserve">the </w:t>
      </w:r>
      <w:r>
        <w:t xml:space="preserve">proportion dispensed </w:t>
      </w:r>
      <w:r w:rsidR="00DE692B" w:rsidRPr="001370D2">
        <w:t xml:space="preserve">FDCs containing thiazides </w:t>
      </w:r>
      <w:r w:rsidR="00DE692B">
        <w:t>with either ACE or A</w:t>
      </w:r>
      <w:r w:rsidR="00E34976">
        <w:t>TRA</w:t>
      </w:r>
      <w:r w:rsidR="00DE692B">
        <w:t xml:space="preserve"> decreased.</w:t>
      </w:r>
      <w:r>
        <w:t xml:space="preserve"> </w:t>
      </w:r>
      <w:r w:rsidR="00CA1229">
        <w:t xml:space="preserve">In 2023, </w:t>
      </w:r>
      <w:r w:rsidR="009034B4">
        <w:t xml:space="preserve">of patients supplied an FDC, </w:t>
      </w:r>
      <w:r w:rsidR="00CA1229">
        <w:t xml:space="preserve">around 48% of patients were supplied an ACE or ARB in combination with a CCB, while </w:t>
      </w:r>
      <w:r w:rsidR="009034B4">
        <w:t>38</w:t>
      </w:r>
      <w:r w:rsidR="00CA1229">
        <w:t xml:space="preserve">% were dispensed an </w:t>
      </w:r>
      <w:r>
        <w:t xml:space="preserve">ARB </w:t>
      </w:r>
      <w:r w:rsidR="009034B4">
        <w:t>in combination with a</w:t>
      </w:r>
      <w:r>
        <w:t xml:space="preserve"> thiazide. </w:t>
      </w:r>
    </w:p>
    <w:p w14:paraId="045E9E44" w14:textId="09A10905" w:rsidR="00D65C1C" w:rsidRDefault="00875E13" w:rsidP="00BB461D">
      <w:pPr>
        <w:pStyle w:val="3Bodytext"/>
        <w:numPr>
          <w:ilvl w:val="2"/>
          <w:numId w:val="3"/>
        </w:numPr>
        <w:ind w:left="1134"/>
      </w:pPr>
      <w:r>
        <w:t>Four</w:t>
      </w:r>
      <w:r w:rsidR="00D65C1C">
        <w:t>-year persistence</w:t>
      </w:r>
      <w:r>
        <w:t xml:space="preserve"> </w:t>
      </w:r>
      <w:r w:rsidR="00D65C1C">
        <w:rPr>
          <w:rFonts w:cstheme="minorHAnsi"/>
        </w:rPr>
        <w:t xml:space="preserve">to any antihypertensive therapy </w:t>
      </w:r>
      <w:r>
        <w:rPr>
          <w:rFonts w:cstheme="minorHAnsi"/>
        </w:rPr>
        <w:t xml:space="preserve">based on patients initiating therapy between 2015-2019 </w:t>
      </w:r>
      <w:r w:rsidR="00D65C1C">
        <w:rPr>
          <w:rFonts w:cstheme="minorHAnsi"/>
        </w:rPr>
        <w:t>was similar between those initiated on combination treatment (FDC or multiple single-drug products) or monotherapy. For patients commencing therapy with ACE or A</w:t>
      </w:r>
      <w:r w:rsidR="00E34976">
        <w:rPr>
          <w:rFonts w:cstheme="minorHAnsi"/>
        </w:rPr>
        <w:t>TRA</w:t>
      </w:r>
      <w:r>
        <w:rPr>
          <w:rFonts w:cstheme="minorHAnsi"/>
        </w:rPr>
        <w:t>,</w:t>
      </w:r>
      <w:r w:rsidR="00D65C1C">
        <w:rPr>
          <w:rFonts w:cstheme="minorHAnsi"/>
        </w:rPr>
        <w:t xml:space="preserve"> persistence to index therapy was </w:t>
      </w:r>
      <w:r w:rsidR="001D6775">
        <w:rPr>
          <w:rFonts w:cstheme="minorHAnsi"/>
        </w:rPr>
        <w:t xml:space="preserve">slightly </w:t>
      </w:r>
      <w:r w:rsidR="00D65C1C">
        <w:rPr>
          <w:rFonts w:cstheme="minorHAnsi"/>
        </w:rPr>
        <w:t xml:space="preserve">better </w:t>
      </w:r>
      <w:r>
        <w:rPr>
          <w:rFonts w:cstheme="minorHAnsi"/>
        </w:rPr>
        <w:t xml:space="preserve">for those commencing an FDC </w:t>
      </w:r>
      <w:r w:rsidR="00D65C1C">
        <w:rPr>
          <w:rFonts w:cstheme="minorHAnsi"/>
        </w:rPr>
        <w:t>than for those who commenced multiple single-drug therapies.</w:t>
      </w:r>
      <w:r w:rsidR="00F8150C">
        <w:rPr>
          <w:rFonts w:cstheme="minorHAnsi"/>
        </w:rPr>
        <w:t xml:space="preserve"> Patients who commenced therapy with an A</w:t>
      </w:r>
      <w:r w:rsidR="00E34976">
        <w:rPr>
          <w:rFonts w:cstheme="minorHAnsi"/>
        </w:rPr>
        <w:t>TRA</w:t>
      </w:r>
      <w:r w:rsidR="00F8150C">
        <w:rPr>
          <w:rFonts w:cstheme="minorHAnsi"/>
        </w:rPr>
        <w:t xml:space="preserve"> generally had greater persistence to </w:t>
      </w:r>
      <w:r>
        <w:rPr>
          <w:rFonts w:cstheme="minorHAnsi"/>
        </w:rPr>
        <w:t xml:space="preserve">the </w:t>
      </w:r>
      <w:r w:rsidR="00F8150C">
        <w:rPr>
          <w:rFonts w:cstheme="minorHAnsi"/>
        </w:rPr>
        <w:t xml:space="preserve">index therapy than </w:t>
      </w:r>
      <w:r>
        <w:rPr>
          <w:rFonts w:cstheme="minorHAnsi"/>
        </w:rPr>
        <w:t xml:space="preserve">those who commenced therapy with an </w:t>
      </w:r>
      <w:r w:rsidR="00F8150C">
        <w:rPr>
          <w:rFonts w:cstheme="minorHAnsi"/>
        </w:rPr>
        <w:t>ACE, CCB or thiazide</w:t>
      </w:r>
      <w:r w:rsidR="001D6775">
        <w:rPr>
          <w:rFonts w:cstheme="minorHAnsi"/>
        </w:rPr>
        <w:t>, although the differences were small</w:t>
      </w:r>
      <w:r w:rsidR="00F8150C">
        <w:rPr>
          <w:rFonts w:cstheme="minorHAnsi"/>
        </w:rPr>
        <w:t>.</w:t>
      </w:r>
    </w:p>
    <w:p w14:paraId="53150DF9" w14:textId="6D32499F" w:rsidR="00DE692B" w:rsidRDefault="00DE692B" w:rsidP="00BB461D">
      <w:pPr>
        <w:pStyle w:val="3Bodytext"/>
        <w:numPr>
          <w:ilvl w:val="2"/>
          <w:numId w:val="3"/>
        </w:numPr>
        <w:ind w:left="1134"/>
      </w:pPr>
      <w:r>
        <w:t xml:space="preserve">Overall, </w:t>
      </w:r>
      <w:r w:rsidR="0050037D">
        <w:t>it was</w:t>
      </w:r>
      <w:r>
        <w:t xml:space="preserve"> estimated that allowing </w:t>
      </w:r>
      <w:r w:rsidR="009034B4">
        <w:t xml:space="preserve">use of </w:t>
      </w:r>
      <w:r>
        <w:t>FDC</w:t>
      </w:r>
      <w:r w:rsidR="00092997">
        <w:t>s</w:t>
      </w:r>
      <w:r>
        <w:t xml:space="preserve"> at antihypertensive treatment commencement would save consumers $2</w:t>
      </w:r>
      <w:r w:rsidR="00E36A50">
        <w:t>0.5</w:t>
      </w:r>
      <w:r>
        <w:t xml:space="preserve"> million </w:t>
      </w:r>
      <w:r w:rsidR="0050037D">
        <w:t xml:space="preserve">over 6 years </w:t>
      </w:r>
      <w:r>
        <w:t xml:space="preserve">(weighted by general and safety net prescriptions) and </w:t>
      </w:r>
      <w:r w:rsidR="0050037D">
        <w:t>the PBS would save $17.9 million over 6</w:t>
      </w:r>
      <w:r w:rsidR="007F3F78">
        <w:t> </w:t>
      </w:r>
      <w:r w:rsidR="0050037D">
        <w:t>years</w:t>
      </w:r>
      <w:r w:rsidR="007C64F5">
        <w:t>, based on the proportion of patients who added another monotherapy product or switched to an FDC by 12 weeks.</w:t>
      </w:r>
      <w:r w:rsidR="008A05D0">
        <w:t xml:space="preserve"> </w:t>
      </w:r>
      <w:r w:rsidR="00E34976">
        <w:t>The PBAC noted that t</w:t>
      </w:r>
      <w:r w:rsidR="008A05D0">
        <w:t>hese estimates ha</w:t>
      </w:r>
      <w:r w:rsidR="00E34976">
        <w:t>d</w:t>
      </w:r>
      <w:r w:rsidR="008A05D0">
        <w:t xml:space="preserve"> not been validated by the Department and should be considered indicative only.</w:t>
      </w:r>
    </w:p>
    <w:p w14:paraId="7A97FBB5" w14:textId="372620A1" w:rsidR="00DE692B" w:rsidRPr="00A06E2D" w:rsidRDefault="00DE692B" w:rsidP="00BB461D">
      <w:pPr>
        <w:pStyle w:val="3Bodytext"/>
        <w:numPr>
          <w:ilvl w:val="2"/>
          <w:numId w:val="3"/>
        </w:numPr>
        <w:ind w:left="1134"/>
      </w:pPr>
      <w:r w:rsidRPr="00DE692B">
        <w:t xml:space="preserve">A </w:t>
      </w:r>
      <w:r w:rsidR="00CB4E00">
        <w:t xml:space="preserve">literature </w:t>
      </w:r>
      <w:r w:rsidRPr="00DE692B">
        <w:t xml:space="preserve">review found no systematic reviews of studies specifically comparing the safety and effectiveness of commencing antihypertensive treatment with standard care (monotherapy followed by add-on therapy) </w:t>
      </w:r>
      <w:r w:rsidR="00CB4E00">
        <w:t xml:space="preserve">versus </w:t>
      </w:r>
      <w:r w:rsidRPr="00DE692B">
        <w:t xml:space="preserve">low dose </w:t>
      </w:r>
      <w:r w:rsidR="00E34976">
        <w:t xml:space="preserve">dual </w:t>
      </w:r>
      <w:r w:rsidRPr="00DE692B">
        <w:t xml:space="preserve">FDC. Individual </w:t>
      </w:r>
      <w:r w:rsidR="00CB4E00">
        <w:t>RCTs (N=2)</w:t>
      </w:r>
      <w:r w:rsidRPr="00DE692B">
        <w:t xml:space="preserve"> found that initiating antihypertensive treatment with a low dose </w:t>
      </w:r>
      <w:r w:rsidR="00E34976">
        <w:t xml:space="preserve">dual </w:t>
      </w:r>
      <w:r w:rsidRPr="00DE692B">
        <w:t>FDC was associated with a more rapid reduction in BP in the short term</w:t>
      </w:r>
      <w:r w:rsidR="00CB4E00">
        <w:t xml:space="preserve">, but </w:t>
      </w:r>
      <w:r w:rsidR="001D6775">
        <w:t xml:space="preserve">at </w:t>
      </w:r>
      <w:r w:rsidRPr="00DE692B">
        <w:t>an increased risk of hypotension.</w:t>
      </w:r>
    </w:p>
    <w:p w14:paraId="5B55CD58" w14:textId="7812B24C" w:rsidR="00A6708C" w:rsidRPr="00A06E2D" w:rsidRDefault="00352BFE" w:rsidP="00A435E5">
      <w:pPr>
        <w:pStyle w:val="2Sections"/>
        <w:keepNext/>
        <w:keepLines/>
      </w:pPr>
      <w:r>
        <w:lastRenderedPageBreak/>
        <w:t>P</w:t>
      </w:r>
      <w:r w:rsidR="009151E7">
        <w:t>roposed</w:t>
      </w:r>
      <w:r>
        <w:t xml:space="preserve"> PBS listing changes</w:t>
      </w:r>
    </w:p>
    <w:p w14:paraId="608E5C3D" w14:textId="3D4499E2" w:rsidR="003B0D7A" w:rsidRPr="00A06E2D" w:rsidRDefault="003B0D7A" w:rsidP="00A435E5">
      <w:pPr>
        <w:pStyle w:val="3-BodyText"/>
        <w:keepNext/>
        <w:keepLines/>
      </w:pPr>
      <w:r w:rsidRPr="00A06E2D">
        <w:t xml:space="preserve">The PBAC </w:t>
      </w:r>
      <w:r w:rsidR="00AF5F2B">
        <w:t>was</w:t>
      </w:r>
      <w:r w:rsidRPr="00A06E2D">
        <w:t xml:space="preserve"> requested to provide advice on whether to</w:t>
      </w:r>
      <w:r w:rsidR="000F7F4C" w:rsidRPr="00A06E2D">
        <w:t xml:space="preserve"> simplify the PBS restrictions for</w:t>
      </w:r>
      <w:r w:rsidR="00352BFE">
        <w:t xml:space="preserve"> antihypertensive FDCs</w:t>
      </w:r>
      <w:r w:rsidRPr="00A06E2D">
        <w:t>. T</w:t>
      </w:r>
      <w:r w:rsidR="005F7823">
        <w:t>hree</w:t>
      </w:r>
      <w:r w:rsidRPr="00A06E2D">
        <w:t xml:space="preserve"> options for proposed changes</w:t>
      </w:r>
      <w:r w:rsidR="00E34976">
        <w:t xml:space="preserve"> were provided as shown below</w:t>
      </w:r>
      <w:r w:rsidRPr="00A06E2D">
        <w:t>.</w:t>
      </w:r>
      <w:r w:rsidR="00E34976">
        <w:t xml:space="preserve"> The PBAC noted that a fourth option would be to maintain the current restrictions for antihypertensive FDCs and reconsider potential changes to the restrictions following the release of the updated Heart Foundation guidelines in 2025.</w:t>
      </w:r>
    </w:p>
    <w:p w14:paraId="5063940D" w14:textId="26457E80" w:rsidR="009F7CEF" w:rsidRPr="004E4010" w:rsidRDefault="009F7CEF" w:rsidP="004E4010">
      <w:pPr>
        <w:pStyle w:val="3-BodyText"/>
        <w:rPr>
          <w:u w:val="single"/>
        </w:rPr>
      </w:pPr>
      <w:r w:rsidRPr="004E4010">
        <w:rPr>
          <w:u w:val="single"/>
        </w:rPr>
        <w:t xml:space="preserve">Option 1: </w:t>
      </w:r>
      <w:r w:rsidR="00352BFE" w:rsidRPr="004E4010">
        <w:rPr>
          <w:u w:val="single"/>
        </w:rPr>
        <w:t>Unrestricted listings for all antihypertensive FDCs</w:t>
      </w:r>
    </w:p>
    <w:p w14:paraId="7EADDF9F" w14:textId="21EE6396" w:rsidR="009F7CEF" w:rsidRPr="00A06E2D" w:rsidRDefault="009F7CEF" w:rsidP="003B0F98">
      <w:pPr>
        <w:ind w:left="720"/>
        <w:jc w:val="both"/>
      </w:pPr>
      <w:r>
        <w:t xml:space="preserve">Option 1 </w:t>
      </w:r>
      <w:r w:rsidR="00791DEA">
        <w:t>propose</w:t>
      </w:r>
      <w:r w:rsidR="009E7B95">
        <w:t>d</w:t>
      </w:r>
      <w:r w:rsidR="00791DEA">
        <w:t xml:space="preserve"> allowing the </w:t>
      </w:r>
      <w:r>
        <w:t xml:space="preserve">use of </w:t>
      </w:r>
      <w:r w:rsidR="00352BFE">
        <w:t>a</w:t>
      </w:r>
      <w:r w:rsidR="00791DEA">
        <w:t>ny</w:t>
      </w:r>
      <w:r w:rsidR="00352BFE">
        <w:t xml:space="preserve"> antihypertensive FDC at therapy initiation by changing the </w:t>
      </w:r>
      <w:r w:rsidR="00954A2B">
        <w:t xml:space="preserve">restriction level from Restricted Benefit </w:t>
      </w:r>
      <w:r w:rsidR="00791DEA">
        <w:t xml:space="preserve">to </w:t>
      </w:r>
      <w:r w:rsidR="0058566C">
        <w:t>u</w:t>
      </w:r>
      <w:r w:rsidR="00352BFE">
        <w:t>nrestricted</w:t>
      </w:r>
      <w:r>
        <w:t>.</w:t>
      </w:r>
      <w:r w:rsidR="2C357687">
        <w:t xml:space="preserve"> All current restriction wording would therefore be removed from these listings.</w:t>
      </w:r>
      <w:r>
        <w:t xml:space="preserve"> </w:t>
      </w:r>
      <w:r w:rsidR="6C238DB9">
        <w:t>Th</w:t>
      </w:r>
      <w:r w:rsidR="3EFCFC8A">
        <w:t>e</w:t>
      </w:r>
      <w:r>
        <w:t xml:space="preserve"> 60-day prescription items would </w:t>
      </w:r>
      <w:r w:rsidR="00352BFE">
        <w:t xml:space="preserve">remain </w:t>
      </w:r>
      <w:r w:rsidR="63591E0F">
        <w:t>Authority Required (</w:t>
      </w:r>
      <w:r w:rsidR="00352BFE">
        <w:t>Restricted Benefit</w:t>
      </w:r>
      <w:r w:rsidR="24E8F0CF">
        <w:t xml:space="preserve">) listings, however all clinical criteria would be removed except for the </w:t>
      </w:r>
      <w:r w:rsidR="29DEB84E">
        <w:t>following</w:t>
      </w:r>
      <w:r w:rsidR="24E8F0CF">
        <w:t xml:space="preserve"> clinical criteria:</w:t>
      </w:r>
    </w:p>
    <w:p w14:paraId="5C4FBCC7" w14:textId="65E0CE3B" w:rsidR="009F7CEF" w:rsidRPr="00A06E2D" w:rsidRDefault="24E8F0CF" w:rsidP="45563E5B">
      <w:pPr>
        <w:spacing w:line="257" w:lineRule="auto"/>
        <w:ind w:left="720"/>
        <w:jc w:val="both"/>
        <w:rPr>
          <w:rFonts w:ascii="Calibri" w:eastAsia="Calibri" w:hAnsi="Calibri" w:cs="Calibri"/>
          <w:i/>
          <w:iCs/>
        </w:rPr>
      </w:pPr>
      <w:r w:rsidRPr="2ECBDAFF">
        <w:rPr>
          <w:rFonts w:ascii="Calibri" w:eastAsia="Calibri" w:hAnsi="Calibri" w:cs="Calibri"/>
          <w:i/>
          <w:iCs/>
        </w:rPr>
        <w:t xml:space="preserve">The condition must be stable for the prescriber to consider the listed maximum quantity of this medicine suitable for this </w:t>
      </w:r>
      <w:r w:rsidR="005C6D7E" w:rsidRPr="2ECBDAFF">
        <w:rPr>
          <w:rFonts w:ascii="Calibri" w:eastAsia="Calibri" w:hAnsi="Calibri" w:cs="Calibri"/>
          <w:i/>
          <w:iCs/>
        </w:rPr>
        <w:t>patient.</w:t>
      </w:r>
    </w:p>
    <w:p w14:paraId="1733A4A5" w14:textId="57E11A44" w:rsidR="009F7CEF" w:rsidRPr="00A06E2D" w:rsidRDefault="7BE75FFA" w:rsidP="003B0F98">
      <w:pPr>
        <w:ind w:left="720"/>
        <w:jc w:val="both"/>
      </w:pPr>
      <w:r>
        <w:t>Any</w:t>
      </w:r>
      <w:r w:rsidR="5ED07811">
        <w:t xml:space="preserve"> </w:t>
      </w:r>
      <w:r w:rsidR="6C61AFCA">
        <w:t>c</w:t>
      </w:r>
      <w:r w:rsidR="46E9CF26">
        <w:t>autionary</w:t>
      </w:r>
      <w:r w:rsidR="04376DBB">
        <w:t xml:space="preserve"> notes would </w:t>
      </w:r>
      <w:r w:rsidR="29CBDCE0">
        <w:t>also</w:t>
      </w:r>
      <w:r w:rsidR="46E9CF26">
        <w:t xml:space="preserve"> </w:t>
      </w:r>
      <w:r w:rsidR="04376DBB">
        <w:t>remain on these listings.</w:t>
      </w:r>
      <w:r w:rsidR="785303FD">
        <w:t xml:space="preserve"> </w:t>
      </w:r>
      <w:r w:rsidR="00DD235F">
        <w:t>This change could apply to only dual therapy FDCs or could also be applied to triple therapy FDCs</w:t>
      </w:r>
      <w:r w:rsidR="008D31E9">
        <w:t xml:space="preserve">, noting that clinical guidelines </w:t>
      </w:r>
      <w:r w:rsidR="001D6775">
        <w:t>have not recommended</w:t>
      </w:r>
      <w:r w:rsidR="008D31E9">
        <w:t xml:space="preserve"> commencing </w:t>
      </w:r>
      <w:r w:rsidR="00DA4755">
        <w:t>a</w:t>
      </w:r>
      <w:r w:rsidR="008D31E9">
        <w:t xml:space="preserve">ntihypertensive therapy with </w:t>
      </w:r>
      <w:r w:rsidR="00DA4755">
        <w:t>triple therapy</w:t>
      </w:r>
      <w:r w:rsidR="00352BFE">
        <w:t>.</w:t>
      </w:r>
      <w:r w:rsidR="00791DEA">
        <w:t xml:space="preserve"> </w:t>
      </w:r>
    </w:p>
    <w:p w14:paraId="6293E86D" w14:textId="06862E5D" w:rsidR="009F7CEF" w:rsidRPr="004E4010" w:rsidRDefault="009F7CEF" w:rsidP="004E4010">
      <w:pPr>
        <w:pStyle w:val="3-BodyText"/>
        <w:rPr>
          <w:u w:val="single"/>
        </w:rPr>
      </w:pPr>
      <w:r w:rsidRPr="004E4010">
        <w:rPr>
          <w:u w:val="single"/>
        </w:rPr>
        <w:t>Option 2: Unrestricted listings</w:t>
      </w:r>
      <w:r w:rsidR="00791DEA" w:rsidRPr="004E4010">
        <w:rPr>
          <w:u w:val="single"/>
        </w:rPr>
        <w:t xml:space="preserve"> for selected low-moderate dose </w:t>
      </w:r>
      <w:r w:rsidR="00DD235F" w:rsidRPr="004E4010">
        <w:rPr>
          <w:u w:val="single"/>
        </w:rPr>
        <w:t xml:space="preserve">dual therapy </w:t>
      </w:r>
      <w:r w:rsidR="00791DEA" w:rsidRPr="004E4010">
        <w:rPr>
          <w:u w:val="single"/>
        </w:rPr>
        <w:t>FDCs</w:t>
      </w:r>
    </w:p>
    <w:p w14:paraId="7541C8B2" w14:textId="100A6E10" w:rsidR="00791DEA" w:rsidRDefault="009F7CEF" w:rsidP="003B0F98">
      <w:pPr>
        <w:ind w:left="720"/>
        <w:jc w:val="both"/>
      </w:pPr>
      <w:r w:rsidRPr="00A06E2D">
        <w:t>Option 2 propose</w:t>
      </w:r>
      <w:r w:rsidR="009E7B95">
        <w:t>d</w:t>
      </w:r>
      <w:r w:rsidRPr="00A06E2D">
        <w:t xml:space="preserve"> changing the </w:t>
      </w:r>
      <w:r w:rsidR="00954A2B">
        <w:t xml:space="preserve">restriction level </w:t>
      </w:r>
      <w:r w:rsidRPr="00A06E2D">
        <w:t xml:space="preserve">for </w:t>
      </w:r>
      <w:r w:rsidR="004B4C61">
        <w:t xml:space="preserve">only </w:t>
      </w:r>
      <w:r w:rsidR="00791DEA">
        <w:t xml:space="preserve">selected low-moderate dose </w:t>
      </w:r>
      <w:r w:rsidR="00DD235F">
        <w:t xml:space="preserve">dual therapy </w:t>
      </w:r>
      <w:r w:rsidR="00791DEA">
        <w:t xml:space="preserve">antihypertensive </w:t>
      </w:r>
      <w:r w:rsidRPr="00A06E2D">
        <w:t xml:space="preserve">FDCs to </w:t>
      </w:r>
      <w:r w:rsidR="0058566C">
        <w:t>u</w:t>
      </w:r>
      <w:r w:rsidRPr="00A06E2D">
        <w:t xml:space="preserve">nrestricted listings. </w:t>
      </w:r>
      <w:r w:rsidR="00791DEA" w:rsidRPr="00A06E2D">
        <w:t xml:space="preserve">The 60-day prescription items would </w:t>
      </w:r>
      <w:r w:rsidR="00791DEA">
        <w:t xml:space="preserve">remain Restricted Benefit items, with only the standard </w:t>
      </w:r>
      <w:r w:rsidR="00791DEA" w:rsidRPr="00A06E2D">
        <w:t>clinical criterion requiring the patient’s condition to be stable.</w:t>
      </w:r>
      <w:r w:rsidR="00791DEA">
        <w:t xml:space="preserve"> </w:t>
      </w:r>
    </w:p>
    <w:p w14:paraId="227DB2AD" w14:textId="22A42D31" w:rsidR="005F7823" w:rsidRPr="004E4010" w:rsidRDefault="008A20B1" w:rsidP="004E4010">
      <w:pPr>
        <w:pStyle w:val="3-BodyText"/>
        <w:rPr>
          <w:u w:val="single"/>
        </w:rPr>
      </w:pPr>
      <w:r w:rsidRPr="004E4010">
        <w:rPr>
          <w:u w:val="single"/>
        </w:rPr>
        <w:t xml:space="preserve">Option 3: Unrestricted </w:t>
      </w:r>
      <w:r w:rsidR="00EE3341" w:rsidRPr="004E4010">
        <w:rPr>
          <w:u w:val="single"/>
        </w:rPr>
        <w:t>listings</w:t>
      </w:r>
      <w:r w:rsidRPr="004E4010">
        <w:rPr>
          <w:u w:val="single"/>
        </w:rPr>
        <w:t xml:space="preserve"> for selected low-moderate dose dual therapy FDCs with</w:t>
      </w:r>
      <w:r w:rsidR="00EE3341" w:rsidRPr="004E4010">
        <w:rPr>
          <w:u w:val="single"/>
        </w:rPr>
        <w:t xml:space="preserve"> </w:t>
      </w:r>
      <w:r w:rsidR="006E05CE" w:rsidRPr="004E4010">
        <w:rPr>
          <w:u w:val="single"/>
        </w:rPr>
        <w:t xml:space="preserve">sufficient </w:t>
      </w:r>
      <w:r w:rsidR="00EE3341" w:rsidRPr="004E4010">
        <w:rPr>
          <w:u w:val="single"/>
        </w:rPr>
        <w:t>available strength combinations</w:t>
      </w:r>
    </w:p>
    <w:p w14:paraId="1877EA6E" w14:textId="1FB282AF" w:rsidR="001707FC" w:rsidRDefault="00B17DC2" w:rsidP="00B470CF">
      <w:pPr>
        <w:ind w:left="720"/>
        <w:jc w:val="both"/>
      </w:pPr>
      <w:r>
        <w:t>Option 3 propose</w:t>
      </w:r>
      <w:r w:rsidR="009E7B95">
        <w:t>d</w:t>
      </w:r>
      <w:r>
        <w:t xml:space="preserve"> changing </w:t>
      </w:r>
      <w:r w:rsidR="00EC4665">
        <w:t xml:space="preserve">the restriction level for </w:t>
      </w:r>
      <w:r>
        <w:t xml:space="preserve">selected </w:t>
      </w:r>
      <w:r w:rsidR="00EC4665">
        <w:t xml:space="preserve">low-moderate dose dual therapy </w:t>
      </w:r>
      <w:r w:rsidR="001E6522">
        <w:t xml:space="preserve">antihypertensive </w:t>
      </w:r>
      <w:r w:rsidR="00EC4665">
        <w:t xml:space="preserve">FDCs to unrestricted </w:t>
      </w:r>
      <w:r w:rsidR="002B3BD0">
        <w:t>listings</w:t>
      </w:r>
      <w:r w:rsidR="001E6522">
        <w:t>, but</w:t>
      </w:r>
      <w:r w:rsidR="00EC4665">
        <w:t xml:space="preserve"> only for </w:t>
      </w:r>
      <w:r w:rsidR="002B3BD0">
        <w:t xml:space="preserve">combinations where the PBAC considered that the </w:t>
      </w:r>
      <w:r w:rsidR="00E44C77">
        <w:t>strengths available provided sufficient dose titration</w:t>
      </w:r>
      <w:r w:rsidR="009E7B95">
        <w:t xml:space="preserve"> options</w:t>
      </w:r>
      <w:r w:rsidR="00475FD1">
        <w:t xml:space="preserve">. </w:t>
      </w:r>
      <w:r w:rsidR="007467A9">
        <w:t xml:space="preserve">For example, </w:t>
      </w:r>
      <w:r w:rsidR="00606F41">
        <w:t>th</w:t>
      </w:r>
      <w:r w:rsidR="00CD2046">
        <w:t xml:space="preserve">e changes could be limited to low-moderate </w:t>
      </w:r>
      <w:r w:rsidR="00286479">
        <w:t xml:space="preserve">strengths of the following drug combinations </w:t>
      </w:r>
      <w:r w:rsidR="00450A0F">
        <w:t xml:space="preserve">that have 4-5 strengths available on the PBS </w:t>
      </w:r>
      <w:r w:rsidR="00286479">
        <w:t>(</w:t>
      </w:r>
      <w:r w:rsidR="00450A0F">
        <w:t xml:space="preserve">see </w:t>
      </w:r>
      <w:r w:rsidR="004B4C61">
        <w:t xml:space="preserve">also </w:t>
      </w:r>
      <w:r w:rsidR="007467A9">
        <w:t>Table</w:t>
      </w:r>
      <w:r w:rsidR="00606F41">
        <w:t xml:space="preserve"> 1</w:t>
      </w:r>
      <w:r w:rsidR="001707FC">
        <w:t>):</w:t>
      </w:r>
    </w:p>
    <w:p w14:paraId="44E2650F" w14:textId="5AD81DFA" w:rsidR="00077A32" w:rsidRDefault="004B4C61" w:rsidP="00BB461D">
      <w:pPr>
        <w:pStyle w:val="ListParagraph"/>
        <w:numPr>
          <w:ilvl w:val="0"/>
          <w:numId w:val="6"/>
        </w:numPr>
        <w:ind w:left="1276"/>
        <w:jc w:val="both"/>
      </w:pPr>
      <w:r>
        <w:t>v</w:t>
      </w:r>
      <w:r w:rsidR="00077A32">
        <w:t>alsart</w:t>
      </w:r>
      <w:r w:rsidR="001C49C0">
        <w:t>an + HCTZ (5 strengths)</w:t>
      </w:r>
    </w:p>
    <w:p w14:paraId="4EF3148B" w14:textId="797EAD64" w:rsidR="001C49C0" w:rsidRDefault="004B4C61" w:rsidP="00BB461D">
      <w:pPr>
        <w:pStyle w:val="ListParagraph"/>
        <w:numPr>
          <w:ilvl w:val="0"/>
          <w:numId w:val="6"/>
        </w:numPr>
        <w:ind w:left="1276"/>
        <w:jc w:val="both"/>
      </w:pPr>
      <w:r>
        <w:t>v</w:t>
      </w:r>
      <w:r w:rsidR="001C49C0">
        <w:t xml:space="preserve">alsartan + amlodipine </w:t>
      </w:r>
      <w:r w:rsidR="00C574F3">
        <w:t xml:space="preserve">(5 </w:t>
      </w:r>
      <w:r w:rsidR="00133FC5">
        <w:t>strengths</w:t>
      </w:r>
      <w:r w:rsidR="00C574F3">
        <w:t>)</w:t>
      </w:r>
    </w:p>
    <w:p w14:paraId="4ABF9203" w14:textId="15C937DA" w:rsidR="00C574F3" w:rsidRDefault="004B4C61" w:rsidP="00BB461D">
      <w:pPr>
        <w:pStyle w:val="ListParagraph"/>
        <w:numPr>
          <w:ilvl w:val="0"/>
          <w:numId w:val="6"/>
        </w:numPr>
        <w:ind w:left="1276"/>
        <w:jc w:val="both"/>
      </w:pPr>
      <w:r>
        <w:t>t</w:t>
      </w:r>
      <w:r w:rsidR="00C574F3">
        <w:t xml:space="preserve">elmisartan + </w:t>
      </w:r>
      <w:r w:rsidR="003C29FD">
        <w:t>amlodipine (4 strengths)</w:t>
      </w:r>
    </w:p>
    <w:p w14:paraId="31CE75E9" w14:textId="6721992E" w:rsidR="003C29FD" w:rsidRDefault="004B4C61" w:rsidP="00BB461D">
      <w:pPr>
        <w:pStyle w:val="ListParagraph"/>
        <w:numPr>
          <w:ilvl w:val="0"/>
          <w:numId w:val="6"/>
        </w:numPr>
        <w:ind w:left="1276"/>
        <w:jc w:val="both"/>
      </w:pPr>
      <w:r>
        <w:t>p</w:t>
      </w:r>
      <w:r w:rsidR="003C29FD">
        <w:t xml:space="preserve">erindopril + amlodipine (4 strengths). </w:t>
      </w:r>
    </w:p>
    <w:p w14:paraId="2CE5AD95" w14:textId="69F93E78" w:rsidR="008626A1" w:rsidRDefault="002A3166" w:rsidP="00B470CF">
      <w:pPr>
        <w:ind w:left="720"/>
        <w:jc w:val="both"/>
      </w:pPr>
      <w:r>
        <w:lastRenderedPageBreak/>
        <w:t xml:space="preserve">This option may encourage prescribers to commence </w:t>
      </w:r>
      <w:r w:rsidR="002F6139">
        <w:t xml:space="preserve">their patients on </w:t>
      </w:r>
      <w:r w:rsidR="006B1D2C">
        <w:t xml:space="preserve">antihypertensive therapy with </w:t>
      </w:r>
      <w:r w:rsidR="008626A1">
        <w:t>FDC</w:t>
      </w:r>
      <w:r w:rsidR="006B1D2C">
        <w:t xml:space="preserve">s where sufficient strength </w:t>
      </w:r>
      <w:r w:rsidR="008626A1">
        <w:t>combinations</w:t>
      </w:r>
      <w:r w:rsidR="006B1D2C">
        <w:t xml:space="preserve"> are available for adequate dose titration</w:t>
      </w:r>
      <w:r w:rsidR="008626A1">
        <w:t xml:space="preserve">, reducing the need for medication switches or the addition of </w:t>
      </w:r>
      <w:r w:rsidR="002F6139">
        <w:t>a monotherapy drug to achieve the appropriate dose.</w:t>
      </w:r>
    </w:p>
    <w:p w14:paraId="1EFC720C" w14:textId="2FB42469" w:rsidR="003C29FD" w:rsidRPr="00077A32" w:rsidRDefault="003C29FD" w:rsidP="00B470CF">
      <w:pPr>
        <w:ind w:left="720"/>
        <w:jc w:val="both"/>
      </w:pPr>
      <w:r>
        <w:t>If olmesartan 20 mg + amlodipine 10 mg were listed on the PBS</w:t>
      </w:r>
      <w:r w:rsidR="00ED4608">
        <w:t xml:space="preserve">, the restriction level could also be changed for low-moderate dose dual therapy listings of olmesartan + amlodipine. </w:t>
      </w:r>
      <w:r w:rsidR="00101682">
        <w:t>Unrestricted listings for valsartan/</w:t>
      </w:r>
      <w:r w:rsidR="00BD248A">
        <w:t>o</w:t>
      </w:r>
      <w:r w:rsidR="00101682">
        <w:t>lmesartan + amlodipine</w:t>
      </w:r>
      <w:r w:rsidR="00BD248A">
        <w:t xml:space="preserve"> may have the benefit of increasing use of triple therapy antihypertensive FDCs</w:t>
      </w:r>
      <w:r w:rsidR="0017077C">
        <w:t xml:space="preserve">, as these drugs are the only drugs available in </w:t>
      </w:r>
      <w:r w:rsidR="00501642">
        <w:t xml:space="preserve">triple therapy </w:t>
      </w:r>
      <w:r w:rsidR="0017077C">
        <w:t>combination with HCTZ through the PBS.</w:t>
      </w:r>
    </w:p>
    <w:p w14:paraId="7A3EABB3" w14:textId="142B1B0B" w:rsidR="00DB4E5E" w:rsidRDefault="009E7B95" w:rsidP="004E4010">
      <w:pPr>
        <w:pStyle w:val="3-BodyText"/>
      </w:pPr>
      <w:r>
        <w:t xml:space="preserve">The PBAC noted the potential </w:t>
      </w:r>
      <w:r w:rsidR="00DB4E5E">
        <w:t xml:space="preserve">quality use of medicines issues with commencing patients on dual therapy, </w:t>
      </w:r>
      <w:r w:rsidR="00A56CC5">
        <w:t>such as the inability to determine efficacy of the individual drugs</w:t>
      </w:r>
      <w:r w:rsidR="001D6775">
        <w:t xml:space="preserve">, or to reliably </w:t>
      </w:r>
      <w:r w:rsidR="00BD4D7D">
        <w:t>attribute adverse events</w:t>
      </w:r>
      <w:r w:rsidR="00F77975">
        <w:t>.</w:t>
      </w:r>
    </w:p>
    <w:p w14:paraId="6AABC42F" w14:textId="06A8AAD8" w:rsidR="00E34976" w:rsidRDefault="00E34976" w:rsidP="004E4010">
      <w:pPr>
        <w:pStyle w:val="3-BodyText"/>
      </w:pPr>
      <w:r>
        <w:t xml:space="preserve">The antihypertensives report estimated savings to the PBS from allowing patients to commence therapy with FDCs. </w:t>
      </w:r>
      <w:r w:rsidR="009E7B95">
        <w:t>The PBAC noted that t</w:t>
      </w:r>
      <w:r>
        <w:t>hese estimates include</w:t>
      </w:r>
      <w:r w:rsidR="009E7B95">
        <w:t>d</w:t>
      </w:r>
      <w:r>
        <w:t xml:space="preserve"> only drug costs and d</w:t>
      </w:r>
      <w:r w:rsidR="009E7B95">
        <w:t>id</w:t>
      </w:r>
      <w:r>
        <w:t xml:space="preserve"> not include any health system impacts associated with either reduced CV events or increased adverse events.</w:t>
      </w:r>
      <w:r w:rsidR="009E7B95">
        <w:t xml:space="preserve"> </w:t>
      </w:r>
      <w:r>
        <w:t>The estimated savings d</w:t>
      </w:r>
      <w:r w:rsidR="009E7B95">
        <w:t>id</w:t>
      </w:r>
      <w:r>
        <w:t xml:space="preserve"> not include any potential increase in costs to the PBS from patients initiating FDCs, who would otherwise have commenced and continued monotherapy.</w:t>
      </w:r>
      <w:r w:rsidR="009E7B95">
        <w:t xml:space="preserve"> The PBAC noted that the estimates in the report had not been validated by the Department and should be considered indicative only. The PBAC noted that the Department would develop revised financial estimates to reflect any restriction changes recommended by the PBAC</w:t>
      </w:r>
      <w:r>
        <w:t>.</w:t>
      </w:r>
      <w:r w:rsidR="009E7B95">
        <w:t xml:space="preserve"> </w:t>
      </w:r>
    </w:p>
    <w:p w14:paraId="15B85E26" w14:textId="29760496" w:rsidR="00240B99" w:rsidRDefault="009E7B95" w:rsidP="004E4010">
      <w:pPr>
        <w:pStyle w:val="3-BodyText"/>
      </w:pPr>
      <w:r>
        <w:t>The PBAC noted that c</w:t>
      </w:r>
      <w:r w:rsidR="00240B99">
        <w:t xml:space="preserve">hanging antihypertensive FDCs to </w:t>
      </w:r>
      <w:r w:rsidR="002F6E98">
        <w:t>u</w:t>
      </w:r>
      <w:r w:rsidR="00240B99">
        <w:t xml:space="preserve">nrestricted listings would be </w:t>
      </w:r>
      <w:r w:rsidR="0058566C">
        <w:t xml:space="preserve">consistent </w:t>
      </w:r>
      <w:r w:rsidR="00240B99">
        <w:t xml:space="preserve">with the PBAC’s May 2024 recommendation to change the </w:t>
      </w:r>
      <w:r w:rsidR="00954A2B">
        <w:t xml:space="preserve">restriction level </w:t>
      </w:r>
      <w:r w:rsidR="00240B99">
        <w:t xml:space="preserve">for ezetimibe + statin (HMG-CoA reductase inhibitor) FDCs </w:t>
      </w:r>
      <w:r w:rsidR="00954A2B">
        <w:t xml:space="preserve">from Authority Required (Streamlined) </w:t>
      </w:r>
      <w:r w:rsidR="00240B99">
        <w:t xml:space="preserve">to </w:t>
      </w:r>
      <w:r w:rsidR="0058566C">
        <w:t>u</w:t>
      </w:r>
      <w:r w:rsidR="00240B99">
        <w:t>nrestricted listings</w:t>
      </w:r>
      <w:r w:rsidR="0073522E">
        <w:t xml:space="preserve">. These changes were </w:t>
      </w:r>
      <w:r w:rsidR="00240B99">
        <w:t>implemented on 1</w:t>
      </w:r>
      <w:r w:rsidR="00D814B0">
        <w:t> </w:t>
      </w:r>
      <w:r w:rsidR="00240B99">
        <w:t xml:space="preserve">November 2024. </w:t>
      </w:r>
      <w:r w:rsidR="009151E7">
        <w:t>Like</w:t>
      </w:r>
      <w:r w:rsidR="0073522E">
        <w:t xml:space="preserve"> antihypertensive FDCs, in the case of ezetimibe + statin FDCs there was misalignment between the TGA indication/PBS restrictions and the place</w:t>
      </w:r>
      <w:r>
        <w:t xml:space="preserve"> of ezetimibe + statin </w:t>
      </w:r>
      <w:r w:rsidR="004B4C61">
        <w:t>combination therapy</w:t>
      </w:r>
      <w:r w:rsidR="0073522E">
        <w:t xml:space="preserve"> in clinical guidelines.</w:t>
      </w:r>
    </w:p>
    <w:p w14:paraId="085A9D22" w14:textId="7F528565" w:rsidR="00A92947" w:rsidRDefault="001D222D" w:rsidP="004E4010">
      <w:pPr>
        <w:pStyle w:val="3-BodyText"/>
      </w:pPr>
      <w:r>
        <w:t xml:space="preserve">The PBAC noted that if changes to the PBS restrictions for antihypertensive FDCs were recommended and implemented, that the Department intended to </w:t>
      </w:r>
      <w:r w:rsidR="00474FC9">
        <w:t xml:space="preserve">work with the Australian Commission on </w:t>
      </w:r>
      <w:r w:rsidR="00882849">
        <w:t xml:space="preserve">Safety and Quality in Health Care (ACSQHC) to </w:t>
      </w:r>
      <w:r w:rsidR="00944F61">
        <w:t>communicate</w:t>
      </w:r>
      <w:r w:rsidR="00882849">
        <w:t xml:space="preserve"> these changes</w:t>
      </w:r>
      <w:r w:rsidR="00CE48C4">
        <w:t xml:space="preserve"> to prescribers. </w:t>
      </w:r>
    </w:p>
    <w:p w14:paraId="33432BCA" w14:textId="7D897360" w:rsidR="009F7CEF" w:rsidRPr="00A06E2D" w:rsidRDefault="004B4529" w:rsidP="00C93469">
      <w:pPr>
        <w:pStyle w:val="2Sections"/>
        <w:keepNext/>
        <w:keepLines/>
      </w:pPr>
      <w:r>
        <w:t>PBAC Outcome</w:t>
      </w:r>
    </w:p>
    <w:p w14:paraId="56A5B659" w14:textId="4289367A" w:rsidR="00461735" w:rsidRPr="0092498F" w:rsidRDefault="00EB54C1" w:rsidP="004E4010">
      <w:pPr>
        <w:pStyle w:val="3-BodyText"/>
      </w:pPr>
      <w:r w:rsidRPr="00EB54C1">
        <w:t xml:space="preserve">The PBAC </w:t>
      </w:r>
      <w:r>
        <w:t xml:space="preserve">noted </w:t>
      </w:r>
      <w:r w:rsidR="00473457">
        <w:t>the report on antihypertensive utilisation through the PBS, which includ</w:t>
      </w:r>
      <w:r w:rsidR="00BB4393">
        <w:t>ed</w:t>
      </w:r>
      <w:r w:rsidR="00473457">
        <w:t xml:space="preserve"> a costing analysis and literature review</w:t>
      </w:r>
      <w:r w:rsidR="00BB4393">
        <w:t xml:space="preserve">. </w:t>
      </w:r>
      <w:r w:rsidR="00C8719C">
        <w:t>T</w:t>
      </w:r>
      <w:r w:rsidR="0092498F" w:rsidRPr="00C8719C">
        <w:t xml:space="preserve">he PBAC </w:t>
      </w:r>
      <w:r w:rsidR="00C8719C">
        <w:t xml:space="preserve">noted the key findings from the report detailed above, and </w:t>
      </w:r>
      <w:r w:rsidR="0092498F" w:rsidRPr="00C8719C">
        <w:t>considered that the report illustrated the following</w:t>
      </w:r>
      <w:r w:rsidR="00C8719C">
        <w:t xml:space="preserve"> additional</w:t>
      </w:r>
      <w:r w:rsidR="0092498F" w:rsidRPr="00C8719C">
        <w:t xml:space="preserve"> utilisation trends:</w:t>
      </w:r>
    </w:p>
    <w:p w14:paraId="717C9571" w14:textId="4C4DA7C2" w:rsidR="0092498F" w:rsidRPr="00031859" w:rsidRDefault="0092498F" w:rsidP="002018F0">
      <w:pPr>
        <w:pStyle w:val="3Bodytext"/>
        <w:numPr>
          <w:ilvl w:val="2"/>
          <w:numId w:val="3"/>
        </w:numPr>
      </w:pPr>
      <w:r>
        <w:rPr>
          <w:bCs w:val="0"/>
        </w:rPr>
        <w:lastRenderedPageBreak/>
        <w:t xml:space="preserve">That the proportion of patients initiating antihypertensive therapy with an FDC </w:t>
      </w:r>
      <w:r w:rsidR="00031859">
        <w:rPr>
          <w:bCs w:val="0"/>
        </w:rPr>
        <w:t>had trended down over the ten years between 2013-2023 but the proportion of the prevalent patient population on an FDC had remained relatively stable over th</w:t>
      </w:r>
      <w:r w:rsidR="00C8719C">
        <w:rPr>
          <w:bCs w:val="0"/>
        </w:rPr>
        <w:t>is</w:t>
      </w:r>
      <w:r w:rsidR="00031859">
        <w:rPr>
          <w:bCs w:val="0"/>
        </w:rPr>
        <w:t xml:space="preserve"> time.</w:t>
      </w:r>
    </w:p>
    <w:p w14:paraId="7A915C87" w14:textId="5E5AC9B0" w:rsidR="00031859" w:rsidRPr="00031859" w:rsidRDefault="00031859" w:rsidP="002018F0">
      <w:pPr>
        <w:pStyle w:val="3Bodytext"/>
        <w:numPr>
          <w:ilvl w:val="2"/>
          <w:numId w:val="3"/>
        </w:numPr>
      </w:pPr>
      <w:r>
        <w:rPr>
          <w:bCs w:val="0"/>
        </w:rPr>
        <w:t xml:space="preserve">That patients on antihypertensive triple therapy were more likely to be on an FDC than patients on dual therapy, which demonstrated that prescribers were attempting to reduce pill burden for patients as therapy is escalated. However, the PBAC noted that </w:t>
      </w:r>
      <w:r w:rsidR="00C8719C">
        <w:rPr>
          <w:bCs w:val="0"/>
        </w:rPr>
        <w:t>in 2023 t</w:t>
      </w:r>
      <w:r>
        <w:rPr>
          <w:bCs w:val="0"/>
        </w:rPr>
        <w:t xml:space="preserve">here </w:t>
      </w:r>
      <w:r w:rsidR="00C8719C">
        <w:rPr>
          <w:bCs w:val="0"/>
        </w:rPr>
        <w:t>were</w:t>
      </w:r>
      <w:r>
        <w:rPr>
          <w:bCs w:val="0"/>
        </w:rPr>
        <w:t xml:space="preserve"> around 37</w:t>
      </w:r>
      <w:r w:rsidR="004B4C61">
        <w:rPr>
          <w:bCs w:val="0"/>
        </w:rPr>
        <w:t>8</w:t>
      </w:r>
      <w:r>
        <w:rPr>
          <w:bCs w:val="0"/>
        </w:rPr>
        <w:t>,000 patients who could potentially benefit from being switched to an FDC.</w:t>
      </w:r>
    </w:p>
    <w:p w14:paraId="43B99A0B" w14:textId="2C7D854A" w:rsidR="00031859" w:rsidRPr="00031859" w:rsidRDefault="00031859" w:rsidP="002018F0">
      <w:pPr>
        <w:pStyle w:val="3Bodytext"/>
        <w:numPr>
          <w:ilvl w:val="2"/>
          <w:numId w:val="3"/>
        </w:numPr>
      </w:pPr>
      <w:r>
        <w:rPr>
          <w:bCs w:val="0"/>
        </w:rPr>
        <w:t xml:space="preserve">That </w:t>
      </w:r>
      <w:r w:rsidR="007D52E9">
        <w:rPr>
          <w:bCs w:val="0"/>
        </w:rPr>
        <w:t xml:space="preserve">for patients who initiated antihypertensive therapy between 2015 to 2019, </w:t>
      </w:r>
      <w:r w:rsidR="004B4C61">
        <w:rPr>
          <w:bCs w:val="0"/>
        </w:rPr>
        <w:t xml:space="preserve">the </w:t>
      </w:r>
      <w:r>
        <w:rPr>
          <w:bCs w:val="0"/>
        </w:rPr>
        <w:t>median time to discontinuation</w:t>
      </w:r>
      <w:r w:rsidR="004B4C61">
        <w:rPr>
          <w:bCs w:val="0"/>
        </w:rPr>
        <w:t xml:space="preserve"> of index therapy</w:t>
      </w:r>
      <w:r w:rsidR="007D52E9">
        <w:rPr>
          <w:bCs w:val="0"/>
        </w:rPr>
        <w:t xml:space="preserve"> due to switch or cessation</w:t>
      </w:r>
      <w:r w:rsidR="00FB00F7">
        <w:rPr>
          <w:bCs w:val="0"/>
        </w:rPr>
        <w:t xml:space="preserve"> was significantly higher for patients initiated </w:t>
      </w:r>
      <w:r w:rsidR="004B4C61">
        <w:rPr>
          <w:bCs w:val="0"/>
        </w:rPr>
        <w:t xml:space="preserve">on </w:t>
      </w:r>
      <w:r w:rsidR="00FB00F7">
        <w:rPr>
          <w:bCs w:val="0"/>
        </w:rPr>
        <w:t>monotherapy</w:t>
      </w:r>
      <w:r w:rsidR="004B4C61">
        <w:rPr>
          <w:bCs w:val="0"/>
        </w:rPr>
        <w:t xml:space="preserve"> than </w:t>
      </w:r>
      <w:r w:rsidR="007D52E9">
        <w:rPr>
          <w:bCs w:val="0"/>
        </w:rPr>
        <w:t>those on an ACE/ATRA FDC</w:t>
      </w:r>
      <w:r w:rsidR="00FB00F7">
        <w:rPr>
          <w:bCs w:val="0"/>
        </w:rPr>
        <w:t xml:space="preserve"> (10 months</w:t>
      </w:r>
      <w:r w:rsidR="007D52E9">
        <w:rPr>
          <w:bCs w:val="0"/>
        </w:rPr>
        <w:t xml:space="preserve"> vs 4 months; HR 0.71 95% CI 0.69-0.72)</w:t>
      </w:r>
      <w:r w:rsidR="00FB00F7">
        <w:rPr>
          <w:bCs w:val="0"/>
        </w:rPr>
        <w:t>.</w:t>
      </w:r>
      <w:r w:rsidR="007D52E9">
        <w:rPr>
          <w:bCs w:val="0"/>
        </w:rPr>
        <w:t xml:space="preserve"> However, overall persistence to any antihypertensive therapy at 4 years was similar between patients who started monotherapy and those who started an FDC, with a slightly lower persistence occurring in the first few months following initiation for patients using an FDC.</w:t>
      </w:r>
    </w:p>
    <w:p w14:paraId="25597F7D" w14:textId="458B8AC1" w:rsidR="00031859" w:rsidRPr="00FB00F7" w:rsidRDefault="00031859" w:rsidP="002018F0">
      <w:pPr>
        <w:pStyle w:val="3Bodytext"/>
        <w:numPr>
          <w:ilvl w:val="2"/>
          <w:numId w:val="3"/>
        </w:numPr>
      </w:pPr>
      <w:r>
        <w:rPr>
          <w:bCs w:val="0"/>
        </w:rPr>
        <w:t>That adherence rates were high for all antihypertensive classes.</w:t>
      </w:r>
    </w:p>
    <w:p w14:paraId="46B7CF01" w14:textId="542DD3E8" w:rsidR="00FB00F7" w:rsidRPr="002F168C" w:rsidRDefault="00FB00F7" w:rsidP="002018F0">
      <w:pPr>
        <w:pStyle w:val="3Bodytext"/>
        <w:numPr>
          <w:ilvl w:val="2"/>
          <w:numId w:val="3"/>
        </w:numPr>
      </w:pPr>
      <w:r>
        <w:rPr>
          <w:bCs w:val="0"/>
        </w:rPr>
        <w:t>That female patients</w:t>
      </w:r>
      <w:r w:rsidR="007D52E9">
        <w:rPr>
          <w:bCs w:val="0"/>
        </w:rPr>
        <w:t>,</w:t>
      </w:r>
      <w:r>
        <w:rPr>
          <w:bCs w:val="0"/>
        </w:rPr>
        <w:t xml:space="preserve"> and older patients</w:t>
      </w:r>
      <w:r w:rsidR="007D52E9">
        <w:rPr>
          <w:bCs w:val="0"/>
        </w:rPr>
        <w:t>,</w:t>
      </w:r>
      <w:r>
        <w:rPr>
          <w:bCs w:val="0"/>
        </w:rPr>
        <w:t xml:space="preserve"> generally had lower </w:t>
      </w:r>
      <w:r w:rsidR="00C8719C">
        <w:rPr>
          <w:bCs w:val="0"/>
        </w:rPr>
        <w:t xml:space="preserve">antihypertensive </w:t>
      </w:r>
      <w:r>
        <w:rPr>
          <w:bCs w:val="0"/>
        </w:rPr>
        <w:t>FDC use.</w:t>
      </w:r>
    </w:p>
    <w:p w14:paraId="42A11D4F" w14:textId="4B4C81AD" w:rsidR="00017A1C" w:rsidRPr="00BB4393" w:rsidRDefault="007226A9" w:rsidP="002018F0">
      <w:pPr>
        <w:pStyle w:val="3Bodytext"/>
        <w:numPr>
          <w:ilvl w:val="2"/>
          <w:numId w:val="3"/>
        </w:numPr>
      </w:pPr>
      <w:r>
        <w:rPr>
          <w:bCs w:val="0"/>
        </w:rPr>
        <w:t xml:space="preserve">That the analysis of comorbid conditions and use of antihypertensives concordant with current clinical guidelines indicated that use of </w:t>
      </w:r>
      <w:r w:rsidR="001D6775">
        <w:rPr>
          <w:bCs w:val="0"/>
        </w:rPr>
        <w:t xml:space="preserve">an </w:t>
      </w:r>
      <w:r>
        <w:rPr>
          <w:bCs w:val="0"/>
        </w:rPr>
        <w:t>ACE/ATRA in patients with chronic kidney disease</w:t>
      </w:r>
      <w:r w:rsidR="00B470CF">
        <w:rPr>
          <w:bCs w:val="0"/>
        </w:rPr>
        <w:t>,</w:t>
      </w:r>
      <w:r>
        <w:rPr>
          <w:bCs w:val="0"/>
        </w:rPr>
        <w:t xml:space="preserve"> </w:t>
      </w:r>
      <w:r w:rsidR="001D6775">
        <w:rPr>
          <w:bCs w:val="0"/>
        </w:rPr>
        <w:t>guideline</w:t>
      </w:r>
      <w:r w:rsidR="00B470CF">
        <w:rPr>
          <w:bCs w:val="0"/>
        </w:rPr>
        <w:t xml:space="preserve"> </w:t>
      </w:r>
      <w:r>
        <w:rPr>
          <w:bCs w:val="0"/>
        </w:rPr>
        <w:t>recommended</w:t>
      </w:r>
      <w:r w:rsidR="00B470CF">
        <w:rPr>
          <w:bCs w:val="0"/>
        </w:rPr>
        <w:t>,</w:t>
      </w:r>
      <w:r>
        <w:rPr>
          <w:bCs w:val="0"/>
        </w:rPr>
        <w:t xml:space="preserve"> was only 53%</w:t>
      </w:r>
      <w:r w:rsidR="00B470CF">
        <w:rPr>
          <w:bCs w:val="0"/>
        </w:rPr>
        <w:t>.</w:t>
      </w:r>
      <w:r>
        <w:rPr>
          <w:bCs w:val="0"/>
        </w:rPr>
        <w:t xml:space="preserve"> </w:t>
      </w:r>
      <w:r w:rsidR="00B470CF">
        <w:rPr>
          <w:bCs w:val="0"/>
        </w:rPr>
        <w:t>U</w:t>
      </w:r>
      <w:r>
        <w:rPr>
          <w:bCs w:val="0"/>
        </w:rPr>
        <w:t>se of BBs or thiazides in patients with diabetes</w:t>
      </w:r>
      <w:r w:rsidR="00B470CF">
        <w:rPr>
          <w:bCs w:val="0"/>
        </w:rPr>
        <w:t xml:space="preserve">, where </w:t>
      </w:r>
      <w:r>
        <w:rPr>
          <w:bCs w:val="0"/>
        </w:rPr>
        <w:t xml:space="preserve">caution </w:t>
      </w:r>
      <w:r w:rsidR="00B470CF">
        <w:rPr>
          <w:bCs w:val="0"/>
        </w:rPr>
        <w:t>is advised due to potential adverse effects on glucose metabolism</w:t>
      </w:r>
      <w:r w:rsidR="001D6775">
        <w:rPr>
          <w:bCs w:val="0"/>
        </w:rPr>
        <w:t xml:space="preserve"> and hypoglycaemic awareness</w:t>
      </w:r>
      <w:r w:rsidR="00B470CF">
        <w:rPr>
          <w:bCs w:val="0"/>
        </w:rPr>
        <w:t>,</w:t>
      </w:r>
      <w:r>
        <w:rPr>
          <w:bCs w:val="0"/>
        </w:rPr>
        <w:t xml:space="preserve"> was 32% and 20%, respectively. The PBAC considered these important quality use of medicines findings that should be communicated to prescribers. </w:t>
      </w:r>
    </w:p>
    <w:p w14:paraId="3B6575F7" w14:textId="0299DF0D" w:rsidR="00EE655F" w:rsidRPr="00EE655F" w:rsidRDefault="00EE655F" w:rsidP="004E4010">
      <w:pPr>
        <w:pStyle w:val="3-BodyText"/>
      </w:pPr>
      <w:r>
        <w:t xml:space="preserve">The PBAC noted that interpretation of the utilisation analysis findings was complicated </w:t>
      </w:r>
      <w:r w:rsidR="00B12AB7">
        <w:t xml:space="preserve">for those </w:t>
      </w:r>
      <w:r>
        <w:t>antihypertensives</w:t>
      </w:r>
      <w:r w:rsidR="007226A9">
        <w:t xml:space="preserve">, </w:t>
      </w:r>
      <w:r w:rsidR="002B7A52">
        <w:t xml:space="preserve">e.g. </w:t>
      </w:r>
      <w:r w:rsidR="007226A9">
        <w:t>BBs,</w:t>
      </w:r>
      <w:r>
        <w:t xml:space="preserve"> </w:t>
      </w:r>
      <w:r w:rsidR="002F0C48">
        <w:t>which</w:t>
      </w:r>
      <w:r w:rsidR="00B12AB7">
        <w:t xml:space="preserve"> are also indicated </w:t>
      </w:r>
      <w:r>
        <w:t xml:space="preserve">for the treatment of conditions other than hypertension. </w:t>
      </w:r>
    </w:p>
    <w:p w14:paraId="03ED313F" w14:textId="6B1A722D" w:rsidR="002B7A52" w:rsidRDefault="002B7A52" w:rsidP="004E4010">
      <w:pPr>
        <w:pStyle w:val="3-BodyText"/>
      </w:pPr>
      <w:r w:rsidRPr="000E11FA">
        <w:t xml:space="preserve">The PBAC considered the </w:t>
      </w:r>
      <w:r>
        <w:t xml:space="preserve">three </w:t>
      </w:r>
      <w:r w:rsidRPr="000E11FA">
        <w:t xml:space="preserve">proposed options for </w:t>
      </w:r>
      <w:r w:rsidRPr="00A06E2D">
        <w:t xml:space="preserve">changes to simplify the PBS restrictions for </w:t>
      </w:r>
      <w:r>
        <w:t xml:space="preserve">antihypertensive </w:t>
      </w:r>
      <w:r w:rsidRPr="00A06E2D">
        <w:t>FDCs</w:t>
      </w:r>
      <w:r w:rsidR="00516327">
        <w:t>.</w:t>
      </w:r>
      <w:r>
        <w:t xml:space="preserve"> </w:t>
      </w:r>
      <w:r w:rsidR="00516327">
        <w:t>The PBAC considered an additional</w:t>
      </w:r>
      <w:r>
        <w:t xml:space="preserve"> option of maintaining the current PBS restrictions and reconsidering any changes following release of the updated Heart Foundation guidelines for hypertension. The PBAC recommended </w:t>
      </w:r>
      <w:r w:rsidR="00B12AB7">
        <w:t xml:space="preserve">Option 1, </w:t>
      </w:r>
      <w:r>
        <w:t>changing all antihypertensive dual therapy FDCs to unrestricted benefit listings</w:t>
      </w:r>
      <w:r w:rsidR="00B12AB7">
        <w:t>. T</w:t>
      </w:r>
      <w:r>
        <w:t xml:space="preserve">he </w:t>
      </w:r>
      <w:r w:rsidR="00B12AB7">
        <w:t xml:space="preserve">dual therapy FDC </w:t>
      </w:r>
      <w:r>
        <w:t xml:space="preserve">60-day prescription items </w:t>
      </w:r>
      <w:r w:rsidR="00B12AB7">
        <w:t xml:space="preserve">will remain </w:t>
      </w:r>
      <w:r>
        <w:t xml:space="preserve">Restricted Benefit listings with the standard clinical criterion requiring the patient’s condition to be stable </w:t>
      </w:r>
      <w:r w:rsidR="00B12AB7">
        <w:t xml:space="preserve">to be retained. </w:t>
      </w:r>
      <w:r>
        <w:t>The PBAC considered that the restrictions for antihypertensive triple therapy FDCs should remain Restricted Benefit listings with the current criteria</w:t>
      </w:r>
      <w:r w:rsidR="002C7134">
        <w:t xml:space="preserve">. </w:t>
      </w:r>
    </w:p>
    <w:p w14:paraId="3D86E8D2" w14:textId="41BCF75F" w:rsidR="002B7A52" w:rsidRDefault="002B7A52" w:rsidP="004E4010">
      <w:pPr>
        <w:pStyle w:val="3-BodyText"/>
      </w:pPr>
      <w:r>
        <w:lastRenderedPageBreak/>
        <w:t>The PBAC considered that Option 2 (</w:t>
      </w:r>
      <w:r w:rsidRPr="00695C05">
        <w:t>Unrestricted listings for selected low-moderate dose dual therapy FDCs</w:t>
      </w:r>
      <w:r>
        <w:t>) and Option 3 (</w:t>
      </w:r>
      <w:r w:rsidRPr="00695C05">
        <w:t>Unrestricted listings for selected low-moderate dose dual therapy FDCs with sufficient available strength combinations</w:t>
      </w:r>
      <w:r>
        <w:t>) would add unnecessary complexity to the PBS restrictions for antihypertensives. The PBAC considered that clinicians were experienced in navigating antihypertensive dose titration within the available PBS-listed strengths</w:t>
      </w:r>
      <w:r w:rsidR="00B12AB7">
        <w:t>,</w:t>
      </w:r>
      <w:r>
        <w:t xml:space="preserve"> and </w:t>
      </w:r>
      <w:r w:rsidR="00B12AB7">
        <w:t xml:space="preserve">in </w:t>
      </w:r>
      <w:r>
        <w:t>managing</w:t>
      </w:r>
      <w:r w:rsidR="00B12AB7">
        <w:t xml:space="preserve"> medicine supply</w:t>
      </w:r>
      <w:r>
        <w:t xml:space="preserve"> shortages, making it unnecessary to limit the restriction changes to </w:t>
      </w:r>
      <w:r w:rsidR="00B12AB7">
        <w:t>FDCs</w:t>
      </w:r>
      <w:r w:rsidR="00B470CF">
        <w:t xml:space="preserve"> </w:t>
      </w:r>
      <w:r>
        <w:t xml:space="preserve">with sufficient available strengths (Option 3). </w:t>
      </w:r>
    </w:p>
    <w:p w14:paraId="4C554BB8" w14:textId="77777777" w:rsidR="00CC1100" w:rsidRDefault="002F168C" w:rsidP="004E4010">
      <w:pPr>
        <w:pStyle w:val="3-BodyText"/>
      </w:pPr>
      <w:r>
        <w:t>The PBAC noted that there was limited evidence to support</w:t>
      </w:r>
      <w:r w:rsidR="00345C78">
        <w:t xml:space="preserve"> initia</w:t>
      </w:r>
      <w:r w:rsidR="00CC1100">
        <w:t xml:space="preserve">tion of antihypertensive therapy with </w:t>
      </w:r>
      <w:r w:rsidR="00345C78">
        <w:t xml:space="preserve">low dose dual </w:t>
      </w:r>
      <w:r w:rsidR="00CC1100">
        <w:t xml:space="preserve">FDC </w:t>
      </w:r>
      <w:r w:rsidR="00345C78">
        <w:t>therapy over standard care</w:t>
      </w:r>
      <w:r>
        <w:t xml:space="preserve">. The </w:t>
      </w:r>
      <w:r w:rsidR="00345C78">
        <w:t xml:space="preserve">literature review in the </w:t>
      </w:r>
      <w:r>
        <w:t xml:space="preserve">report identified no </w:t>
      </w:r>
      <w:r w:rsidR="00345C78">
        <w:t>systematic</w:t>
      </w:r>
      <w:r>
        <w:t xml:space="preserve"> reviews or </w:t>
      </w:r>
      <w:r w:rsidR="00345C78">
        <w:t>meta</w:t>
      </w:r>
      <w:r>
        <w:t>-analyses and only two relevant RCTs. The PBAC noted that the RCTs demonstrated a more rapid improvement in BP</w:t>
      </w:r>
      <w:r w:rsidR="00345C78">
        <w:t xml:space="preserve"> for patients who initiated low dose dual </w:t>
      </w:r>
      <w:r w:rsidR="00CC1100">
        <w:t xml:space="preserve">FDC </w:t>
      </w:r>
      <w:r w:rsidR="00345C78">
        <w:t>therapy</w:t>
      </w:r>
      <w:r w:rsidR="00CC1100">
        <w:t xml:space="preserve"> versus standard care</w:t>
      </w:r>
      <w:r>
        <w:t xml:space="preserve">, </w:t>
      </w:r>
      <w:r w:rsidR="00345C78">
        <w:t xml:space="preserve">and that </w:t>
      </w:r>
      <w:r w:rsidR="00CC1100">
        <w:t>a more rapid reduction in BP</w:t>
      </w:r>
      <w:r w:rsidR="00345C78">
        <w:t xml:space="preserve"> was associated with reductions in CV events.</w:t>
      </w:r>
      <w:r w:rsidR="00CC1100">
        <w:rPr>
          <w:rStyle w:val="FootnoteReference"/>
        </w:rPr>
        <w:footnoteReference w:id="12"/>
      </w:r>
      <w:r w:rsidR="00345C78">
        <w:t xml:space="preserve"> </w:t>
      </w:r>
    </w:p>
    <w:p w14:paraId="2F57DFA1" w14:textId="5075D026" w:rsidR="00345C78" w:rsidRDefault="00345C78" w:rsidP="004E4010">
      <w:pPr>
        <w:pStyle w:val="3-BodyText"/>
      </w:pPr>
      <w:r>
        <w:t xml:space="preserve">The PBAC noted the increased risk of hypotension associated with initiating antihypertensive therapy with low dose dual </w:t>
      </w:r>
      <w:r w:rsidR="00CC1100">
        <w:t xml:space="preserve">FDC </w:t>
      </w:r>
      <w:r>
        <w:t>therapy</w:t>
      </w:r>
      <w:r w:rsidR="00CC1100">
        <w:t xml:space="preserve"> versus standard care in the PATHWAY trial (25% versus 14%; p &lt;0.001).</w:t>
      </w:r>
      <w:r w:rsidR="00CC1100">
        <w:rPr>
          <w:rStyle w:val="FootnoteReference"/>
        </w:rPr>
        <w:footnoteReference w:id="13"/>
      </w:r>
      <w:r w:rsidR="00695C05">
        <w:t xml:space="preserve"> The PBAC considered that the increased risk of falls associated with hypotension could be managed through appropriate patient selection and noted that clinical guidelines generally recommended initiation of low dose monotherapy for elderly and frail patients. </w:t>
      </w:r>
    </w:p>
    <w:p w14:paraId="73EE7249" w14:textId="73135DCF" w:rsidR="00B470CF" w:rsidRDefault="00106AE4" w:rsidP="004E4010">
      <w:pPr>
        <w:pStyle w:val="3-BodyText"/>
      </w:pPr>
      <w:r>
        <w:t xml:space="preserve">The PBAC noted that clinical guidelines cited difficulty in </w:t>
      </w:r>
      <w:r w:rsidR="00B1221E">
        <w:t xml:space="preserve">accurately </w:t>
      </w:r>
      <w:r>
        <w:t xml:space="preserve">attributing side effects as a reason against initiation of </w:t>
      </w:r>
      <w:r w:rsidR="00B0177E">
        <w:t>FDCs but</w:t>
      </w:r>
      <w:r>
        <w:t xml:space="preserve"> considered that common side effects were often readily attributable to a specific antihypertensive </w:t>
      </w:r>
      <w:r w:rsidR="00B1221E">
        <w:t>on the basis of expected pharmacological actions</w:t>
      </w:r>
      <w:r>
        <w:t>.</w:t>
      </w:r>
    </w:p>
    <w:p w14:paraId="1A1B5875" w14:textId="1CD36D8A" w:rsidR="007B37A3" w:rsidRDefault="007B37A3" w:rsidP="004E4010">
      <w:pPr>
        <w:pStyle w:val="3-BodyText"/>
      </w:pPr>
      <w:r>
        <w:t>The PBAC noted that the potential cost savings estimated in the report assumed that all patients who initiated antihypertensive treatment with dual (not FDC) therapy or who initiated monotherapy but were on dual (not FDC) therapy by 12 weeks post</w:t>
      </w:r>
      <w:r w:rsidR="00F24161">
        <w:rPr>
          <w:vertAlign w:val="subscript"/>
        </w:rPr>
        <w:t xml:space="preserve"> </w:t>
      </w:r>
      <w:r>
        <w:t xml:space="preserve">initiation, would be initiated on an FDC. The PBAC considered this scenario unlikely in the current Australian clinical context, where most patients are initiated on monotherapy, resulting in an overestimate of the potential savings. </w:t>
      </w:r>
      <w:r w:rsidR="00F35BBB">
        <w:t xml:space="preserve">The PBAC </w:t>
      </w:r>
      <w:r w:rsidR="00326034">
        <w:t>considered that</w:t>
      </w:r>
      <w:r w:rsidR="00F35BBB">
        <w:t xml:space="preserve"> a significant or rapid change in prescribing patterns to increase initiations with dual therapy was unlikely.</w:t>
      </w:r>
    </w:p>
    <w:p w14:paraId="5B5ED873" w14:textId="0A3EC8AE" w:rsidR="00B12AB7" w:rsidRDefault="00B12AB7" w:rsidP="004E4010">
      <w:pPr>
        <w:pStyle w:val="3-BodyText"/>
      </w:pPr>
      <w:r>
        <w:lastRenderedPageBreak/>
        <w:t>The PBAC noted that the costings did not account for patients who may initiate a dual therapy FDC if the PBS restrictions allowed</w:t>
      </w:r>
      <w:r w:rsidR="00F35BBB">
        <w:t xml:space="preserve"> this</w:t>
      </w:r>
      <w:r>
        <w:t xml:space="preserve">, who would previously have </w:t>
      </w:r>
      <w:r w:rsidR="00F35BBB">
        <w:t xml:space="preserve">been </w:t>
      </w:r>
      <w:r>
        <w:t xml:space="preserve">initiated </w:t>
      </w:r>
      <w:r w:rsidR="00F35BBB">
        <w:t xml:space="preserve">on monotherapy </w:t>
      </w:r>
      <w:r>
        <w:t xml:space="preserve">and </w:t>
      </w:r>
      <w:r w:rsidR="00F35BBB">
        <w:t>not required escalation to dual therapy</w:t>
      </w:r>
      <w:r w:rsidR="002C7134">
        <w:t xml:space="preserve">. </w:t>
      </w:r>
      <w:r w:rsidR="00F35BBB">
        <w:t>T</w:t>
      </w:r>
      <w:r>
        <w:t>his population may partially offset any potential savings to the PBS and consumers</w:t>
      </w:r>
      <w:r w:rsidR="00516327">
        <w:t>.</w:t>
      </w:r>
    </w:p>
    <w:p w14:paraId="18081E2C" w14:textId="34ED04BF" w:rsidR="007B37A3" w:rsidRDefault="007B37A3" w:rsidP="004E4010">
      <w:pPr>
        <w:pStyle w:val="3-BodyText"/>
      </w:pPr>
      <w:r>
        <w:t xml:space="preserve">The PBAC considered that the recommended restriction changes would have </w:t>
      </w:r>
      <w:r w:rsidR="0056078D">
        <w:t>minor impact</w:t>
      </w:r>
      <w:r>
        <w:t xml:space="preserve"> on utilisation and that </w:t>
      </w:r>
      <w:r w:rsidR="00CF6EE0">
        <w:t>a greater</w:t>
      </w:r>
      <w:r>
        <w:t xml:space="preserve"> impact would </w:t>
      </w:r>
      <w:r w:rsidR="00CF6EE0">
        <w:t xml:space="preserve">be expected to </w:t>
      </w:r>
      <w:r>
        <w:t xml:space="preserve">come from any changes to Australian clinical guidelines and subsequent prescriber educational activities. The PBAC considered that rates of initiation of antihypertensive therapy with an FDC </w:t>
      </w:r>
      <w:r w:rsidRPr="00EA026F">
        <w:rPr>
          <w:i/>
          <w:iCs/>
        </w:rPr>
        <w:t>may</w:t>
      </w:r>
      <w:r>
        <w:t xml:space="preserve"> increase following release of the new Heart Foundation guidelines, if these guidelines recommended that most patients should be initiated on low dose dual FDC therapy. </w:t>
      </w:r>
      <w:r w:rsidR="008F523D">
        <w:t>The PBAC considered that consumer education on the utilisation analysis results may encourage consumers to discuss with their prescriber the most appropriate treatment options and potential cost savings.</w:t>
      </w:r>
    </w:p>
    <w:p w14:paraId="696C3053" w14:textId="085DEC13" w:rsidR="00B12AB7" w:rsidRPr="00B12AB7" w:rsidRDefault="00B12AB7" w:rsidP="004E4010">
      <w:pPr>
        <w:pStyle w:val="3-BodyText"/>
      </w:pPr>
      <w:r>
        <w:rPr>
          <w:bCs/>
        </w:rPr>
        <w:t>The PBAC noted the two sponsor pre-PBAC responses that were received, which generally supported changing the PBS restrictions to allow patients to initiate antihypertensive therapy with a low dose dual therapy FDC. Sponsors considered that these changes would align with international clinical guidelines and provide CV benefits to patients</w:t>
      </w:r>
      <w:r w:rsidR="00516327">
        <w:rPr>
          <w:bCs/>
        </w:rPr>
        <w:t>.</w:t>
      </w:r>
    </w:p>
    <w:p w14:paraId="23111DDF" w14:textId="182DAE70" w:rsidR="00B470CF" w:rsidRDefault="00B12AB7" w:rsidP="004E4010">
      <w:pPr>
        <w:pStyle w:val="3-BodyText"/>
      </w:pPr>
      <w:r w:rsidRPr="00461735">
        <w:rPr>
          <w:bCs/>
        </w:rPr>
        <w:t>The PBAC</w:t>
      </w:r>
      <w:r>
        <w:rPr>
          <w:bCs/>
        </w:rPr>
        <w:t xml:space="preserve"> advised that consultation on the recommended restriction changes with </w:t>
      </w:r>
      <w:r w:rsidRPr="00A06E2D">
        <w:rPr>
          <w:bCs/>
        </w:rPr>
        <w:t>relevant prescriber and consumer groups</w:t>
      </w:r>
      <w:r>
        <w:rPr>
          <w:bCs/>
        </w:rPr>
        <w:t xml:space="preserve"> was unnecessary given that the changes were likely to be welcomed by stakeholders and that the restrictions would be broadened to align with current international clinical guidelines</w:t>
      </w:r>
      <w:r w:rsidR="00516327">
        <w:rPr>
          <w:bCs/>
        </w:rPr>
        <w:t>.</w:t>
      </w:r>
    </w:p>
    <w:p w14:paraId="1CA4EBF5" w14:textId="735BC7E9" w:rsidR="00FF6CAE" w:rsidRDefault="00FF6CAE" w:rsidP="004E4010">
      <w:pPr>
        <w:pStyle w:val="3-BodyText"/>
      </w:pPr>
      <w:r>
        <w:t>The PBAC considered that overall, the recommended restriction changes were likely to result in cost savings for the PBS and consumers, but of a smaller magnitude than estimated in the report. The PBAC noted that the Department intended to revise the financial estimates and that these would be brought back to the PBAC for consideration if a cost to the PBS was estimated.</w:t>
      </w:r>
    </w:p>
    <w:p w14:paraId="384EA299" w14:textId="6283ED43" w:rsidR="005F1895" w:rsidRPr="00B470CF" w:rsidRDefault="00461735" w:rsidP="004E4010">
      <w:pPr>
        <w:pStyle w:val="3-BodyText"/>
      </w:pPr>
      <w:r w:rsidRPr="00B470CF">
        <w:rPr>
          <w:bCs/>
        </w:rPr>
        <w:t xml:space="preserve">The PBAC advised that </w:t>
      </w:r>
      <w:r w:rsidR="00473457" w:rsidRPr="00B470CF">
        <w:rPr>
          <w:bCs/>
        </w:rPr>
        <w:t>Drug Utilisation Sub-Committee (DUSC)</w:t>
      </w:r>
      <w:r w:rsidRPr="00B470CF">
        <w:rPr>
          <w:bCs/>
        </w:rPr>
        <w:t xml:space="preserve"> advice on the draft report was unnecessary to inform its recommendation</w:t>
      </w:r>
      <w:r w:rsidR="00473457" w:rsidRPr="00B470CF">
        <w:rPr>
          <w:bCs/>
        </w:rPr>
        <w:t>.</w:t>
      </w:r>
    </w:p>
    <w:p w14:paraId="1FD83DE5" w14:textId="70C5A1B5" w:rsidR="00017A1C" w:rsidRDefault="00017A1C" w:rsidP="004E4010">
      <w:pPr>
        <w:pStyle w:val="3-BodyText"/>
        <w:rPr>
          <w:bCs/>
        </w:rPr>
      </w:pPr>
      <w:r>
        <w:rPr>
          <w:bCs/>
        </w:rPr>
        <w:t xml:space="preserve">The PBAC considered that it was important to communicate </w:t>
      </w:r>
      <w:r w:rsidR="002F168C">
        <w:rPr>
          <w:bCs/>
        </w:rPr>
        <w:t xml:space="preserve">the findings of the report, particularly </w:t>
      </w:r>
      <w:r w:rsidR="00BF751D">
        <w:rPr>
          <w:bCs/>
        </w:rPr>
        <w:t xml:space="preserve">on </w:t>
      </w:r>
      <w:r w:rsidR="002F168C">
        <w:rPr>
          <w:bCs/>
        </w:rPr>
        <w:t>quality use of medicines</w:t>
      </w:r>
      <w:r w:rsidR="00BF751D">
        <w:rPr>
          <w:bCs/>
        </w:rPr>
        <w:t xml:space="preserve"> issues</w:t>
      </w:r>
      <w:r w:rsidR="002F168C">
        <w:rPr>
          <w:bCs/>
        </w:rPr>
        <w:t>.</w:t>
      </w:r>
      <w:r w:rsidR="00345C78">
        <w:rPr>
          <w:bCs/>
        </w:rPr>
        <w:t xml:space="preserve"> The PBAC </w:t>
      </w:r>
      <w:r w:rsidR="007B37A3">
        <w:rPr>
          <w:bCs/>
        </w:rPr>
        <w:t xml:space="preserve">advised that the </w:t>
      </w:r>
      <w:r w:rsidR="008F79BA">
        <w:rPr>
          <w:bCs/>
        </w:rPr>
        <w:t xml:space="preserve">Department </w:t>
      </w:r>
      <w:r w:rsidR="007B37A3">
        <w:rPr>
          <w:bCs/>
        </w:rPr>
        <w:t>disseminate</w:t>
      </w:r>
      <w:r w:rsidR="00345C78">
        <w:rPr>
          <w:bCs/>
        </w:rPr>
        <w:t xml:space="preserve"> </w:t>
      </w:r>
      <w:r w:rsidR="007B37A3">
        <w:rPr>
          <w:bCs/>
        </w:rPr>
        <w:t xml:space="preserve">the report’s findings </w:t>
      </w:r>
      <w:r w:rsidR="00345C78">
        <w:rPr>
          <w:bCs/>
        </w:rPr>
        <w:t xml:space="preserve">by contacting relevant prescriber </w:t>
      </w:r>
      <w:r w:rsidR="000B62F2">
        <w:rPr>
          <w:bCs/>
        </w:rPr>
        <w:t xml:space="preserve">and consumer representative </w:t>
      </w:r>
      <w:r w:rsidR="00345C78">
        <w:rPr>
          <w:bCs/>
        </w:rPr>
        <w:t>groups</w:t>
      </w:r>
      <w:r w:rsidR="007B37A3">
        <w:rPr>
          <w:bCs/>
        </w:rPr>
        <w:t>,</w:t>
      </w:r>
      <w:r w:rsidR="00345C78">
        <w:rPr>
          <w:bCs/>
        </w:rPr>
        <w:t xml:space="preserve"> </w:t>
      </w:r>
      <w:r w:rsidR="007B37A3">
        <w:rPr>
          <w:bCs/>
        </w:rPr>
        <w:t xml:space="preserve">the Therapeutic Guidelines (publisher of Australian Prescriber) </w:t>
      </w:r>
      <w:r w:rsidR="00345C78">
        <w:rPr>
          <w:bCs/>
        </w:rPr>
        <w:t xml:space="preserve">and </w:t>
      </w:r>
      <w:r w:rsidR="00BF751D">
        <w:rPr>
          <w:bCs/>
        </w:rPr>
        <w:t xml:space="preserve">the ACSQHC (publisher of </w:t>
      </w:r>
      <w:r w:rsidR="00345C78">
        <w:rPr>
          <w:bCs/>
        </w:rPr>
        <w:t>RADAR</w:t>
      </w:r>
      <w:r w:rsidR="00BF751D">
        <w:rPr>
          <w:bCs/>
        </w:rPr>
        <w:t>)</w:t>
      </w:r>
      <w:r w:rsidR="00345C78">
        <w:rPr>
          <w:bCs/>
        </w:rPr>
        <w:t>.</w:t>
      </w:r>
    </w:p>
    <w:p w14:paraId="3C849086" w14:textId="77777777" w:rsidR="006E41B5" w:rsidRPr="00525B39" w:rsidRDefault="006E41B5" w:rsidP="006E41B5">
      <w:pPr>
        <w:spacing w:before="240" w:after="0"/>
        <w:jc w:val="both"/>
        <w:rPr>
          <w:rFonts w:cs="Arial"/>
          <w:b/>
          <w:bCs/>
          <w:snapToGrid w:val="0"/>
          <w:lang w:val="en-GB"/>
        </w:rPr>
      </w:pPr>
      <w:r w:rsidRPr="00525B39">
        <w:rPr>
          <w:rFonts w:cs="Arial"/>
          <w:b/>
          <w:bCs/>
          <w:snapToGrid w:val="0"/>
          <w:lang w:val="en-GB"/>
        </w:rPr>
        <w:t>Outcome:</w:t>
      </w:r>
    </w:p>
    <w:p w14:paraId="725CD490" w14:textId="4442A152" w:rsidR="00D56A5F" w:rsidRPr="008D3EFA" w:rsidRDefault="00461735">
      <w:r>
        <w:t>Recommended</w:t>
      </w:r>
      <w:r w:rsidR="00D56A5F">
        <w:br w:type="page"/>
      </w:r>
    </w:p>
    <w:p w14:paraId="5399D608" w14:textId="3C85C17E" w:rsidR="000C0956" w:rsidRDefault="000C0956" w:rsidP="000C0956">
      <w:pPr>
        <w:pStyle w:val="2Sections"/>
        <w:keepNext/>
        <w:keepLines/>
      </w:pPr>
      <w:r>
        <w:lastRenderedPageBreak/>
        <w:t>Recommended listing</w:t>
      </w:r>
    </w:p>
    <w:p w14:paraId="60D4CD4B" w14:textId="50D356ED" w:rsidR="000C0956" w:rsidRPr="00525B39" w:rsidRDefault="000C0956" w:rsidP="00E97CB2">
      <w:pPr>
        <w:pStyle w:val="3-BodyText"/>
      </w:pPr>
      <w:r w:rsidRPr="00525B39">
        <w:rPr>
          <w:snapToGrid w:val="0"/>
        </w:rPr>
        <w:t>Amend existing listing</w:t>
      </w:r>
      <w:r>
        <w:rPr>
          <w:snapToGrid w:val="0"/>
        </w:rPr>
        <w:t>s</w:t>
      </w:r>
      <w:r w:rsidRPr="00525B39">
        <w:rPr>
          <w:snapToGrid w:val="0"/>
        </w:rPr>
        <w:t xml:space="preserve"> as follows:</w:t>
      </w:r>
      <w:r w:rsidR="6A70021C" w:rsidRPr="00525B39">
        <w:rPr>
          <w:snapToGrid w:val="0"/>
        </w:rPr>
        <w:t xml:space="preserve"> </w:t>
      </w:r>
    </w:p>
    <w:p w14:paraId="555BB71D" w14:textId="10AB5E49" w:rsidR="002344C5" w:rsidRPr="002344C5" w:rsidRDefault="2211330A" w:rsidP="002344C5">
      <w:pPr>
        <w:pStyle w:val="3Bodytext"/>
        <w:tabs>
          <w:tab w:val="clear" w:pos="360"/>
        </w:tabs>
        <w:ind w:left="0"/>
        <w:rPr>
          <w:b/>
          <w:bCs w:val="0"/>
        </w:rPr>
      </w:pPr>
      <w:r w:rsidRPr="45563E5B">
        <w:rPr>
          <w:b/>
        </w:rPr>
        <w:t>30-day</w:t>
      </w:r>
      <w:r w:rsidR="13063D73" w:rsidRPr="45563E5B">
        <w:rPr>
          <w:b/>
        </w:rPr>
        <w:t xml:space="preserve"> PBS item codes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870"/>
        <w:gridCol w:w="795"/>
        <w:gridCol w:w="709"/>
        <w:gridCol w:w="657"/>
      </w:tblGrid>
      <w:tr w:rsidR="002344C5" w:rsidRPr="004C1B8D" w14:paraId="201FDD0E" w14:textId="77777777" w:rsidTr="09E07EA4">
        <w:trPr>
          <w:trHeight w:val="405"/>
          <w:tblHeader/>
        </w:trPr>
        <w:tc>
          <w:tcPr>
            <w:tcW w:w="5985" w:type="dxa"/>
            <w:shd w:val="clear" w:color="auto" w:fill="BFBFBF" w:themeFill="background1" w:themeFillShade="BF"/>
            <w:noWrap/>
            <w:vAlign w:val="bottom"/>
            <w:hideMark/>
          </w:tcPr>
          <w:p w14:paraId="3A8CB757" w14:textId="3F6AB1CB" w:rsidR="002344C5" w:rsidRPr="004C1B8D" w:rsidRDefault="002344C5" w:rsidP="00AE0B94">
            <w:pPr>
              <w:spacing w:after="0" w:line="240" w:lineRule="auto"/>
              <w:rPr>
                <w:rFonts w:ascii="Arial Narrow" w:eastAsia="Times New Roman" w:hAnsi="Arial Narrow" w:cs="Times New Roman"/>
                <w:b/>
                <w:bCs/>
                <w:color w:val="000000"/>
                <w:sz w:val="20"/>
                <w:szCs w:val="20"/>
                <w:lang w:eastAsia="en-AU"/>
              </w:rPr>
            </w:pPr>
            <w:r w:rsidRPr="004C1B8D">
              <w:rPr>
                <w:rFonts w:ascii="Arial Narrow" w:eastAsia="Times New Roman" w:hAnsi="Arial Narrow" w:cs="Times New Roman"/>
                <w:b/>
                <w:bCs/>
                <w:color w:val="000000"/>
                <w:sz w:val="20"/>
                <w:szCs w:val="20"/>
                <w:lang w:eastAsia="en-AU"/>
              </w:rPr>
              <w:t xml:space="preserve">Drug, </w:t>
            </w:r>
            <w:r w:rsidR="002C7134" w:rsidRPr="004C1B8D">
              <w:rPr>
                <w:rFonts w:ascii="Arial Narrow" w:eastAsia="Times New Roman" w:hAnsi="Arial Narrow" w:cs="Times New Roman"/>
                <w:b/>
                <w:bCs/>
                <w:color w:val="000000"/>
                <w:sz w:val="20"/>
                <w:szCs w:val="20"/>
                <w:lang w:eastAsia="en-AU"/>
              </w:rPr>
              <w:t>form,</w:t>
            </w:r>
            <w:r w:rsidRPr="004C1B8D">
              <w:rPr>
                <w:rFonts w:ascii="Arial Narrow" w:eastAsia="Times New Roman" w:hAnsi="Arial Narrow" w:cs="Times New Roman"/>
                <w:b/>
                <w:bCs/>
                <w:color w:val="000000"/>
                <w:sz w:val="20"/>
                <w:szCs w:val="20"/>
                <w:lang w:eastAsia="en-AU"/>
              </w:rPr>
              <w:t xml:space="preserve"> and strength</w:t>
            </w:r>
          </w:p>
        </w:tc>
        <w:tc>
          <w:tcPr>
            <w:tcW w:w="870" w:type="dxa"/>
            <w:shd w:val="clear" w:color="auto" w:fill="BFBFBF" w:themeFill="background1" w:themeFillShade="BF"/>
            <w:noWrap/>
            <w:vAlign w:val="bottom"/>
            <w:hideMark/>
          </w:tcPr>
          <w:p w14:paraId="43625C59" w14:textId="77777777" w:rsidR="002344C5" w:rsidRPr="004C1B8D" w:rsidRDefault="002344C5" w:rsidP="00AE0B94">
            <w:pPr>
              <w:spacing w:after="0" w:line="240" w:lineRule="auto"/>
              <w:jc w:val="center"/>
              <w:rPr>
                <w:rFonts w:ascii="Arial Narrow" w:eastAsia="Times New Roman" w:hAnsi="Arial Narrow" w:cs="Times New Roman"/>
                <w:b/>
                <w:bCs/>
                <w:color w:val="000000"/>
                <w:sz w:val="20"/>
                <w:szCs w:val="20"/>
                <w:lang w:eastAsia="en-AU"/>
              </w:rPr>
            </w:pPr>
            <w:r w:rsidRPr="004C1B8D">
              <w:rPr>
                <w:rFonts w:ascii="Arial Narrow" w:eastAsia="Times New Roman" w:hAnsi="Arial Narrow" w:cs="Times New Roman"/>
                <w:b/>
                <w:bCs/>
                <w:color w:val="000000"/>
                <w:sz w:val="20"/>
                <w:szCs w:val="20"/>
                <w:lang w:eastAsia="en-AU"/>
              </w:rPr>
              <w:t>Item</w:t>
            </w:r>
          </w:p>
        </w:tc>
        <w:tc>
          <w:tcPr>
            <w:tcW w:w="795" w:type="dxa"/>
            <w:shd w:val="clear" w:color="auto" w:fill="BFBFBF" w:themeFill="background1" w:themeFillShade="BF"/>
            <w:noWrap/>
            <w:vAlign w:val="bottom"/>
            <w:hideMark/>
          </w:tcPr>
          <w:p w14:paraId="2F7D90B5" w14:textId="77777777" w:rsidR="002344C5" w:rsidRPr="004C1B8D" w:rsidRDefault="002344C5" w:rsidP="00AE0B94">
            <w:pPr>
              <w:spacing w:after="0" w:line="240" w:lineRule="auto"/>
              <w:jc w:val="center"/>
              <w:rPr>
                <w:rFonts w:ascii="Arial Narrow" w:eastAsia="Times New Roman" w:hAnsi="Arial Narrow" w:cs="Times New Roman"/>
                <w:b/>
                <w:bCs/>
                <w:color w:val="000000"/>
                <w:sz w:val="20"/>
                <w:szCs w:val="20"/>
                <w:lang w:eastAsia="en-AU"/>
              </w:rPr>
            </w:pPr>
            <w:r w:rsidRPr="004C1B8D">
              <w:rPr>
                <w:rFonts w:ascii="Arial Narrow" w:eastAsia="Times New Roman" w:hAnsi="Arial Narrow" w:cs="Times New Roman"/>
                <w:b/>
                <w:bCs/>
                <w:color w:val="000000"/>
                <w:sz w:val="20"/>
                <w:szCs w:val="20"/>
                <w:lang w:eastAsia="en-AU"/>
              </w:rPr>
              <w:t>Max quant</w:t>
            </w:r>
          </w:p>
        </w:tc>
        <w:tc>
          <w:tcPr>
            <w:tcW w:w="709" w:type="dxa"/>
            <w:shd w:val="clear" w:color="auto" w:fill="BFBFBF" w:themeFill="background1" w:themeFillShade="BF"/>
            <w:noWrap/>
            <w:vAlign w:val="bottom"/>
            <w:hideMark/>
          </w:tcPr>
          <w:p w14:paraId="7F254971" w14:textId="56FD328F" w:rsidR="002344C5" w:rsidRPr="004C1B8D" w:rsidRDefault="002344C5" w:rsidP="00AE0B94">
            <w:pPr>
              <w:spacing w:after="0" w:line="240" w:lineRule="auto"/>
              <w:jc w:val="center"/>
              <w:rPr>
                <w:rFonts w:ascii="Arial Narrow" w:eastAsia="Times New Roman" w:hAnsi="Arial Narrow" w:cs="Times New Roman"/>
                <w:b/>
                <w:bCs/>
                <w:color w:val="000000"/>
                <w:sz w:val="20"/>
                <w:szCs w:val="20"/>
                <w:lang w:eastAsia="en-AU"/>
              </w:rPr>
            </w:pPr>
            <w:r w:rsidRPr="004C1B8D">
              <w:rPr>
                <w:rFonts w:ascii="Arial Narrow" w:eastAsia="Times New Roman" w:hAnsi="Arial Narrow" w:cs="Times New Roman"/>
                <w:b/>
                <w:bCs/>
                <w:color w:val="000000"/>
                <w:sz w:val="20"/>
                <w:szCs w:val="20"/>
                <w:lang w:eastAsia="en-AU"/>
              </w:rPr>
              <w:t>Rpt</w:t>
            </w:r>
            <w:r>
              <w:rPr>
                <w:rFonts w:ascii="Arial Narrow" w:eastAsia="Times New Roman" w:hAnsi="Arial Narrow" w:cs="Times New Roman"/>
                <w:b/>
                <w:bCs/>
                <w:color w:val="000000"/>
                <w:sz w:val="20"/>
                <w:szCs w:val="20"/>
                <w:lang w:eastAsia="en-AU"/>
              </w:rPr>
              <w:t>s</w:t>
            </w:r>
          </w:p>
        </w:tc>
        <w:tc>
          <w:tcPr>
            <w:tcW w:w="657" w:type="dxa"/>
            <w:shd w:val="clear" w:color="auto" w:fill="BFBFBF" w:themeFill="background1" w:themeFillShade="BF"/>
            <w:noWrap/>
            <w:vAlign w:val="bottom"/>
            <w:hideMark/>
          </w:tcPr>
          <w:p w14:paraId="547F5E26" w14:textId="77777777" w:rsidR="002344C5" w:rsidRPr="004C1B8D" w:rsidRDefault="002344C5" w:rsidP="00AE0B94">
            <w:pPr>
              <w:spacing w:after="0" w:line="240" w:lineRule="auto"/>
              <w:jc w:val="center"/>
              <w:rPr>
                <w:rFonts w:ascii="Arial Narrow" w:eastAsia="Times New Roman" w:hAnsi="Arial Narrow" w:cs="Times New Roman"/>
                <w:b/>
                <w:bCs/>
                <w:color w:val="000000"/>
                <w:sz w:val="20"/>
                <w:szCs w:val="20"/>
                <w:lang w:eastAsia="en-AU"/>
              </w:rPr>
            </w:pPr>
            <w:r w:rsidRPr="004C1B8D">
              <w:rPr>
                <w:rFonts w:ascii="Arial Narrow" w:eastAsia="Times New Roman" w:hAnsi="Arial Narrow" w:cs="Times New Roman"/>
                <w:b/>
                <w:bCs/>
                <w:color w:val="000000"/>
                <w:sz w:val="20"/>
                <w:szCs w:val="20"/>
                <w:lang w:eastAsia="en-AU"/>
              </w:rPr>
              <w:t>Pack size</w:t>
            </w:r>
          </w:p>
        </w:tc>
      </w:tr>
      <w:tr w:rsidR="002344C5" w:rsidRPr="004C1B8D" w14:paraId="6243A69B" w14:textId="77777777" w:rsidTr="09E07EA4">
        <w:trPr>
          <w:trHeight w:val="290"/>
        </w:trPr>
        <w:tc>
          <w:tcPr>
            <w:tcW w:w="5985" w:type="dxa"/>
            <w:noWrap/>
            <w:vAlign w:val="bottom"/>
            <w:hideMark/>
          </w:tcPr>
          <w:p w14:paraId="017030EA"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amlodipine 10 mg + valsartan 160 mg tablet, 28</w:t>
            </w:r>
          </w:p>
        </w:tc>
        <w:tc>
          <w:tcPr>
            <w:tcW w:w="870" w:type="dxa"/>
            <w:noWrap/>
            <w:vAlign w:val="bottom"/>
            <w:hideMark/>
          </w:tcPr>
          <w:p w14:paraId="481137C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9377M</w:t>
            </w:r>
          </w:p>
        </w:tc>
        <w:tc>
          <w:tcPr>
            <w:tcW w:w="795" w:type="dxa"/>
            <w:noWrap/>
            <w:vAlign w:val="bottom"/>
            <w:hideMark/>
          </w:tcPr>
          <w:p w14:paraId="5795C50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27B48CE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48DB72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4307D34D" w14:textId="77777777" w:rsidTr="09E07EA4">
        <w:trPr>
          <w:trHeight w:val="290"/>
        </w:trPr>
        <w:tc>
          <w:tcPr>
            <w:tcW w:w="5985" w:type="dxa"/>
            <w:noWrap/>
            <w:vAlign w:val="bottom"/>
            <w:hideMark/>
          </w:tcPr>
          <w:p w14:paraId="585B74E1"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amlodipine 10 mg + valsartan 320 mg tablet, 28</w:t>
            </w:r>
          </w:p>
        </w:tc>
        <w:tc>
          <w:tcPr>
            <w:tcW w:w="870" w:type="dxa"/>
            <w:noWrap/>
            <w:vAlign w:val="bottom"/>
            <w:hideMark/>
          </w:tcPr>
          <w:p w14:paraId="479FBD2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5460J</w:t>
            </w:r>
          </w:p>
        </w:tc>
        <w:tc>
          <w:tcPr>
            <w:tcW w:w="795" w:type="dxa"/>
            <w:noWrap/>
            <w:vAlign w:val="bottom"/>
            <w:hideMark/>
          </w:tcPr>
          <w:p w14:paraId="5628136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5A7C290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683F0BF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7523ADFF" w14:textId="77777777" w:rsidTr="09E07EA4">
        <w:trPr>
          <w:trHeight w:val="290"/>
        </w:trPr>
        <w:tc>
          <w:tcPr>
            <w:tcW w:w="5985" w:type="dxa"/>
            <w:noWrap/>
            <w:vAlign w:val="bottom"/>
            <w:hideMark/>
          </w:tcPr>
          <w:p w14:paraId="1E41F7C8"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amlodipine 5 mg + valsartan 160 mg tablet, 28</w:t>
            </w:r>
          </w:p>
        </w:tc>
        <w:tc>
          <w:tcPr>
            <w:tcW w:w="870" w:type="dxa"/>
            <w:noWrap/>
            <w:vAlign w:val="bottom"/>
            <w:hideMark/>
          </w:tcPr>
          <w:p w14:paraId="63CB801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9376L</w:t>
            </w:r>
          </w:p>
        </w:tc>
        <w:tc>
          <w:tcPr>
            <w:tcW w:w="795" w:type="dxa"/>
            <w:noWrap/>
            <w:vAlign w:val="bottom"/>
            <w:hideMark/>
          </w:tcPr>
          <w:p w14:paraId="10FD89F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69A25E2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50322C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60B06EB4" w14:textId="77777777" w:rsidTr="09E07EA4">
        <w:trPr>
          <w:trHeight w:val="290"/>
        </w:trPr>
        <w:tc>
          <w:tcPr>
            <w:tcW w:w="5985" w:type="dxa"/>
            <w:noWrap/>
            <w:vAlign w:val="bottom"/>
            <w:hideMark/>
          </w:tcPr>
          <w:p w14:paraId="74D71096"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amlodipine 5 mg + valsartan 320 mg tablet, 28</w:t>
            </w:r>
          </w:p>
        </w:tc>
        <w:tc>
          <w:tcPr>
            <w:tcW w:w="870" w:type="dxa"/>
            <w:noWrap/>
            <w:vAlign w:val="bottom"/>
            <w:hideMark/>
          </w:tcPr>
          <w:p w14:paraId="79A43B8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5459H</w:t>
            </w:r>
          </w:p>
        </w:tc>
        <w:tc>
          <w:tcPr>
            <w:tcW w:w="795" w:type="dxa"/>
            <w:noWrap/>
            <w:vAlign w:val="bottom"/>
            <w:hideMark/>
          </w:tcPr>
          <w:p w14:paraId="2C8DBA8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5439EEA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4D85C1E1"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1B88EDA2" w14:textId="77777777" w:rsidTr="09E07EA4">
        <w:trPr>
          <w:trHeight w:val="290"/>
        </w:trPr>
        <w:tc>
          <w:tcPr>
            <w:tcW w:w="5985" w:type="dxa"/>
            <w:noWrap/>
            <w:vAlign w:val="bottom"/>
            <w:hideMark/>
          </w:tcPr>
          <w:p w14:paraId="6B93CC9A"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amlodipine 5 mg + valsartan 80 mg tablet, 28</w:t>
            </w:r>
          </w:p>
        </w:tc>
        <w:tc>
          <w:tcPr>
            <w:tcW w:w="870" w:type="dxa"/>
            <w:noWrap/>
            <w:vAlign w:val="bottom"/>
            <w:hideMark/>
          </w:tcPr>
          <w:p w14:paraId="201D13C1"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9375K</w:t>
            </w:r>
          </w:p>
        </w:tc>
        <w:tc>
          <w:tcPr>
            <w:tcW w:w="795" w:type="dxa"/>
            <w:noWrap/>
            <w:vAlign w:val="bottom"/>
            <w:hideMark/>
          </w:tcPr>
          <w:p w14:paraId="168B847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0166A42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9B41F7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1346AA61" w14:textId="77777777" w:rsidTr="09E07EA4">
        <w:trPr>
          <w:trHeight w:val="290"/>
        </w:trPr>
        <w:tc>
          <w:tcPr>
            <w:tcW w:w="5985" w:type="dxa"/>
            <w:noWrap/>
            <w:vAlign w:val="bottom"/>
            <w:hideMark/>
          </w:tcPr>
          <w:p w14:paraId="4B936BF1"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candesartan cilexetil 16 mg + hydrochlorothiazide 12.5 mg tablet, 30</w:t>
            </w:r>
          </w:p>
        </w:tc>
        <w:tc>
          <w:tcPr>
            <w:tcW w:w="870" w:type="dxa"/>
            <w:noWrap/>
            <w:vAlign w:val="bottom"/>
            <w:hideMark/>
          </w:tcPr>
          <w:p w14:paraId="71A0E53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8504N</w:t>
            </w:r>
          </w:p>
        </w:tc>
        <w:tc>
          <w:tcPr>
            <w:tcW w:w="795" w:type="dxa"/>
            <w:noWrap/>
            <w:vAlign w:val="bottom"/>
            <w:hideMark/>
          </w:tcPr>
          <w:p w14:paraId="4486B26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7E769BB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74193B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49593857" w14:textId="77777777" w:rsidTr="09E07EA4">
        <w:trPr>
          <w:trHeight w:val="290"/>
        </w:trPr>
        <w:tc>
          <w:tcPr>
            <w:tcW w:w="5985" w:type="dxa"/>
            <w:noWrap/>
            <w:vAlign w:val="bottom"/>
            <w:hideMark/>
          </w:tcPr>
          <w:p w14:paraId="1902FECB"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candesartan cilexetil 32 mg + hydrochlorothiazide 12.5 mg tablet, 30</w:t>
            </w:r>
          </w:p>
        </w:tc>
        <w:tc>
          <w:tcPr>
            <w:tcW w:w="870" w:type="dxa"/>
            <w:noWrap/>
            <w:vAlign w:val="bottom"/>
            <w:hideMark/>
          </w:tcPr>
          <w:p w14:paraId="22F5640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9314F</w:t>
            </w:r>
          </w:p>
        </w:tc>
        <w:tc>
          <w:tcPr>
            <w:tcW w:w="795" w:type="dxa"/>
            <w:noWrap/>
            <w:vAlign w:val="bottom"/>
            <w:hideMark/>
          </w:tcPr>
          <w:p w14:paraId="3B0B0F7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325C7D61"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142BA7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7D706BA9" w14:textId="77777777" w:rsidTr="09E07EA4">
        <w:trPr>
          <w:trHeight w:val="290"/>
        </w:trPr>
        <w:tc>
          <w:tcPr>
            <w:tcW w:w="5985" w:type="dxa"/>
            <w:noWrap/>
            <w:vAlign w:val="bottom"/>
            <w:hideMark/>
          </w:tcPr>
          <w:p w14:paraId="7ED3434F"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candesartan cilexetil 32 mg + hydrochlorothiazide 25 mg tablet, 30</w:t>
            </w:r>
          </w:p>
        </w:tc>
        <w:tc>
          <w:tcPr>
            <w:tcW w:w="870" w:type="dxa"/>
            <w:noWrap/>
            <w:vAlign w:val="bottom"/>
            <w:hideMark/>
          </w:tcPr>
          <w:p w14:paraId="09CA288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9315G</w:t>
            </w:r>
          </w:p>
        </w:tc>
        <w:tc>
          <w:tcPr>
            <w:tcW w:w="795" w:type="dxa"/>
            <w:noWrap/>
            <w:vAlign w:val="bottom"/>
            <w:hideMark/>
          </w:tcPr>
          <w:p w14:paraId="2B80D1F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080439F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531746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4B1B9C50" w14:textId="77777777" w:rsidTr="09E07EA4">
        <w:trPr>
          <w:trHeight w:val="290"/>
        </w:trPr>
        <w:tc>
          <w:tcPr>
            <w:tcW w:w="5985" w:type="dxa"/>
            <w:noWrap/>
            <w:vAlign w:val="bottom"/>
            <w:hideMark/>
          </w:tcPr>
          <w:p w14:paraId="5CDF37FE"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bookmarkStart w:id="4" w:name="_Hlk183001934"/>
            <w:r w:rsidRPr="004C1B8D">
              <w:rPr>
                <w:rFonts w:ascii="Arial Narrow" w:eastAsia="Times New Roman" w:hAnsi="Arial Narrow" w:cs="Times New Roman"/>
                <w:color w:val="000000"/>
                <w:sz w:val="20"/>
                <w:szCs w:val="20"/>
                <w:lang w:eastAsia="en-AU"/>
              </w:rPr>
              <w:t>enalapril maleate 20 mg + hydrochlorothiazide 6 mg tablet</w:t>
            </w:r>
            <w:bookmarkEnd w:id="4"/>
            <w:r w:rsidRPr="004C1B8D">
              <w:rPr>
                <w:rFonts w:ascii="Arial Narrow" w:eastAsia="Times New Roman" w:hAnsi="Arial Narrow" w:cs="Times New Roman"/>
                <w:color w:val="000000"/>
                <w:sz w:val="20"/>
                <w:szCs w:val="20"/>
                <w:lang w:eastAsia="en-AU"/>
              </w:rPr>
              <w:t>, 30</w:t>
            </w:r>
          </w:p>
        </w:tc>
        <w:tc>
          <w:tcPr>
            <w:tcW w:w="870" w:type="dxa"/>
            <w:noWrap/>
            <w:vAlign w:val="bottom"/>
            <w:hideMark/>
          </w:tcPr>
          <w:p w14:paraId="7A73E00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8477E</w:t>
            </w:r>
          </w:p>
        </w:tc>
        <w:tc>
          <w:tcPr>
            <w:tcW w:w="795" w:type="dxa"/>
            <w:noWrap/>
            <w:vAlign w:val="bottom"/>
            <w:hideMark/>
          </w:tcPr>
          <w:p w14:paraId="4A65E40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1E8B93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816CF1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71248927" w14:textId="77777777" w:rsidTr="09E07EA4">
        <w:trPr>
          <w:trHeight w:val="290"/>
        </w:trPr>
        <w:tc>
          <w:tcPr>
            <w:tcW w:w="5985" w:type="dxa"/>
            <w:noWrap/>
            <w:vAlign w:val="bottom"/>
            <w:hideMark/>
          </w:tcPr>
          <w:p w14:paraId="7D4882D3"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eprosartan 600 mg + hydrochlorothiazide 12.5 mg tablet, 28</w:t>
            </w:r>
          </w:p>
        </w:tc>
        <w:tc>
          <w:tcPr>
            <w:tcW w:w="870" w:type="dxa"/>
            <w:noWrap/>
            <w:vAlign w:val="bottom"/>
            <w:hideMark/>
          </w:tcPr>
          <w:p w14:paraId="61CFC9B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8624X</w:t>
            </w:r>
          </w:p>
        </w:tc>
        <w:tc>
          <w:tcPr>
            <w:tcW w:w="795" w:type="dxa"/>
            <w:noWrap/>
            <w:vAlign w:val="bottom"/>
            <w:hideMark/>
          </w:tcPr>
          <w:p w14:paraId="7B7A756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23F7D1C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7537B0C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64ABA759" w14:textId="77777777" w:rsidTr="09E07EA4">
        <w:trPr>
          <w:trHeight w:val="290"/>
        </w:trPr>
        <w:tc>
          <w:tcPr>
            <w:tcW w:w="5985" w:type="dxa"/>
            <w:noWrap/>
            <w:vAlign w:val="bottom"/>
            <w:hideMark/>
          </w:tcPr>
          <w:p w14:paraId="21AE8DCA"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irbesartan 150 mg + hydrochlorothiazide 12.5 mg tablet, 30</w:t>
            </w:r>
          </w:p>
        </w:tc>
        <w:tc>
          <w:tcPr>
            <w:tcW w:w="870" w:type="dxa"/>
            <w:noWrap/>
            <w:vAlign w:val="bottom"/>
            <w:hideMark/>
          </w:tcPr>
          <w:p w14:paraId="4082322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8404H</w:t>
            </w:r>
          </w:p>
        </w:tc>
        <w:tc>
          <w:tcPr>
            <w:tcW w:w="795" w:type="dxa"/>
            <w:noWrap/>
            <w:vAlign w:val="bottom"/>
            <w:hideMark/>
          </w:tcPr>
          <w:p w14:paraId="5DCB161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531AC62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453155B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4D9B8404" w14:textId="77777777" w:rsidTr="09E07EA4">
        <w:trPr>
          <w:trHeight w:val="290"/>
        </w:trPr>
        <w:tc>
          <w:tcPr>
            <w:tcW w:w="5985" w:type="dxa"/>
            <w:noWrap/>
            <w:vAlign w:val="bottom"/>
            <w:hideMark/>
          </w:tcPr>
          <w:p w14:paraId="283FDC26"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irbesartan 300 mg + hydrochlorothiazide 12.5 mg tablet, 30</w:t>
            </w:r>
          </w:p>
        </w:tc>
        <w:tc>
          <w:tcPr>
            <w:tcW w:w="870" w:type="dxa"/>
            <w:noWrap/>
            <w:vAlign w:val="bottom"/>
            <w:hideMark/>
          </w:tcPr>
          <w:p w14:paraId="34ED56F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8405J</w:t>
            </w:r>
          </w:p>
        </w:tc>
        <w:tc>
          <w:tcPr>
            <w:tcW w:w="795" w:type="dxa"/>
            <w:noWrap/>
            <w:vAlign w:val="bottom"/>
            <w:hideMark/>
          </w:tcPr>
          <w:p w14:paraId="102E7F01"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62CAF61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F4FE16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11A05D68" w14:textId="77777777" w:rsidTr="09E07EA4">
        <w:trPr>
          <w:trHeight w:val="290"/>
        </w:trPr>
        <w:tc>
          <w:tcPr>
            <w:tcW w:w="5985" w:type="dxa"/>
            <w:noWrap/>
            <w:vAlign w:val="bottom"/>
            <w:hideMark/>
          </w:tcPr>
          <w:p w14:paraId="62246677"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irbesartan 300 mg + hydrochlorothiazide 25 mg tablet, 30</w:t>
            </w:r>
          </w:p>
        </w:tc>
        <w:tc>
          <w:tcPr>
            <w:tcW w:w="870" w:type="dxa"/>
            <w:noWrap/>
            <w:vAlign w:val="bottom"/>
            <w:hideMark/>
          </w:tcPr>
          <w:p w14:paraId="297BDB5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2136K</w:t>
            </w:r>
          </w:p>
        </w:tc>
        <w:tc>
          <w:tcPr>
            <w:tcW w:w="795" w:type="dxa"/>
            <w:noWrap/>
            <w:vAlign w:val="bottom"/>
            <w:hideMark/>
          </w:tcPr>
          <w:p w14:paraId="0F9A78F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341F65D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3928ED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51C7FFC0" w14:textId="77777777" w:rsidTr="09E07EA4">
        <w:trPr>
          <w:trHeight w:val="290"/>
        </w:trPr>
        <w:tc>
          <w:tcPr>
            <w:tcW w:w="5985" w:type="dxa"/>
            <w:noWrap/>
            <w:vAlign w:val="bottom"/>
            <w:hideMark/>
          </w:tcPr>
          <w:p w14:paraId="502C22E4"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lercanidipine hydrochloride 10 mg + enalapril maleate 10 mg tablet, 28</w:t>
            </w:r>
          </w:p>
        </w:tc>
        <w:tc>
          <w:tcPr>
            <w:tcW w:w="870" w:type="dxa"/>
            <w:noWrap/>
            <w:vAlign w:val="bottom"/>
            <w:hideMark/>
          </w:tcPr>
          <w:p w14:paraId="484362F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9144G</w:t>
            </w:r>
          </w:p>
        </w:tc>
        <w:tc>
          <w:tcPr>
            <w:tcW w:w="795" w:type="dxa"/>
            <w:noWrap/>
            <w:vAlign w:val="bottom"/>
            <w:hideMark/>
          </w:tcPr>
          <w:p w14:paraId="5C37706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55E0B3E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862888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0ABBEE18" w14:textId="77777777" w:rsidTr="09E07EA4">
        <w:trPr>
          <w:trHeight w:val="290"/>
        </w:trPr>
        <w:tc>
          <w:tcPr>
            <w:tcW w:w="5985" w:type="dxa"/>
            <w:noWrap/>
            <w:vAlign w:val="bottom"/>
            <w:hideMark/>
          </w:tcPr>
          <w:p w14:paraId="00AB370E"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lercanidipine hydrochloride 10 mg + enalapril maleate 20 mg tablet, 28</w:t>
            </w:r>
          </w:p>
        </w:tc>
        <w:tc>
          <w:tcPr>
            <w:tcW w:w="870" w:type="dxa"/>
            <w:noWrap/>
            <w:vAlign w:val="bottom"/>
            <w:hideMark/>
          </w:tcPr>
          <w:p w14:paraId="436BC07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9145H</w:t>
            </w:r>
          </w:p>
        </w:tc>
        <w:tc>
          <w:tcPr>
            <w:tcW w:w="795" w:type="dxa"/>
            <w:noWrap/>
            <w:vAlign w:val="bottom"/>
            <w:hideMark/>
          </w:tcPr>
          <w:p w14:paraId="17C29D4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20184CC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F46AA5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61172568" w14:textId="77777777" w:rsidTr="09E07EA4">
        <w:trPr>
          <w:trHeight w:val="290"/>
        </w:trPr>
        <w:tc>
          <w:tcPr>
            <w:tcW w:w="5985" w:type="dxa"/>
            <w:noWrap/>
            <w:vAlign w:val="bottom"/>
            <w:hideMark/>
          </w:tcPr>
          <w:p w14:paraId="66A9CD35"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20 mg + amlodipine 5 mg tablet, 30</w:t>
            </w:r>
          </w:p>
        </w:tc>
        <w:tc>
          <w:tcPr>
            <w:tcW w:w="870" w:type="dxa"/>
            <w:noWrap/>
            <w:vAlign w:val="bottom"/>
            <w:hideMark/>
          </w:tcPr>
          <w:p w14:paraId="1B3256D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5292M</w:t>
            </w:r>
          </w:p>
        </w:tc>
        <w:tc>
          <w:tcPr>
            <w:tcW w:w="795" w:type="dxa"/>
            <w:noWrap/>
            <w:vAlign w:val="bottom"/>
            <w:hideMark/>
          </w:tcPr>
          <w:p w14:paraId="7539BE0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33D246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BA9A2D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18B9C69B" w14:textId="77777777" w:rsidTr="09E07EA4">
        <w:trPr>
          <w:trHeight w:val="290"/>
        </w:trPr>
        <w:tc>
          <w:tcPr>
            <w:tcW w:w="5985" w:type="dxa"/>
            <w:noWrap/>
            <w:vAlign w:val="bottom"/>
            <w:hideMark/>
          </w:tcPr>
          <w:p w14:paraId="5002E185"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40 mg + amlodipine 10 mg tablet, 30</w:t>
            </w:r>
          </w:p>
        </w:tc>
        <w:tc>
          <w:tcPr>
            <w:tcW w:w="870" w:type="dxa"/>
            <w:noWrap/>
            <w:vAlign w:val="bottom"/>
            <w:hideMark/>
          </w:tcPr>
          <w:p w14:paraId="199283E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5294P</w:t>
            </w:r>
          </w:p>
        </w:tc>
        <w:tc>
          <w:tcPr>
            <w:tcW w:w="795" w:type="dxa"/>
            <w:noWrap/>
            <w:vAlign w:val="bottom"/>
            <w:hideMark/>
          </w:tcPr>
          <w:p w14:paraId="24DA436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6458992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5F7C1E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02E28BE5" w14:textId="77777777" w:rsidTr="09E07EA4">
        <w:trPr>
          <w:trHeight w:val="290"/>
        </w:trPr>
        <w:tc>
          <w:tcPr>
            <w:tcW w:w="5985" w:type="dxa"/>
            <w:noWrap/>
            <w:vAlign w:val="bottom"/>
            <w:hideMark/>
          </w:tcPr>
          <w:p w14:paraId="2A04D5F1"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40 mg + amlodipine 5 mg tablet, 30</w:t>
            </w:r>
          </w:p>
        </w:tc>
        <w:tc>
          <w:tcPr>
            <w:tcW w:w="870" w:type="dxa"/>
            <w:noWrap/>
            <w:vAlign w:val="bottom"/>
            <w:hideMark/>
          </w:tcPr>
          <w:p w14:paraId="169049C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5293N</w:t>
            </w:r>
          </w:p>
        </w:tc>
        <w:tc>
          <w:tcPr>
            <w:tcW w:w="795" w:type="dxa"/>
            <w:noWrap/>
            <w:vAlign w:val="bottom"/>
            <w:hideMark/>
          </w:tcPr>
          <w:p w14:paraId="386B3F3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05651EB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357FE0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757BD02B" w14:textId="77777777" w:rsidTr="09E07EA4">
        <w:trPr>
          <w:trHeight w:val="290"/>
        </w:trPr>
        <w:tc>
          <w:tcPr>
            <w:tcW w:w="5985" w:type="dxa"/>
            <w:noWrap/>
            <w:vAlign w:val="bottom"/>
            <w:hideMark/>
          </w:tcPr>
          <w:p w14:paraId="0A9B6175"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20 mg + hydrochlorothiazide 12.5 mg tablet, 30</w:t>
            </w:r>
          </w:p>
        </w:tc>
        <w:tc>
          <w:tcPr>
            <w:tcW w:w="870" w:type="dxa"/>
            <w:noWrap/>
            <w:vAlign w:val="bottom"/>
            <w:hideMark/>
          </w:tcPr>
          <w:p w14:paraId="05F67C9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2161R</w:t>
            </w:r>
          </w:p>
        </w:tc>
        <w:tc>
          <w:tcPr>
            <w:tcW w:w="795" w:type="dxa"/>
            <w:noWrap/>
            <w:vAlign w:val="bottom"/>
            <w:hideMark/>
          </w:tcPr>
          <w:p w14:paraId="5C1600A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5323B3B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BB1BA3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3557197C" w14:textId="77777777" w:rsidTr="09E07EA4">
        <w:trPr>
          <w:trHeight w:val="290"/>
        </w:trPr>
        <w:tc>
          <w:tcPr>
            <w:tcW w:w="5985" w:type="dxa"/>
            <w:noWrap/>
            <w:vAlign w:val="bottom"/>
            <w:hideMark/>
          </w:tcPr>
          <w:p w14:paraId="29EDFB62"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40 mg + hydrochlorothiazide 12.5 mg tablet, 30</w:t>
            </w:r>
          </w:p>
        </w:tc>
        <w:tc>
          <w:tcPr>
            <w:tcW w:w="870" w:type="dxa"/>
            <w:noWrap/>
            <w:vAlign w:val="bottom"/>
            <w:hideMark/>
          </w:tcPr>
          <w:p w14:paraId="29D1988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2166B</w:t>
            </w:r>
          </w:p>
        </w:tc>
        <w:tc>
          <w:tcPr>
            <w:tcW w:w="795" w:type="dxa"/>
            <w:noWrap/>
            <w:vAlign w:val="bottom"/>
            <w:hideMark/>
          </w:tcPr>
          <w:p w14:paraId="68D50FD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50CC952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383A76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06F09F1A" w14:textId="77777777" w:rsidTr="09E07EA4">
        <w:trPr>
          <w:trHeight w:val="290"/>
        </w:trPr>
        <w:tc>
          <w:tcPr>
            <w:tcW w:w="5985" w:type="dxa"/>
            <w:noWrap/>
            <w:vAlign w:val="bottom"/>
            <w:hideMark/>
          </w:tcPr>
          <w:p w14:paraId="69796C6E"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olmesartan medoxomil 40 mg + hydrochlorothiazide 25 mg tablet, 30</w:t>
            </w:r>
          </w:p>
        </w:tc>
        <w:tc>
          <w:tcPr>
            <w:tcW w:w="870" w:type="dxa"/>
            <w:noWrap/>
            <w:vAlign w:val="bottom"/>
            <w:hideMark/>
          </w:tcPr>
          <w:p w14:paraId="7241B59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2170F</w:t>
            </w:r>
          </w:p>
        </w:tc>
        <w:tc>
          <w:tcPr>
            <w:tcW w:w="795" w:type="dxa"/>
            <w:noWrap/>
            <w:vAlign w:val="bottom"/>
            <w:hideMark/>
          </w:tcPr>
          <w:p w14:paraId="5DE1395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2461179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BD1FD8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160E8327" w14:textId="77777777" w:rsidTr="09E07EA4">
        <w:trPr>
          <w:trHeight w:val="290"/>
        </w:trPr>
        <w:tc>
          <w:tcPr>
            <w:tcW w:w="5985" w:type="dxa"/>
            <w:noWrap/>
            <w:vAlign w:val="bottom"/>
            <w:hideMark/>
          </w:tcPr>
          <w:p w14:paraId="58145E78"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arginine 10 mg + amlodipine 10 mg tablet, 30</w:t>
            </w:r>
          </w:p>
        </w:tc>
        <w:tc>
          <w:tcPr>
            <w:tcW w:w="870" w:type="dxa"/>
            <w:noWrap/>
            <w:vAlign w:val="bottom"/>
            <w:hideMark/>
          </w:tcPr>
          <w:p w14:paraId="2078FA0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9349C</w:t>
            </w:r>
          </w:p>
        </w:tc>
        <w:tc>
          <w:tcPr>
            <w:tcW w:w="795" w:type="dxa"/>
            <w:noWrap/>
            <w:vAlign w:val="bottom"/>
            <w:hideMark/>
          </w:tcPr>
          <w:p w14:paraId="5C1C057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3A0A0E1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ECBE8E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30B56C3E" w14:textId="77777777" w:rsidTr="09E07EA4">
        <w:trPr>
          <w:trHeight w:val="290"/>
        </w:trPr>
        <w:tc>
          <w:tcPr>
            <w:tcW w:w="5985" w:type="dxa"/>
            <w:noWrap/>
            <w:vAlign w:val="bottom"/>
            <w:hideMark/>
          </w:tcPr>
          <w:p w14:paraId="45CA391F"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arginine 10 mg + amlodipine 5 mg tablet, 30</w:t>
            </w:r>
          </w:p>
        </w:tc>
        <w:tc>
          <w:tcPr>
            <w:tcW w:w="870" w:type="dxa"/>
            <w:noWrap/>
            <w:vAlign w:val="bottom"/>
            <w:hideMark/>
          </w:tcPr>
          <w:p w14:paraId="79FE3ED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9348B</w:t>
            </w:r>
          </w:p>
        </w:tc>
        <w:tc>
          <w:tcPr>
            <w:tcW w:w="795" w:type="dxa"/>
            <w:noWrap/>
            <w:vAlign w:val="bottom"/>
            <w:hideMark/>
          </w:tcPr>
          <w:p w14:paraId="29BCA8A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59DCDB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1EA3CF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6FA6E58D" w14:textId="77777777" w:rsidTr="09E07EA4">
        <w:trPr>
          <w:trHeight w:val="290"/>
        </w:trPr>
        <w:tc>
          <w:tcPr>
            <w:tcW w:w="5985" w:type="dxa"/>
            <w:noWrap/>
            <w:vAlign w:val="bottom"/>
            <w:hideMark/>
          </w:tcPr>
          <w:p w14:paraId="3B065486"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arginine 5 mg + amlodipine 10 mg tablet, 30</w:t>
            </w:r>
          </w:p>
        </w:tc>
        <w:tc>
          <w:tcPr>
            <w:tcW w:w="870" w:type="dxa"/>
            <w:noWrap/>
            <w:vAlign w:val="bottom"/>
            <w:hideMark/>
          </w:tcPr>
          <w:p w14:paraId="7CE575E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9347Y</w:t>
            </w:r>
          </w:p>
        </w:tc>
        <w:tc>
          <w:tcPr>
            <w:tcW w:w="795" w:type="dxa"/>
            <w:noWrap/>
            <w:vAlign w:val="bottom"/>
            <w:hideMark/>
          </w:tcPr>
          <w:p w14:paraId="09E8842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3823457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C2C593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258ACEF7" w14:textId="77777777" w:rsidTr="09E07EA4">
        <w:trPr>
          <w:trHeight w:val="290"/>
        </w:trPr>
        <w:tc>
          <w:tcPr>
            <w:tcW w:w="5985" w:type="dxa"/>
            <w:noWrap/>
            <w:vAlign w:val="bottom"/>
            <w:hideMark/>
          </w:tcPr>
          <w:p w14:paraId="70C145C2"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arginine 5 mg + amlodipine 5 mg tablet, 30</w:t>
            </w:r>
          </w:p>
        </w:tc>
        <w:tc>
          <w:tcPr>
            <w:tcW w:w="870" w:type="dxa"/>
            <w:noWrap/>
            <w:vAlign w:val="bottom"/>
            <w:hideMark/>
          </w:tcPr>
          <w:p w14:paraId="419E274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9346X</w:t>
            </w:r>
          </w:p>
        </w:tc>
        <w:tc>
          <w:tcPr>
            <w:tcW w:w="795" w:type="dxa"/>
            <w:noWrap/>
            <w:vAlign w:val="bottom"/>
            <w:hideMark/>
          </w:tcPr>
          <w:p w14:paraId="6B5595B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D5EC11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472351C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65E77C65" w14:textId="77777777" w:rsidTr="09E07EA4">
        <w:trPr>
          <w:trHeight w:val="290"/>
        </w:trPr>
        <w:tc>
          <w:tcPr>
            <w:tcW w:w="5985" w:type="dxa"/>
            <w:noWrap/>
            <w:vAlign w:val="bottom"/>
            <w:hideMark/>
          </w:tcPr>
          <w:p w14:paraId="1196DAC9"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arginine 5 mg + indapamide hemihydrate 1.25 mg tablet, 30</w:t>
            </w:r>
          </w:p>
        </w:tc>
        <w:tc>
          <w:tcPr>
            <w:tcW w:w="870" w:type="dxa"/>
            <w:noWrap/>
            <w:vAlign w:val="bottom"/>
            <w:hideMark/>
          </w:tcPr>
          <w:p w14:paraId="635418C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2845R</w:t>
            </w:r>
          </w:p>
        </w:tc>
        <w:tc>
          <w:tcPr>
            <w:tcW w:w="795" w:type="dxa"/>
            <w:noWrap/>
            <w:vAlign w:val="bottom"/>
            <w:hideMark/>
          </w:tcPr>
          <w:p w14:paraId="2C484AC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6C68EFF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0CA710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12ADB757" w14:textId="77777777" w:rsidTr="09E07EA4">
        <w:trPr>
          <w:trHeight w:val="290"/>
        </w:trPr>
        <w:tc>
          <w:tcPr>
            <w:tcW w:w="5985" w:type="dxa"/>
            <w:noWrap/>
            <w:vAlign w:val="bottom"/>
            <w:hideMark/>
          </w:tcPr>
          <w:p w14:paraId="7C9C1B42"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perindopril erbumine 4 mg + indapamide hemihydrate 1.25 mg tablet, 30</w:t>
            </w:r>
          </w:p>
        </w:tc>
        <w:tc>
          <w:tcPr>
            <w:tcW w:w="870" w:type="dxa"/>
            <w:noWrap/>
            <w:vAlign w:val="bottom"/>
            <w:hideMark/>
          </w:tcPr>
          <w:p w14:paraId="0BCEBAC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8449Q</w:t>
            </w:r>
          </w:p>
        </w:tc>
        <w:tc>
          <w:tcPr>
            <w:tcW w:w="795" w:type="dxa"/>
            <w:noWrap/>
            <w:vAlign w:val="bottom"/>
            <w:hideMark/>
          </w:tcPr>
          <w:p w14:paraId="14DF105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C81F8F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1384FF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025A884B" w14:textId="77777777" w:rsidTr="09E07EA4">
        <w:trPr>
          <w:trHeight w:val="290"/>
        </w:trPr>
        <w:tc>
          <w:tcPr>
            <w:tcW w:w="5985" w:type="dxa"/>
            <w:noWrap/>
            <w:vAlign w:val="bottom"/>
            <w:hideMark/>
          </w:tcPr>
          <w:p w14:paraId="2D5F4B6A"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quinapril 10 mg + hydrochlorothiazide 12.5 mg tablet, 30</w:t>
            </w:r>
          </w:p>
        </w:tc>
        <w:tc>
          <w:tcPr>
            <w:tcW w:w="870" w:type="dxa"/>
            <w:noWrap/>
            <w:vAlign w:val="bottom"/>
            <w:hideMark/>
          </w:tcPr>
          <w:p w14:paraId="3BDCEDE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8589C</w:t>
            </w:r>
          </w:p>
        </w:tc>
        <w:tc>
          <w:tcPr>
            <w:tcW w:w="795" w:type="dxa"/>
            <w:noWrap/>
            <w:vAlign w:val="bottom"/>
            <w:hideMark/>
          </w:tcPr>
          <w:p w14:paraId="25A0CE2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2511905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DDA980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5A9E8917" w14:textId="77777777" w:rsidTr="09E07EA4">
        <w:trPr>
          <w:trHeight w:val="290"/>
        </w:trPr>
        <w:tc>
          <w:tcPr>
            <w:tcW w:w="5985" w:type="dxa"/>
            <w:noWrap/>
            <w:vAlign w:val="bottom"/>
            <w:hideMark/>
          </w:tcPr>
          <w:p w14:paraId="662B5978"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quinapril 20 mg + hydrochlorothiazide 12.5 mg tablet, 30</w:t>
            </w:r>
          </w:p>
        </w:tc>
        <w:tc>
          <w:tcPr>
            <w:tcW w:w="870" w:type="dxa"/>
            <w:noWrap/>
            <w:vAlign w:val="bottom"/>
            <w:hideMark/>
          </w:tcPr>
          <w:p w14:paraId="2814419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8590D</w:t>
            </w:r>
          </w:p>
        </w:tc>
        <w:tc>
          <w:tcPr>
            <w:tcW w:w="795" w:type="dxa"/>
            <w:noWrap/>
            <w:vAlign w:val="bottom"/>
            <w:hideMark/>
          </w:tcPr>
          <w:p w14:paraId="2C25050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233F198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46C392D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66E1CC81" w14:textId="77777777" w:rsidTr="09E07EA4">
        <w:trPr>
          <w:trHeight w:val="290"/>
        </w:trPr>
        <w:tc>
          <w:tcPr>
            <w:tcW w:w="5985" w:type="dxa"/>
            <w:noWrap/>
            <w:vAlign w:val="bottom"/>
            <w:hideMark/>
          </w:tcPr>
          <w:p w14:paraId="0EFE122C"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ramipril 2.5 mg + felodipine 2.5 mg modified release tablet, 30</w:t>
            </w:r>
          </w:p>
        </w:tc>
        <w:tc>
          <w:tcPr>
            <w:tcW w:w="870" w:type="dxa"/>
            <w:noWrap/>
            <w:vAlign w:val="bottom"/>
            <w:hideMark/>
          </w:tcPr>
          <w:p w14:paraId="440BDB2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2626F</w:t>
            </w:r>
          </w:p>
        </w:tc>
        <w:tc>
          <w:tcPr>
            <w:tcW w:w="795" w:type="dxa"/>
            <w:noWrap/>
            <w:vAlign w:val="bottom"/>
            <w:hideMark/>
          </w:tcPr>
          <w:p w14:paraId="15E357B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4DA8B43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C16665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08D35EED" w14:textId="77777777" w:rsidTr="09E07EA4">
        <w:trPr>
          <w:trHeight w:val="290"/>
        </w:trPr>
        <w:tc>
          <w:tcPr>
            <w:tcW w:w="5985" w:type="dxa"/>
            <w:noWrap/>
            <w:vAlign w:val="bottom"/>
            <w:hideMark/>
          </w:tcPr>
          <w:p w14:paraId="7F6F703D"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ramipril 5 mg + felodipine 5 mg modified release tablet, 30</w:t>
            </w:r>
          </w:p>
        </w:tc>
        <w:tc>
          <w:tcPr>
            <w:tcW w:w="870" w:type="dxa"/>
            <w:noWrap/>
            <w:vAlign w:val="bottom"/>
            <w:hideMark/>
          </w:tcPr>
          <w:p w14:paraId="7131CC4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2629J</w:t>
            </w:r>
          </w:p>
        </w:tc>
        <w:tc>
          <w:tcPr>
            <w:tcW w:w="795" w:type="dxa"/>
            <w:noWrap/>
            <w:vAlign w:val="bottom"/>
            <w:hideMark/>
          </w:tcPr>
          <w:p w14:paraId="1E765380"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c>
          <w:tcPr>
            <w:tcW w:w="709" w:type="dxa"/>
            <w:noWrap/>
            <w:vAlign w:val="bottom"/>
            <w:hideMark/>
          </w:tcPr>
          <w:p w14:paraId="3C6E26A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68CD7D4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30</w:t>
            </w:r>
          </w:p>
        </w:tc>
      </w:tr>
      <w:tr w:rsidR="002344C5" w:rsidRPr="004C1B8D" w14:paraId="5C02A0B1" w14:textId="77777777" w:rsidTr="09E07EA4">
        <w:trPr>
          <w:trHeight w:val="290"/>
        </w:trPr>
        <w:tc>
          <w:tcPr>
            <w:tcW w:w="5985" w:type="dxa"/>
            <w:noWrap/>
            <w:vAlign w:val="bottom"/>
            <w:hideMark/>
          </w:tcPr>
          <w:p w14:paraId="2FED5B67"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40 mg + amlodipine 10 mg tablet, 28</w:t>
            </w:r>
          </w:p>
        </w:tc>
        <w:tc>
          <w:tcPr>
            <w:tcW w:w="870" w:type="dxa"/>
            <w:noWrap/>
            <w:vAlign w:val="bottom"/>
            <w:hideMark/>
          </w:tcPr>
          <w:p w14:paraId="3FD845D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8979N</w:t>
            </w:r>
          </w:p>
        </w:tc>
        <w:tc>
          <w:tcPr>
            <w:tcW w:w="795" w:type="dxa"/>
            <w:noWrap/>
            <w:vAlign w:val="bottom"/>
            <w:hideMark/>
          </w:tcPr>
          <w:p w14:paraId="66FB8D7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5B6ED197"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456B730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5F12DFE4" w14:textId="77777777" w:rsidTr="09E07EA4">
        <w:trPr>
          <w:trHeight w:val="290"/>
        </w:trPr>
        <w:tc>
          <w:tcPr>
            <w:tcW w:w="5985" w:type="dxa"/>
            <w:noWrap/>
            <w:vAlign w:val="bottom"/>
            <w:hideMark/>
          </w:tcPr>
          <w:p w14:paraId="6BDB9DBC"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40 mg + amlodipine 5 mg tablet, 28</w:t>
            </w:r>
          </w:p>
        </w:tc>
        <w:tc>
          <w:tcPr>
            <w:tcW w:w="870" w:type="dxa"/>
            <w:noWrap/>
            <w:vAlign w:val="bottom"/>
            <w:hideMark/>
          </w:tcPr>
          <w:p w14:paraId="633F23A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8978M</w:t>
            </w:r>
          </w:p>
        </w:tc>
        <w:tc>
          <w:tcPr>
            <w:tcW w:w="795" w:type="dxa"/>
            <w:noWrap/>
            <w:vAlign w:val="bottom"/>
            <w:hideMark/>
          </w:tcPr>
          <w:p w14:paraId="0848200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52017C4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E0920B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6DDA26A4" w14:textId="77777777" w:rsidTr="09E07EA4">
        <w:trPr>
          <w:trHeight w:val="290"/>
        </w:trPr>
        <w:tc>
          <w:tcPr>
            <w:tcW w:w="5985" w:type="dxa"/>
            <w:noWrap/>
            <w:vAlign w:val="bottom"/>
            <w:hideMark/>
          </w:tcPr>
          <w:p w14:paraId="72240D5C"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80 mg + amlodipine 10 mg tablet, 28</w:t>
            </w:r>
          </w:p>
        </w:tc>
        <w:tc>
          <w:tcPr>
            <w:tcW w:w="870" w:type="dxa"/>
            <w:noWrap/>
            <w:vAlign w:val="bottom"/>
            <w:hideMark/>
          </w:tcPr>
          <w:p w14:paraId="6C2172F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8981Q</w:t>
            </w:r>
          </w:p>
        </w:tc>
        <w:tc>
          <w:tcPr>
            <w:tcW w:w="795" w:type="dxa"/>
            <w:noWrap/>
            <w:vAlign w:val="bottom"/>
            <w:hideMark/>
          </w:tcPr>
          <w:p w14:paraId="5A4440F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077D892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760401F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2C3494CE" w14:textId="77777777" w:rsidTr="09E07EA4">
        <w:trPr>
          <w:trHeight w:val="290"/>
        </w:trPr>
        <w:tc>
          <w:tcPr>
            <w:tcW w:w="5985" w:type="dxa"/>
            <w:noWrap/>
            <w:vAlign w:val="bottom"/>
            <w:hideMark/>
          </w:tcPr>
          <w:p w14:paraId="650944B5"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80 mg + amlodipine 5 mg tablet, 28</w:t>
            </w:r>
          </w:p>
        </w:tc>
        <w:tc>
          <w:tcPr>
            <w:tcW w:w="870" w:type="dxa"/>
            <w:noWrap/>
            <w:vAlign w:val="bottom"/>
            <w:hideMark/>
          </w:tcPr>
          <w:p w14:paraId="2F9DB99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8980P</w:t>
            </w:r>
          </w:p>
        </w:tc>
        <w:tc>
          <w:tcPr>
            <w:tcW w:w="795" w:type="dxa"/>
            <w:noWrap/>
            <w:vAlign w:val="bottom"/>
            <w:hideMark/>
          </w:tcPr>
          <w:p w14:paraId="50E55D3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0A353FB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7DA800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0BE92957" w14:textId="77777777" w:rsidTr="09E07EA4">
        <w:trPr>
          <w:trHeight w:val="290"/>
        </w:trPr>
        <w:tc>
          <w:tcPr>
            <w:tcW w:w="5985" w:type="dxa"/>
            <w:noWrap/>
            <w:vAlign w:val="bottom"/>
            <w:hideMark/>
          </w:tcPr>
          <w:p w14:paraId="783D6691"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40 mg + hydrochlorothiazide 12.5 mg tablet, 28</w:t>
            </w:r>
          </w:p>
        </w:tc>
        <w:tc>
          <w:tcPr>
            <w:tcW w:w="870" w:type="dxa"/>
            <w:noWrap/>
            <w:vAlign w:val="bottom"/>
            <w:hideMark/>
          </w:tcPr>
          <w:p w14:paraId="6694D0A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8622T</w:t>
            </w:r>
          </w:p>
        </w:tc>
        <w:tc>
          <w:tcPr>
            <w:tcW w:w="795" w:type="dxa"/>
            <w:noWrap/>
            <w:vAlign w:val="bottom"/>
            <w:hideMark/>
          </w:tcPr>
          <w:p w14:paraId="7616240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4A71470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76BEEF1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666F3CA7" w14:textId="77777777" w:rsidTr="09E07EA4">
        <w:trPr>
          <w:trHeight w:val="290"/>
        </w:trPr>
        <w:tc>
          <w:tcPr>
            <w:tcW w:w="5985" w:type="dxa"/>
            <w:noWrap/>
            <w:vAlign w:val="bottom"/>
            <w:hideMark/>
          </w:tcPr>
          <w:p w14:paraId="0AE3998B"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lastRenderedPageBreak/>
              <w:t>telmisartan 80 mg + hydrochlorothiazide 12.5 mg tablet, 28</w:t>
            </w:r>
          </w:p>
        </w:tc>
        <w:tc>
          <w:tcPr>
            <w:tcW w:w="870" w:type="dxa"/>
            <w:noWrap/>
            <w:vAlign w:val="bottom"/>
            <w:hideMark/>
          </w:tcPr>
          <w:p w14:paraId="5886200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8623W</w:t>
            </w:r>
          </w:p>
        </w:tc>
        <w:tc>
          <w:tcPr>
            <w:tcW w:w="795" w:type="dxa"/>
            <w:noWrap/>
            <w:vAlign w:val="bottom"/>
            <w:hideMark/>
          </w:tcPr>
          <w:p w14:paraId="2C8828D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7E9316E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6BE22CC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5241817E" w14:textId="77777777" w:rsidTr="09E07EA4">
        <w:trPr>
          <w:trHeight w:val="290"/>
        </w:trPr>
        <w:tc>
          <w:tcPr>
            <w:tcW w:w="5985" w:type="dxa"/>
            <w:noWrap/>
            <w:vAlign w:val="bottom"/>
            <w:hideMark/>
          </w:tcPr>
          <w:p w14:paraId="5476D0C5"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telmisartan 80 mg + hydrochlorothiazide 25 mg tablet, 28</w:t>
            </w:r>
          </w:p>
        </w:tc>
        <w:tc>
          <w:tcPr>
            <w:tcW w:w="870" w:type="dxa"/>
            <w:noWrap/>
            <w:vAlign w:val="bottom"/>
            <w:hideMark/>
          </w:tcPr>
          <w:p w14:paraId="6D340A4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9381R</w:t>
            </w:r>
          </w:p>
        </w:tc>
        <w:tc>
          <w:tcPr>
            <w:tcW w:w="795" w:type="dxa"/>
            <w:noWrap/>
            <w:vAlign w:val="bottom"/>
            <w:hideMark/>
          </w:tcPr>
          <w:p w14:paraId="007C2C0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36B1CC5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DF9814B"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1E530198" w14:textId="77777777" w:rsidTr="09E07EA4">
        <w:trPr>
          <w:trHeight w:val="290"/>
        </w:trPr>
        <w:tc>
          <w:tcPr>
            <w:tcW w:w="5985" w:type="dxa"/>
            <w:noWrap/>
            <w:vAlign w:val="bottom"/>
            <w:hideMark/>
          </w:tcPr>
          <w:p w14:paraId="36119A43"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trandolapril 2 mg + verapamil hydrochloride 180 mg modified release tablet, 28</w:t>
            </w:r>
          </w:p>
        </w:tc>
        <w:tc>
          <w:tcPr>
            <w:tcW w:w="870" w:type="dxa"/>
            <w:noWrap/>
            <w:vAlign w:val="bottom"/>
            <w:hideMark/>
          </w:tcPr>
          <w:p w14:paraId="5C57CDD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9387C</w:t>
            </w:r>
          </w:p>
        </w:tc>
        <w:tc>
          <w:tcPr>
            <w:tcW w:w="795" w:type="dxa"/>
            <w:noWrap/>
            <w:vAlign w:val="bottom"/>
            <w:hideMark/>
          </w:tcPr>
          <w:p w14:paraId="2F8162B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11B5C321"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050B93F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3FB41394" w14:textId="77777777" w:rsidTr="09E07EA4">
        <w:trPr>
          <w:trHeight w:val="290"/>
        </w:trPr>
        <w:tc>
          <w:tcPr>
            <w:tcW w:w="5985" w:type="dxa"/>
            <w:noWrap/>
            <w:vAlign w:val="bottom"/>
            <w:hideMark/>
          </w:tcPr>
          <w:p w14:paraId="7170F6B6"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trandolapril 4 mg + verapamil hydrochloride 240 mg modified release tablet, 28</w:t>
            </w:r>
          </w:p>
        </w:tc>
        <w:tc>
          <w:tcPr>
            <w:tcW w:w="870" w:type="dxa"/>
            <w:noWrap/>
            <w:vAlign w:val="bottom"/>
            <w:hideMark/>
          </w:tcPr>
          <w:p w14:paraId="15B5A3C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2857J</w:t>
            </w:r>
          </w:p>
        </w:tc>
        <w:tc>
          <w:tcPr>
            <w:tcW w:w="795" w:type="dxa"/>
            <w:noWrap/>
            <w:vAlign w:val="bottom"/>
            <w:hideMark/>
          </w:tcPr>
          <w:p w14:paraId="7459905D"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2B04360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5B994FE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444F473D" w14:textId="77777777" w:rsidTr="09E07EA4">
        <w:trPr>
          <w:trHeight w:val="290"/>
        </w:trPr>
        <w:tc>
          <w:tcPr>
            <w:tcW w:w="5985" w:type="dxa"/>
            <w:noWrap/>
            <w:vAlign w:val="bottom"/>
            <w:hideMark/>
          </w:tcPr>
          <w:p w14:paraId="7A5FEA68"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valsartan 160 mg + hydrochlorothiazide 12.5 mg tablet, 28</w:t>
            </w:r>
          </w:p>
        </w:tc>
        <w:tc>
          <w:tcPr>
            <w:tcW w:w="870" w:type="dxa"/>
            <w:noWrap/>
            <w:vAlign w:val="bottom"/>
            <w:hideMark/>
          </w:tcPr>
          <w:p w14:paraId="4CB0893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9373H</w:t>
            </w:r>
          </w:p>
        </w:tc>
        <w:tc>
          <w:tcPr>
            <w:tcW w:w="795" w:type="dxa"/>
            <w:noWrap/>
            <w:vAlign w:val="bottom"/>
            <w:hideMark/>
          </w:tcPr>
          <w:p w14:paraId="2B8D29D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618B310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33E42F5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350B1F61" w14:textId="77777777" w:rsidTr="09E07EA4">
        <w:trPr>
          <w:trHeight w:val="290"/>
        </w:trPr>
        <w:tc>
          <w:tcPr>
            <w:tcW w:w="5985" w:type="dxa"/>
            <w:noWrap/>
            <w:vAlign w:val="bottom"/>
            <w:hideMark/>
          </w:tcPr>
          <w:p w14:paraId="306CD789"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valsartan 160 mg + hydrochlorothiazide 25 mg tablet, 28</w:t>
            </w:r>
          </w:p>
        </w:tc>
        <w:tc>
          <w:tcPr>
            <w:tcW w:w="870" w:type="dxa"/>
            <w:noWrap/>
            <w:vAlign w:val="bottom"/>
            <w:hideMark/>
          </w:tcPr>
          <w:p w14:paraId="5A957D95"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9374J</w:t>
            </w:r>
          </w:p>
        </w:tc>
        <w:tc>
          <w:tcPr>
            <w:tcW w:w="795" w:type="dxa"/>
            <w:noWrap/>
            <w:vAlign w:val="bottom"/>
            <w:hideMark/>
          </w:tcPr>
          <w:p w14:paraId="33FF9CA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7029EFEF"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13E69D49"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2F947BC3" w14:textId="77777777" w:rsidTr="09E07EA4">
        <w:trPr>
          <w:trHeight w:val="290"/>
        </w:trPr>
        <w:tc>
          <w:tcPr>
            <w:tcW w:w="5985" w:type="dxa"/>
            <w:noWrap/>
            <w:vAlign w:val="bottom"/>
            <w:hideMark/>
          </w:tcPr>
          <w:p w14:paraId="06BFA27C"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valsartan 320 mg + hydrochlorothiazide 12.5 mg tablet, 28</w:t>
            </w:r>
          </w:p>
        </w:tc>
        <w:tc>
          <w:tcPr>
            <w:tcW w:w="870" w:type="dxa"/>
            <w:noWrap/>
            <w:vAlign w:val="bottom"/>
            <w:hideMark/>
          </w:tcPr>
          <w:p w14:paraId="00C92526"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9481B</w:t>
            </w:r>
          </w:p>
        </w:tc>
        <w:tc>
          <w:tcPr>
            <w:tcW w:w="795" w:type="dxa"/>
            <w:noWrap/>
            <w:vAlign w:val="bottom"/>
            <w:hideMark/>
          </w:tcPr>
          <w:p w14:paraId="3FA2DBD3"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65D8104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2CF49AC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4E9113B9" w14:textId="77777777" w:rsidTr="09E07EA4">
        <w:trPr>
          <w:trHeight w:val="290"/>
        </w:trPr>
        <w:tc>
          <w:tcPr>
            <w:tcW w:w="5985" w:type="dxa"/>
            <w:noWrap/>
            <w:vAlign w:val="bottom"/>
            <w:hideMark/>
          </w:tcPr>
          <w:p w14:paraId="6E5CB829"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valsartan 320 mg + hydrochlorothiazide 25 mg tablet, 28</w:t>
            </w:r>
          </w:p>
        </w:tc>
        <w:tc>
          <w:tcPr>
            <w:tcW w:w="870" w:type="dxa"/>
            <w:noWrap/>
            <w:vAlign w:val="bottom"/>
            <w:hideMark/>
          </w:tcPr>
          <w:p w14:paraId="7611F24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9482C</w:t>
            </w:r>
          </w:p>
        </w:tc>
        <w:tc>
          <w:tcPr>
            <w:tcW w:w="795" w:type="dxa"/>
            <w:noWrap/>
            <w:vAlign w:val="bottom"/>
            <w:hideMark/>
          </w:tcPr>
          <w:p w14:paraId="29898C74"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1CDE0A3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0D39E1A8"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r w:rsidR="002344C5" w:rsidRPr="004C1B8D" w14:paraId="7732033D" w14:textId="77777777" w:rsidTr="09E07EA4">
        <w:trPr>
          <w:trHeight w:val="290"/>
        </w:trPr>
        <w:tc>
          <w:tcPr>
            <w:tcW w:w="5985" w:type="dxa"/>
            <w:noWrap/>
            <w:vAlign w:val="bottom"/>
            <w:hideMark/>
          </w:tcPr>
          <w:p w14:paraId="2EAE7118" w14:textId="77777777" w:rsidR="002344C5" w:rsidRPr="004C1B8D" w:rsidRDefault="002344C5" w:rsidP="00AE0B94">
            <w:pPr>
              <w:spacing w:after="0" w:line="240" w:lineRule="auto"/>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valsartan 80 mg + hydrochlorothiazide 12.5 mg tablet, 28</w:t>
            </w:r>
          </w:p>
        </w:tc>
        <w:tc>
          <w:tcPr>
            <w:tcW w:w="870" w:type="dxa"/>
            <w:noWrap/>
            <w:vAlign w:val="bottom"/>
            <w:hideMark/>
          </w:tcPr>
          <w:p w14:paraId="75356F72"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9372G</w:t>
            </w:r>
          </w:p>
        </w:tc>
        <w:tc>
          <w:tcPr>
            <w:tcW w:w="795" w:type="dxa"/>
            <w:noWrap/>
            <w:vAlign w:val="bottom"/>
            <w:hideMark/>
          </w:tcPr>
          <w:p w14:paraId="1E015E6E"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c>
          <w:tcPr>
            <w:tcW w:w="709" w:type="dxa"/>
            <w:noWrap/>
            <w:vAlign w:val="bottom"/>
            <w:hideMark/>
          </w:tcPr>
          <w:p w14:paraId="359058BC"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5</w:t>
            </w:r>
          </w:p>
        </w:tc>
        <w:tc>
          <w:tcPr>
            <w:tcW w:w="657" w:type="dxa"/>
            <w:noWrap/>
            <w:vAlign w:val="bottom"/>
            <w:hideMark/>
          </w:tcPr>
          <w:p w14:paraId="7DA8F5AA" w14:textId="77777777" w:rsidR="002344C5" w:rsidRPr="004C1B8D" w:rsidRDefault="002344C5" w:rsidP="00AE0B94">
            <w:pPr>
              <w:spacing w:after="0" w:line="240" w:lineRule="auto"/>
              <w:jc w:val="center"/>
              <w:rPr>
                <w:rFonts w:ascii="Arial Narrow" w:eastAsia="Times New Roman" w:hAnsi="Arial Narrow" w:cs="Times New Roman"/>
                <w:color w:val="000000"/>
                <w:sz w:val="20"/>
                <w:szCs w:val="20"/>
                <w:lang w:eastAsia="en-AU"/>
              </w:rPr>
            </w:pPr>
            <w:r w:rsidRPr="004C1B8D">
              <w:rPr>
                <w:rFonts w:ascii="Arial Narrow" w:eastAsia="Times New Roman" w:hAnsi="Arial Narrow" w:cs="Times New Roman"/>
                <w:color w:val="000000"/>
                <w:sz w:val="20"/>
                <w:szCs w:val="20"/>
                <w:lang w:eastAsia="en-AU"/>
              </w:rPr>
              <w:t>28</w:t>
            </w:r>
          </w:p>
        </w:tc>
      </w:tr>
    </w:tbl>
    <w:p w14:paraId="40442234" w14:textId="77777777" w:rsidR="00D56A5F" w:rsidRDefault="00D56A5F" w:rsidP="2ECBDAFF">
      <w:pPr>
        <w:pStyle w:val="3Bodytext"/>
        <w:tabs>
          <w:tab w:val="clear" w:pos="360"/>
        </w:tabs>
        <w:ind w:hanging="720"/>
        <w:rPr>
          <w:b/>
        </w:rPr>
      </w:pPr>
    </w:p>
    <w:p w14:paraId="00FD0EA0" w14:textId="2DC0647B" w:rsidR="009779BA" w:rsidRPr="00AA42BB" w:rsidRDefault="009779BA" w:rsidP="009779BA">
      <w:pPr>
        <w:keepNext/>
        <w:keepLines/>
        <w:spacing w:after="40"/>
        <w:rPr>
          <w:rFonts w:ascii="Arial Narrow" w:hAnsi="Arial Narrow"/>
          <w:b/>
          <w:sz w:val="20"/>
          <w:szCs w:val="20"/>
          <w:lang w:val="en-GB"/>
        </w:rPr>
      </w:pPr>
      <w:r w:rsidRPr="00AA42BB">
        <w:rPr>
          <w:rFonts w:ascii="Arial Narrow" w:hAnsi="Arial Narrow"/>
          <w:b/>
          <w:sz w:val="20"/>
          <w:szCs w:val="20"/>
          <w:lang w:val="en-GB"/>
        </w:rPr>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E30FAA" w:rsidRPr="00E30FAA" w14:paraId="3B25E11C" w14:textId="77777777" w:rsidTr="2ECBDAFF">
        <w:trPr>
          <w:cantSplit/>
          <w:trHeight w:val="20"/>
        </w:trPr>
        <w:tc>
          <w:tcPr>
            <w:tcW w:w="705" w:type="pct"/>
            <w:vMerge w:val="restart"/>
          </w:tcPr>
          <w:p w14:paraId="22DA46B9" w14:textId="77777777" w:rsidR="00E30FAA" w:rsidRPr="00E30FAA" w:rsidRDefault="00E30FAA" w:rsidP="00E30FAA">
            <w:pPr>
              <w:keepNext/>
              <w:spacing w:after="0" w:line="240" w:lineRule="auto"/>
              <w:jc w:val="center"/>
              <w:rPr>
                <w:rFonts w:ascii="Arial Narrow" w:hAnsi="Arial Narrow" w:cs="Arial"/>
                <w:b/>
                <w:sz w:val="20"/>
                <w:szCs w:val="20"/>
              </w:rPr>
            </w:pPr>
            <w:r w:rsidRPr="00E30FAA">
              <w:rPr>
                <w:rFonts w:ascii="Arial Narrow" w:hAnsi="Arial Narrow" w:cs="Arial"/>
                <w:b/>
                <w:sz w:val="20"/>
                <w:szCs w:val="20"/>
              </w:rPr>
              <w:t xml:space="preserve">Concept ID </w:t>
            </w:r>
            <w:r w:rsidRPr="00E30FAA">
              <w:rPr>
                <w:rFonts w:ascii="Arial Narrow" w:hAnsi="Arial Narrow" w:cs="Arial"/>
                <w:sz w:val="20"/>
                <w:szCs w:val="20"/>
              </w:rPr>
              <w:t>(for internal Dept. use)</w:t>
            </w:r>
          </w:p>
        </w:tc>
        <w:tc>
          <w:tcPr>
            <w:tcW w:w="4295" w:type="pct"/>
          </w:tcPr>
          <w:p w14:paraId="2AD7FD87" w14:textId="5A518424" w:rsidR="00E30FAA" w:rsidRPr="00E30FAA" w:rsidRDefault="00E30FAA" w:rsidP="00E30FAA">
            <w:pPr>
              <w:keepNext/>
              <w:spacing w:after="0" w:line="240" w:lineRule="auto"/>
              <w:rPr>
                <w:rFonts w:ascii="Arial Narrow" w:hAnsi="Arial Narrow" w:cs="Arial"/>
                <w:sz w:val="20"/>
                <w:szCs w:val="20"/>
              </w:rPr>
            </w:pPr>
            <w:r w:rsidRPr="00E30FAA">
              <w:rPr>
                <w:rFonts w:ascii="Arial Narrow" w:hAnsi="Arial Narrow" w:cs="Arial"/>
                <w:b/>
                <w:sz w:val="20"/>
                <w:szCs w:val="20"/>
              </w:rPr>
              <w:t xml:space="preserve">Category / Program: </w:t>
            </w:r>
            <w:r w:rsidRPr="00AA42BB">
              <w:rPr>
                <w:rFonts w:ascii="Arial Narrow" w:hAnsi="Arial Narrow" w:cs="Arial"/>
                <w:sz w:val="20"/>
                <w:szCs w:val="20"/>
              </w:rPr>
              <w:t>GENERAL – General Schedule (Code GE)</w:t>
            </w:r>
          </w:p>
        </w:tc>
      </w:tr>
      <w:tr w:rsidR="00E30FAA" w:rsidRPr="00E30FAA" w14:paraId="13117328" w14:textId="77777777" w:rsidTr="2ECBDAFF">
        <w:trPr>
          <w:cantSplit/>
          <w:trHeight w:val="20"/>
        </w:trPr>
        <w:tc>
          <w:tcPr>
            <w:tcW w:w="705" w:type="pct"/>
            <w:vMerge/>
          </w:tcPr>
          <w:p w14:paraId="3739CA6F" w14:textId="77777777" w:rsidR="00E30FAA" w:rsidRPr="00E30FAA" w:rsidRDefault="00E30FAA" w:rsidP="00E30FAA">
            <w:pPr>
              <w:keepNext/>
              <w:spacing w:after="0" w:line="240" w:lineRule="auto"/>
              <w:jc w:val="both"/>
              <w:rPr>
                <w:rFonts w:ascii="Arial Narrow" w:hAnsi="Arial Narrow" w:cs="Arial"/>
                <w:sz w:val="20"/>
                <w:szCs w:val="20"/>
              </w:rPr>
            </w:pPr>
          </w:p>
        </w:tc>
        <w:tc>
          <w:tcPr>
            <w:tcW w:w="4295" w:type="pct"/>
          </w:tcPr>
          <w:p w14:paraId="3F17E74E" w14:textId="264AD412" w:rsidR="00E30FAA" w:rsidRPr="00E30FAA" w:rsidRDefault="00E30FAA" w:rsidP="00E30FAA">
            <w:pPr>
              <w:keepNext/>
              <w:spacing w:after="0" w:line="240" w:lineRule="auto"/>
              <w:jc w:val="both"/>
              <w:rPr>
                <w:rFonts w:ascii="Arial Narrow" w:hAnsi="Arial Narrow" w:cs="Arial"/>
                <w:b/>
                <w:sz w:val="20"/>
                <w:szCs w:val="20"/>
              </w:rPr>
            </w:pPr>
            <w:r w:rsidRPr="00E30FAA">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E30FAA">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E30FAA">
              <w:rPr>
                <w:rFonts w:ascii="Arial Narrow" w:hAnsi="Arial Narrow" w:cs="Arial"/>
                <w:sz w:val="20"/>
                <w:szCs w:val="20"/>
              </w:rPr>
              <w:t xml:space="preserve">Nurse practitioners </w:t>
            </w:r>
          </w:p>
        </w:tc>
      </w:tr>
      <w:tr w:rsidR="00E30FAA" w:rsidRPr="00E30FAA" w14:paraId="301A3801" w14:textId="77777777" w:rsidTr="2ECBDAFF">
        <w:trPr>
          <w:cantSplit/>
          <w:trHeight w:val="20"/>
        </w:trPr>
        <w:tc>
          <w:tcPr>
            <w:tcW w:w="705" w:type="pct"/>
            <w:vMerge/>
          </w:tcPr>
          <w:p w14:paraId="1F7B7483" w14:textId="77777777" w:rsidR="00E30FAA" w:rsidRPr="00E30FAA" w:rsidRDefault="00E30FAA" w:rsidP="00E30FAA">
            <w:pPr>
              <w:spacing w:after="0" w:line="240" w:lineRule="auto"/>
              <w:jc w:val="both"/>
              <w:rPr>
                <w:rFonts w:ascii="Arial Narrow" w:hAnsi="Arial Narrow" w:cs="Arial"/>
                <w:sz w:val="20"/>
                <w:szCs w:val="20"/>
              </w:rPr>
            </w:pPr>
          </w:p>
        </w:tc>
        <w:tc>
          <w:tcPr>
            <w:tcW w:w="4295" w:type="pct"/>
          </w:tcPr>
          <w:p w14:paraId="5E319B28" w14:textId="56D790B0" w:rsidR="00E30FAA" w:rsidRPr="00E30FAA" w:rsidRDefault="00E30FAA" w:rsidP="00E30FAA">
            <w:pPr>
              <w:spacing w:after="0" w:line="240" w:lineRule="auto"/>
              <w:rPr>
                <w:rFonts w:ascii="Arial Narrow" w:eastAsia="Calibri" w:hAnsi="Arial Narrow" w:cs="Arial"/>
                <w:sz w:val="20"/>
                <w:szCs w:val="20"/>
              </w:rPr>
            </w:pPr>
            <w:r w:rsidRPr="00E30FAA">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E30FAA">
              <w:rPr>
                <w:rFonts w:ascii="Arial Narrow" w:eastAsia="Calibri" w:hAnsi="Arial Narrow" w:cs="Arial"/>
                <w:sz w:val="20"/>
                <w:szCs w:val="20"/>
              </w:rPr>
              <w:t>Unrestricted benefit</w:t>
            </w:r>
          </w:p>
        </w:tc>
      </w:tr>
    </w:tbl>
    <w:p w14:paraId="78D4106D" w14:textId="6041713F" w:rsidR="65AA159A" w:rsidRDefault="27D1CAFF" w:rsidP="2ECBDAFF">
      <w:pPr>
        <w:pStyle w:val="ListParagraph"/>
        <w:numPr>
          <w:ilvl w:val="0"/>
          <w:numId w:val="1"/>
        </w:numPr>
        <w:spacing w:before="240" w:after="240"/>
        <w:rPr>
          <w:rFonts w:eastAsiaTheme="minorEastAsia" w:cstheme="minorBidi"/>
          <w:i/>
          <w:iCs/>
        </w:rPr>
      </w:pPr>
      <w:r w:rsidRPr="2ECBDAFF">
        <w:rPr>
          <w:rFonts w:eastAsiaTheme="minorEastAsia" w:cstheme="minorBidi"/>
        </w:rPr>
        <w:t>Change the Authority level from Authority Required (Restricted Benefit) to Unrestricted Benefi</w:t>
      </w:r>
      <w:r w:rsidR="1F6E6048" w:rsidRPr="2ECBDAFF">
        <w:rPr>
          <w:rFonts w:eastAsiaTheme="minorEastAsia" w:cstheme="minorBidi"/>
        </w:rPr>
        <w:t>t</w:t>
      </w:r>
    </w:p>
    <w:p w14:paraId="029FAAD6" w14:textId="22287ADB" w:rsidR="65AA159A" w:rsidRDefault="65AA159A" w:rsidP="2ECBDAFF">
      <w:pPr>
        <w:pStyle w:val="ListParagraph"/>
        <w:numPr>
          <w:ilvl w:val="0"/>
          <w:numId w:val="1"/>
        </w:numPr>
        <w:spacing w:before="240" w:after="240"/>
        <w:rPr>
          <w:rFonts w:eastAsiaTheme="minorEastAsia" w:cstheme="minorBidi"/>
        </w:rPr>
      </w:pPr>
      <w:r w:rsidRPr="2ECBDAFF">
        <w:rPr>
          <w:rFonts w:eastAsiaTheme="minorEastAsia" w:cstheme="minorBidi"/>
        </w:rPr>
        <w:t xml:space="preserve">All </w:t>
      </w:r>
      <w:r w:rsidR="5F96761C" w:rsidRPr="45563E5B">
        <w:rPr>
          <w:rFonts w:eastAsiaTheme="minorEastAsia" w:cstheme="minorBidi"/>
        </w:rPr>
        <w:t>restriction wording</w:t>
      </w:r>
      <w:r w:rsidRPr="2ECBDAFF">
        <w:rPr>
          <w:rFonts w:eastAsiaTheme="minorEastAsia" w:cstheme="minorBidi"/>
        </w:rPr>
        <w:t xml:space="preserve"> currently included in the PBS item codes to be removed.</w:t>
      </w:r>
    </w:p>
    <w:p w14:paraId="22DDAA8C" w14:textId="59EBAA6F" w:rsidR="17B3C232" w:rsidRDefault="002344C5" w:rsidP="2ECBDAFF">
      <w:pPr>
        <w:pStyle w:val="4Bodytextnumbered"/>
        <w:rPr>
          <w:b/>
          <w:bCs/>
        </w:rPr>
      </w:pPr>
      <w:r w:rsidRPr="2ECBDAFF">
        <w:rPr>
          <w:b/>
          <w:bCs/>
        </w:rPr>
        <w:t>60-day prescription items</w:t>
      </w:r>
    </w:p>
    <w:p w14:paraId="3FE00813" w14:textId="5D49009E" w:rsidR="675D8BAB" w:rsidRDefault="7F9552C1" w:rsidP="13725666">
      <w:pPr>
        <w:pStyle w:val="ListParagraph"/>
        <w:numPr>
          <w:ilvl w:val="0"/>
          <w:numId w:val="1"/>
        </w:numPr>
        <w:spacing w:before="240" w:after="240"/>
        <w:rPr>
          <w:rFonts w:eastAsiaTheme="minorEastAsia" w:cstheme="minorBidi"/>
        </w:rPr>
      </w:pPr>
      <w:r w:rsidRPr="45563E5B">
        <w:rPr>
          <w:rFonts w:eastAsiaTheme="minorEastAsia" w:cstheme="minorBidi"/>
        </w:rPr>
        <w:t>All clinical criteria</w:t>
      </w:r>
      <w:r w:rsidR="2EE3DE74" w:rsidRPr="45563E5B">
        <w:rPr>
          <w:rFonts w:eastAsiaTheme="minorEastAsia" w:cstheme="minorBidi"/>
        </w:rPr>
        <w:t xml:space="preserve"> to be removed from the PBS item codes below</w:t>
      </w:r>
      <w:r w:rsidR="23169B3C" w:rsidRPr="45563E5B">
        <w:rPr>
          <w:rFonts w:eastAsiaTheme="minorEastAsia" w:cstheme="minorBidi"/>
        </w:rPr>
        <w:t xml:space="preserve">, except </w:t>
      </w:r>
      <w:r w:rsidR="118DD063" w:rsidRPr="45563E5B">
        <w:rPr>
          <w:rFonts w:eastAsiaTheme="minorEastAsia" w:cstheme="minorBidi"/>
        </w:rPr>
        <w:t>f</w:t>
      </w:r>
      <w:r w:rsidR="32D4740D" w:rsidRPr="45563E5B">
        <w:rPr>
          <w:rFonts w:eastAsiaTheme="minorEastAsia" w:cstheme="minorBidi"/>
        </w:rPr>
        <w:t>or</w:t>
      </w:r>
      <w:r w:rsidR="188AFE33" w:rsidRPr="45563E5B">
        <w:rPr>
          <w:rFonts w:eastAsiaTheme="minorEastAsia" w:cstheme="minorBidi"/>
        </w:rPr>
        <w:t xml:space="preserve">: </w:t>
      </w:r>
    </w:p>
    <w:p w14:paraId="14249150" w14:textId="7C961B72" w:rsidR="675D8BAB" w:rsidRDefault="188AFE33" w:rsidP="45563E5B">
      <w:pPr>
        <w:spacing w:before="240" w:after="240" w:line="257" w:lineRule="auto"/>
        <w:ind w:left="720"/>
        <w:jc w:val="both"/>
        <w:rPr>
          <w:rFonts w:eastAsiaTheme="minorEastAsia" w:cstheme="minorBidi"/>
        </w:rPr>
      </w:pPr>
      <w:r w:rsidRPr="45563E5B">
        <w:rPr>
          <w:rFonts w:ascii="Calibri" w:eastAsia="Calibri" w:hAnsi="Calibri" w:cs="Calibri"/>
          <w:i/>
          <w:iCs/>
        </w:rPr>
        <w:t>The condition must be stable for the prescriber to consider the listed maximum quantity of this medicine suitable for this patient</w:t>
      </w:r>
      <w:r w:rsidR="7F9552C1" w:rsidRPr="45563E5B">
        <w:rPr>
          <w:rFonts w:eastAsiaTheme="minorEastAsia" w:cstheme="minorBidi"/>
        </w:rPr>
        <w:t>.</w:t>
      </w:r>
    </w:p>
    <w:p w14:paraId="2D57F137" w14:textId="10889F32" w:rsidR="675D8BAB" w:rsidRDefault="675D8BAB" w:rsidP="2ECBDAFF">
      <w:pPr>
        <w:pStyle w:val="ListParagraph"/>
        <w:numPr>
          <w:ilvl w:val="0"/>
          <w:numId w:val="1"/>
        </w:numPr>
        <w:spacing w:before="240" w:after="240"/>
        <w:rPr>
          <w:rFonts w:eastAsiaTheme="minorEastAsia" w:cstheme="minorBidi"/>
        </w:rPr>
      </w:pPr>
      <w:r w:rsidRPr="2ECBDAFF">
        <w:rPr>
          <w:rFonts w:eastAsiaTheme="minorEastAsia" w:cstheme="minorBidi"/>
        </w:rPr>
        <w:t xml:space="preserve">All </w:t>
      </w:r>
      <w:r w:rsidR="59F1C263" w:rsidRPr="45563E5B">
        <w:rPr>
          <w:rFonts w:eastAsiaTheme="minorEastAsia" w:cstheme="minorBidi"/>
        </w:rPr>
        <w:t xml:space="preserve">other </w:t>
      </w:r>
      <w:r w:rsidRPr="2ECBDAFF">
        <w:rPr>
          <w:rFonts w:eastAsiaTheme="minorEastAsia" w:cstheme="minorBidi"/>
        </w:rPr>
        <w:t>cautions and/or notes to remain</w:t>
      </w:r>
      <w:r w:rsidR="00244E1C" w:rsidRPr="45563E5B">
        <w:rPr>
          <w:rFonts w:eastAsiaTheme="minorEastAsia" w:cstheme="minorBidi"/>
        </w:rPr>
        <w:t>, where applicable</w:t>
      </w:r>
      <w:r w:rsidRPr="2ECBDAFF">
        <w:rPr>
          <w:rFonts w:eastAsiaTheme="minorEastAsia" w:cstheme="minorBidi"/>
        </w:rPr>
        <w:t>.</w:t>
      </w:r>
    </w:p>
    <w:p w14:paraId="57F22206" w14:textId="1F2C7982" w:rsidR="0066645E" w:rsidRDefault="23DDFC60" w:rsidP="008071AE">
      <w:pPr>
        <w:pStyle w:val="3Bodytext"/>
        <w:tabs>
          <w:tab w:val="clear" w:pos="360"/>
        </w:tabs>
        <w:ind w:left="0"/>
        <w:rPr>
          <w:b/>
          <w:bCs w:val="0"/>
        </w:rPr>
      </w:pPr>
      <w:r w:rsidRPr="45563E5B">
        <w:rPr>
          <w:b/>
        </w:rPr>
        <w:t xml:space="preserve">A. </w:t>
      </w:r>
      <w:r w:rsidR="0A35BC4F" w:rsidRPr="45563E5B">
        <w:rPr>
          <w:b/>
        </w:rPr>
        <w:t>ATRA</w:t>
      </w:r>
      <w:r w:rsidR="3CE25A5B" w:rsidRPr="45563E5B">
        <w:rPr>
          <w:b/>
        </w:rPr>
        <w:t xml:space="preserve"> (</w:t>
      </w:r>
      <w:r w:rsidR="7B7C1E1B" w:rsidRPr="45563E5B">
        <w:rPr>
          <w:b/>
        </w:rPr>
        <w:t>a</w:t>
      </w:r>
      <w:r w:rsidR="3CE25A5B" w:rsidRPr="45563E5B">
        <w:rPr>
          <w:b/>
        </w:rPr>
        <w:t xml:space="preserve">ngiotensin </w:t>
      </w:r>
      <w:r w:rsidR="19994E83" w:rsidRPr="45563E5B">
        <w:rPr>
          <w:b/>
        </w:rPr>
        <w:t>II</w:t>
      </w:r>
      <w:r w:rsidR="55BCFCEB" w:rsidRPr="45563E5B">
        <w:rPr>
          <w:b/>
        </w:rPr>
        <w:t xml:space="preserve"> </w:t>
      </w:r>
      <w:r w:rsidR="37238110" w:rsidRPr="45563E5B">
        <w:rPr>
          <w:b/>
        </w:rPr>
        <w:t>r</w:t>
      </w:r>
      <w:r w:rsidR="55BCFCEB" w:rsidRPr="45563E5B">
        <w:rPr>
          <w:b/>
        </w:rPr>
        <w:t>eceptor</w:t>
      </w:r>
      <w:r w:rsidR="3CE25A5B" w:rsidRPr="45563E5B">
        <w:rPr>
          <w:b/>
        </w:rPr>
        <w:t xml:space="preserve"> agonist)</w:t>
      </w:r>
      <w:r w:rsidR="0A35BC4F" w:rsidRPr="45563E5B">
        <w:rPr>
          <w:b/>
        </w:rPr>
        <w:t xml:space="preserve"> </w:t>
      </w:r>
      <w:r w:rsidR="171126D3" w:rsidRPr="45563E5B">
        <w:rPr>
          <w:b/>
        </w:rPr>
        <w:t xml:space="preserve">and </w:t>
      </w:r>
      <w:r w:rsidR="4DF499D4" w:rsidRPr="45563E5B">
        <w:rPr>
          <w:b/>
        </w:rPr>
        <w:t>c</w:t>
      </w:r>
      <w:r w:rsidR="2BB759FA" w:rsidRPr="45563E5B">
        <w:rPr>
          <w:b/>
        </w:rPr>
        <w:t xml:space="preserve">alcium </w:t>
      </w:r>
      <w:r w:rsidR="39C537F8" w:rsidRPr="45563E5B">
        <w:rPr>
          <w:b/>
        </w:rPr>
        <w:t>c</w:t>
      </w:r>
      <w:r w:rsidR="2BB759FA" w:rsidRPr="45563E5B">
        <w:rPr>
          <w:b/>
        </w:rPr>
        <w:t xml:space="preserve">hannel </w:t>
      </w:r>
      <w:r w:rsidR="7871DBE4" w:rsidRPr="45563E5B">
        <w:rPr>
          <w:b/>
        </w:rPr>
        <w:t>b</w:t>
      </w:r>
      <w:r w:rsidR="2BB759FA" w:rsidRPr="45563E5B">
        <w:rPr>
          <w:b/>
        </w:rPr>
        <w:t>locker (CCB)</w:t>
      </w:r>
      <w:r w:rsidR="4B2615FE" w:rsidRPr="45563E5B">
        <w:rPr>
          <w:b/>
        </w:rPr>
        <w:t xml:space="preserve"> </w:t>
      </w:r>
      <w:r w:rsidR="449CAAE3" w:rsidRPr="45563E5B">
        <w:rPr>
          <w:b/>
        </w:rPr>
        <w:t xml:space="preserve">PBS item codes </w:t>
      </w:r>
    </w:p>
    <w:tbl>
      <w:tblPr>
        <w:tblW w:w="9016" w:type="dxa"/>
        <w:tblLayout w:type="fixed"/>
        <w:tblLook w:val="04A0" w:firstRow="1" w:lastRow="0" w:firstColumn="1" w:lastColumn="0" w:noHBand="0" w:noVBand="1"/>
      </w:tblPr>
      <w:tblGrid>
        <w:gridCol w:w="5910"/>
        <w:gridCol w:w="915"/>
        <w:gridCol w:w="825"/>
        <w:gridCol w:w="709"/>
        <w:gridCol w:w="657"/>
      </w:tblGrid>
      <w:tr w:rsidR="005B6034" w:rsidRPr="00F7796C" w14:paraId="07F831C5" w14:textId="77777777" w:rsidTr="09E07EA4">
        <w:trPr>
          <w:trHeight w:val="290"/>
          <w:tblHeader/>
        </w:trPr>
        <w:tc>
          <w:tcPr>
            <w:tcW w:w="59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A5FBDA" w14:textId="02AB6D43" w:rsidR="005B6034" w:rsidRPr="00F7796C" w:rsidRDefault="005B6034" w:rsidP="00AE0B94">
            <w:pPr>
              <w:spacing w:after="0" w:line="240" w:lineRule="auto"/>
              <w:rPr>
                <w:rFonts w:ascii="Arial Narrow" w:eastAsia="Times New Roman" w:hAnsi="Arial Narrow" w:cs="Times New Roman"/>
                <w:b/>
                <w:bCs/>
                <w:color w:val="000000"/>
                <w:sz w:val="20"/>
                <w:szCs w:val="20"/>
                <w:lang w:eastAsia="en-AU"/>
              </w:rPr>
            </w:pPr>
            <w:r w:rsidRPr="00F7796C">
              <w:rPr>
                <w:rFonts w:ascii="Arial Narrow" w:eastAsia="Times New Roman" w:hAnsi="Arial Narrow" w:cs="Times New Roman"/>
                <w:b/>
                <w:bCs/>
                <w:color w:val="000000"/>
                <w:sz w:val="20"/>
                <w:szCs w:val="20"/>
                <w:lang w:eastAsia="en-AU"/>
              </w:rPr>
              <w:t xml:space="preserve">Drug, </w:t>
            </w:r>
            <w:r w:rsidR="002C7134" w:rsidRPr="00F7796C">
              <w:rPr>
                <w:rFonts w:ascii="Arial Narrow" w:eastAsia="Times New Roman" w:hAnsi="Arial Narrow" w:cs="Times New Roman"/>
                <w:b/>
                <w:bCs/>
                <w:color w:val="000000"/>
                <w:sz w:val="20"/>
                <w:szCs w:val="20"/>
                <w:lang w:eastAsia="en-AU"/>
              </w:rPr>
              <w:t>form,</w:t>
            </w:r>
            <w:r w:rsidRPr="00F7796C">
              <w:rPr>
                <w:rFonts w:ascii="Arial Narrow" w:eastAsia="Times New Roman" w:hAnsi="Arial Narrow" w:cs="Times New Roman"/>
                <w:b/>
                <w:bCs/>
                <w:color w:val="000000"/>
                <w:sz w:val="20"/>
                <w:szCs w:val="20"/>
                <w:lang w:eastAsia="en-AU"/>
              </w:rPr>
              <w:t xml:space="preserve"> and strength</w:t>
            </w:r>
          </w:p>
        </w:tc>
        <w:tc>
          <w:tcPr>
            <w:tcW w:w="91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9BBC052" w14:textId="77777777" w:rsidR="005B6034" w:rsidRPr="00F7796C" w:rsidRDefault="005B6034" w:rsidP="00AE0B94">
            <w:pPr>
              <w:spacing w:after="0" w:line="240" w:lineRule="auto"/>
              <w:jc w:val="center"/>
              <w:rPr>
                <w:rFonts w:ascii="Arial Narrow" w:eastAsia="Times New Roman" w:hAnsi="Arial Narrow" w:cs="Times New Roman"/>
                <w:b/>
                <w:bCs/>
                <w:color w:val="000000"/>
                <w:sz w:val="20"/>
                <w:szCs w:val="20"/>
                <w:lang w:eastAsia="en-AU"/>
              </w:rPr>
            </w:pPr>
            <w:r w:rsidRPr="00F7796C">
              <w:rPr>
                <w:rFonts w:ascii="Arial Narrow" w:eastAsia="Times New Roman" w:hAnsi="Arial Narrow" w:cs="Times New Roman"/>
                <w:b/>
                <w:bCs/>
                <w:color w:val="000000"/>
                <w:sz w:val="20"/>
                <w:szCs w:val="20"/>
                <w:lang w:eastAsia="en-AU"/>
              </w:rPr>
              <w:t>Item</w:t>
            </w:r>
          </w:p>
        </w:tc>
        <w:tc>
          <w:tcPr>
            <w:tcW w:w="82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2CDF9CF" w14:textId="77777777" w:rsidR="005B6034" w:rsidRPr="00F7796C" w:rsidRDefault="005B6034" w:rsidP="00AE0B94">
            <w:pPr>
              <w:spacing w:after="0" w:line="240" w:lineRule="auto"/>
              <w:jc w:val="center"/>
              <w:rPr>
                <w:rFonts w:ascii="Arial Narrow" w:eastAsia="Times New Roman" w:hAnsi="Arial Narrow" w:cs="Times New Roman"/>
                <w:b/>
                <w:bCs/>
                <w:color w:val="000000"/>
                <w:sz w:val="20"/>
                <w:szCs w:val="20"/>
                <w:lang w:eastAsia="en-AU"/>
              </w:rPr>
            </w:pPr>
            <w:r w:rsidRPr="00F7796C">
              <w:rPr>
                <w:rFonts w:ascii="Arial Narrow" w:eastAsia="Times New Roman" w:hAnsi="Arial Narrow" w:cs="Times New Roman"/>
                <w:b/>
                <w:bCs/>
                <w:color w:val="000000"/>
                <w:sz w:val="20"/>
                <w:szCs w:val="20"/>
                <w:lang w:eastAsia="en-AU"/>
              </w:rPr>
              <w:t>Max quant</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2F542E2" w14:textId="77777777" w:rsidR="005B6034" w:rsidRPr="00F7796C" w:rsidRDefault="005B6034" w:rsidP="00AE0B94">
            <w:pPr>
              <w:spacing w:after="0" w:line="240" w:lineRule="auto"/>
              <w:jc w:val="center"/>
              <w:rPr>
                <w:rFonts w:ascii="Arial Narrow" w:eastAsia="Times New Roman" w:hAnsi="Arial Narrow" w:cs="Times New Roman"/>
                <w:b/>
                <w:bCs/>
                <w:color w:val="000000"/>
                <w:sz w:val="20"/>
                <w:szCs w:val="20"/>
                <w:lang w:eastAsia="en-AU"/>
              </w:rPr>
            </w:pPr>
            <w:r w:rsidRPr="00F7796C">
              <w:rPr>
                <w:rFonts w:ascii="Arial Narrow" w:eastAsia="Times New Roman" w:hAnsi="Arial Narrow" w:cs="Times New Roman"/>
                <w:b/>
                <w:bCs/>
                <w:color w:val="000000"/>
                <w:sz w:val="20"/>
                <w:szCs w:val="20"/>
                <w:lang w:eastAsia="en-AU"/>
              </w:rPr>
              <w:t>Rpts</w:t>
            </w:r>
          </w:p>
        </w:tc>
        <w:tc>
          <w:tcPr>
            <w:tcW w:w="65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1392EC" w14:textId="77777777" w:rsidR="005B6034" w:rsidRPr="00F7796C" w:rsidRDefault="005B6034" w:rsidP="00AE0B94">
            <w:pPr>
              <w:spacing w:after="0" w:line="240" w:lineRule="auto"/>
              <w:jc w:val="center"/>
              <w:rPr>
                <w:rFonts w:ascii="Arial Narrow" w:eastAsia="Times New Roman" w:hAnsi="Arial Narrow" w:cs="Times New Roman"/>
                <w:b/>
                <w:bCs/>
                <w:color w:val="000000"/>
                <w:sz w:val="20"/>
                <w:szCs w:val="20"/>
                <w:lang w:eastAsia="en-AU"/>
              </w:rPr>
            </w:pPr>
            <w:r w:rsidRPr="00F7796C">
              <w:rPr>
                <w:rFonts w:ascii="Arial Narrow" w:eastAsia="Times New Roman" w:hAnsi="Arial Narrow" w:cs="Times New Roman"/>
                <w:b/>
                <w:bCs/>
                <w:color w:val="000000"/>
                <w:sz w:val="20"/>
                <w:szCs w:val="20"/>
                <w:lang w:eastAsia="en-AU"/>
              </w:rPr>
              <w:t>Pack size</w:t>
            </w:r>
          </w:p>
        </w:tc>
      </w:tr>
      <w:tr w:rsidR="005B6034" w:rsidRPr="00F7796C" w14:paraId="3E3FBB4A"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579A085D"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amlodipine 10 mg + valsartan 160 mg tablet, 28</w:t>
            </w:r>
          </w:p>
        </w:tc>
        <w:tc>
          <w:tcPr>
            <w:tcW w:w="915" w:type="dxa"/>
            <w:tcBorders>
              <w:top w:val="nil"/>
              <w:left w:val="nil"/>
              <w:bottom w:val="single" w:sz="4" w:space="0" w:color="auto"/>
              <w:right w:val="single" w:sz="4" w:space="0" w:color="auto"/>
            </w:tcBorders>
            <w:noWrap/>
            <w:vAlign w:val="bottom"/>
            <w:hideMark/>
          </w:tcPr>
          <w:p w14:paraId="4B3FC1A9"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13454D</w:t>
            </w:r>
          </w:p>
        </w:tc>
        <w:tc>
          <w:tcPr>
            <w:tcW w:w="825" w:type="dxa"/>
            <w:tcBorders>
              <w:top w:val="nil"/>
              <w:left w:val="nil"/>
              <w:bottom w:val="single" w:sz="4" w:space="0" w:color="auto"/>
              <w:right w:val="single" w:sz="4" w:space="0" w:color="auto"/>
            </w:tcBorders>
            <w:noWrap/>
            <w:vAlign w:val="bottom"/>
            <w:hideMark/>
          </w:tcPr>
          <w:p w14:paraId="67F53D1E"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4636A81A"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39DBBF1E"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27D740B5"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2E00D41C"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amlodipine 10 mg + valsartan 320 mg tablet, 28</w:t>
            </w:r>
          </w:p>
        </w:tc>
        <w:tc>
          <w:tcPr>
            <w:tcW w:w="915" w:type="dxa"/>
            <w:tcBorders>
              <w:top w:val="nil"/>
              <w:left w:val="nil"/>
              <w:bottom w:val="single" w:sz="4" w:space="0" w:color="auto"/>
              <w:right w:val="single" w:sz="4" w:space="0" w:color="auto"/>
            </w:tcBorders>
            <w:noWrap/>
            <w:vAlign w:val="bottom"/>
            <w:hideMark/>
          </w:tcPr>
          <w:p w14:paraId="70D601EC" w14:textId="086E08A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7E8BB226">
              <w:rPr>
                <w:rFonts w:ascii="Arial Narrow" w:eastAsia="Times New Roman" w:hAnsi="Arial Narrow" w:cs="Times New Roman"/>
                <w:color w:val="000000" w:themeColor="text1"/>
                <w:sz w:val="20"/>
                <w:szCs w:val="20"/>
                <w:lang w:eastAsia="en-AU"/>
              </w:rPr>
              <w:t>13389Q</w:t>
            </w:r>
          </w:p>
        </w:tc>
        <w:tc>
          <w:tcPr>
            <w:tcW w:w="825" w:type="dxa"/>
            <w:tcBorders>
              <w:top w:val="nil"/>
              <w:left w:val="nil"/>
              <w:bottom w:val="single" w:sz="4" w:space="0" w:color="auto"/>
              <w:right w:val="single" w:sz="4" w:space="0" w:color="auto"/>
            </w:tcBorders>
            <w:noWrap/>
            <w:vAlign w:val="bottom"/>
            <w:hideMark/>
          </w:tcPr>
          <w:p w14:paraId="5D14AD13"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7D4092EE"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3151BD48"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5998A3D1"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07DA3986"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amlodipine 5 mg + valsartan 160 mg tablet, 28</w:t>
            </w:r>
          </w:p>
        </w:tc>
        <w:tc>
          <w:tcPr>
            <w:tcW w:w="915" w:type="dxa"/>
            <w:tcBorders>
              <w:top w:val="nil"/>
              <w:left w:val="nil"/>
              <w:bottom w:val="single" w:sz="4" w:space="0" w:color="auto"/>
              <w:right w:val="single" w:sz="4" w:space="0" w:color="auto"/>
            </w:tcBorders>
            <w:noWrap/>
            <w:vAlign w:val="bottom"/>
            <w:hideMark/>
          </w:tcPr>
          <w:p w14:paraId="59DD6E05"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13516J</w:t>
            </w:r>
          </w:p>
        </w:tc>
        <w:tc>
          <w:tcPr>
            <w:tcW w:w="825" w:type="dxa"/>
            <w:tcBorders>
              <w:top w:val="nil"/>
              <w:left w:val="nil"/>
              <w:bottom w:val="single" w:sz="4" w:space="0" w:color="auto"/>
              <w:right w:val="single" w:sz="4" w:space="0" w:color="auto"/>
            </w:tcBorders>
            <w:noWrap/>
            <w:vAlign w:val="bottom"/>
            <w:hideMark/>
          </w:tcPr>
          <w:p w14:paraId="1ED29354"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0F6ACB5F"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0F08A46D"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6F845D00"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4FD167EF"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amlodipine 5 mg + valsartan 320 mg tablet, 28</w:t>
            </w:r>
          </w:p>
        </w:tc>
        <w:tc>
          <w:tcPr>
            <w:tcW w:w="915" w:type="dxa"/>
            <w:tcBorders>
              <w:top w:val="nil"/>
              <w:left w:val="nil"/>
              <w:bottom w:val="single" w:sz="4" w:space="0" w:color="auto"/>
              <w:right w:val="single" w:sz="4" w:space="0" w:color="auto"/>
            </w:tcBorders>
            <w:noWrap/>
            <w:vAlign w:val="bottom"/>
            <w:hideMark/>
          </w:tcPr>
          <w:p w14:paraId="2F8D21F4"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13604B</w:t>
            </w:r>
          </w:p>
        </w:tc>
        <w:tc>
          <w:tcPr>
            <w:tcW w:w="825" w:type="dxa"/>
            <w:tcBorders>
              <w:top w:val="nil"/>
              <w:left w:val="nil"/>
              <w:bottom w:val="single" w:sz="4" w:space="0" w:color="auto"/>
              <w:right w:val="single" w:sz="4" w:space="0" w:color="auto"/>
            </w:tcBorders>
            <w:noWrap/>
            <w:vAlign w:val="bottom"/>
            <w:hideMark/>
          </w:tcPr>
          <w:p w14:paraId="545C5738"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758AE76B"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6CDCD92C"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17EDAAD9"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43F0B81E"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amlodipine 5 mg + valsartan 80 mg tablet, 28</w:t>
            </w:r>
          </w:p>
        </w:tc>
        <w:tc>
          <w:tcPr>
            <w:tcW w:w="915" w:type="dxa"/>
            <w:tcBorders>
              <w:top w:val="nil"/>
              <w:left w:val="nil"/>
              <w:bottom w:val="single" w:sz="4" w:space="0" w:color="auto"/>
              <w:right w:val="single" w:sz="4" w:space="0" w:color="auto"/>
            </w:tcBorders>
            <w:noWrap/>
            <w:vAlign w:val="bottom"/>
            <w:hideMark/>
          </w:tcPr>
          <w:p w14:paraId="04D43F21"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13421J</w:t>
            </w:r>
          </w:p>
        </w:tc>
        <w:tc>
          <w:tcPr>
            <w:tcW w:w="825" w:type="dxa"/>
            <w:tcBorders>
              <w:top w:val="nil"/>
              <w:left w:val="nil"/>
              <w:bottom w:val="single" w:sz="4" w:space="0" w:color="auto"/>
              <w:right w:val="single" w:sz="4" w:space="0" w:color="auto"/>
            </w:tcBorders>
            <w:noWrap/>
            <w:vAlign w:val="bottom"/>
            <w:hideMark/>
          </w:tcPr>
          <w:p w14:paraId="5D867B80"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0B3CC547"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3568FE39"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33A97089"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13C00E04"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olmesartan medoxomil 40 mg + amlodipine 10 mg tablet, 30</w:t>
            </w:r>
          </w:p>
        </w:tc>
        <w:tc>
          <w:tcPr>
            <w:tcW w:w="915" w:type="dxa"/>
            <w:tcBorders>
              <w:top w:val="nil"/>
              <w:left w:val="nil"/>
              <w:bottom w:val="single" w:sz="4" w:space="0" w:color="auto"/>
              <w:right w:val="single" w:sz="4" w:space="0" w:color="auto"/>
            </w:tcBorders>
            <w:noWrap/>
            <w:vAlign w:val="bottom"/>
            <w:hideMark/>
          </w:tcPr>
          <w:p w14:paraId="49E6785C" w14:textId="08BB6889"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7E8BB226">
              <w:rPr>
                <w:rFonts w:ascii="Arial Narrow" w:eastAsia="Times New Roman" w:hAnsi="Arial Narrow" w:cs="Times New Roman"/>
                <w:color w:val="000000" w:themeColor="text1"/>
                <w:sz w:val="20"/>
                <w:szCs w:val="20"/>
                <w:lang w:eastAsia="en-AU"/>
              </w:rPr>
              <w:t>13943</w:t>
            </w:r>
          </w:p>
        </w:tc>
        <w:tc>
          <w:tcPr>
            <w:tcW w:w="825" w:type="dxa"/>
            <w:tcBorders>
              <w:top w:val="nil"/>
              <w:left w:val="nil"/>
              <w:bottom w:val="single" w:sz="4" w:space="0" w:color="auto"/>
              <w:right w:val="single" w:sz="4" w:space="0" w:color="auto"/>
            </w:tcBorders>
            <w:noWrap/>
            <w:vAlign w:val="bottom"/>
            <w:hideMark/>
          </w:tcPr>
          <w:p w14:paraId="29A43126"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nil"/>
              <w:left w:val="nil"/>
              <w:bottom w:val="single" w:sz="4" w:space="0" w:color="auto"/>
              <w:right w:val="single" w:sz="4" w:space="0" w:color="auto"/>
            </w:tcBorders>
            <w:noWrap/>
            <w:vAlign w:val="bottom"/>
            <w:hideMark/>
          </w:tcPr>
          <w:p w14:paraId="1AFE3C79"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2662B43E"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5B6034" w:rsidRPr="00F7796C" w14:paraId="06BA1816"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064F1296"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olmesartan medoxomil 40 mg + amlodipine 5 mg tablet, 30</w:t>
            </w:r>
          </w:p>
        </w:tc>
        <w:tc>
          <w:tcPr>
            <w:tcW w:w="915" w:type="dxa"/>
            <w:tcBorders>
              <w:top w:val="nil"/>
              <w:left w:val="nil"/>
              <w:bottom w:val="single" w:sz="4" w:space="0" w:color="auto"/>
              <w:right w:val="single" w:sz="4" w:space="0" w:color="auto"/>
            </w:tcBorders>
            <w:noWrap/>
            <w:vAlign w:val="bottom"/>
            <w:hideMark/>
          </w:tcPr>
          <w:p w14:paraId="2288BDAA"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13964Y</w:t>
            </w:r>
          </w:p>
        </w:tc>
        <w:tc>
          <w:tcPr>
            <w:tcW w:w="825" w:type="dxa"/>
            <w:tcBorders>
              <w:top w:val="nil"/>
              <w:left w:val="nil"/>
              <w:bottom w:val="single" w:sz="4" w:space="0" w:color="auto"/>
              <w:right w:val="single" w:sz="4" w:space="0" w:color="auto"/>
            </w:tcBorders>
            <w:noWrap/>
            <w:vAlign w:val="bottom"/>
            <w:hideMark/>
          </w:tcPr>
          <w:p w14:paraId="72E0ECEF"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nil"/>
              <w:left w:val="nil"/>
              <w:bottom w:val="single" w:sz="4" w:space="0" w:color="auto"/>
              <w:right w:val="single" w:sz="4" w:space="0" w:color="auto"/>
            </w:tcBorders>
            <w:noWrap/>
            <w:vAlign w:val="bottom"/>
            <w:hideMark/>
          </w:tcPr>
          <w:p w14:paraId="39EE8649"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0EA262EF"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5B6034" w:rsidRPr="00F7796C" w14:paraId="3EE540F3"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2C3AAC61"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40 mg + amlodipine 10 mg tablet, 28</w:t>
            </w:r>
          </w:p>
        </w:tc>
        <w:tc>
          <w:tcPr>
            <w:tcW w:w="915" w:type="dxa"/>
            <w:tcBorders>
              <w:top w:val="nil"/>
              <w:left w:val="nil"/>
              <w:bottom w:val="single" w:sz="4" w:space="0" w:color="auto"/>
              <w:right w:val="single" w:sz="4" w:space="0" w:color="auto"/>
            </w:tcBorders>
            <w:noWrap/>
            <w:vAlign w:val="bottom"/>
            <w:hideMark/>
          </w:tcPr>
          <w:p w14:paraId="61F3DB67"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13515H</w:t>
            </w:r>
          </w:p>
        </w:tc>
        <w:tc>
          <w:tcPr>
            <w:tcW w:w="825" w:type="dxa"/>
            <w:tcBorders>
              <w:top w:val="nil"/>
              <w:left w:val="nil"/>
              <w:bottom w:val="single" w:sz="4" w:space="0" w:color="auto"/>
              <w:right w:val="single" w:sz="4" w:space="0" w:color="auto"/>
            </w:tcBorders>
            <w:noWrap/>
            <w:vAlign w:val="bottom"/>
            <w:hideMark/>
          </w:tcPr>
          <w:p w14:paraId="6334FA46"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027232F0"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7218DD0D"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607E3BEC"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7BF9732E"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40 mg + amlodipine 5 mg tablet, 28</w:t>
            </w:r>
          </w:p>
        </w:tc>
        <w:tc>
          <w:tcPr>
            <w:tcW w:w="915" w:type="dxa"/>
            <w:tcBorders>
              <w:top w:val="nil"/>
              <w:left w:val="nil"/>
              <w:bottom w:val="single" w:sz="4" w:space="0" w:color="auto"/>
              <w:right w:val="single" w:sz="4" w:space="0" w:color="auto"/>
            </w:tcBorders>
            <w:noWrap/>
            <w:vAlign w:val="bottom"/>
            <w:hideMark/>
          </w:tcPr>
          <w:p w14:paraId="2BC4A1CD"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13483P</w:t>
            </w:r>
          </w:p>
        </w:tc>
        <w:tc>
          <w:tcPr>
            <w:tcW w:w="825" w:type="dxa"/>
            <w:tcBorders>
              <w:top w:val="nil"/>
              <w:left w:val="nil"/>
              <w:bottom w:val="single" w:sz="4" w:space="0" w:color="auto"/>
              <w:right w:val="single" w:sz="4" w:space="0" w:color="auto"/>
            </w:tcBorders>
            <w:noWrap/>
            <w:vAlign w:val="bottom"/>
            <w:hideMark/>
          </w:tcPr>
          <w:p w14:paraId="317FF324"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149F725D"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43F31BCC"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2C58FBFC"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65CDAC44"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80 mg + amlodipine 10 mg tablet, 28</w:t>
            </w:r>
          </w:p>
        </w:tc>
        <w:tc>
          <w:tcPr>
            <w:tcW w:w="915" w:type="dxa"/>
            <w:tcBorders>
              <w:top w:val="nil"/>
              <w:left w:val="nil"/>
              <w:bottom w:val="single" w:sz="4" w:space="0" w:color="auto"/>
              <w:right w:val="single" w:sz="4" w:space="0" w:color="auto"/>
            </w:tcBorders>
            <w:noWrap/>
            <w:vAlign w:val="bottom"/>
            <w:hideMark/>
          </w:tcPr>
          <w:p w14:paraId="1E569D3F"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13451Y</w:t>
            </w:r>
          </w:p>
        </w:tc>
        <w:tc>
          <w:tcPr>
            <w:tcW w:w="825" w:type="dxa"/>
            <w:tcBorders>
              <w:top w:val="nil"/>
              <w:left w:val="nil"/>
              <w:bottom w:val="single" w:sz="4" w:space="0" w:color="auto"/>
              <w:right w:val="single" w:sz="4" w:space="0" w:color="auto"/>
            </w:tcBorders>
            <w:noWrap/>
            <w:vAlign w:val="bottom"/>
            <w:hideMark/>
          </w:tcPr>
          <w:p w14:paraId="7BDB4CFB"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272523E2"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56DE61C1"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5B6034" w:rsidRPr="00F7796C" w14:paraId="1524C3C9" w14:textId="77777777" w:rsidTr="09E07EA4">
        <w:trPr>
          <w:trHeight w:val="290"/>
        </w:trPr>
        <w:tc>
          <w:tcPr>
            <w:tcW w:w="5910" w:type="dxa"/>
            <w:tcBorders>
              <w:top w:val="nil"/>
              <w:left w:val="single" w:sz="4" w:space="0" w:color="auto"/>
              <w:bottom w:val="single" w:sz="4" w:space="0" w:color="auto"/>
              <w:right w:val="single" w:sz="4" w:space="0" w:color="auto"/>
            </w:tcBorders>
            <w:noWrap/>
            <w:vAlign w:val="bottom"/>
            <w:hideMark/>
          </w:tcPr>
          <w:p w14:paraId="6CC7C856" w14:textId="77777777" w:rsidR="005B6034" w:rsidRPr="00F7796C" w:rsidRDefault="005B6034"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lastRenderedPageBreak/>
              <w:t>telmisartan 80 mg + amlodipine 5 mg tablet, 28</w:t>
            </w:r>
          </w:p>
        </w:tc>
        <w:tc>
          <w:tcPr>
            <w:tcW w:w="915" w:type="dxa"/>
            <w:tcBorders>
              <w:top w:val="nil"/>
              <w:left w:val="nil"/>
              <w:bottom w:val="single" w:sz="4" w:space="0" w:color="auto"/>
              <w:right w:val="single" w:sz="4" w:space="0" w:color="auto"/>
            </w:tcBorders>
            <w:noWrap/>
            <w:vAlign w:val="bottom"/>
            <w:hideMark/>
          </w:tcPr>
          <w:p w14:paraId="475D8A9F"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13450X</w:t>
            </w:r>
          </w:p>
        </w:tc>
        <w:tc>
          <w:tcPr>
            <w:tcW w:w="825" w:type="dxa"/>
            <w:tcBorders>
              <w:top w:val="nil"/>
              <w:left w:val="nil"/>
              <w:bottom w:val="single" w:sz="4" w:space="0" w:color="auto"/>
              <w:right w:val="single" w:sz="4" w:space="0" w:color="auto"/>
            </w:tcBorders>
            <w:noWrap/>
            <w:vAlign w:val="bottom"/>
            <w:hideMark/>
          </w:tcPr>
          <w:p w14:paraId="6A9BC782"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nil"/>
              <w:left w:val="nil"/>
              <w:bottom w:val="single" w:sz="4" w:space="0" w:color="auto"/>
              <w:right w:val="single" w:sz="4" w:space="0" w:color="auto"/>
            </w:tcBorders>
            <w:noWrap/>
            <w:vAlign w:val="bottom"/>
            <w:hideMark/>
          </w:tcPr>
          <w:p w14:paraId="7541A695"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nil"/>
              <w:left w:val="nil"/>
              <w:bottom w:val="single" w:sz="4" w:space="0" w:color="auto"/>
              <w:right w:val="single" w:sz="4" w:space="0" w:color="auto"/>
            </w:tcBorders>
            <w:noWrap/>
            <w:vAlign w:val="bottom"/>
            <w:hideMark/>
          </w:tcPr>
          <w:p w14:paraId="72A09298" w14:textId="77777777" w:rsidR="005B6034" w:rsidRPr="00F7796C" w:rsidRDefault="005B6034"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bl>
    <w:p w14:paraId="681DBE2A" w14:textId="77777777" w:rsidR="008071AE" w:rsidRDefault="008071AE" w:rsidP="008071AE">
      <w:pPr>
        <w:pStyle w:val="3Bodytext"/>
        <w:tabs>
          <w:tab w:val="clear" w:pos="360"/>
        </w:tabs>
        <w:ind w:left="0"/>
        <w:rPr>
          <w:b/>
          <w:bCs w:val="0"/>
        </w:rPr>
      </w:pPr>
    </w:p>
    <w:p w14:paraId="6399810B" w14:textId="77777777" w:rsidR="00975253" w:rsidRPr="00AA42BB" w:rsidRDefault="00975253" w:rsidP="00AC32E5">
      <w:pPr>
        <w:keepNext/>
        <w:keepLines/>
        <w:spacing w:after="40"/>
        <w:rPr>
          <w:rFonts w:ascii="Arial Narrow" w:hAnsi="Arial Narrow"/>
          <w:b/>
          <w:sz w:val="20"/>
          <w:szCs w:val="20"/>
          <w:lang w:val="en-GB"/>
        </w:rPr>
      </w:pPr>
      <w:r w:rsidRPr="00AA42BB">
        <w:rPr>
          <w:rFonts w:ascii="Arial Narrow" w:hAnsi="Arial Narrow"/>
          <w:b/>
          <w:sz w:val="20"/>
          <w:szCs w:val="20"/>
          <w:lang w:val="en-GB"/>
        </w:rPr>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AC32E5" w:rsidRPr="00E30FAA" w14:paraId="4AEC665E"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D11487" w14:textId="77777777" w:rsidR="00AC32E5" w:rsidRPr="00E30FAA" w:rsidRDefault="00AC32E5" w:rsidP="00AC32E5">
            <w:pPr>
              <w:keepNext/>
              <w:keepLines/>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580D2BED" w14:textId="77777777" w:rsidR="00AC32E5" w:rsidRPr="00E30FAA" w:rsidRDefault="00AC32E5" w:rsidP="00AC32E5">
            <w:pPr>
              <w:keepNext/>
              <w:keepLines/>
              <w:spacing w:after="0" w:line="240" w:lineRule="auto"/>
              <w:jc w:val="both"/>
              <w:rPr>
                <w:rFonts w:ascii="Arial Narrow" w:eastAsia="Times New Roman" w:hAnsi="Arial Narrow" w:cs="Arial"/>
                <w:i/>
                <w:sz w:val="20"/>
                <w:szCs w:val="20"/>
                <w:lang w:eastAsia="en-AU"/>
              </w:rPr>
            </w:pPr>
          </w:p>
          <w:p w14:paraId="0C5AF55F" w14:textId="77777777" w:rsidR="00AC32E5" w:rsidRPr="00E30FAA" w:rsidRDefault="00AC32E5" w:rsidP="00AC32E5">
            <w:pPr>
              <w:keepNext/>
              <w:keepLines/>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188401ED" w14:textId="77777777" w:rsidR="00AC32E5" w:rsidRPr="00E30FAA" w:rsidRDefault="00AC32E5" w:rsidP="00AC32E5">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4A8E5B" w14:textId="7F5ED6E5" w:rsidR="00AC32E5" w:rsidRPr="00E30FAA" w:rsidRDefault="00AC32E5" w:rsidP="00AC32E5">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164407D0" w14:textId="77777777" w:rsidR="00AC32E5" w:rsidRPr="00E30FAA" w:rsidRDefault="00AC32E5" w:rsidP="00AC32E5">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AC32E5" w:rsidRPr="00E30FAA" w14:paraId="3C45C3DC"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FF9A4" w14:textId="77777777" w:rsidR="00AC32E5" w:rsidRPr="00E30FAA" w:rsidRDefault="00AC32E5" w:rsidP="00AC32E5">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B8EC15" w14:textId="7D84F373" w:rsidR="00AC32E5" w:rsidRPr="00E30FAA" w:rsidRDefault="00AC32E5" w:rsidP="00AC32E5">
            <w:pPr>
              <w:keepNext/>
              <w:keepLines/>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p>
        </w:tc>
      </w:tr>
      <w:tr w:rsidR="00AC32E5" w:rsidRPr="00E30FAA" w14:paraId="134ABBA8"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7ADC8" w14:textId="77777777" w:rsidR="00AC32E5" w:rsidRPr="00E30FAA" w:rsidRDefault="00AC32E5" w:rsidP="00AC32E5">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2A9D9" w14:textId="77777777" w:rsidR="00AC32E5" w:rsidRPr="00E30FAA" w:rsidRDefault="00AC32E5" w:rsidP="00AC32E5">
            <w:pPr>
              <w:keepNext/>
              <w:keepLines/>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AC32E5" w:rsidRPr="00E30FAA" w14:paraId="155FE844"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0DDCFF" w14:textId="77777777" w:rsidR="00AC32E5" w:rsidRPr="00E30FAA" w:rsidRDefault="00AC32E5" w:rsidP="00AC32E5">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E3E89E" w14:textId="77777777" w:rsidR="00AC32E5" w:rsidRPr="00E30FAA" w:rsidRDefault="00AC32E5" w:rsidP="00AC32E5">
            <w:pPr>
              <w:keepNext/>
              <w:keepLines/>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AC32E5" w:rsidRPr="0081154E" w14:paraId="0211FD6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5E3DB7" w14:textId="77777777" w:rsidR="00AC32E5" w:rsidRPr="00E30FAA" w:rsidRDefault="00AC32E5" w:rsidP="00AC32E5">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725420" w14:textId="77777777" w:rsidR="00AC32E5" w:rsidRPr="0081154E" w:rsidRDefault="00AC32E5" w:rsidP="00AC32E5">
            <w:pPr>
              <w:keepNext/>
              <w:keepLines/>
              <w:spacing w:after="0" w:line="240" w:lineRule="auto"/>
              <w:jc w:val="both"/>
              <w:rPr>
                <w:rFonts w:ascii="Arial Narrow" w:eastAsia="Times New Roman" w:hAnsi="Arial Narrow" w:cs="Open Sans"/>
                <w:sz w:val="20"/>
                <w:szCs w:val="20"/>
              </w:rPr>
            </w:pPr>
            <w:r w:rsidRPr="0081154E">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AC32E5" w:rsidRPr="0081154E" w14:paraId="3EB9E2B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3357F3"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C1BE99" w14:textId="77777777" w:rsidR="00AC32E5" w:rsidRPr="0081154E" w:rsidRDefault="00AC32E5" w:rsidP="00AC32E5">
            <w:pPr>
              <w:keepNext/>
              <w:keepLines/>
              <w:spacing w:after="0" w:line="240" w:lineRule="auto"/>
              <w:jc w:val="both"/>
              <w:rPr>
                <w:rFonts w:ascii="Arial Narrow" w:eastAsia="Times New Roman" w:hAnsi="Arial Narrow" w:cs="Open Sans"/>
                <w:b/>
                <w:bCs/>
                <w:strike/>
                <w:sz w:val="20"/>
                <w:szCs w:val="20"/>
              </w:rPr>
            </w:pPr>
            <w:r w:rsidRPr="0081154E">
              <w:rPr>
                <w:rFonts w:ascii="Arial Narrow" w:eastAsia="Times New Roman" w:hAnsi="Arial Narrow" w:cs="Open Sans"/>
                <w:b/>
                <w:bCs/>
                <w:strike/>
                <w:sz w:val="20"/>
                <w:szCs w:val="20"/>
              </w:rPr>
              <w:t>AND</w:t>
            </w:r>
          </w:p>
        </w:tc>
      </w:tr>
      <w:tr w:rsidR="00AC32E5" w:rsidRPr="0081154E" w14:paraId="4733A6A3"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3A792A"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472A6E" w14:textId="77777777" w:rsidR="00AC32E5" w:rsidRPr="0081154E" w:rsidRDefault="00AC32E5" w:rsidP="00AC32E5">
            <w:pPr>
              <w:keepNext/>
              <w:keepLines/>
              <w:spacing w:after="0" w:line="240" w:lineRule="auto"/>
              <w:jc w:val="both"/>
              <w:rPr>
                <w:rFonts w:ascii="Arial Narrow" w:eastAsia="Times New Roman" w:hAnsi="Arial Narrow" w:cs="Open Sans"/>
                <w:b/>
                <w:bCs/>
                <w:strike/>
                <w:sz w:val="20"/>
                <w:szCs w:val="20"/>
              </w:rPr>
            </w:pPr>
            <w:r w:rsidRPr="0081154E">
              <w:rPr>
                <w:rFonts w:ascii="Arial Narrow" w:eastAsia="Times New Roman" w:hAnsi="Arial Narrow" w:cs="Open Sans"/>
                <w:b/>
                <w:bCs/>
                <w:strike/>
                <w:sz w:val="20"/>
                <w:szCs w:val="20"/>
              </w:rPr>
              <w:t>Clinical criteria:</w:t>
            </w:r>
          </w:p>
        </w:tc>
      </w:tr>
      <w:tr w:rsidR="00AC32E5" w:rsidRPr="0081154E" w14:paraId="4FC462C0"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8C8B8A"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D1FC2E" w14:textId="77777777" w:rsidR="00AC32E5" w:rsidRPr="0081154E" w:rsidRDefault="00AC32E5" w:rsidP="00AC32E5">
            <w:pPr>
              <w:keepNext/>
              <w:keepLines/>
              <w:spacing w:after="0" w:line="240" w:lineRule="auto"/>
              <w:jc w:val="both"/>
              <w:rPr>
                <w:rFonts w:ascii="Arial Narrow" w:eastAsia="Times New Roman" w:hAnsi="Arial Narrow" w:cs="Open Sans"/>
                <w:strike/>
                <w:sz w:val="20"/>
                <w:szCs w:val="20"/>
              </w:rPr>
            </w:pPr>
            <w:r w:rsidRPr="0081154E">
              <w:rPr>
                <w:rFonts w:ascii="Arial Narrow" w:eastAsia="Times New Roman" w:hAnsi="Arial Narrow" w:cs="Open Sans"/>
                <w:strike/>
                <w:sz w:val="20"/>
                <w:szCs w:val="20"/>
              </w:rPr>
              <w:t>The treatment must not be for the initiation of anti-hypertensive therapy</w:t>
            </w:r>
          </w:p>
        </w:tc>
      </w:tr>
      <w:tr w:rsidR="00AC32E5" w:rsidRPr="0081154E" w14:paraId="76C109D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0D4B1F"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07C943" w14:textId="77777777" w:rsidR="00AC32E5" w:rsidRPr="0081154E" w:rsidRDefault="00AC32E5" w:rsidP="00AC32E5">
            <w:pPr>
              <w:keepNext/>
              <w:keepLines/>
              <w:spacing w:after="0" w:line="240" w:lineRule="auto"/>
              <w:jc w:val="both"/>
              <w:rPr>
                <w:rFonts w:ascii="Arial Narrow" w:eastAsia="Times New Roman" w:hAnsi="Arial Narrow" w:cs="Open Sans"/>
                <w:b/>
                <w:bCs/>
                <w:strike/>
                <w:sz w:val="20"/>
                <w:szCs w:val="20"/>
              </w:rPr>
            </w:pPr>
            <w:r w:rsidRPr="0081154E">
              <w:rPr>
                <w:rFonts w:ascii="Arial Narrow" w:eastAsia="Times New Roman" w:hAnsi="Arial Narrow" w:cs="Open Sans"/>
                <w:b/>
                <w:bCs/>
                <w:strike/>
                <w:sz w:val="20"/>
                <w:szCs w:val="20"/>
              </w:rPr>
              <w:t>AND</w:t>
            </w:r>
          </w:p>
        </w:tc>
      </w:tr>
      <w:tr w:rsidR="00AC32E5" w:rsidRPr="0081154E" w14:paraId="550611A5"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A3A2FF"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B0F079" w14:textId="77777777" w:rsidR="00AC32E5" w:rsidRPr="0081154E" w:rsidRDefault="00AC32E5" w:rsidP="00AC32E5">
            <w:pPr>
              <w:keepNext/>
              <w:keepLines/>
              <w:spacing w:after="0" w:line="240" w:lineRule="auto"/>
              <w:jc w:val="both"/>
              <w:rPr>
                <w:rFonts w:ascii="Arial Narrow" w:eastAsia="Times New Roman" w:hAnsi="Arial Narrow" w:cs="Open Sans"/>
                <w:b/>
                <w:bCs/>
                <w:strike/>
                <w:sz w:val="20"/>
                <w:szCs w:val="20"/>
              </w:rPr>
            </w:pPr>
            <w:r w:rsidRPr="0081154E">
              <w:rPr>
                <w:rFonts w:ascii="Arial Narrow" w:eastAsia="Times New Roman" w:hAnsi="Arial Narrow" w:cs="Open Sans"/>
                <w:b/>
                <w:bCs/>
                <w:strike/>
                <w:sz w:val="20"/>
                <w:szCs w:val="20"/>
              </w:rPr>
              <w:t>Clinical criteria:</w:t>
            </w:r>
          </w:p>
        </w:tc>
      </w:tr>
      <w:tr w:rsidR="00AC32E5" w:rsidRPr="0081154E" w14:paraId="7B9E1FD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DFCFEA"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383033" w14:textId="77777777" w:rsidR="00AC32E5" w:rsidRPr="0081154E" w:rsidRDefault="00AC32E5" w:rsidP="00AC32E5">
            <w:pPr>
              <w:keepNext/>
              <w:keepLines/>
              <w:spacing w:after="0" w:line="240" w:lineRule="auto"/>
              <w:jc w:val="both"/>
              <w:rPr>
                <w:rFonts w:ascii="Arial Narrow" w:eastAsia="Times New Roman" w:hAnsi="Arial Narrow" w:cs="Open Sans"/>
                <w:strike/>
                <w:sz w:val="20"/>
                <w:szCs w:val="20"/>
              </w:rPr>
            </w:pPr>
            <w:r w:rsidRPr="0081154E">
              <w:rPr>
                <w:rFonts w:ascii="Arial Narrow" w:eastAsia="Times New Roman" w:hAnsi="Arial Narrow" w:cs="Open Sans"/>
                <w:strike/>
                <w:sz w:val="20"/>
                <w:szCs w:val="20"/>
              </w:rPr>
              <w:t>The condition must be inadequately controlled with an angiotensin II antagonist</w:t>
            </w:r>
          </w:p>
        </w:tc>
      </w:tr>
      <w:tr w:rsidR="00AC32E5" w:rsidRPr="0081154E" w14:paraId="70FE631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378889"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7DFA75" w14:textId="77777777" w:rsidR="00AC32E5" w:rsidRPr="0081154E" w:rsidRDefault="00AC32E5" w:rsidP="00AC32E5">
            <w:pPr>
              <w:keepNext/>
              <w:keepLines/>
              <w:spacing w:after="0" w:line="240" w:lineRule="auto"/>
              <w:jc w:val="both"/>
              <w:rPr>
                <w:rFonts w:ascii="Arial Narrow" w:eastAsia="Times New Roman" w:hAnsi="Arial Narrow" w:cs="Open Sans"/>
                <w:strike/>
                <w:sz w:val="20"/>
                <w:szCs w:val="20"/>
              </w:rPr>
            </w:pPr>
            <w:r w:rsidRPr="0081154E">
              <w:rPr>
                <w:rFonts w:ascii="Arial Narrow" w:eastAsia="Times New Roman" w:hAnsi="Arial Narrow" w:cs="Open Sans"/>
                <w:strike/>
                <w:sz w:val="20"/>
                <w:szCs w:val="20"/>
              </w:rPr>
              <w:t>OR</w:t>
            </w:r>
          </w:p>
        </w:tc>
      </w:tr>
      <w:tr w:rsidR="00AC32E5" w:rsidRPr="0081154E" w14:paraId="60DDC99B"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2C9504" w14:textId="77777777" w:rsidR="00AC32E5" w:rsidRPr="00E30FAA" w:rsidRDefault="00AC32E5" w:rsidP="00AC32E5">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5D99B0" w14:textId="77777777" w:rsidR="00AC32E5" w:rsidRPr="0081154E" w:rsidRDefault="00AC32E5" w:rsidP="00AC32E5">
            <w:pPr>
              <w:keepNext/>
              <w:keepLines/>
              <w:spacing w:after="0" w:line="240" w:lineRule="auto"/>
              <w:jc w:val="both"/>
              <w:rPr>
                <w:rFonts w:ascii="Arial Narrow" w:eastAsia="Times New Roman" w:hAnsi="Arial Narrow" w:cs="Open Sans"/>
                <w:strike/>
                <w:sz w:val="20"/>
                <w:szCs w:val="20"/>
              </w:rPr>
            </w:pPr>
            <w:r w:rsidRPr="0081154E">
              <w:rPr>
                <w:rFonts w:ascii="Arial Narrow" w:eastAsia="Times New Roman" w:hAnsi="Arial Narrow" w:cs="Open Sans"/>
                <w:strike/>
                <w:sz w:val="20"/>
                <w:szCs w:val="20"/>
              </w:rPr>
              <w:t>The condition must be inadequately controlled with a dihydropyridine calcium channel blocker</w:t>
            </w:r>
          </w:p>
        </w:tc>
      </w:tr>
    </w:tbl>
    <w:p w14:paraId="504D9356" w14:textId="77777777" w:rsidR="005B6034" w:rsidRDefault="005B6034" w:rsidP="008071AE">
      <w:pPr>
        <w:pStyle w:val="3Bodytext"/>
        <w:tabs>
          <w:tab w:val="clear" w:pos="360"/>
        </w:tabs>
        <w:ind w:left="0"/>
        <w:rPr>
          <w:b/>
          <w:bCs w:val="0"/>
        </w:rPr>
      </w:pPr>
    </w:p>
    <w:p w14:paraId="64E7BEF5" w14:textId="06B0E9B0" w:rsidR="00AC32E5" w:rsidRDefault="1456436B" w:rsidP="008071AE">
      <w:pPr>
        <w:pStyle w:val="3Bodytext"/>
        <w:tabs>
          <w:tab w:val="clear" w:pos="360"/>
        </w:tabs>
        <w:ind w:left="0"/>
        <w:rPr>
          <w:b/>
          <w:bCs w:val="0"/>
        </w:rPr>
      </w:pPr>
      <w:r w:rsidRPr="45563E5B">
        <w:rPr>
          <w:b/>
        </w:rPr>
        <w:t xml:space="preserve">B. </w:t>
      </w:r>
      <w:r w:rsidR="57066BD4" w:rsidRPr="45563E5B">
        <w:rPr>
          <w:b/>
        </w:rPr>
        <w:t xml:space="preserve">ATRA </w:t>
      </w:r>
      <w:r w:rsidR="6622C3BB" w:rsidRPr="45563E5B">
        <w:rPr>
          <w:b/>
        </w:rPr>
        <w:t>and</w:t>
      </w:r>
      <w:r w:rsidR="57066BD4" w:rsidRPr="45563E5B">
        <w:rPr>
          <w:b/>
        </w:rPr>
        <w:t xml:space="preserve"> </w:t>
      </w:r>
      <w:r w:rsidR="05A09A17" w:rsidRPr="45563E5B">
        <w:rPr>
          <w:b/>
        </w:rPr>
        <w:t>h</w:t>
      </w:r>
      <w:r w:rsidR="363BD521" w:rsidRPr="45563E5B">
        <w:rPr>
          <w:b/>
        </w:rPr>
        <w:t>ydrochlorothiazide</w:t>
      </w:r>
      <w:r w:rsidR="01FAA0FA" w:rsidRPr="45563E5B">
        <w:rPr>
          <w:b/>
        </w:rPr>
        <w:t xml:space="preserve"> (HCTZ) </w:t>
      </w:r>
      <w:r w:rsidR="710EBFE9" w:rsidRPr="45563E5B">
        <w:rPr>
          <w:b/>
        </w:rPr>
        <w:t>PBS item code</w:t>
      </w:r>
      <w:r w:rsidR="154C8F58" w:rsidRPr="45563E5B">
        <w:rPr>
          <w:b/>
        </w:rPr>
        <w:t>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0"/>
        <w:gridCol w:w="1095"/>
        <w:gridCol w:w="825"/>
        <w:gridCol w:w="709"/>
        <w:gridCol w:w="657"/>
      </w:tblGrid>
      <w:tr w:rsidR="00B746BD" w:rsidRPr="00F7796C" w14:paraId="5D4B386A"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95A0A54" w14:textId="387810A6" w:rsidR="00430848" w:rsidRPr="00B854F5" w:rsidRDefault="00430848" w:rsidP="00B746BD">
            <w:pPr>
              <w:spacing w:after="0" w:line="240" w:lineRule="auto"/>
              <w:rPr>
                <w:rFonts w:ascii="Arial Narrow" w:eastAsia="Times New Roman" w:hAnsi="Arial Narrow" w:cs="Times New Roman"/>
                <w:b/>
                <w:bCs/>
                <w:color w:val="000000"/>
                <w:sz w:val="20"/>
                <w:szCs w:val="20"/>
                <w:lang w:eastAsia="en-AU"/>
              </w:rPr>
            </w:pPr>
            <w:bookmarkStart w:id="5" w:name="_Hlk187661293"/>
            <w:r w:rsidRPr="00B854F5">
              <w:rPr>
                <w:rFonts w:ascii="Arial Narrow" w:eastAsia="Times New Roman" w:hAnsi="Arial Narrow" w:cs="Times New Roman"/>
                <w:b/>
                <w:bCs/>
                <w:color w:val="000000"/>
                <w:sz w:val="20"/>
                <w:szCs w:val="20"/>
                <w:lang w:eastAsia="en-AU"/>
              </w:rPr>
              <w:t xml:space="preserve">Drug, </w:t>
            </w:r>
            <w:r w:rsidR="002C7134" w:rsidRPr="00B854F5">
              <w:rPr>
                <w:rFonts w:ascii="Arial Narrow" w:eastAsia="Times New Roman" w:hAnsi="Arial Narrow" w:cs="Times New Roman"/>
                <w:b/>
                <w:bCs/>
                <w:color w:val="000000"/>
                <w:sz w:val="20"/>
                <w:szCs w:val="20"/>
                <w:lang w:eastAsia="en-AU"/>
              </w:rPr>
              <w:t>form,</w:t>
            </w:r>
            <w:r w:rsidRPr="00B854F5">
              <w:rPr>
                <w:rFonts w:ascii="Arial Narrow" w:eastAsia="Times New Roman" w:hAnsi="Arial Narrow" w:cs="Times New Roman"/>
                <w:b/>
                <w:bCs/>
                <w:color w:val="000000"/>
                <w:sz w:val="20"/>
                <w:szCs w:val="20"/>
                <w:lang w:eastAsia="en-AU"/>
              </w:rPr>
              <w:t xml:space="preserve"> and strength</w:t>
            </w:r>
          </w:p>
        </w:tc>
        <w:tc>
          <w:tcPr>
            <w:tcW w:w="109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E4AFF52" w14:textId="77777777" w:rsidR="00430848" w:rsidRPr="00B854F5" w:rsidRDefault="00430848" w:rsidP="00B746BD">
            <w:pPr>
              <w:spacing w:after="0" w:line="240" w:lineRule="auto"/>
              <w:jc w:val="center"/>
              <w:rPr>
                <w:rFonts w:ascii="Arial Narrow" w:eastAsia="Times New Roman" w:hAnsi="Arial Narrow" w:cs="Times New Roman"/>
                <w:b/>
                <w:bCs/>
                <w:color w:val="000000"/>
                <w:sz w:val="20"/>
                <w:szCs w:val="20"/>
                <w:lang w:eastAsia="en-AU"/>
              </w:rPr>
            </w:pPr>
            <w:r w:rsidRPr="00B854F5">
              <w:rPr>
                <w:rFonts w:ascii="Arial Narrow" w:eastAsia="Times New Roman" w:hAnsi="Arial Narrow" w:cs="Times New Roman"/>
                <w:b/>
                <w:bCs/>
                <w:color w:val="000000"/>
                <w:sz w:val="20"/>
                <w:szCs w:val="20"/>
                <w:lang w:eastAsia="en-AU"/>
              </w:rPr>
              <w:t>Item</w:t>
            </w:r>
          </w:p>
        </w:tc>
        <w:tc>
          <w:tcPr>
            <w:tcW w:w="82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E31DF95" w14:textId="77777777" w:rsidR="00430848" w:rsidRPr="00B854F5" w:rsidRDefault="00430848" w:rsidP="00B746BD">
            <w:pPr>
              <w:spacing w:after="0" w:line="240" w:lineRule="auto"/>
              <w:jc w:val="center"/>
              <w:rPr>
                <w:rFonts w:ascii="Arial Narrow" w:eastAsia="Times New Roman" w:hAnsi="Arial Narrow" w:cs="Times New Roman"/>
                <w:b/>
                <w:bCs/>
                <w:color w:val="000000"/>
                <w:sz w:val="20"/>
                <w:szCs w:val="20"/>
                <w:lang w:eastAsia="en-AU"/>
              </w:rPr>
            </w:pPr>
            <w:r w:rsidRPr="00B854F5">
              <w:rPr>
                <w:rFonts w:ascii="Arial Narrow" w:eastAsia="Times New Roman" w:hAnsi="Arial Narrow" w:cs="Times New Roman"/>
                <w:b/>
                <w:bCs/>
                <w:color w:val="000000"/>
                <w:sz w:val="20"/>
                <w:szCs w:val="20"/>
                <w:lang w:eastAsia="en-AU"/>
              </w:rPr>
              <w:t>Max quant</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A5B1517" w14:textId="77777777" w:rsidR="00430848" w:rsidRPr="00B854F5" w:rsidRDefault="00430848" w:rsidP="00B746BD">
            <w:pPr>
              <w:spacing w:after="0" w:line="240" w:lineRule="auto"/>
              <w:jc w:val="center"/>
              <w:rPr>
                <w:rFonts w:ascii="Arial Narrow" w:eastAsia="Times New Roman" w:hAnsi="Arial Narrow" w:cs="Times New Roman"/>
                <w:b/>
                <w:bCs/>
                <w:color w:val="000000"/>
                <w:sz w:val="20"/>
                <w:szCs w:val="20"/>
                <w:lang w:eastAsia="en-AU"/>
              </w:rPr>
            </w:pPr>
            <w:r w:rsidRPr="00B854F5">
              <w:rPr>
                <w:rFonts w:ascii="Arial Narrow" w:eastAsia="Times New Roman" w:hAnsi="Arial Narrow" w:cs="Times New Roman"/>
                <w:b/>
                <w:bCs/>
                <w:color w:val="000000"/>
                <w:sz w:val="20"/>
                <w:szCs w:val="20"/>
                <w:lang w:eastAsia="en-AU"/>
              </w:rPr>
              <w:t>Rpts</w:t>
            </w:r>
          </w:p>
        </w:tc>
        <w:tc>
          <w:tcPr>
            <w:tcW w:w="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3451BE1" w14:textId="77777777" w:rsidR="00430848" w:rsidRPr="00B854F5" w:rsidRDefault="00430848" w:rsidP="00B746BD">
            <w:pPr>
              <w:spacing w:after="0" w:line="240" w:lineRule="auto"/>
              <w:jc w:val="center"/>
              <w:rPr>
                <w:rFonts w:ascii="Arial Narrow" w:eastAsia="Times New Roman" w:hAnsi="Arial Narrow" w:cs="Times New Roman"/>
                <w:b/>
                <w:bCs/>
                <w:color w:val="000000"/>
                <w:sz w:val="20"/>
                <w:szCs w:val="20"/>
                <w:lang w:eastAsia="en-AU"/>
              </w:rPr>
            </w:pPr>
            <w:r w:rsidRPr="00B854F5">
              <w:rPr>
                <w:rFonts w:ascii="Arial Narrow" w:eastAsia="Times New Roman" w:hAnsi="Arial Narrow" w:cs="Times New Roman"/>
                <w:b/>
                <w:bCs/>
                <w:color w:val="000000"/>
                <w:sz w:val="20"/>
                <w:szCs w:val="20"/>
                <w:lang w:eastAsia="en-AU"/>
              </w:rPr>
              <w:t>Pack size</w:t>
            </w:r>
          </w:p>
        </w:tc>
      </w:tr>
      <w:tr w:rsidR="00430848" w:rsidRPr="00F7796C" w14:paraId="7019640F" w14:textId="77777777" w:rsidTr="09E07EA4">
        <w:trPr>
          <w:trHeight w:val="290"/>
        </w:trPr>
        <w:tc>
          <w:tcPr>
            <w:tcW w:w="5730" w:type="dxa"/>
            <w:noWrap/>
            <w:vAlign w:val="bottom"/>
            <w:hideMark/>
          </w:tcPr>
          <w:p w14:paraId="29C024C2"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candesartan cilexetil 16 mg + hydrochlorothiazide 12.5 mg tablet, 30</w:t>
            </w:r>
          </w:p>
        </w:tc>
        <w:tc>
          <w:tcPr>
            <w:tcW w:w="1095" w:type="dxa"/>
            <w:noWrap/>
            <w:vAlign w:val="bottom"/>
            <w:hideMark/>
          </w:tcPr>
          <w:p w14:paraId="4B4EEFAE"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13391T</w:t>
            </w:r>
          </w:p>
        </w:tc>
        <w:tc>
          <w:tcPr>
            <w:tcW w:w="825" w:type="dxa"/>
            <w:noWrap/>
            <w:vAlign w:val="bottom"/>
            <w:hideMark/>
          </w:tcPr>
          <w:p w14:paraId="2E4DD1CF"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7A76C5BE"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398CF82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59562E9D" w14:textId="77777777" w:rsidTr="09E07EA4">
        <w:trPr>
          <w:trHeight w:val="290"/>
        </w:trPr>
        <w:tc>
          <w:tcPr>
            <w:tcW w:w="5730" w:type="dxa"/>
            <w:noWrap/>
            <w:vAlign w:val="bottom"/>
            <w:hideMark/>
          </w:tcPr>
          <w:p w14:paraId="19207682"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candesartan cilexetil 32 mg + hydrochlorothiazide 12.5 mg tablet, 30</w:t>
            </w:r>
          </w:p>
        </w:tc>
        <w:tc>
          <w:tcPr>
            <w:tcW w:w="1095" w:type="dxa"/>
            <w:noWrap/>
            <w:vAlign w:val="bottom"/>
            <w:hideMark/>
          </w:tcPr>
          <w:p w14:paraId="0D6F11C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13452B</w:t>
            </w:r>
          </w:p>
        </w:tc>
        <w:tc>
          <w:tcPr>
            <w:tcW w:w="825" w:type="dxa"/>
            <w:noWrap/>
            <w:vAlign w:val="bottom"/>
            <w:hideMark/>
          </w:tcPr>
          <w:p w14:paraId="790A9E44"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27668AC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23E668F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221817E6" w14:textId="77777777" w:rsidTr="09E07EA4">
        <w:trPr>
          <w:trHeight w:val="290"/>
        </w:trPr>
        <w:tc>
          <w:tcPr>
            <w:tcW w:w="5730" w:type="dxa"/>
            <w:noWrap/>
            <w:vAlign w:val="bottom"/>
            <w:hideMark/>
          </w:tcPr>
          <w:p w14:paraId="5A47172C"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candesartan cilexetil 32 mg + hydrochlorothiazide 25 mg tablet, 30</w:t>
            </w:r>
          </w:p>
        </w:tc>
        <w:tc>
          <w:tcPr>
            <w:tcW w:w="1095" w:type="dxa"/>
            <w:noWrap/>
            <w:vAlign w:val="bottom"/>
            <w:hideMark/>
          </w:tcPr>
          <w:p w14:paraId="7450E087" w14:textId="5A2F221A" w:rsidR="00430848" w:rsidRPr="00F7796C" w:rsidRDefault="70B0071E" w:rsidP="00B746BD">
            <w:pPr>
              <w:spacing w:after="0" w:line="240" w:lineRule="auto"/>
              <w:jc w:val="center"/>
              <w:rPr>
                <w:rFonts w:ascii="Arial Narrow" w:eastAsia="Times New Roman" w:hAnsi="Arial Narrow" w:cs="Times New Roman"/>
                <w:color w:val="000000"/>
                <w:sz w:val="20"/>
                <w:szCs w:val="20"/>
                <w:lang w:eastAsia="en-AU"/>
              </w:rPr>
            </w:pPr>
            <w:r w:rsidRPr="45563E5B">
              <w:rPr>
                <w:rFonts w:ascii="Arial Narrow" w:eastAsia="Times New Roman" w:hAnsi="Arial Narrow" w:cs="Times New Roman"/>
                <w:color w:val="000000" w:themeColor="text1"/>
                <w:sz w:val="20"/>
                <w:szCs w:val="20"/>
                <w:lang w:eastAsia="en-AU"/>
              </w:rPr>
              <w:t>13392</w:t>
            </w:r>
            <w:r w:rsidR="4EB72D6F" w:rsidRPr="45563E5B">
              <w:rPr>
                <w:rFonts w:ascii="Arial Narrow" w:eastAsia="Times New Roman" w:hAnsi="Arial Narrow" w:cs="Times New Roman"/>
                <w:color w:val="000000" w:themeColor="text1"/>
                <w:sz w:val="20"/>
                <w:szCs w:val="20"/>
                <w:lang w:eastAsia="en-AU"/>
              </w:rPr>
              <w:t>Q</w:t>
            </w:r>
          </w:p>
        </w:tc>
        <w:tc>
          <w:tcPr>
            <w:tcW w:w="825" w:type="dxa"/>
            <w:noWrap/>
            <w:vAlign w:val="bottom"/>
            <w:hideMark/>
          </w:tcPr>
          <w:p w14:paraId="5DC28A4F"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0B40EED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551858E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149BCCAB"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15994F2"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eprosartan 600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34B3B8D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14337N</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6DC7016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68D721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7B5F5DB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7BA57360"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380767CE"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irbesartan 150 mg + hydrochlorothiazide 12.5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0F261FB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13572H</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449B1C60"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D9C5C8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42957B3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09DC8DD7"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5482E20"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irbesartan 300 mg + hydrochlorothiazide 12.5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0D1E4C0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13545X</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5E57908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05102D4"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1EE6732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54D1DE79"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6D3A2F72"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irbesartan 300 mg + hydrochlorothiazide 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6C3B070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13446Q</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2F8A4116"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5EFA7D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3607659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1AA1E8A1"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250A8C4"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40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3B6734C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13546Y</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015FA9E2"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E04E77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2D2FB790"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190AA5DE"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50662FBF"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80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7B428242"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13574K</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418C0FF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54C750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51327DA3"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0929849C"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4889EC59"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telmisartan 80 mg + hydrochlorothiazide 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6E3CDCB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13607E</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2FED004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23141F2"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26BBAEB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0A9F2D91"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8D11304"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valsartan 160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27D338BA"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13606D</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6D33FADA"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E2B81B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661D3C4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3A4BA74C"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7A3D41E"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valsartan 160 mg + hydrochlorothiazide 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030D3E7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13453C</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2E22449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3ADCA7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6D3C3860"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619CA754"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035DE229"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valsartan 320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43B9E050"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13517K</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4CDF375A"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A5B4CD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0B9EAE9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0F091653"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51CC1E80"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valsartan 320 mg + hydrochlorothiazide 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1EBAFE4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13455E</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06BA95BC"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F0F04E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3E3B967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39ECAFD4"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6AAA2A9E"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valsartan 80 mg + hydrochlorothiazide 12.5 mg tablet, 28</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1D31DFA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13393X</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1D5D742A"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53E4414"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60C67E6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28</w:t>
            </w:r>
          </w:p>
        </w:tc>
      </w:tr>
      <w:tr w:rsidR="00430848" w:rsidRPr="00F7796C" w14:paraId="7844B0B0"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48223381"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olmesartan medoxomil 20 mg + hydrochlorothiazide 12.5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631EAD62"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13447R</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2AEE7A6B"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9DB3157"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0900A19D"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443F3D8F"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7E3B5A07"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olmesartan medoxomil 40 mg + hydrochlorothiazide 12.5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45F9B5C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45563E5B">
              <w:rPr>
                <w:rFonts w:ascii="Arial Narrow" w:eastAsia="Times New Roman" w:hAnsi="Arial Narrow" w:cs="Times New Roman"/>
                <w:color w:val="000000" w:themeColor="text1"/>
                <w:sz w:val="20"/>
                <w:szCs w:val="20"/>
                <w:lang w:eastAsia="en-AU"/>
              </w:rPr>
              <w:t>13601W</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17BE86A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34090D5"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5F00FEE3"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430848" w:rsidRPr="00F7796C" w14:paraId="00F62459"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4929616D" w14:textId="77777777" w:rsidR="00430848" w:rsidRPr="00F7796C" w:rsidRDefault="00430848" w:rsidP="00B746BD">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olmesartan medoxomil 40 mg + hydrochlorothiazide 25 mg tablet, 30</w:t>
            </w:r>
          </w:p>
        </w:tc>
        <w:tc>
          <w:tcPr>
            <w:tcW w:w="1095" w:type="dxa"/>
            <w:tcBorders>
              <w:top w:val="single" w:sz="4" w:space="0" w:color="auto"/>
              <w:left w:val="single" w:sz="4" w:space="0" w:color="auto"/>
              <w:bottom w:val="single" w:sz="4" w:space="0" w:color="auto"/>
              <w:right w:val="single" w:sz="4" w:space="0" w:color="auto"/>
            </w:tcBorders>
            <w:noWrap/>
            <w:vAlign w:val="bottom"/>
            <w:hideMark/>
          </w:tcPr>
          <w:p w14:paraId="538B8191"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13602X</w:t>
            </w:r>
          </w:p>
        </w:tc>
        <w:tc>
          <w:tcPr>
            <w:tcW w:w="825" w:type="dxa"/>
            <w:tcBorders>
              <w:top w:val="single" w:sz="4" w:space="0" w:color="auto"/>
              <w:left w:val="single" w:sz="4" w:space="0" w:color="auto"/>
              <w:bottom w:val="single" w:sz="4" w:space="0" w:color="auto"/>
              <w:right w:val="single" w:sz="4" w:space="0" w:color="auto"/>
            </w:tcBorders>
            <w:noWrap/>
            <w:vAlign w:val="bottom"/>
            <w:hideMark/>
          </w:tcPr>
          <w:p w14:paraId="29F671E4"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E7C05FA"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26FE32F8" w14:textId="77777777" w:rsidR="00430848" w:rsidRPr="00F7796C" w:rsidRDefault="00430848" w:rsidP="00B746BD">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bookmarkEnd w:id="5"/>
    </w:tbl>
    <w:p w14:paraId="0CD6D946" w14:textId="77777777" w:rsidR="00430848" w:rsidRDefault="00430848" w:rsidP="008071AE">
      <w:pPr>
        <w:pStyle w:val="3Bodytext"/>
        <w:tabs>
          <w:tab w:val="clear" w:pos="360"/>
        </w:tabs>
        <w:ind w:left="0"/>
        <w:rPr>
          <w:b/>
          <w:bCs w:val="0"/>
        </w:rPr>
      </w:pPr>
    </w:p>
    <w:p w14:paraId="4C0BDDB9" w14:textId="77777777" w:rsidR="00ED4525" w:rsidRPr="00AA42BB" w:rsidRDefault="00ED4525" w:rsidP="00ED4525">
      <w:pPr>
        <w:keepNext/>
        <w:keepLines/>
        <w:spacing w:after="40"/>
        <w:rPr>
          <w:rFonts w:ascii="Arial Narrow" w:hAnsi="Arial Narrow"/>
          <w:b/>
          <w:sz w:val="20"/>
          <w:szCs w:val="20"/>
          <w:lang w:val="en-GB"/>
        </w:rPr>
      </w:pPr>
      <w:r w:rsidRPr="00AA42BB">
        <w:rPr>
          <w:rFonts w:ascii="Arial Narrow" w:hAnsi="Arial Narrow"/>
          <w:b/>
          <w:sz w:val="20"/>
          <w:szCs w:val="20"/>
          <w:lang w:val="en-GB"/>
        </w:rPr>
        <w:lastRenderedPageBreak/>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172E13" w:rsidRPr="00E30FAA" w14:paraId="4874D473"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DA8882" w14:textId="77777777" w:rsidR="00172E13" w:rsidRPr="00E30FAA" w:rsidRDefault="00172E13" w:rsidP="00172E13">
            <w:pPr>
              <w:keepNext/>
              <w:keepLines/>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6EB3ABC1" w14:textId="77777777" w:rsidR="00172E13" w:rsidRPr="00E30FAA" w:rsidRDefault="00172E13" w:rsidP="00172E13">
            <w:pPr>
              <w:keepNext/>
              <w:keepLines/>
              <w:spacing w:after="0" w:line="240" w:lineRule="auto"/>
              <w:jc w:val="both"/>
              <w:rPr>
                <w:rFonts w:ascii="Arial Narrow" w:eastAsia="Times New Roman" w:hAnsi="Arial Narrow" w:cs="Arial"/>
                <w:i/>
                <w:sz w:val="20"/>
                <w:szCs w:val="20"/>
                <w:lang w:eastAsia="en-AU"/>
              </w:rPr>
            </w:pPr>
          </w:p>
          <w:p w14:paraId="7DD104B8" w14:textId="77777777" w:rsidR="00172E13" w:rsidRPr="00E30FAA" w:rsidRDefault="00172E13" w:rsidP="00172E13">
            <w:pPr>
              <w:keepNext/>
              <w:keepLines/>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56AEFF8D" w14:textId="77777777" w:rsidR="00172E13" w:rsidRPr="00E30FAA" w:rsidRDefault="00172E13" w:rsidP="00172E1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B60B" w14:textId="00934B95" w:rsidR="00172E13" w:rsidRPr="00E30FAA" w:rsidRDefault="00172E13" w:rsidP="00172E13">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07EA741B" w14:textId="77777777" w:rsidR="00172E13" w:rsidRPr="00E30FAA" w:rsidRDefault="00172E13" w:rsidP="00172E13">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172E13" w:rsidRPr="00E30FAA" w14:paraId="462BABE1"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712CC" w14:textId="77777777" w:rsidR="00172E13" w:rsidRPr="00E30FAA" w:rsidRDefault="00172E13" w:rsidP="00172E1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68FFD7" w14:textId="262C1481" w:rsidR="00172E13" w:rsidRPr="00E30FAA" w:rsidRDefault="00172E13" w:rsidP="00172E13">
            <w:pPr>
              <w:keepNext/>
              <w:keepLines/>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t xml:space="preserve"> </w:t>
            </w:r>
          </w:p>
        </w:tc>
      </w:tr>
      <w:tr w:rsidR="00172E13" w:rsidRPr="00E30FAA" w14:paraId="46C8EBCB"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DA93D" w14:textId="77777777" w:rsidR="00172E13" w:rsidRPr="00E30FAA" w:rsidRDefault="00172E13" w:rsidP="00172E1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023C1C" w14:textId="77777777" w:rsidR="00172E13" w:rsidRPr="00E30FAA" w:rsidRDefault="00172E13" w:rsidP="00172E13">
            <w:pPr>
              <w:keepNext/>
              <w:keepLines/>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172E13" w:rsidRPr="00E30FAA" w14:paraId="3607813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0A9A9F" w14:textId="77777777" w:rsidR="00172E13" w:rsidRPr="00E30FAA" w:rsidRDefault="00172E13" w:rsidP="00172E13">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DA915E" w14:textId="77777777" w:rsidR="00172E13" w:rsidRPr="00E30FAA" w:rsidRDefault="00172E13" w:rsidP="00172E13">
            <w:pPr>
              <w:keepNext/>
              <w:keepLines/>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172E13" w:rsidRPr="00E30FAA" w14:paraId="4FE7B95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F3F790" w14:textId="77777777" w:rsidR="00172E13" w:rsidRPr="00E30FAA" w:rsidRDefault="00172E13" w:rsidP="00172E13">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6D2316" w14:textId="77777777" w:rsidR="00172E13" w:rsidRPr="00DE6C77" w:rsidRDefault="00172E13" w:rsidP="00172E13">
            <w:pPr>
              <w:keepNext/>
              <w:keepLines/>
              <w:spacing w:after="0" w:line="240" w:lineRule="auto"/>
              <w:jc w:val="both"/>
              <w:rPr>
                <w:rFonts w:ascii="Arial Narrow" w:eastAsia="Times New Roman" w:hAnsi="Arial Narrow" w:cs="Open Sans"/>
                <w:sz w:val="20"/>
                <w:szCs w:val="20"/>
              </w:rPr>
            </w:pPr>
            <w:r w:rsidRPr="00DE6C77">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172E13" w:rsidRPr="00E30FAA" w14:paraId="6E7D73A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BD265B"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7520EF" w14:textId="77777777" w:rsidR="00172E13" w:rsidRPr="00DE6C77" w:rsidRDefault="00172E13" w:rsidP="00172E1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172E13" w:rsidRPr="00E30FAA" w14:paraId="4BB1937C"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CA86D6"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A3B05C" w14:textId="77777777" w:rsidR="00172E13" w:rsidRPr="00DE6C77" w:rsidRDefault="00172E13" w:rsidP="00172E1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172E13" w:rsidRPr="00E30FAA" w14:paraId="19CF6485"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73E29F"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C9E126" w14:textId="77777777" w:rsidR="00172E13" w:rsidRPr="00DE6C77" w:rsidRDefault="00172E13" w:rsidP="00172E1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treatment must not be for the initiation of anti-hypertensive therapy</w:t>
            </w:r>
          </w:p>
        </w:tc>
      </w:tr>
      <w:tr w:rsidR="00172E13" w:rsidRPr="00E30FAA" w14:paraId="2EDE1A4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500381"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A346C0" w14:textId="77777777" w:rsidR="00172E13" w:rsidRPr="00DE6C77" w:rsidRDefault="00172E13" w:rsidP="00172E1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172E13" w:rsidRPr="00E30FAA" w14:paraId="2FF769D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A1F5AD"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5A9AF4" w14:textId="77777777" w:rsidR="00172E13" w:rsidRPr="00DE6C77" w:rsidRDefault="00172E13" w:rsidP="00172E1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172E13" w:rsidRPr="00E30FAA" w14:paraId="3CF94FFC"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A35569"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1078DC" w14:textId="77777777" w:rsidR="00172E13" w:rsidRPr="00DE6C77" w:rsidRDefault="00172E13" w:rsidP="00172E1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condition must be inadequately controlled with an angiotensin II antagonist</w:t>
            </w:r>
          </w:p>
        </w:tc>
      </w:tr>
      <w:tr w:rsidR="00172E13" w:rsidRPr="00E30FAA" w14:paraId="42D9DEA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7E5C00"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9C4397" w14:textId="77777777" w:rsidR="00172E13" w:rsidRPr="00DE6C77" w:rsidRDefault="00172E13" w:rsidP="00172E1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OR</w:t>
            </w:r>
          </w:p>
        </w:tc>
      </w:tr>
      <w:tr w:rsidR="00172E13" w:rsidRPr="00E30FAA" w14:paraId="3889972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3FB4F7" w14:textId="77777777" w:rsidR="00172E13" w:rsidRPr="00E30FAA" w:rsidRDefault="00172E13" w:rsidP="00172E1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0E2AB8" w14:textId="77777777" w:rsidR="00172E13" w:rsidRPr="00DE6C77" w:rsidRDefault="00172E13" w:rsidP="00172E13">
            <w:pPr>
              <w:keepNext/>
              <w:keepLines/>
              <w:spacing w:after="0" w:line="240" w:lineRule="auto"/>
              <w:jc w:val="both"/>
              <w:rPr>
                <w:rFonts w:ascii="Arial Narrow" w:eastAsia="Times New Roman" w:hAnsi="Arial Narrow" w:cs="Open Sans"/>
                <w:strike/>
                <w:sz w:val="20"/>
                <w:szCs w:val="20"/>
              </w:rPr>
            </w:pPr>
            <w:r w:rsidRPr="00D25D0B">
              <w:rPr>
                <w:rFonts w:ascii="Arial Narrow" w:eastAsia="Times New Roman" w:hAnsi="Arial Narrow" w:cs="Open Sans"/>
                <w:strike/>
                <w:sz w:val="20"/>
                <w:szCs w:val="20"/>
              </w:rPr>
              <w:t>The condition must be inadequately controlled with a thiazide diuretic.</w:t>
            </w:r>
          </w:p>
        </w:tc>
      </w:tr>
    </w:tbl>
    <w:p w14:paraId="24EFF6C4" w14:textId="77777777" w:rsidR="00172E13" w:rsidRDefault="00172E13" w:rsidP="008071AE">
      <w:pPr>
        <w:pStyle w:val="3Bodytext"/>
        <w:tabs>
          <w:tab w:val="clear" w:pos="360"/>
        </w:tabs>
        <w:ind w:left="0"/>
        <w:rPr>
          <w:b/>
          <w:bCs w:val="0"/>
        </w:rPr>
      </w:pPr>
    </w:p>
    <w:p w14:paraId="5341621C" w14:textId="7739E1D5" w:rsidR="00E50E67" w:rsidRDefault="110B67AA" w:rsidP="008071AE">
      <w:pPr>
        <w:pStyle w:val="3Bodytext"/>
        <w:tabs>
          <w:tab w:val="clear" w:pos="360"/>
        </w:tabs>
        <w:ind w:left="0"/>
        <w:rPr>
          <w:b/>
          <w:bCs w:val="0"/>
        </w:rPr>
      </w:pPr>
      <w:r w:rsidRPr="45563E5B">
        <w:rPr>
          <w:b/>
        </w:rPr>
        <w:t xml:space="preserve">C. </w:t>
      </w:r>
      <w:r w:rsidR="0637A8E3" w:rsidRPr="45563E5B">
        <w:rPr>
          <w:b/>
        </w:rPr>
        <w:t>ACE</w:t>
      </w:r>
      <w:r w:rsidR="328F294F" w:rsidRPr="45563E5B">
        <w:rPr>
          <w:b/>
        </w:rPr>
        <w:t xml:space="preserve"> (</w:t>
      </w:r>
      <w:r w:rsidR="706EB42A" w:rsidRPr="45563E5B">
        <w:rPr>
          <w:b/>
        </w:rPr>
        <w:t>a</w:t>
      </w:r>
      <w:r w:rsidR="328F294F" w:rsidRPr="45563E5B">
        <w:rPr>
          <w:b/>
        </w:rPr>
        <w:t xml:space="preserve">ngiotensin </w:t>
      </w:r>
      <w:r w:rsidR="1B02524D" w:rsidRPr="45563E5B">
        <w:rPr>
          <w:b/>
        </w:rPr>
        <w:t>c</w:t>
      </w:r>
      <w:r w:rsidR="328F294F" w:rsidRPr="45563E5B">
        <w:rPr>
          <w:b/>
        </w:rPr>
        <w:t xml:space="preserve">onverting </w:t>
      </w:r>
      <w:r w:rsidR="7EEA7976" w:rsidRPr="45563E5B">
        <w:rPr>
          <w:b/>
        </w:rPr>
        <w:t>e</w:t>
      </w:r>
      <w:r w:rsidR="328F294F" w:rsidRPr="45563E5B">
        <w:rPr>
          <w:b/>
        </w:rPr>
        <w:t>nzyme</w:t>
      </w:r>
      <w:r w:rsidR="15FBC1CE" w:rsidRPr="45563E5B">
        <w:rPr>
          <w:b/>
        </w:rPr>
        <w:t xml:space="preserve"> inhibitor</w:t>
      </w:r>
      <w:r w:rsidR="328F294F" w:rsidRPr="45563E5B">
        <w:rPr>
          <w:b/>
        </w:rPr>
        <w:t>)</w:t>
      </w:r>
      <w:r w:rsidRPr="45563E5B">
        <w:rPr>
          <w:b/>
        </w:rPr>
        <w:t xml:space="preserve"> </w:t>
      </w:r>
      <w:r w:rsidR="5B911D46" w:rsidRPr="45563E5B">
        <w:rPr>
          <w:b/>
        </w:rPr>
        <w:t>and</w:t>
      </w:r>
      <w:r w:rsidRPr="45563E5B">
        <w:rPr>
          <w:b/>
        </w:rPr>
        <w:t xml:space="preserve"> HCTZ</w:t>
      </w:r>
      <w:r w:rsidR="62345946" w:rsidRPr="45563E5B">
        <w:rPr>
          <w:b/>
        </w:rPr>
        <w:t xml:space="preserve"> </w:t>
      </w:r>
      <w:r w:rsidR="27736427" w:rsidRPr="45563E5B">
        <w:rPr>
          <w:b/>
        </w:rPr>
        <w:t>PBS item code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945"/>
        <w:gridCol w:w="885"/>
        <w:gridCol w:w="709"/>
        <w:gridCol w:w="657"/>
      </w:tblGrid>
      <w:tr w:rsidR="00CC0273" w:rsidRPr="00B854F5" w14:paraId="3B72B997" w14:textId="77777777" w:rsidTr="09E07EA4">
        <w:trPr>
          <w:trHeight w:val="290"/>
        </w:trPr>
        <w:tc>
          <w:tcPr>
            <w:tcW w:w="582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08BF9D8" w14:textId="396DB567" w:rsidR="00CC0273" w:rsidRPr="00DE6C77" w:rsidRDefault="00CC0273" w:rsidP="00AE0B94">
            <w:pPr>
              <w:spacing w:after="0" w:line="240" w:lineRule="auto"/>
              <w:rPr>
                <w:rFonts w:ascii="Arial Narrow" w:eastAsia="Times New Roman" w:hAnsi="Arial Narrow" w:cs="Times New Roman"/>
                <w:b/>
                <w:bCs/>
                <w:color w:val="000000"/>
                <w:sz w:val="20"/>
                <w:szCs w:val="20"/>
                <w:lang w:eastAsia="en-AU"/>
              </w:rPr>
            </w:pPr>
            <w:r w:rsidRPr="00DE6C77">
              <w:rPr>
                <w:rFonts w:ascii="Arial Narrow" w:eastAsia="Times New Roman" w:hAnsi="Arial Narrow" w:cs="Times New Roman"/>
                <w:b/>
                <w:bCs/>
                <w:color w:val="000000"/>
                <w:sz w:val="20"/>
                <w:szCs w:val="20"/>
                <w:lang w:eastAsia="en-AU"/>
              </w:rPr>
              <w:t xml:space="preserve">Drug, </w:t>
            </w:r>
            <w:r w:rsidR="002F0C48" w:rsidRPr="00DE6C77">
              <w:rPr>
                <w:rFonts w:ascii="Arial Narrow" w:eastAsia="Times New Roman" w:hAnsi="Arial Narrow" w:cs="Times New Roman"/>
                <w:b/>
                <w:bCs/>
                <w:color w:val="000000"/>
                <w:sz w:val="20"/>
                <w:szCs w:val="20"/>
                <w:lang w:eastAsia="en-AU"/>
              </w:rPr>
              <w:t>form,</w:t>
            </w:r>
            <w:r w:rsidRPr="00DE6C77">
              <w:rPr>
                <w:rFonts w:ascii="Arial Narrow" w:eastAsia="Times New Roman" w:hAnsi="Arial Narrow" w:cs="Times New Roman"/>
                <w:b/>
                <w:bCs/>
                <w:color w:val="000000"/>
                <w:sz w:val="20"/>
                <w:szCs w:val="20"/>
                <w:lang w:eastAsia="en-AU"/>
              </w:rPr>
              <w:t xml:space="preserve"> and strength</w:t>
            </w:r>
          </w:p>
        </w:tc>
        <w:tc>
          <w:tcPr>
            <w:tcW w:w="94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54FCA9EF" w14:textId="77777777" w:rsidR="00CC0273" w:rsidRPr="00DE6C77" w:rsidRDefault="00CC0273" w:rsidP="00AE0B94">
            <w:pPr>
              <w:spacing w:after="0" w:line="240" w:lineRule="auto"/>
              <w:jc w:val="center"/>
              <w:rPr>
                <w:rFonts w:ascii="Arial Narrow" w:eastAsia="Times New Roman" w:hAnsi="Arial Narrow" w:cs="Times New Roman"/>
                <w:b/>
                <w:bCs/>
                <w:color w:val="000000"/>
                <w:sz w:val="20"/>
                <w:szCs w:val="20"/>
                <w:lang w:eastAsia="en-AU"/>
              </w:rPr>
            </w:pPr>
            <w:r w:rsidRPr="00DE6C77">
              <w:rPr>
                <w:rFonts w:ascii="Arial Narrow" w:eastAsia="Times New Roman" w:hAnsi="Arial Narrow" w:cs="Times New Roman"/>
                <w:b/>
                <w:bCs/>
                <w:color w:val="000000"/>
                <w:sz w:val="20"/>
                <w:szCs w:val="20"/>
                <w:lang w:eastAsia="en-AU"/>
              </w:rPr>
              <w:t>Item</w:t>
            </w:r>
          </w:p>
        </w:tc>
        <w:tc>
          <w:tcPr>
            <w:tcW w:w="88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C102730" w14:textId="77777777" w:rsidR="00CC0273" w:rsidRPr="00DE6C77" w:rsidRDefault="00CC0273" w:rsidP="00AE0B94">
            <w:pPr>
              <w:spacing w:after="0" w:line="240" w:lineRule="auto"/>
              <w:jc w:val="center"/>
              <w:rPr>
                <w:rFonts w:ascii="Arial Narrow" w:eastAsia="Times New Roman" w:hAnsi="Arial Narrow" w:cs="Times New Roman"/>
                <w:b/>
                <w:bCs/>
                <w:color w:val="000000"/>
                <w:sz w:val="20"/>
                <w:szCs w:val="20"/>
                <w:lang w:eastAsia="en-AU"/>
              </w:rPr>
            </w:pPr>
            <w:r w:rsidRPr="00DE6C77">
              <w:rPr>
                <w:rFonts w:ascii="Arial Narrow" w:eastAsia="Times New Roman" w:hAnsi="Arial Narrow" w:cs="Times New Roman"/>
                <w:b/>
                <w:bCs/>
                <w:color w:val="000000"/>
                <w:sz w:val="20"/>
                <w:szCs w:val="20"/>
                <w:lang w:eastAsia="en-AU"/>
              </w:rPr>
              <w:t>Max quant</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2BC55D3" w14:textId="77777777" w:rsidR="00CC0273" w:rsidRPr="00DE6C77" w:rsidRDefault="00CC0273" w:rsidP="00AE0B94">
            <w:pPr>
              <w:spacing w:after="0" w:line="240" w:lineRule="auto"/>
              <w:jc w:val="center"/>
              <w:rPr>
                <w:rFonts w:ascii="Arial Narrow" w:eastAsia="Times New Roman" w:hAnsi="Arial Narrow" w:cs="Times New Roman"/>
                <w:b/>
                <w:bCs/>
                <w:color w:val="000000"/>
                <w:sz w:val="20"/>
                <w:szCs w:val="20"/>
                <w:lang w:eastAsia="en-AU"/>
              </w:rPr>
            </w:pPr>
            <w:r w:rsidRPr="00DE6C77">
              <w:rPr>
                <w:rFonts w:ascii="Arial Narrow" w:eastAsia="Times New Roman" w:hAnsi="Arial Narrow" w:cs="Times New Roman"/>
                <w:b/>
                <w:bCs/>
                <w:color w:val="000000"/>
                <w:sz w:val="20"/>
                <w:szCs w:val="20"/>
                <w:lang w:eastAsia="en-AU"/>
              </w:rPr>
              <w:t>Rpts</w:t>
            </w:r>
          </w:p>
        </w:tc>
        <w:tc>
          <w:tcPr>
            <w:tcW w:w="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5E353D04" w14:textId="77777777" w:rsidR="00CC0273" w:rsidRPr="00DE6C77" w:rsidRDefault="00CC0273" w:rsidP="00AE0B94">
            <w:pPr>
              <w:spacing w:after="0" w:line="240" w:lineRule="auto"/>
              <w:jc w:val="center"/>
              <w:rPr>
                <w:rFonts w:ascii="Arial Narrow" w:eastAsia="Times New Roman" w:hAnsi="Arial Narrow" w:cs="Times New Roman"/>
                <w:b/>
                <w:bCs/>
                <w:color w:val="000000"/>
                <w:sz w:val="20"/>
                <w:szCs w:val="20"/>
                <w:lang w:eastAsia="en-AU"/>
              </w:rPr>
            </w:pPr>
            <w:r w:rsidRPr="00DE6C77">
              <w:rPr>
                <w:rFonts w:ascii="Arial Narrow" w:eastAsia="Times New Roman" w:hAnsi="Arial Narrow" w:cs="Times New Roman"/>
                <w:b/>
                <w:bCs/>
                <w:color w:val="000000"/>
                <w:sz w:val="20"/>
                <w:szCs w:val="20"/>
                <w:lang w:eastAsia="en-AU"/>
              </w:rPr>
              <w:t>Pack size</w:t>
            </w:r>
          </w:p>
        </w:tc>
      </w:tr>
      <w:tr w:rsidR="00CC0273" w:rsidRPr="00F7796C" w14:paraId="0CA9B7F7" w14:textId="77777777" w:rsidTr="09E07EA4">
        <w:trPr>
          <w:trHeight w:val="300"/>
        </w:trPr>
        <w:tc>
          <w:tcPr>
            <w:tcW w:w="5820" w:type="dxa"/>
            <w:noWrap/>
            <w:vAlign w:val="bottom"/>
            <w:hideMark/>
          </w:tcPr>
          <w:p w14:paraId="3B46A85A" w14:textId="77777777" w:rsidR="00CC0273" w:rsidRPr="00F7796C" w:rsidRDefault="00CC0273"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enalapril maleate 20 mg + hydrochlorothiazide 6 mg tablet, 30</w:t>
            </w:r>
          </w:p>
        </w:tc>
        <w:tc>
          <w:tcPr>
            <w:tcW w:w="945" w:type="dxa"/>
            <w:noWrap/>
            <w:vAlign w:val="bottom"/>
            <w:hideMark/>
          </w:tcPr>
          <w:p w14:paraId="20B55E03" w14:textId="77777777" w:rsidR="00CC0273" w:rsidRPr="00F7796C" w:rsidRDefault="00CC0273" w:rsidP="00AE0B94">
            <w:pPr>
              <w:spacing w:after="0" w:line="240" w:lineRule="auto"/>
              <w:jc w:val="center"/>
              <w:rPr>
                <w:rFonts w:ascii="Arial Narrow" w:eastAsia="Times New Roman" w:hAnsi="Arial Narrow" w:cs="Times New Roman"/>
                <w:color w:val="000000"/>
                <w:sz w:val="20"/>
                <w:szCs w:val="20"/>
                <w:lang w:eastAsia="en-AU"/>
              </w:rPr>
            </w:pPr>
            <w:r w:rsidRPr="45563E5B">
              <w:rPr>
                <w:rFonts w:ascii="Arial Narrow" w:eastAsia="Times New Roman" w:hAnsi="Arial Narrow" w:cs="Times New Roman"/>
                <w:color w:val="000000" w:themeColor="text1"/>
                <w:sz w:val="20"/>
                <w:szCs w:val="20"/>
                <w:lang w:eastAsia="en-AU"/>
              </w:rPr>
              <w:t>13439H</w:t>
            </w:r>
          </w:p>
        </w:tc>
        <w:tc>
          <w:tcPr>
            <w:tcW w:w="885" w:type="dxa"/>
            <w:noWrap/>
            <w:vAlign w:val="bottom"/>
            <w:hideMark/>
          </w:tcPr>
          <w:p w14:paraId="68E46058" w14:textId="77777777" w:rsidR="00CC0273" w:rsidRPr="00F7796C" w:rsidRDefault="00CC0273"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1C510635" w14:textId="77777777" w:rsidR="00CC0273" w:rsidRPr="00F7796C" w:rsidRDefault="00CC0273"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6B67EADB" w14:textId="77777777" w:rsidR="00CC0273" w:rsidRPr="00F7796C" w:rsidRDefault="00CC0273"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bl>
    <w:p w14:paraId="5FA7B9B3" w14:textId="77777777" w:rsidR="00CC0273" w:rsidRDefault="00CC0273" w:rsidP="008071AE">
      <w:pPr>
        <w:pStyle w:val="3Bodytext"/>
        <w:tabs>
          <w:tab w:val="clear" w:pos="360"/>
        </w:tabs>
        <w:ind w:left="0"/>
        <w:rPr>
          <w:b/>
          <w:bCs w:val="0"/>
        </w:rPr>
      </w:pPr>
    </w:p>
    <w:p w14:paraId="22D1F65A" w14:textId="77777777" w:rsidR="00F24DBE" w:rsidRPr="00AA42BB" w:rsidRDefault="00F24DBE" w:rsidP="00F24DBE">
      <w:pPr>
        <w:keepNext/>
        <w:keepLines/>
        <w:spacing w:after="40"/>
        <w:rPr>
          <w:rFonts w:ascii="Arial Narrow" w:hAnsi="Arial Narrow"/>
          <w:b/>
          <w:sz w:val="20"/>
          <w:szCs w:val="20"/>
          <w:lang w:val="en-GB"/>
        </w:rPr>
      </w:pPr>
      <w:r w:rsidRPr="00AA42BB">
        <w:rPr>
          <w:rFonts w:ascii="Arial Narrow" w:hAnsi="Arial Narrow"/>
          <w:b/>
          <w:sz w:val="20"/>
          <w:szCs w:val="20"/>
          <w:lang w:val="en-GB"/>
        </w:rPr>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F24DBE" w:rsidRPr="00E30FAA" w14:paraId="5927A083"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362F4A" w14:textId="77777777" w:rsidR="00F24DBE" w:rsidRPr="00E30FAA" w:rsidRDefault="00F24DBE" w:rsidP="00AE0B94">
            <w:pPr>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60C0FF86" w14:textId="77777777" w:rsidR="00F24DBE" w:rsidRPr="00E30FAA" w:rsidRDefault="00F24DBE" w:rsidP="00AE0B94">
            <w:pPr>
              <w:spacing w:after="0" w:line="240" w:lineRule="auto"/>
              <w:jc w:val="both"/>
              <w:rPr>
                <w:rFonts w:ascii="Arial Narrow" w:eastAsia="Times New Roman" w:hAnsi="Arial Narrow" w:cs="Arial"/>
                <w:i/>
                <w:sz w:val="20"/>
                <w:szCs w:val="20"/>
                <w:lang w:eastAsia="en-AU"/>
              </w:rPr>
            </w:pPr>
          </w:p>
          <w:p w14:paraId="6717A91E" w14:textId="77777777" w:rsidR="00F24DBE" w:rsidRPr="00E30FAA" w:rsidRDefault="00F24DBE" w:rsidP="00AE0B94">
            <w:pPr>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11BFE441" w14:textId="77777777" w:rsidR="00F24DBE" w:rsidRPr="00E30FAA" w:rsidRDefault="00F24DBE"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44ADD" w14:textId="26BF721B" w:rsidR="00F24DBE" w:rsidRPr="00E30FAA" w:rsidRDefault="00F24DBE"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7ED8AB11" w14:textId="77777777" w:rsidR="00F24DBE" w:rsidRPr="00E30FAA" w:rsidRDefault="00F24DBE"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F24DBE" w:rsidRPr="00E30FAA" w14:paraId="5D1DC2E0"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ACD0" w14:textId="77777777" w:rsidR="00F24DBE" w:rsidRPr="00E30FAA" w:rsidRDefault="00F24DBE"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037EA0" w14:textId="00CDF9CF" w:rsidR="00F24DBE" w:rsidRPr="00E30FAA" w:rsidRDefault="00F24DBE" w:rsidP="00AE0B94">
            <w:pPr>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t xml:space="preserve"> </w:t>
            </w:r>
          </w:p>
        </w:tc>
      </w:tr>
      <w:tr w:rsidR="00F24DBE" w:rsidRPr="00E30FAA" w14:paraId="39A8AE07"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9E3DD" w14:textId="77777777" w:rsidR="00F24DBE" w:rsidRPr="00E30FAA" w:rsidRDefault="00F24DBE"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3782FB" w14:textId="77777777" w:rsidR="00F24DBE" w:rsidRPr="00E30FAA" w:rsidRDefault="00F24DBE" w:rsidP="00AE0B94">
            <w:pPr>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F24DBE" w:rsidRPr="00E30FAA" w14:paraId="6CCAD89B"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290A07" w14:textId="77777777" w:rsidR="00F24DBE" w:rsidRPr="00E30FAA" w:rsidRDefault="00F24DBE"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726CF6" w14:textId="77777777" w:rsidR="00F24DBE" w:rsidRPr="00E30FAA" w:rsidRDefault="00F24DBE" w:rsidP="00AE0B94">
            <w:pPr>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F24DBE" w:rsidRPr="00DE6C77" w14:paraId="62040B8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E497D6" w14:textId="77777777" w:rsidR="00F24DBE" w:rsidRPr="00E30FAA" w:rsidRDefault="00F24DBE"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A1CB61" w14:textId="77777777" w:rsidR="00F24DBE" w:rsidRPr="00DE6C77" w:rsidRDefault="00F24DBE" w:rsidP="00AE0B94">
            <w:pPr>
              <w:spacing w:after="0" w:line="240" w:lineRule="auto"/>
              <w:jc w:val="both"/>
              <w:rPr>
                <w:rFonts w:ascii="Arial Narrow" w:eastAsia="Times New Roman" w:hAnsi="Arial Narrow" w:cs="Open Sans"/>
                <w:sz w:val="20"/>
                <w:szCs w:val="20"/>
              </w:rPr>
            </w:pPr>
            <w:r w:rsidRPr="00DE6C77">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F24DBE" w:rsidRPr="00DE6C77" w14:paraId="20A338F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3AF1DD"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5D917E" w14:textId="77777777" w:rsidR="00F24DBE" w:rsidRPr="00DE6C77" w:rsidRDefault="00F24DBE"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F24DBE" w:rsidRPr="00DE6C77" w14:paraId="091094E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CCF2F6"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919511" w14:textId="77777777" w:rsidR="00F24DBE" w:rsidRPr="00DE6C77" w:rsidRDefault="00F24DBE"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F24DBE" w:rsidRPr="00DE6C77" w14:paraId="476CF43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2C3E33"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5B08CA" w14:textId="77777777" w:rsidR="00F24DBE" w:rsidRPr="00DE6C77" w:rsidRDefault="00F24DBE"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treatment must not be for the initiation of anti-hypertensive therapy</w:t>
            </w:r>
          </w:p>
        </w:tc>
      </w:tr>
      <w:tr w:rsidR="00F24DBE" w:rsidRPr="00DE6C77" w14:paraId="4336543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E0C83A"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6E3D65" w14:textId="77777777" w:rsidR="00F24DBE" w:rsidRPr="00DE6C77" w:rsidRDefault="00F24DBE"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F24DBE" w:rsidRPr="00DE6C77" w14:paraId="25EA395D"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4973A9"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E6DE48" w14:textId="77777777" w:rsidR="00F24DBE" w:rsidRPr="00DE6C77" w:rsidRDefault="00F24DBE"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F24DBE" w:rsidRPr="00DE6C77" w14:paraId="328F589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76A05"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9B155D" w14:textId="77777777" w:rsidR="00F24DBE" w:rsidRPr="00DE6C77" w:rsidRDefault="00F24DBE"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 xml:space="preserve">The condition must be inadequately controlled with an </w:t>
            </w:r>
            <w:r>
              <w:rPr>
                <w:rFonts w:ascii="Arial Narrow" w:eastAsia="Times New Roman" w:hAnsi="Arial Narrow" w:cs="Open Sans"/>
                <w:strike/>
                <w:sz w:val="20"/>
                <w:szCs w:val="20"/>
              </w:rPr>
              <w:t>ACE inhibitor</w:t>
            </w:r>
          </w:p>
        </w:tc>
      </w:tr>
      <w:tr w:rsidR="00F24DBE" w:rsidRPr="00DE6C77" w14:paraId="254FCFDC"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458CF7"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3DB4D9" w14:textId="77777777" w:rsidR="00F24DBE" w:rsidRPr="00DE6C77" w:rsidRDefault="00F24DBE"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OR</w:t>
            </w:r>
          </w:p>
        </w:tc>
      </w:tr>
      <w:tr w:rsidR="00F24DBE" w:rsidRPr="00DE6C77" w14:paraId="290D8CA7"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E5FB66" w14:textId="77777777" w:rsidR="00F24DBE" w:rsidRPr="00E30FAA" w:rsidRDefault="00F24DBE"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EA2EAD" w14:textId="77777777" w:rsidR="00F24DBE" w:rsidRPr="00DE6C77" w:rsidRDefault="00F24DBE" w:rsidP="00AE0B94">
            <w:pPr>
              <w:spacing w:after="0" w:line="240" w:lineRule="auto"/>
              <w:jc w:val="both"/>
              <w:rPr>
                <w:rFonts w:ascii="Arial Narrow" w:eastAsia="Times New Roman" w:hAnsi="Arial Narrow" w:cs="Open Sans"/>
                <w:strike/>
                <w:sz w:val="20"/>
                <w:szCs w:val="20"/>
              </w:rPr>
            </w:pPr>
            <w:r w:rsidRPr="00D25D0B">
              <w:rPr>
                <w:rFonts w:ascii="Arial Narrow" w:eastAsia="Times New Roman" w:hAnsi="Arial Narrow" w:cs="Open Sans"/>
                <w:strike/>
                <w:sz w:val="20"/>
                <w:szCs w:val="20"/>
              </w:rPr>
              <w:t>The condition must be inadequately controlled with a thiazide diuretic.</w:t>
            </w:r>
          </w:p>
        </w:tc>
      </w:tr>
    </w:tbl>
    <w:p w14:paraId="1914EF8A" w14:textId="77777777" w:rsidR="00F24DBE" w:rsidRDefault="00F24DBE" w:rsidP="008071AE">
      <w:pPr>
        <w:pStyle w:val="3Bodytext"/>
        <w:tabs>
          <w:tab w:val="clear" w:pos="360"/>
        </w:tabs>
        <w:ind w:left="0"/>
        <w:rPr>
          <w:b/>
          <w:bCs w:val="0"/>
        </w:rPr>
      </w:pPr>
    </w:p>
    <w:p w14:paraId="301C22B1" w14:textId="5E87F263" w:rsidR="00427B4C" w:rsidRDefault="62345946" w:rsidP="45563E5B">
      <w:pPr>
        <w:pStyle w:val="3Bodytext"/>
        <w:keepNext/>
        <w:keepLines/>
        <w:tabs>
          <w:tab w:val="clear" w:pos="360"/>
        </w:tabs>
        <w:ind w:left="0"/>
        <w:rPr>
          <w:b/>
          <w:bCs w:val="0"/>
        </w:rPr>
      </w:pPr>
      <w:r w:rsidRPr="45563E5B">
        <w:rPr>
          <w:b/>
        </w:rPr>
        <w:lastRenderedPageBreak/>
        <w:t xml:space="preserve">D. ACE </w:t>
      </w:r>
      <w:r w:rsidR="781EEE42" w:rsidRPr="45563E5B">
        <w:rPr>
          <w:b/>
        </w:rPr>
        <w:t>and</w:t>
      </w:r>
      <w:r w:rsidRPr="45563E5B">
        <w:rPr>
          <w:b/>
        </w:rPr>
        <w:t xml:space="preserve"> CCB</w:t>
      </w:r>
      <w:r w:rsidR="227CA8B6" w:rsidRPr="45563E5B">
        <w:rPr>
          <w:b/>
        </w:rPr>
        <w:t xml:space="preserve"> </w:t>
      </w:r>
      <w:r w:rsidR="1DC34218" w:rsidRPr="45563E5B">
        <w:rPr>
          <w:b/>
        </w:rPr>
        <w:t>PBS item codes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0"/>
        <w:gridCol w:w="1110"/>
        <w:gridCol w:w="810"/>
        <w:gridCol w:w="709"/>
        <w:gridCol w:w="657"/>
      </w:tblGrid>
      <w:tr w:rsidR="00427B4C" w:rsidRPr="00DE6C77" w14:paraId="04E9C0B9"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93D9D74" w14:textId="796CCA4A" w:rsidR="00427B4C" w:rsidRPr="00DE6C77" w:rsidRDefault="00427B4C" w:rsidP="45563E5B">
            <w:pPr>
              <w:keepNext/>
              <w:keepLines/>
              <w:spacing w:after="0" w:line="240" w:lineRule="auto"/>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 xml:space="preserve">Drug, </w:t>
            </w:r>
            <w:r w:rsidR="002F0C48" w:rsidRPr="45563E5B">
              <w:rPr>
                <w:rFonts w:ascii="Arial Narrow" w:eastAsia="Times New Roman" w:hAnsi="Arial Narrow" w:cs="Times New Roman"/>
                <w:b/>
                <w:color w:val="000000" w:themeColor="text1"/>
                <w:sz w:val="20"/>
                <w:szCs w:val="20"/>
                <w:lang w:eastAsia="en-AU"/>
              </w:rPr>
              <w:t>form,</w:t>
            </w:r>
            <w:r w:rsidRPr="45563E5B">
              <w:rPr>
                <w:rFonts w:ascii="Arial Narrow" w:eastAsia="Times New Roman" w:hAnsi="Arial Narrow" w:cs="Times New Roman"/>
                <w:b/>
                <w:color w:val="000000" w:themeColor="text1"/>
                <w:sz w:val="20"/>
                <w:szCs w:val="20"/>
                <w:lang w:eastAsia="en-AU"/>
              </w:rPr>
              <w:t xml:space="preserve"> and strength</w:t>
            </w:r>
          </w:p>
        </w:tc>
        <w:tc>
          <w:tcPr>
            <w:tcW w:w="111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6BCE376A" w14:textId="77777777" w:rsidR="00427B4C" w:rsidRPr="00DE6C77" w:rsidRDefault="00427B4C" w:rsidP="45563E5B">
            <w:pPr>
              <w:keepNext/>
              <w:keepLines/>
              <w:spacing w:after="0" w:line="240" w:lineRule="auto"/>
              <w:jc w:val="center"/>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Item</w:t>
            </w:r>
          </w:p>
        </w:tc>
        <w:tc>
          <w:tcPr>
            <w:tcW w:w="81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6130DA43" w14:textId="77777777" w:rsidR="00427B4C" w:rsidRPr="00DE6C77" w:rsidRDefault="00427B4C" w:rsidP="45563E5B">
            <w:pPr>
              <w:keepNext/>
              <w:keepLines/>
              <w:spacing w:after="0" w:line="240" w:lineRule="auto"/>
              <w:jc w:val="center"/>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Max quant</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A3226D1" w14:textId="77777777" w:rsidR="00427B4C" w:rsidRPr="00DE6C77" w:rsidRDefault="00427B4C" w:rsidP="45563E5B">
            <w:pPr>
              <w:keepNext/>
              <w:keepLines/>
              <w:spacing w:after="0" w:line="240" w:lineRule="auto"/>
              <w:jc w:val="center"/>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Rpts</w:t>
            </w:r>
          </w:p>
        </w:tc>
        <w:tc>
          <w:tcPr>
            <w:tcW w:w="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6107D7AC" w14:textId="77777777" w:rsidR="00427B4C" w:rsidRPr="00DE6C77" w:rsidRDefault="00427B4C" w:rsidP="45563E5B">
            <w:pPr>
              <w:keepNext/>
              <w:keepLines/>
              <w:spacing w:after="0" w:line="240" w:lineRule="auto"/>
              <w:jc w:val="center"/>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Pack size</w:t>
            </w:r>
          </w:p>
        </w:tc>
      </w:tr>
      <w:tr w:rsidR="00427B4C" w:rsidRPr="00F7796C" w14:paraId="22CECE79" w14:textId="77777777" w:rsidTr="09E07EA4">
        <w:trPr>
          <w:trHeight w:val="290"/>
        </w:trPr>
        <w:tc>
          <w:tcPr>
            <w:tcW w:w="5730" w:type="dxa"/>
            <w:noWrap/>
            <w:vAlign w:val="bottom"/>
            <w:hideMark/>
          </w:tcPr>
          <w:p w14:paraId="16932784"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lercanidipine hydrochloride 10 mg + enalapril maleate 10 mg tablet, 28</w:t>
            </w:r>
          </w:p>
        </w:tc>
        <w:tc>
          <w:tcPr>
            <w:tcW w:w="1110" w:type="dxa"/>
            <w:noWrap/>
            <w:vAlign w:val="bottom"/>
            <w:hideMark/>
          </w:tcPr>
          <w:p w14:paraId="265FB02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13507X</w:t>
            </w:r>
          </w:p>
        </w:tc>
        <w:tc>
          <w:tcPr>
            <w:tcW w:w="810" w:type="dxa"/>
            <w:noWrap/>
            <w:vAlign w:val="bottom"/>
            <w:hideMark/>
          </w:tcPr>
          <w:p w14:paraId="3FF64AD2"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56</w:t>
            </w:r>
          </w:p>
        </w:tc>
        <w:tc>
          <w:tcPr>
            <w:tcW w:w="709" w:type="dxa"/>
            <w:noWrap/>
            <w:vAlign w:val="bottom"/>
            <w:hideMark/>
          </w:tcPr>
          <w:p w14:paraId="66A13506"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noWrap/>
            <w:vAlign w:val="bottom"/>
            <w:hideMark/>
          </w:tcPr>
          <w:p w14:paraId="517C261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28</w:t>
            </w:r>
          </w:p>
        </w:tc>
      </w:tr>
      <w:tr w:rsidR="00427B4C" w:rsidRPr="00F7796C" w14:paraId="438E3AB2" w14:textId="77777777" w:rsidTr="09E07EA4">
        <w:trPr>
          <w:trHeight w:val="290"/>
        </w:trPr>
        <w:tc>
          <w:tcPr>
            <w:tcW w:w="5730" w:type="dxa"/>
            <w:noWrap/>
            <w:vAlign w:val="bottom"/>
            <w:hideMark/>
          </w:tcPr>
          <w:p w14:paraId="72D3CAAD"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lercanidipine hydrochloride 10 mg + enalapril maleate 20 mg tablet, 28</w:t>
            </w:r>
          </w:p>
        </w:tc>
        <w:tc>
          <w:tcPr>
            <w:tcW w:w="1110" w:type="dxa"/>
            <w:noWrap/>
            <w:vAlign w:val="bottom"/>
            <w:hideMark/>
          </w:tcPr>
          <w:p w14:paraId="42133D11" w14:textId="0CCB4DB3"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45563E5B">
              <w:rPr>
                <w:rFonts w:ascii="Arial Narrow" w:eastAsia="Times New Roman" w:hAnsi="Arial Narrow" w:cs="Times New Roman"/>
                <w:color w:val="000000" w:themeColor="text1"/>
                <w:sz w:val="20"/>
                <w:szCs w:val="20"/>
                <w:lang w:eastAsia="en-AU"/>
              </w:rPr>
              <w:t>13477H</w:t>
            </w:r>
          </w:p>
        </w:tc>
        <w:tc>
          <w:tcPr>
            <w:tcW w:w="810" w:type="dxa"/>
            <w:noWrap/>
            <w:vAlign w:val="bottom"/>
            <w:hideMark/>
          </w:tcPr>
          <w:p w14:paraId="771A9681"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56</w:t>
            </w:r>
          </w:p>
        </w:tc>
        <w:tc>
          <w:tcPr>
            <w:tcW w:w="709" w:type="dxa"/>
            <w:noWrap/>
            <w:vAlign w:val="bottom"/>
            <w:hideMark/>
          </w:tcPr>
          <w:p w14:paraId="520CD131"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noWrap/>
            <w:vAlign w:val="bottom"/>
            <w:hideMark/>
          </w:tcPr>
          <w:p w14:paraId="50C2283B"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28</w:t>
            </w:r>
          </w:p>
        </w:tc>
      </w:tr>
      <w:tr w:rsidR="00427B4C" w:rsidRPr="00F7796C" w14:paraId="7F27D0A6"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426EA1A5"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perindopril arginine 10 mg + amlodipine 10 mg tablet, 30</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93C0EC2"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13382H</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000EFDD3"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A2C36DB"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6D415A08"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r w:rsidR="00427B4C" w:rsidRPr="00F7796C" w14:paraId="322A134B"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357C784D"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perindopril arginine 10 mg + amlodipine 5 mg tablet, 30</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31FEF87"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13478J</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7B34C171"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1EDFD1F"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12145C6A"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r w:rsidR="00427B4C" w:rsidRPr="00F7796C" w14:paraId="1B2F5D89"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1332F459"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perindopril arginine 5 mg + amlodipine 10 mg tablet, 30</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4D4B47A"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13381G</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0F1C845D"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40EA7AB"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51433AB0"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r w:rsidR="00427B4C" w:rsidRPr="00F7796C" w14:paraId="640CFFB8" w14:textId="77777777" w:rsidTr="09E07EA4">
        <w:trPr>
          <w:trHeight w:val="290"/>
        </w:trPr>
        <w:tc>
          <w:tcPr>
            <w:tcW w:w="5730" w:type="dxa"/>
            <w:tcBorders>
              <w:top w:val="single" w:sz="4" w:space="0" w:color="auto"/>
              <w:left w:val="single" w:sz="4" w:space="0" w:color="auto"/>
              <w:bottom w:val="single" w:sz="4" w:space="0" w:color="auto"/>
              <w:right w:val="single" w:sz="4" w:space="0" w:color="auto"/>
            </w:tcBorders>
            <w:noWrap/>
            <w:vAlign w:val="bottom"/>
            <w:hideMark/>
          </w:tcPr>
          <w:p w14:paraId="03242452"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perindopril arginine 5 mg + amlodipine 5 mg tablet, 30</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C91FF36"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13508Y</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27F86E8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0B5B69F"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562BA95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r w:rsidR="00427B4C" w:rsidRPr="00F7796C" w14:paraId="2C7EB1DE" w14:textId="77777777" w:rsidTr="09E07EA4">
        <w:trPr>
          <w:trHeight w:val="290"/>
        </w:trPr>
        <w:tc>
          <w:tcPr>
            <w:tcW w:w="5730" w:type="dxa"/>
            <w:noWrap/>
            <w:vAlign w:val="bottom"/>
            <w:hideMark/>
          </w:tcPr>
          <w:p w14:paraId="61BB1E38"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ramipril 2.5 mg + felodipine 2.5 mg modified release tablet, 30</w:t>
            </w:r>
          </w:p>
        </w:tc>
        <w:tc>
          <w:tcPr>
            <w:tcW w:w="1110" w:type="dxa"/>
            <w:noWrap/>
            <w:vAlign w:val="bottom"/>
            <w:hideMark/>
          </w:tcPr>
          <w:p w14:paraId="62832528"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13563W</w:t>
            </w:r>
          </w:p>
        </w:tc>
        <w:tc>
          <w:tcPr>
            <w:tcW w:w="810" w:type="dxa"/>
            <w:noWrap/>
            <w:vAlign w:val="bottom"/>
            <w:hideMark/>
          </w:tcPr>
          <w:p w14:paraId="5C354F10"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noWrap/>
            <w:vAlign w:val="bottom"/>
            <w:hideMark/>
          </w:tcPr>
          <w:p w14:paraId="0427095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noWrap/>
            <w:vAlign w:val="bottom"/>
            <w:hideMark/>
          </w:tcPr>
          <w:p w14:paraId="689EBB27"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r w:rsidR="00427B4C" w:rsidRPr="00F7796C" w14:paraId="52494431" w14:textId="77777777" w:rsidTr="09E07EA4">
        <w:trPr>
          <w:trHeight w:val="290"/>
        </w:trPr>
        <w:tc>
          <w:tcPr>
            <w:tcW w:w="5730" w:type="dxa"/>
            <w:noWrap/>
            <w:vAlign w:val="bottom"/>
            <w:hideMark/>
          </w:tcPr>
          <w:p w14:paraId="137A5E4E" w14:textId="77777777" w:rsidR="00427B4C" w:rsidRPr="00F7796C" w:rsidRDefault="00427B4C" w:rsidP="09E07EA4">
            <w:pPr>
              <w:keepNext/>
              <w:keepLines/>
              <w:spacing w:after="0" w:line="240" w:lineRule="auto"/>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ramipril 5 mg + felodipine 5 mg modified release tablet, 30</w:t>
            </w:r>
          </w:p>
        </w:tc>
        <w:tc>
          <w:tcPr>
            <w:tcW w:w="1110" w:type="dxa"/>
            <w:noWrap/>
            <w:vAlign w:val="bottom"/>
            <w:hideMark/>
          </w:tcPr>
          <w:p w14:paraId="588082D8"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13534H</w:t>
            </w:r>
          </w:p>
        </w:tc>
        <w:tc>
          <w:tcPr>
            <w:tcW w:w="810" w:type="dxa"/>
            <w:noWrap/>
            <w:vAlign w:val="bottom"/>
            <w:hideMark/>
          </w:tcPr>
          <w:p w14:paraId="55286E43"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60</w:t>
            </w:r>
          </w:p>
        </w:tc>
        <w:tc>
          <w:tcPr>
            <w:tcW w:w="709" w:type="dxa"/>
            <w:noWrap/>
            <w:vAlign w:val="bottom"/>
            <w:hideMark/>
          </w:tcPr>
          <w:p w14:paraId="0B1AD95C"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5</w:t>
            </w:r>
          </w:p>
        </w:tc>
        <w:tc>
          <w:tcPr>
            <w:tcW w:w="657" w:type="dxa"/>
            <w:noWrap/>
            <w:vAlign w:val="bottom"/>
            <w:hideMark/>
          </w:tcPr>
          <w:p w14:paraId="201149CF" w14:textId="77777777" w:rsidR="00427B4C" w:rsidRPr="00F7796C" w:rsidRDefault="00427B4C" w:rsidP="09E07EA4">
            <w:pPr>
              <w:keepNext/>
              <w:keepLines/>
              <w:spacing w:after="0" w:line="240" w:lineRule="auto"/>
              <w:jc w:val="center"/>
              <w:rPr>
                <w:rFonts w:ascii="Arial Narrow" w:eastAsia="Times New Roman" w:hAnsi="Arial Narrow" w:cs="Times New Roman"/>
                <w:color w:val="000000"/>
                <w:sz w:val="20"/>
                <w:szCs w:val="20"/>
                <w:lang w:eastAsia="en-AU"/>
              </w:rPr>
            </w:pPr>
            <w:r w:rsidRPr="09E07EA4">
              <w:rPr>
                <w:rFonts w:ascii="Arial Narrow" w:eastAsia="Times New Roman" w:hAnsi="Arial Narrow" w:cs="Times New Roman"/>
                <w:color w:val="000000" w:themeColor="text1"/>
                <w:sz w:val="20"/>
                <w:szCs w:val="20"/>
                <w:lang w:eastAsia="en-AU"/>
              </w:rPr>
              <w:t>30</w:t>
            </w:r>
          </w:p>
        </w:tc>
      </w:tr>
    </w:tbl>
    <w:p w14:paraId="4DBAFB0A" w14:textId="77777777" w:rsidR="00427B4C" w:rsidRDefault="00427B4C" w:rsidP="008071AE">
      <w:pPr>
        <w:pStyle w:val="3Bodytext"/>
        <w:tabs>
          <w:tab w:val="clear" w:pos="360"/>
        </w:tabs>
        <w:ind w:left="0"/>
        <w:rPr>
          <w:b/>
          <w:bCs w:val="0"/>
        </w:rPr>
      </w:pPr>
    </w:p>
    <w:p w14:paraId="603AAA56" w14:textId="77777777" w:rsidR="00110FB0" w:rsidRPr="00AA42BB" w:rsidRDefault="00110FB0" w:rsidP="00110FB0">
      <w:pPr>
        <w:keepNext/>
        <w:keepLines/>
        <w:spacing w:after="40"/>
        <w:rPr>
          <w:rFonts w:ascii="Arial Narrow" w:hAnsi="Arial Narrow"/>
          <w:b/>
          <w:sz w:val="20"/>
          <w:szCs w:val="20"/>
          <w:lang w:val="en-GB"/>
        </w:rPr>
      </w:pPr>
      <w:r w:rsidRPr="00AA42BB">
        <w:rPr>
          <w:rFonts w:ascii="Arial Narrow" w:hAnsi="Arial Narrow"/>
          <w:b/>
          <w:sz w:val="20"/>
          <w:szCs w:val="20"/>
          <w:lang w:val="en-GB"/>
        </w:rPr>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110FB0" w:rsidRPr="00E30FAA" w14:paraId="5ABBD83F"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A506D8" w14:textId="77777777" w:rsidR="00110FB0" w:rsidRPr="00E30FAA" w:rsidRDefault="00110FB0" w:rsidP="00AE0B94">
            <w:pPr>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580477D7" w14:textId="77777777" w:rsidR="00110FB0" w:rsidRPr="00E30FAA" w:rsidRDefault="00110FB0" w:rsidP="00AE0B94">
            <w:pPr>
              <w:spacing w:after="0" w:line="240" w:lineRule="auto"/>
              <w:jc w:val="both"/>
              <w:rPr>
                <w:rFonts w:ascii="Arial Narrow" w:eastAsia="Times New Roman" w:hAnsi="Arial Narrow" w:cs="Arial"/>
                <w:i/>
                <w:sz w:val="20"/>
                <w:szCs w:val="20"/>
                <w:lang w:eastAsia="en-AU"/>
              </w:rPr>
            </w:pPr>
          </w:p>
          <w:p w14:paraId="3E76581C" w14:textId="77777777" w:rsidR="00110FB0" w:rsidRPr="00E30FAA" w:rsidRDefault="00110FB0" w:rsidP="00AE0B94">
            <w:pPr>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5D1EFE51" w14:textId="77777777" w:rsidR="00110FB0" w:rsidRPr="00E30FAA" w:rsidRDefault="00110FB0"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F4298" w14:textId="71AF4E77" w:rsidR="00110FB0" w:rsidRPr="00E30FAA" w:rsidRDefault="00110FB0"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297A7A8A" w14:textId="77777777" w:rsidR="00110FB0" w:rsidRPr="00E30FAA" w:rsidRDefault="00110FB0"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110FB0" w:rsidRPr="00E30FAA" w14:paraId="6682D0F3"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3DA1A" w14:textId="77777777" w:rsidR="00110FB0" w:rsidRPr="00E30FAA" w:rsidRDefault="00110FB0"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B302E4" w14:textId="14A01E9B" w:rsidR="00110FB0" w:rsidRPr="00E30FAA" w:rsidRDefault="00110FB0" w:rsidP="00AE0B94">
            <w:pPr>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t xml:space="preserve"> </w:t>
            </w:r>
          </w:p>
        </w:tc>
      </w:tr>
      <w:tr w:rsidR="00110FB0" w:rsidRPr="00E30FAA" w14:paraId="4B5DFE6A"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6D83D" w14:textId="77777777" w:rsidR="00110FB0" w:rsidRPr="00E30FAA" w:rsidRDefault="00110FB0"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F26D76" w14:textId="77777777" w:rsidR="00110FB0" w:rsidRPr="00E30FAA" w:rsidRDefault="00110FB0" w:rsidP="00AE0B94">
            <w:pPr>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110FB0" w:rsidRPr="00E30FAA" w14:paraId="0C20BCC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F60B56" w14:textId="77777777" w:rsidR="00110FB0" w:rsidRPr="00E30FAA" w:rsidRDefault="00110FB0"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1DD27C" w14:textId="77777777" w:rsidR="00110FB0" w:rsidRPr="00E30FAA" w:rsidRDefault="00110FB0" w:rsidP="00AE0B94">
            <w:pPr>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110FB0" w:rsidRPr="00DE6C77" w14:paraId="55DB7A94"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F72769" w14:textId="77777777" w:rsidR="00110FB0" w:rsidRPr="00E30FAA" w:rsidRDefault="00110FB0"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AFD06B" w14:textId="77777777" w:rsidR="00110FB0" w:rsidRPr="00DE6C77" w:rsidRDefault="00110FB0" w:rsidP="00AE0B94">
            <w:pPr>
              <w:spacing w:after="0" w:line="240" w:lineRule="auto"/>
              <w:jc w:val="both"/>
              <w:rPr>
                <w:rFonts w:ascii="Arial Narrow" w:eastAsia="Times New Roman" w:hAnsi="Arial Narrow" w:cs="Open Sans"/>
                <w:sz w:val="20"/>
                <w:szCs w:val="20"/>
              </w:rPr>
            </w:pPr>
            <w:r w:rsidRPr="00DE6C77">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110FB0" w:rsidRPr="00DE6C77" w14:paraId="63638E72"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FA5435"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7D6A4B" w14:textId="77777777" w:rsidR="00110FB0" w:rsidRPr="00DE6C77" w:rsidRDefault="00110FB0"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110FB0" w:rsidRPr="00DE6C77" w14:paraId="7785EC4F"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5C8506"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840AC" w14:textId="77777777" w:rsidR="00110FB0" w:rsidRPr="00DE6C77" w:rsidRDefault="00110FB0"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110FB0" w:rsidRPr="00DE6C77" w14:paraId="1B2C556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C78D21"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7E23B2" w14:textId="77777777" w:rsidR="00110FB0" w:rsidRPr="00DE6C77" w:rsidRDefault="00110FB0"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treatment must not be for the initiation of anti-hypertensive therapy</w:t>
            </w:r>
          </w:p>
        </w:tc>
      </w:tr>
      <w:tr w:rsidR="00110FB0" w:rsidRPr="00DE6C77" w14:paraId="240EFB9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D5466F"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FBC706" w14:textId="77777777" w:rsidR="00110FB0" w:rsidRPr="00DE6C77" w:rsidRDefault="00110FB0"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110FB0" w:rsidRPr="00DE6C77" w14:paraId="74CAD100"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D66B20"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8AF52" w14:textId="77777777" w:rsidR="00110FB0" w:rsidRPr="00DE6C77" w:rsidRDefault="00110FB0"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110FB0" w:rsidRPr="00DE6C77" w14:paraId="18779BDD"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C0E2A4"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C367F3" w14:textId="77777777" w:rsidR="00110FB0" w:rsidRPr="00DE6C77" w:rsidRDefault="00110FB0"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 xml:space="preserve">The condition must be inadequately controlled with an </w:t>
            </w:r>
            <w:r>
              <w:rPr>
                <w:rFonts w:ascii="Arial Narrow" w:eastAsia="Times New Roman" w:hAnsi="Arial Narrow" w:cs="Open Sans"/>
                <w:strike/>
                <w:sz w:val="20"/>
                <w:szCs w:val="20"/>
              </w:rPr>
              <w:t>ACE inhibitor</w:t>
            </w:r>
          </w:p>
        </w:tc>
      </w:tr>
      <w:tr w:rsidR="00110FB0" w:rsidRPr="00DE6C77" w14:paraId="3F709313"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A324CF"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C7E387" w14:textId="77777777" w:rsidR="00110FB0" w:rsidRPr="00DE6C77" w:rsidRDefault="00110FB0"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OR</w:t>
            </w:r>
          </w:p>
        </w:tc>
      </w:tr>
      <w:tr w:rsidR="00110FB0" w:rsidRPr="00DE6C77" w14:paraId="0ED30460"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C7226E" w14:textId="77777777" w:rsidR="00110FB0" w:rsidRPr="00E30FAA" w:rsidRDefault="00110FB0"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80D0B1" w14:textId="77777777" w:rsidR="00110FB0" w:rsidRPr="00DE6C77" w:rsidRDefault="00110FB0" w:rsidP="00AE0B94">
            <w:pPr>
              <w:spacing w:after="0" w:line="240" w:lineRule="auto"/>
              <w:jc w:val="both"/>
              <w:rPr>
                <w:rFonts w:ascii="Arial Narrow" w:eastAsia="Times New Roman" w:hAnsi="Arial Narrow" w:cs="Open Sans"/>
                <w:strike/>
                <w:sz w:val="20"/>
                <w:szCs w:val="20"/>
              </w:rPr>
            </w:pPr>
            <w:r w:rsidRPr="00D25D0B">
              <w:rPr>
                <w:rFonts w:ascii="Arial Narrow" w:eastAsia="Times New Roman" w:hAnsi="Arial Narrow" w:cs="Open Sans"/>
                <w:strike/>
                <w:sz w:val="20"/>
                <w:szCs w:val="20"/>
              </w:rPr>
              <w:t xml:space="preserve">The condition must be inadequately controlled with a </w:t>
            </w:r>
            <w:r w:rsidRPr="00DF775F">
              <w:rPr>
                <w:rFonts w:ascii="Arial Narrow" w:eastAsia="Times New Roman" w:hAnsi="Arial Narrow" w:cs="Open Sans"/>
                <w:strike/>
                <w:sz w:val="20"/>
                <w:szCs w:val="20"/>
              </w:rPr>
              <w:t>dihydropyridine calcium channel blocker.</w:t>
            </w:r>
          </w:p>
        </w:tc>
      </w:tr>
    </w:tbl>
    <w:p w14:paraId="098FBF28" w14:textId="77777777" w:rsidR="00110FB0" w:rsidRDefault="00110FB0" w:rsidP="008071AE">
      <w:pPr>
        <w:pStyle w:val="3Bodytext"/>
        <w:tabs>
          <w:tab w:val="clear" w:pos="360"/>
        </w:tabs>
        <w:ind w:left="0"/>
        <w:rPr>
          <w:b/>
          <w:bCs w:val="0"/>
        </w:rPr>
      </w:pPr>
    </w:p>
    <w:p w14:paraId="27A8E49A" w14:textId="7BFA57D5" w:rsidR="00E51984" w:rsidRDefault="00E51984" w:rsidP="008071AE">
      <w:pPr>
        <w:pStyle w:val="3Bodytext"/>
        <w:tabs>
          <w:tab w:val="clear" w:pos="360"/>
        </w:tabs>
        <w:ind w:left="0"/>
        <w:rPr>
          <w:b/>
          <w:bCs w:val="0"/>
        </w:rPr>
      </w:pPr>
      <w:r>
        <w:rPr>
          <w:b/>
          <w:bCs w:val="0"/>
        </w:rPr>
        <w:t xml:space="preserve">E. ACE </w:t>
      </w:r>
      <w:r w:rsidR="3354B61D" w:rsidRPr="45563E5B">
        <w:rPr>
          <w:b/>
        </w:rPr>
        <w:t>and</w:t>
      </w:r>
      <w:r>
        <w:rPr>
          <w:b/>
          <w:bCs w:val="0"/>
        </w:rPr>
        <w:t xml:space="preserve"> </w:t>
      </w:r>
      <w:r w:rsidR="00A9231B">
        <w:rPr>
          <w:b/>
          <w:bCs w:val="0"/>
        </w:rPr>
        <w:t>indapamide</w:t>
      </w:r>
      <w:r w:rsidR="093A5F39" w:rsidRPr="45563E5B">
        <w:rPr>
          <w:b/>
        </w:rPr>
        <w:t xml:space="preserve"> PBS </w:t>
      </w:r>
      <w:r w:rsidR="04703D98" w:rsidRPr="45563E5B">
        <w:rPr>
          <w:b/>
        </w:rPr>
        <w:t>i</w:t>
      </w:r>
      <w:r w:rsidR="093A5F39" w:rsidRPr="45563E5B">
        <w:rPr>
          <w:b/>
        </w:rPr>
        <w:t>tem codes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945"/>
        <w:gridCol w:w="885"/>
        <w:gridCol w:w="709"/>
        <w:gridCol w:w="657"/>
      </w:tblGrid>
      <w:tr w:rsidR="001D3E65" w:rsidRPr="00DE6C77" w14:paraId="76D21B57" w14:textId="77777777" w:rsidTr="09E07EA4">
        <w:trPr>
          <w:trHeight w:val="290"/>
        </w:trPr>
        <w:tc>
          <w:tcPr>
            <w:tcW w:w="582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3A0B6A6" w14:textId="558C4404" w:rsidR="001D3E65" w:rsidRPr="00C17C21" w:rsidRDefault="001D3E65" w:rsidP="00AE0B94">
            <w:pPr>
              <w:spacing w:after="0" w:line="240" w:lineRule="auto"/>
              <w:rPr>
                <w:rFonts w:ascii="Arial Narrow" w:eastAsia="Times New Roman" w:hAnsi="Arial Narrow" w:cs="Times New Roman"/>
                <w:b/>
                <w:bCs/>
                <w:color w:val="000000"/>
                <w:sz w:val="20"/>
                <w:szCs w:val="20"/>
                <w:lang w:eastAsia="en-AU"/>
              </w:rPr>
            </w:pPr>
            <w:r w:rsidRPr="45563E5B">
              <w:rPr>
                <w:rFonts w:ascii="Arial Narrow" w:eastAsia="Times New Roman" w:hAnsi="Arial Narrow" w:cs="Times New Roman"/>
                <w:b/>
                <w:color w:val="000000" w:themeColor="text1"/>
                <w:sz w:val="20"/>
                <w:szCs w:val="20"/>
                <w:lang w:eastAsia="en-AU"/>
              </w:rPr>
              <w:t xml:space="preserve">Drug, </w:t>
            </w:r>
            <w:r w:rsidR="002F0C48" w:rsidRPr="45563E5B">
              <w:rPr>
                <w:rFonts w:ascii="Arial Narrow" w:eastAsia="Times New Roman" w:hAnsi="Arial Narrow" w:cs="Times New Roman"/>
                <w:b/>
                <w:color w:val="000000" w:themeColor="text1"/>
                <w:sz w:val="20"/>
                <w:szCs w:val="20"/>
                <w:lang w:eastAsia="en-AU"/>
              </w:rPr>
              <w:t>form,</w:t>
            </w:r>
            <w:r w:rsidRPr="45563E5B">
              <w:rPr>
                <w:rFonts w:ascii="Arial Narrow" w:eastAsia="Times New Roman" w:hAnsi="Arial Narrow" w:cs="Times New Roman"/>
                <w:b/>
                <w:color w:val="000000" w:themeColor="text1"/>
                <w:sz w:val="20"/>
                <w:szCs w:val="20"/>
                <w:lang w:eastAsia="en-AU"/>
              </w:rPr>
              <w:t xml:space="preserve"> and strength</w:t>
            </w:r>
          </w:p>
        </w:tc>
        <w:tc>
          <w:tcPr>
            <w:tcW w:w="94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78BAA23" w14:textId="77777777" w:rsidR="001D3E65" w:rsidRPr="00C17C21" w:rsidRDefault="001D3E65" w:rsidP="00AE0B94">
            <w:pPr>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Item</w:t>
            </w:r>
          </w:p>
        </w:tc>
        <w:tc>
          <w:tcPr>
            <w:tcW w:w="88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540AE485" w14:textId="77777777" w:rsidR="001D3E65" w:rsidRPr="00C17C21" w:rsidRDefault="001D3E65" w:rsidP="00AE0B94">
            <w:pPr>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Max quant</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0ED9A0F" w14:textId="77777777" w:rsidR="001D3E65" w:rsidRPr="00C17C21" w:rsidRDefault="001D3E65" w:rsidP="00AE0B94">
            <w:pPr>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Rpts</w:t>
            </w:r>
          </w:p>
        </w:tc>
        <w:tc>
          <w:tcPr>
            <w:tcW w:w="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63BFFD2" w14:textId="77777777" w:rsidR="001D3E65" w:rsidRPr="00C17C21" w:rsidRDefault="001D3E65" w:rsidP="00AE0B94">
            <w:pPr>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Pack size</w:t>
            </w:r>
          </w:p>
        </w:tc>
      </w:tr>
      <w:tr w:rsidR="001D3E65" w:rsidRPr="00F7796C" w14:paraId="26B7D87A" w14:textId="77777777" w:rsidTr="09E07EA4">
        <w:trPr>
          <w:trHeight w:val="290"/>
        </w:trPr>
        <w:tc>
          <w:tcPr>
            <w:tcW w:w="5820" w:type="dxa"/>
            <w:noWrap/>
            <w:vAlign w:val="bottom"/>
            <w:hideMark/>
          </w:tcPr>
          <w:p w14:paraId="10A4D154" w14:textId="77777777" w:rsidR="001D3E65" w:rsidRPr="00F7796C" w:rsidRDefault="001D3E65"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perindopril arginine 5 mg + indapamide hemihydrate 1.25 mg tablet, 30</w:t>
            </w:r>
          </w:p>
        </w:tc>
        <w:tc>
          <w:tcPr>
            <w:tcW w:w="945" w:type="dxa"/>
            <w:noWrap/>
            <w:vAlign w:val="bottom"/>
            <w:hideMark/>
          </w:tcPr>
          <w:p w14:paraId="1DFF430F"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45563E5B">
              <w:rPr>
                <w:rFonts w:ascii="Arial Narrow" w:eastAsia="Times New Roman" w:hAnsi="Arial Narrow" w:cs="Times New Roman"/>
                <w:color w:val="000000" w:themeColor="text1"/>
                <w:sz w:val="20"/>
                <w:szCs w:val="20"/>
                <w:lang w:eastAsia="en-AU"/>
              </w:rPr>
              <w:t>13506W</w:t>
            </w:r>
          </w:p>
        </w:tc>
        <w:tc>
          <w:tcPr>
            <w:tcW w:w="885" w:type="dxa"/>
            <w:noWrap/>
            <w:vAlign w:val="bottom"/>
            <w:hideMark/>
          </w:tcPr>
          <w:p w14:paraId="64BC4B1F"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269AD8B4"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1D782F35"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r w:rsidR="001D3E65" w:rsidRPr="00F7796C" w14:paraId="523D4D27" w14:textId="77777777" w:rsidTr="09E07EA4">
        <w:trPr>
          <w:trHeight w:val="290"/>
        </w:trPr>
        <w:tc>
          <w:tcPr>
            <w:tcW w:w="5820" w:type="dxa"/>
            <w:noWrap/>
            <w:vAlign w:val="bottom"/>
            <w:hideMark/>
          </w:tcPr>
          <w:p w14:paraId="75F87A16" w14:textId="77777777" w:rsidR="001D3E65" w:rsidRPr="00F7796C" w:rsidRDefault="001D3E65" w:rsidP="00AE0B94">
            <w:pPr>
              <w:spacing w:after="0" w:line="240" w:lineRule="auto"/>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perindopril erbumine 4 mg + indapamide hemihydrate 1.25 mg tablet, 30</w:t>
            </w:r>
          </w:p>
        </w:tc>
        <w:tc>
          <w:tcPr>
            <w:tcW w:w="945" w:type="dxa"/>
            <w:noWrap/>
            <w:vAlign w:val="bottom"/>
            <w:hideMark/>
          </w:tcPr>
          <w:p w14:paraId="58709FEB"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13476G</w:t>
            </w:r>
          </w:p>
        </w:tc>
        <w:tc>
          <w:tcPr>
            <w:tcW w:w="885" w:type="dxa"/>
            <w:noWrap/>
            <w:vAlign w:val="bottom"/>
            <w:hideMark/>
          </w:tcPr>
          <w:p w14:paraId="73B3D302"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60</w:t>
            </w:r>
          </w:p>
        </w:tc>
        <w:tc>
          <w:tcPr>
            <w:tcW w:w="709" w:type="dxa"/>
            <w:noWrap/>
            <w:vAlign w:val="bottom"/>
            <w:hideMark/>
          </w:tcPr>
          <w:p w14:paraId="54B2EF5B"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5</w:t>
            </w:r>
          </w:p>
        </w:tc>
        <w:tc>
          <w:tcPr>
            <w:tcW w:w="657" w:type="dxa"/>
            <w:noWrap/>
            <w:vAlign w:val="bottom"/>
            <w:hideMark/>
          </w:tcPr>
          <w:p w14:paraId="6F956B2B" w14:textId="77777777" w:rsidR="001D3E65" w:rsidRPr="00F7796C" w:rsidRDefault="001D3E65" w:rsidP="00AE0B94">
            <w:pPr>
              <w:spacing w:after="0" w:line="240" w:lineRule="auto"/>
              <w:jc w:val="center"/>
              <w:rPr>
                <w:rFonts w:ascii="Arial Narrow" w:eastAsia="Times New Roman" w:hAnsi="Arial Narrow" w:cs="Times New Roman"/>
                <w:color w:val="000000"/>
                <w:sz w:val="20"/>
                <w:szCs w:val="20"/>
                <w:lang w:eastAsia="en-AU"/>
              </w:rPr>
            </w:pPr>
            <w:r w:rsidRPr="00F7796C">
              <w:rPr>
                <w:rFonts w:ascii="Arial Narrow" w:eastAsia="Times New Roman" w:hAnsi="Arial Narrow" w:cs="Times New Roman"/>
                <w:color w:val="000000"/>
                <w:sz w:val="20"/>
                <w:szCs w:val="20"/>
                <w:lang w:eastAsia="en-AU"/>
              </w:rPr>
              <w:t>30</w:t>
            </w:r>
          </w:p>
        </w:tc>
      </w:tr>
    </w:tbl>
    <w:p w14:paraId="0C53BDB0" w14:textId="77777777" w:rsidR="001D3E65" w:rsidRDefault="001D3E65" w:rsidP="008071AE">
      <w:pPr>
        <w:pStyle w:val="3Bodytext"/>
        <w:tabs>
          <w:tab w:val="clear" w:pos="360"/>
        </w:tabs>
        <w:ind w:left="0"/>
        <w:rPr>
          <w:b/>
          <w:bCs w:val="0"/>
        </w:rPr>
      </w:pPr>
    </w:p>
    <w:p w14:paraId="096060BC" w14:textId="77777777" w:rsidR="00E54D63" w:rsidRPr="00AA42BB" w:rsidRDefault="00E54D63" w:rsidP="009956B3">
      <w:pPr>
        <w:keepNext/>
        <w:keepLines/>
        <w:spacing w:after="40"/>
        <w:rPr>
          <w:rFonts w:ascii="Arial Narrow" w:hAnsi="Arial Narrow"/>
          <w:b/>
          <w:sz w:val="20"/>
          <w:szCs w:val="20"/>
          <w:lang w:val="en-GB"/>
        </w:rPr>
      </w:pPr>
      <w:r w:rsidRPr="00AA42BB">
        <w:rPr>
          <w:rFonts w:ascii="Arial Narrow" w:hAnsi="Arial Narrow"/>
          <w:b/>
          <w:sz w:val="20"/>
          <w:szCs w:val="20"/>
          <w:lang w:val="en-GB"/>
        </w:rPr>
        <w:lastRenderedPageBreak/>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E54D63" w:rsidRPr="00E30FAA" w14:paraId="6BBF3F70"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0DF29F" w14:textId="77777777" w:rsidR="00E54D63" w:rsidRPr="00E30FAA" w:rsidRDefault="00E54D63" w:rsidP="009956B3">
            <w:pPr>
              <w:keepNext/>
              <w:keepLines/>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72219979" w14:textId="77777777" w:rsidR="00E54D63" w:rsidRPr="00E30FAA" w:rsidRDefault="00E54D63" w:rsidP="009956B3">
            <w:pPr>
              <w:keepNext/>
              <w:keepLines/>
              <w:spacing w:after="0" w:line="240" w:lineRule="auto"/>
              <w:jc w:val="both"/>
              <w:rPr>
                <w:rFonts w:ascii="Arial Narrow" w:eastAsia="Times New Roman" w:hAnsi="Arial Narrow" w:cs="Arial"/>
                <w:i/>
                <w:sz w:val="20"/>
                <w:szCs w:val="20"/>
                <w:lang w:eastAsia="en-AU"/>
              </w:rPr>
            </w:pPr>
          </w:p>
          <w:p w14:paraId="0E099D63" w14:textId="77777777" w:rsidR="00E54D63" w:rsidRPr="00E30FAA" w:rsidRDefault="00E54D63" w:rsidP="009956B3">
            <w:pPr>
              <w:keepNext/>
              <w:keepLines/>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21E79E22" w14:textId="77777777" w:rsidR="00E54D63" w:rsidRPr="00E30FAA" w:rsidRDefault="00E54D63" w:rsidP="009956B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AA368C" w14:textId="185FFF61" w:rsidR="00E54D63" w:rsidRPr="00E30FAA" w:rsidRDefault="00E54D63" w:rsidP="009956B3">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15FB7B8B" w14:textId="77777777" w:rsidR="00E54D63" w:rsidRPr="00E30FAA" w:rsidRDefault="00E54D63" w:rsidP="009956B3">
            <w:pPr>
              <w:keepNext/>
              <w:keepLines/>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E54D63" w:rsidRPr="00E30FAA" w14:paraId="43C91D3F"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19184" w14:textId="77777777" w:rsidR="00E54D63" w:rsidRPr="00E30FAA" w:rsidRDefault="00E54D63" w:rsidP="009956B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684919" w14:textId="64F8C47F" w:rsidR="00E54D63" w:rsidRPr="00E30FAA" w:rsidRDefault="00E54D63" w:rsidP="009956B3">
            <w:pPr>
              <w:keepNext/>
              <w:keepLines/>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t xml:space="preserve"> </w:t>
            </w:r>
          </w:p>
        </w:tc>
      </w:tr>
      <w:tr w:rsidR="00E54D63" w:rsidRPr="00E30FAA" w14:paraId="64505F62"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D993" w14:textId="77777777" w:rsidR="00E54D63" w:rsidRPr="00E30FAA" w:rsidRDefault="00E54D63" w:rsidP="009956B3">
            <w:pPr>
              <w:keepNext/>
              <w:keepLines/>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6E8E28" w14:textId="77777777" w:rsidR="00E54D63" w:rsidRPr="00E30FAA" w:rsidRDefault="00E54D63" w:rsidP="009956B3">
            <w:pPr>
              <w:keepNext/>
              <w:keepLines/>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E54D63" w:rsidRPr="00E30FAA" w14:paraId="7AA7F2F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681E0C" w14:textId="77777777" w:rsidR="00E54D63" w:rsidRPr="00E30FAA" w:rsidRDefault="00E54D63" w:rsidP="009956B3">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559E56" w14:textId="77777777" w:rsidR="00E54D63" w:rsidRPr="00E30FAA" w:rsidRDefault="00E54D63" w:rsidP="009956B3">
            <w:pPr>
              <w:keepNext/>
              <w:keepLines/>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E54D63" w:rsidRPr="00DE6C77" w14:paraId="37CC30D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214155" w14:textId="77777777" w:rsidR="00E54D63" w:rsidRPr="00E30FAA" w:rsidRDefault="00E54D63" w:rsidP="009956B3">
            <w:pPr>
              <w:keepNext/>
              <w:keepLines/>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D40B8E" w14:textId="77777777" w:rsidR="00E54D63" w:rsidRPr="00DE6C77" w:rsidRDefault="00E54D63" w:rsidP="009956B3">
            <w:pPr>
              <w:keepNext/>
              <w:keepLines/>
              <w:spacing w:after="0" w:line="240" w:lineRule="auto"/>
              <w:jc w:val="both"/>
              <w:rPr>
                <w:rFonts w:ascii="Arial Narrow" w:eastAsia="Times New Roman" w:hAnsi="Arial Narrow" w:cs="Open Sans"/>
                <w:sz w:val="20"/>
                <w:szCs w:val="20"/>
              </w:rPr>
            </w:pPr>
            <w:r w:rsidRPr="00DE6C77">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E54D63" w:rsidRPr="00DE6C77" w14:paraId="0E9EA223"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7A4AF3"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9A1184" w14:textId="77777777" w:rsidR="00E54D63" w:rsidRPr="00DE6C77" w:rsidRDefault="00E54D63" w:rsidP="009956B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E54D63" w:rsidRPr="00DE6C77" w14:paraId="7A3560F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BEE07F"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B74DEE" w14:textId="77777777" w:rsidR="00E54D63" w:rsidRPr="00DE6C77" w:rsidRDefault="00E54D63" w:rsidP="009956B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E54D63" w:rsidRPr="00DE6C77" w14:paraId="06E5698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D63587"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D06CA8" w14:textId="77777777" w:rsidR="00E54D63" w:rsidRPr="00DE6C77" w:rsidRDefault="00E54D63" w:rsidP="009956B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treatment must not be for the initiation of anti-hypertensive therapy</w:t>
            </w:r>
          </w:p>
        </w:tc>
      </w:tr>
      <w:tr w:rsidR="00E54D63" w:rsidRPr="00DE6C77" w14:paraId="3ACAD479"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0E7407"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86006C" w14:textId="77777777" w:rsidR="00E54D63" w:rsidRPr="00DE6C77" w:rsidRDefault="00E54D63" w:rsidP="009956B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E54D63" w:rsidRPr="00DE6C77" w14:paraId="6EA052A0"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460A5D"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08548C" w14:textId="77777777" w:rsidR="00E54D63" w:rsidRPr="00DE6C77" w:rsidRDefault="00E54D63" w:rsidP="009956B3">
            <w:pPr>
              <w:keepNext/>
              <w:keepLines/>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E54D63" w:rsidRPr="00DE6C77" w14:paraId="39014E8B"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8EC72D"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7BD759" w14:textId="77777777" w:rsidR="00E54D63" w:rsidRPr="00DE6C77" w:rsidRDefault="00E54D63" w:rsidP="009956B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 xml:space="preserve">The condition must be inadequately controlled with an </w:t>
            </w:r>
            <w:r>
              <w:rPr>
                <w:rFonts w:ascii="Arial Narrow" w:eastAsia="Times New Roman" w:hAnsi="Arial Narrow" w:cs="Open Sans"/>
                <w:strike/>
                <w:sz w:val="20"/>
                <w:szCs w:val="20"/>
              </w:rPr>
              <w:t>ACE inhibitor</w:t>
            </w:r>
          </w:p>
        </w:tc>
      </w:tr>
      <w:tr w:rsidR="00E54D63" w:rsidRPr="00DE6C77" w14:paraId="0F9C2C97"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2F02D7"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8CAB80" w14:textId="77777777" w:rsidR="00E54D63" w:rsidRPr="00DE6C77" w:rsidRDefault="00E54D63" w:rsidP="009956B3">
            <w:pPr>
              <w:keepNext/>
              <w:keepLines/>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OR</w:t>
            </w:r>
          </w:p>
        </w:tc>
      </w:tr>
      <w:tr w:rsidR="00E54D63" w:rsidRPr="00DE6C77" w14:paraId="48F9E314"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675439" w14:textId="77777777" w:rsidR="00E54D63" w:rsidRPr="00E30FAA" w:rsidRDefault="00E54D63" w:rsidP="009956B3">
            <w:pPr>
              <w:keepNext/>
              <w:keepLines/>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1717D4" w14:textId="77777777" w:rsidR="00E54D63" w:rsidRPr="00DE6C77" w:rsidRDefault="00E54D63" w:rsidP="009956B3">
            <w:pPr>
              <w:keepNext/>
              <w:keepLines/>
              <w:spacing w:after="0" w:line="240" w:lineRule="auto"/>
              <w:jc w:val="both"/>
              <w:rPr>
                <w:rFonts w:ascii="Arial Narrow" w:eastAsia="Times New Roman" w:hAnsi="Arial Narrow" w:cs="Open Sans"/>
                <w:strike/>
                <w:sz w:val="20"/>
                <w:szCs w:val="20"/>
              </w:rPr>
            </w:pPr>
            <w:r w:rsidRPr="00D25D0B">
              <w:rPr>
                <w:rFonts w:ascii="Arial Narrow" w:eastAsia="Times New Roman" w:hAnsi="Arial Narrow" w:cs="Open Sans"/>
                <w:strike/>
                <w:sz w:val="20"/>
                <w:szCs w:val="20"/>
              </w:rPr>
              <w:t xml:space="preserve">The condition must be inadequately controlled with a </w:t>
            </w:r>
            <w:r w:rsidRPr="008C4E30">
              <w:rPr>
                <w:rFonts w:ascii="Arial Narrow" w:eastAsia="Times New Roman" w:hAnsi="Arial Narrow" w:cs="Open Sans"/>
                <w:strike/>
                <w:sz w:val="20"/>
                <w:szCs w:val="20"/>
              </w:rPr>
              <w:t>thiazide-like diuretic.</w:t>
            </w:r>
          </w:p>
        </w:tc>
      </w:tr>
    </w:tbl>
    <w:p w14:paraId="642D7C7F" w14:textId="77777777" w:rsidR="00E54D63" w:rsidRDefault="00E54D63" w:rsidP="008071AE">
      <w:pPr>
        <w:pStyle w:val="3Bodytext"/>
        <w:tabs>
          <w:tab w:val="clear" w:pos="360"/>
        </w:tabs>
        <w:ind w:left="0"/>
        <w:rPr>
          <w:b/>
          <w:bCs w:val="0"/>
        </w:rPr>
      </w:pPr>
    </w:p>
    <w:p w14:paraId="7062046E" w14:textId="341BBF2E" w:rsidR="00B579B1" w:rsidRDefault="00B579B1" w:rsidP="00B579B1">
      <w:pPr>
        <w:pStyle w:val="3Bodytext"/>
        <w:keepNext/>
        <w:keepLines/>
        <w:tabs>
          <w:tab w:val="clear" w:pos="360"/>
        </w:tabs>
        <w:ind w:left="0"/>
        <w:rPr>
          <w:b/>
          <w:bCs w:val="0"/>
        </w:rPr>
      </w:pPr>
      <w:r>
        <w:rPr>
          <w:b/>
          <w:bCs w:val="0"/>
        </w:rPr>
        <w:t xml:space="preserve">F. ACE </w:t>
      </w:r>
      <w:r w:rsidR="47499559" w:rsidRPr="45563E5B">
        <w:rPr>
          <w:b/>
        </w:rPr>
        <w:t>and</w:t>
      </w:r>
      <w:r>
        <w:rPr>
          <w:b/>
          <w:bCs w:val="0"/>
        </w:rPr>
        <w:t xml:space="preserve"> verapamil</w:t>
      </w:r>
      <w:r w:rsidR="06F50194" w:rsidRPr="45563E5B">
        <w:rPr>
          <w:b/>
        </w:rPr>
        <w:t xml:space="preserve"> PBS </w:t>
      </w:r>
      <w:r w:rsidR="182AB7E1" w:rsidRPr="45563E5B">
        <w:rPr>
          <w:b/>
        </w:rPr>
        <w:t>i</w:t>
      </w:r>
      <w:r w:rsidR="06F50194" w:rsidRPr="45563E5B">
        <w:rPr>
          <w:b/>
        </w:rPr>
        <w:t>tem codes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885"/>
        <w:gridCol w:w="750"/>
        <w:gridCol w:w="709"/>
        <w:gridCol w:w="657"/>
      </w:tblGrid>
      <w:tr w:rsidR="00B579B1" w:rsidRPr="00DE6C77" w14:paraId="039A964A" w14:textId="77777777" w:rsidTr="09E07EA4">
        <w:trPr>
          <w:trHeight w:val="290"/>
        </w:trPr>
        <w:tc>
          <w:tcPr>
            <w:tcW w:w="601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956B61D" w14:textId="096153BC" w:rsidR="00B579B1" w:rsidRPr="00C17C21" w:rsidRDefault="00B579B1" w:rsidP="00B579B1">
            <w:pPr>
              <w:keepNext/>
              <w:keepLines/>
              <w:spacing w:after="0" w:line="240" w:lineRule="auto"/>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 xml:space="preserve">Drug, </w:t>
            </w:r>
            <w:r w:rsidR="002F0C48" w:rsidRPr="00C17C21">
              <w:rPr>
                <w:rFonts w:ascii="Arial Narrow" w:eastAsia="Times New Roman" w:hAnsi="Arial Narrow" w:cs="Times New Roman"/>
                <w:b/>
                <w:bCs/>
                <w:color w:val="000000"/>
                <w:sz w:val="20"/>
                <w:szCs w:val="20"/>
                <w:lang w:eastAsia="en-AU"/>
              </w:rPr>
              <w:t>form,</w:t>
            </w:r>
            <w:r w:rsidRPr="00C17C21">
              <w:rPr>
                <w:rFonts w:ascii="Arial Narrow" w:eastAsia="Times New Roman" w:hAnsi="Arial Narrow" w:cs="Times New Roman"/>
                <w:b/>
                <w:bCs/>
                <w:color w:val="000000"/>
                <w:sz w:val="20"/>
                <w:szCs w:val="20"/>
                <w:lang w:eastAsia="en-AU"/>
              </w:rPr>
              <w:t xml:space="preserve"> and strength</w:t>
            </w:r>
          </w:p>
        </w:tc>
        <w:tc>
          <w:tcPr>
            <w:tcW w:w="88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E956522" w14:textId="77777777" w:rsidR="00B579B1" w:rsidRPr="00C17C21" w:rsidRDefault="00B579B1" w:rsidP="00B579B1">
            <w:pPr>
              <w:keepNext/>
              <w:keepLines/>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Item</w:t>
            </w:r>
          </w:p>
        </w:tc>
        <w:tc>
          <w:tcPr>
            <w:tcW w:w="75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45580BA" w14:textId="77777777" w:rsidR="00B579B1" w:rsidRPr="00C17C21" w:rsidRDefault="00B579B1" w:rsidP="00B579B1">
            <w:pPr>
              <w:keepNext/>
              <w:keepLines/>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Max quant</w:t>
            </w:r>
          </w:p>
        </w:tc>
        <w:tc>
          <w:tcPr>
            <w:tcW w:w="70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F381BF7" w14:textId="77777777" w:rsidR="00B579B1" w:rsidRPr="00C17C21" w:rsidRDefault="00B579B1" w:rsidP="00B579B1">
            <w:pPr>
              <w:keepNext/>
              <w:keepLines/>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Rpts</w:t>
            </w:r>
          </w:p>
        </w:tc>
        <w:tc>
          <w:tcPr>
            <w:tcW w:w="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69595A5" w14:textId="77777777" w:rsidR="00B579B1" w:rsidRPr="00C17C21" w:rsidRDefault="00B579B1" w:rsidP="00B579B1">
            <w:pPr>
              <w:keepNext/>
              <w:keepLines/>
              <w:spacing w:after="0" w:line="240" w:lineRule="auto"/>
              <w:jc w:val="center"/>
              <w:rPr>
                <w:rFonts w:ascii="Arial Narrow" w:eastAsia="Times New Roman" w:hAnsi="Arial Narrow" w:cs="Times New Roman"/>
                <w:b/>
                <w:bCs/>
                <w:color w:val="000000"/>
                <w:sz w:val="20"/>
                <w:szCs w:val="20"/>
                <w:lang w:eastAsia="en-AU"/>
              </w:rPr>
            </w:pPr>
            <w:r w:rsidRPr="00C17C21">
              <w:rPr>
                <w:rFonts w:ascii="Arial Narrow" w:eastAsia="Times New Roman" w:hAnsi="Arial Narrow" w:cs="Times New Roman"/>
                <w:b/>
                <w:bCs/>
                <w:color w:val="000000"/>
                <w:sz w:val="20"/>
                <w:szCs w:val="20"/>
                <w:lang w:eastAsia="en-AU"/>
              </w:rPr>
              <w:t>Pack size</w:t>
            </w:r>
          </w:p>
        </w:tc>
      </w:tr>
      <w:tr w:rsidR="00B579B1" w:rsidRPr="00F7796C" w14:paraId="56BBB0E9" w14:textId="77777777" w:rsidTr="09E07EA4">
        <w:trPr>
          <w:trHeight w:val="290"/>
        </w:trPr>
        <w:tc>
          <w:tcPr>
            <w:tcW w:w="6015" w:type="dxa"/>
            <w:noWrap/>
            <w:vAlign w:val="bottom"/>
            <w:hideMark/>
          </w:tcPr>
          <w:p w14:paraId="5C8442F6" w14:textId="77777777" w:rsidR="00B579B1" w:rsidRPr="00F7796C" w:rsidRDefault="00B579B1" w:rsidP="00B579B1">
            <w:pPr>
              <w:keepNext/>
              <w:keepLines/>
              <w:spacing w:after="0" w:line="240" w:lineRule="auto"/>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trandolapril 2 mg + verapamil hydrochloride 180 mg modified release tablet, 28</w:t>
            </w:r>
            <w:r>
              <w:rPr>
                <w:rStyle w:val="eop"/>
                <w:rFonts w:ascii="Arial Narrow" w:hAnsi="Arial Narrow" w:cs="Segoe UI"/>
                <w:color w:val="000000"/>
                <w:sz w:val="20"/>
                <w:szCs w:val="20"/>
              </w:rPr>
              <w:t> </w:t>
            </w:r>
          </w:p>
        </w:tc>
        <w:tc>
          <w:tcPr>
            <w:tcW w:w="885" w:type="dxa"/>
            <w:noWrap/>
            <w:vAlign w:val="bottom"/>
            <w:hideMark/>
          </w:tcPr>
          <w:p w14:paraId="5909CC67" w14:textId="34A139AD" w:rsidR="00B579B1" w:rsidRPr="00F7796C" w:rsidRDefault="00B579B1" w:rsidP="00B579B1">
            <w:pPr>
              <w:keepNext/>
              <w:keepLines/>
              <w:spacing w:after="0" w:line="240" w:lineRule="auto"/>
              <w:jc w:val="center"/>
              <w:rPr>
                <w:rStyle w:val="eop"/>
                <w:rFonts w:ascii="Arial Narrow" w:hAnsi="Arial Narrow" w:cs="Segoe UI"/>
                <w:color w:val="000000"/>
                <w:sz w:val="20"/>
                <w:szCs w:val="20"/>
                <w:lang w:eastAsia="en-AU"/>
              </w:rPr>
            </w:pPr>
            <w:r w:rsidRPr="45563E5B">
              <w:rPr>
                <w:rStyle w:val="normaltextrun"/>
                <w:rFonts w:ascii="Arial Narrow" w:hAnsi="Arial Narrow" w:cs="Segoe UI"/>
                <w:color w:val="000000" w:themeColor="text1"/>
                <w:sz w:val="20"/>
                <w:szCs w:val="20"/>
              </w:rPr>
              <w:t>13594L</w:t>
            </w:r>
          </w:p>
        </w:tc>
        <w:tc>
          <w:tcPr>
            <w:tcW w:w="750" w:type="dxa"/>
            <w:noWrap/>
            <w:vAlign w:val="bottom"/>
            <w:hideMark/>
          </w:tcPr>
          <w:p w14:paraId="67F380FA"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56</w:t>
            </w:r>
            <w:r>
              <w:rPr>
                <w:rStyle w:val="eop"/>
                <w:rFonts w:ascii="Arial Narrow" w:hAnsi="Arial Narrow" w:cs="Segoe UI"/>
                <w:color w:val="000000"/>
                <w:sz w:val="20"/>
                <w:szCs w:val="20"/>
              </w:rPr>
              <w:t> </w:t>
            </w:r>
          </w:p>
        </w:tc>
        <w:tc>
          <w:tcPr>
            <w:tcW w:w="709" w:type="dxa"/>
            <w:noWrap/>
            <w:vAlign w:val="bottom"/>
            <w:hideMark/>
          </w:tcPr>
          <w:p w14:paraId="03A7F6CD"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5</w:t>
            </w:r>
            <w:r>
              <w:rPr>
                <w:rStyle w:val="eop"/>
                <w:rFonts w:ascii="Arial Narrow" w:hAnsi="Arial Narrow" w:cs="Segoe UI"/>
                <w:color w:val="000000"/>
                <w:sz w:val="20"/>
                <w:szCs w:val="20"/>
              </w:rPr>
              <w:t> </w:t>
            </w:r>
          </w:p>
        </w:tc>
        <w:tc>
          <w:tcPr>
            <w:tcW w:w="657" w:type="dxa"/>
            <w:noWrap/>
            <w:vAlign w:val="bottom"/>
            <w:hideMark/>
          </w:tcPr>
          <w:p w14:paraId="5DB3D33D"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28</w:t>
            </w:r>
            <w:r>
              <w:rPr>
                <w:rStyle w:val="eop"/>
                <w:rFonts w:ascii="Arial Narrow" w:hAnsi="Arial Narrow" w:cs="Segoe UI"/>
                <w:color w:val="000000"/>
                <w:sz w:val="20"/>
                <w:szCs w:val="20"/>
              </w:rPr>
              <w:t> </w:t>
            </w:r>
          </w:p>
        </w:tc>
      </w:tr>
      <w:tr w:rsidR="00B579B1" w:rsidRPr="00F7796C" w14:paraId="45197DCE" w14:textId="77777777" w:rsidTr="09E07EA4">
        <w:trPr>
          <w:trHeight w:val="290"/>
        </w:trPr>
        <w:tc>
          <w:tcPr>
            <w:tcW w:w="6015" w:type="dxa"/>
            <w:noWrap/>
            <w:vAlign w:val="bottom"/>
            <w:hideMark/>
          </w:tcPr>
          <w:p w14:paraId="797ECE1B" w14:textId="77777777" w:rsidR="00B579B1" w:rsidRPr="00F7796C" w:rsidRDefault="00B579B1" w:rsidP="00B579B1">
            <w:pPr>
              <w:keepNext/>
              <w:keepLines/>
              <w:spacing w:after="0" w:line="240" w:lineRule="auto"/>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trandolapril 4 mg + verapamil hydrochloride 240 mg modified release tablet, 28</w:t>
            </w:r>
            <w:r>
              <w:rPr>
                <w:rStyle w:val="eop"/>
                <w:rFonts w:ascii="Arial Narrow" w:hAnsi="Arial Narrow" w:cs="Segoe UI"/>
                <w:color w:val="000000"/>
                <w:sz w:val="20"/>
                <w:szCs w:val="20"/>
              </w:rPr>
              <w:t> </w:t>
            </w:r>
          </w:p>
        </w:tc>
        <w:tc>
          <w:tcPr>
            <w:tcW w:w="885" w:type="dxa"/>
            <w:noWrap/>
            <w:vAlign w:val="bottom"/>
            <w:hideMark/>
          </w:tcPr>
          <w:p w14:paraId="10B5DE7E" w14:textId="052FA5DC" w:rsidR="00B579B1" w:rsidRPr="00F7796C" w:rsidRDefault="00B579B1" w:rsidP="00B579B1">
            <w:pPr>
              <w:keepNext/>
              <w:keepLines/>
              <w:spacing w:after="0" w:line="240" w:lineRule="auto"/>
              <w:jc w:val="center"/>
              <w:rPr>
                <w:rStyle w:val="eop"/>
                <w:rFonts w:ascii="Arial Narrow" w:hAnsi="Arial Narrow" w:cs="Segoe UI"/>
                <w:color w:val="000000"/>
                <w:sz w:val="20"/>
                <w:szCs w:val="20"/>
                <w:lang w:eastAsia="en-AU"/>
              </w:rPr>
            </w:pPr>
            <w:r w:rsidRPr="45563E5B">
              <w:rPr>
                <w:rStyle w:val="normaltextrun"/>
                <w:rFonts w:ascii="Arial Narrow" w:hAnsi="Arial Narrow" w:cs="Segoe UI"/>
                <w:color w:val="000000" w:themeColor="text1"/>
                <w:sz w:val="20"/>
                <w:szCs w:val="20"/>
              </w:rPr>
              <w:t>13591H</w:t>
            </w:r>
          </w:p>
        </w:tc>
        <w:tc>
          <w:tcPr>
            <w:tcW w:w="750" w:type="dxa"/>
            <w:noWrap/>
            <w:vAlign w:val="bottom"/>
            <w:hideMark/>
          </w:tcPr>
          <w:p w14:paraId="2C2544D7"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56</w:t>
            </w:r>
            <w:r>
              <w:rPr>
                <w:rStyle w:val="eop"/>
                <w:rFonts w:ascii="Arial Narrow" w:hAnsi="Arial Narrow" w:cs="Segoe UI"/>
                <w:color w:val="000000"/>
                <w:sz w:val="20"/>
                <w:szCs w:val="20"/>
              </w:rPr>
              <w:t> </w:t>
            </w:r>
          </w:p>
        </w:tc>
        <w:tc>
          <w:tcPr>
            <w:tcW w:w="709" w:type="dxa"/>
            <w:noWrap/>
            <w:vAlign w:val="bottom"/>
            <w:hideMark/>
          </w:tcPr>
          <w:p w14:paraId="2CCEC75F"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5</w:t>
            </w:r>
            <w:r>
              <w:rPr>
                <w:rStyle w:val="eop"/>
                <w:rFonts w:ascii="Arial Narrow" w:hAnsi="Arial Narrow" w:cs="Segoe UI"/>
                <w:color w:val="000000"/>
                <w:sz w:val="20"/>
                <w:szCs w:val="20"/>
              </w:rPr>
              <w:t> </w:t>
            </w:r>
          </w:p>
        </w:tc>
        <w:tc>
          <w:tcPr>
            <w:tcW w:w="657" w:type="dxa"/>
            <w:noWrap/>
            <w:vAlign w:val="bottom"/>
            <w:hideMark/>
          </w:tcPr>
          <w:p w14:paraId="13C34422" w14:textId="77777777" w:rsidR="00B579B1" w:rsidRPr="00F7796C" w:rsidRDefault="00B579B1" w:rsidP="00B579B1">
            <w:pPr>
              <w:keepNext/>
              <w:keepLines/>
              <w:spacing w:after="0" w:line="240" w:lineRule="auto"/>
              <w:jc w:val="center"/>
              <w:rPr>
                <w:rFonts w:ascii="Arial Narrow" w:eastAsia="Times New Roman" w:hAnsi="Arial Narrow" w:cs="Times New Roman"/>
                <w:color w:val="000000"/>
                <w:sz w:val="20"/>
                <w:szCs w:val="20"/>
                <w:lang w:eastAsia="en-AU"/>
              </w:rPr>
            </w:pPr>
            <w:r>
              <w:rPr>
                <w:rStyle w:val="normaltextrun"/>
                <w:rFonts w:ascii="Arial Narrow" w:hAnsi="Arial Narrow" w:cs="Segoe UI"/>
                <w:color w:val="000000"/>
                <w:sz w:val="20"/>
                <w:szCs w:val="20"/>
              </w:rPr>
              <w:t>28</w:t>
            </w:r>
            <w:r>
              <w:rPr>
                <w:rStyle w:val="eop"/>
                <w:rFonts w:ascii="Arial Narrow" w:hAnsi="Arial Narrow" w:cs="Segoe UI"/>
                <w:color w:val="000000"/>
                <w:sz w:val="20"/>
                <w:szCs w:val="20"/>
              </w:rPr>
              <w:t> </w:t>
            </w:r>
          </w:p>
        </w:tc>
      </w:tr>
    </w:tbl>
    <w:p w14:paraId="509B8554" w14:textId="77777777" w:rsidR="00B579B1" w:rsidRDefault="00B579B1" w:rsidP="008071AE">
      <w:pPr>
        <w:pStyle w:val="3Bodytext"/>
        <w:tabs>
          <w:tab w:val="clear" w:pos="360"/>
        </w:tabs>
        <w:ind w:left="0"/>
        <w:rPr>
          <w:b/>
          <w:bCs w:val="0"/>
        </w:rPr>
      </w:pPr>
    </w:p>
    <w:p w14:paraId="618B7916" w14:textId="77777777" w:rsidR="00220BAC" w:rsidRPr="00AA42BB" w:rsidRDefault="00220BAC" w:rsidP="00220BAC">
      <w:pPr>
        <w:keepNext/>
        <w:keepLines/>
        <w:spacing w:after="40"/>
        <w:rPr>
          <w:rFonts w:ascii="Arial Narrow" w:hAnsi="Arial Narrow"/>
          <w:b/>
          <w:sz w:val="20"/>
          <w:szCs w:val="20"/>
          <w:lang w:val="en-GB"/>
        </w:rPr>
      </w:pPr>
      <w:r w:rsidRPr="00AA42BB">
        <w:rPr>
          <w:rFonts w:ascii="Arial Narrow" w:hAnsi="Arial Narrow"/>
          <w:b/>
          <w:sz w:val="20"/>
          <w:szCs w:val="20"/>
          <w:lang w:val="en-GB"/>
        </w:rPr>
        <w:t xml:space="preserve">Restriction Summary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035"/>
      </w:tblGrid>
      <w:tr w:rsidR="00220BAC" w:rsidRPr="00E30FAA" w14:paraId="654C5A14" w14:textId="77777777" w:rsidTr="00AE0B94">
        <w:tc>
          <w:tcPr>
            <w:tcW w:w="5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B2E15C" w14:textId="77777777" w:rsidR="00220BAC" w:rsidRPr="00E30FAA" w:rsidRDefault="00220BAC" w:rsidP="00AE0B94">
            <w:pPr>
              <w:spacing w:after="0" w:line="240" w:lineRule="auto"/>
              <w:jc w:val="center"/>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Concept ID</w:t>
            </w:r>
          </w:p>
          <w:p w14:paraId="707C541F" w14:textId="77777777" w:rsidR="00220BAC" w:rsidRPr="00E30FAA" w:rsidRDefault="00220BAC" w:rsidP="00AE0B94">
            <w:pPr>
              <w:spacing w:after="0" w:line="240" w:lineRule="auto"/>
              <w:jc w:val="both"/>
              <w:rPr>
                <w:rFonts w:ascii="Arial Narrow" w:eastAsia="Times New Roman" w:hAnsi="Arial Narrow" w:cs="Arial"/>
                <w:i/>
                <w:sz w:val="20"/>
                <w:szCs w:val="20"/>
                <w:lang w:eastAsia="en-AU"/>
              </w:rPr>
            </w:pPr>
          </w:p>
          <w:p w14:paraId="6CB410F6" w14:textId="77777777" w:rsidR="00220BAC" w:rsidRPr="00E30FAA" w:rsidRDefault="00220BAC" w:rsidP="00AE0B94">
            <w:pPr>
              <w:spacing w:after="0" w:line="240" w:lineRule="auto"/>
              <w:jc w:val="center"/>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(for internal Dept. use)</w:t>
            </w:r>
          </w:p>
          <w:p w14:paraId="52FB9631" w14:textId="77777777" w:rsidR="00220BAC" w:rsidRPr="00E30FAA" w:rsidRDefault="00220BAC"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BDB423" w14:textId="5F499170" w:rsidR="00220BAC" w:rsidRPr="00E30FAA" w:rsidRDefault="00220BAC"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b/>
                <w:sz w:val="20"/>
                <w:szCs w:val="20"/>
                <w:lang w:eastAsia="en-AU"/>
              </w:rPr>
              <w:t>Category / Program:</w:t>
            </w:r>
            <w:r w:rsidR="00475FD1">
              <w:rPr>
                <w:rFonts w:ascii="Arial Narrow" w:eastAsia="Times New Roman" w:hAnsi="Arial Narrow" w:cs="Arial"/>
                <w:b/>
                <w:sz w:val="20"/>
                <w:szCs w:val="20"/>
                <w:lang w:eastAsia="en-AU"/>
              </w:rPr>
              <w:t xml:space="preserve"> </w:t>
            </w:r>
          </w:p>
          <w:p w14:paraId="40B4707E" w14:textId="77777777" w:rsidR="00220BAC" w:rsidRPr="00E30FAA" w:rsidRDefault="00220BAC" w:rsidP="00AE0B94">
            <w:pPr>
              <w:spacing w:after="0" w:line="240" w:lineRule="auto"/>
              <w:jc w:val="both"/>
              <w:rPr>
                <w:rFonts w:ascii="Arial Narrow" w:eastAsia="Times New Roman" w:hAnsi="Arial Narrow" w:cs="Arial"/>
                <w:sz w:val="20"/>
                <w:szCs w:val="20"/>
                <w:lang w:eastAsia="en-AU"/>
              </w:rPr>
            </w:pPr>
            <w:r w:rsidRPr="00E30FAA">
              <w:rPr>
                <w:rFonts w:ascii="Arial Narrow" w:eastAsia="Times New Roman" w:hAnsi="Arial Narrow" w:cs="Arial"/>
                <w:sz w:val="20"/>
                <w:szCs w:val="20"/>
                <w:lang w:eastAsia="en-AU"/>
              </w:rPr>
              <w:t xml:space="preserve">GENERAL – General Schedule (Code GE) </w:t>
            </w:r>
          </w:p>
        </w:tc>
      </w:tr>
      <w:tr w:rsidR="00220BAC" w:rsidRPr="00E30FAA" w14:paraId="0F63AE39" w14:textId="77777777" w:rsidTr="00AE0B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895F8" w14:textId="77777777" w:rsidR="00220BAC" w:rsidRPr="00E30FAA" w:rsidRDefault="00220BAC"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0E29BA" w14:textId="5F97820C" w:rsidR="00220BAC" w:rsidRPr="00E30FAA" w:rsidRDefault="00220BAC" w:rsidP="00AE0B94">
            <w:pPr>
              <w:spacing w:after="0" w:line="240" w:lineRule="auto"/>
              <w:jc w:val="both"/>
              <w:rPr>
                <w:rFonts w:ascii="Arial Narrow" w:eastAsia="Times New Roman" w:hAnsi="Arial Narrow" w:cs="Arial"/>
                <w:b/>
                <w:sz w:val="20"/>
                <w:szCs w:val="20"/>
                <w:lang w:eastAsia="en-AU"/>
              </w:rPr>
            </w:pPr>
            <w:r w:rsidRPr="00E30FAA">
              <w:rPr>
                <w:rFonts w:ascii="Arial Narrow" w:eastAsia="Times New Roman" w:hAnsi="Arial Narrow" w:cs="Arial"/>
                <w:b/>
                <w:sz w:val="20"/>
                <w:szCs w:val="20"/>
                <w:lang w:eastAsia="en-AU"/>
              </w:rPr>
              <w:t>Prescriber type:</w:t>
            </w:r>
            <w:r w:rsidR="00475FD1">
              <w:rPr>
                <w:rFonts w:ascii="Arial Narrow" w:eastAsia="Times New Roman" w:hAnsi="Arial Narrow" w:cs="Arial"/>
                <w:b/>
                <w:sz w:val="20"/>
                <w:szCs w:val="20"/>
                <w:lang w:eastAsia="en-AU"/>
              </w:rPr>
              <w:t xml:space="preserve"> </w:t>
            </w:r>
            <w:r w:rsidRPr="00E30FAA">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Medical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30FAA">
              <w:rPr>
                <w:rFonts w:ascii="Arial Narrow" w:eastAsia="Times New Roman" w:hAnsi="Arial Narrow" w:cs="Arial"/>
                <w:sz w:val="20"/>
                <w:szCs w:val="20"/>
                <w:lang w:eastAsia="en-AU"/>
              </w:rPr>
              <w:instrText xml:space="preserve"> FORMCHECKBOX </w:instrText>
            </w:r>
            <w:r w:rsidRPr="00E30FAA">
              <w:rPr>
                <w:rFonts w:ascii="Arial Narrow" w:eastAsia="Times New Roman" w:hAnsi="Arial Narrow" w:cs="Arial"/>
                <w:sz w:val="20"/>
                <w:szCs w:val="20"/>
                <w:lang w:eastAsia="en-AU"/>
              </w:rPr>
            </w:r>
            <w:r w:rsidRPr="00E30FAA">
              <w:rPr>
                <w:rFonts w:ascii="Arial Narrow" w:eastAsia="Times New Roman" w:hAnsi="Arial Narrow" w:cs="Arial"/>
                <w:sz w:val="20"/>
                <w:szCs w:val="20"/>
                <w:lang w:eastAsia="en-AU"/>
              </w:rPr>
              <w:fldChar w:fldCharType="separate"/>
            </w:r>
            <w:r w:rsidRPr="00E30FAA">
              <w:rPr>
                <w:rFonts w:ascii="Arial Narrow" w:eastAsia="Times New Roman" w:hAnsi="Arial Narrow" w:cs="Arial"/>
                <w:sz w:val="20"/>
                <w:szCs w:val="20"/>
                <w:lang w:eastAsia="en-AU"/>
              </w:rPr>
              <w:fldChar w:fldCharType="end"/>
            </w:r>
            <w:r w:rsidRPr="00E30FAA">
              <w:rPr>
                <w:rFonts w:ascii="Arial Narrow" w:eastAsia="Times New Roman" w:hAnsi="Arial Narrow" w:cs="Arial"/>
                <w:sz w:val="20"/>
                <w:szCs w:val="20"/>
                <w:lang w:eastAsia="en-AU"/>
              </w:rPr>
              <w:t>Nurse practitioners</w:t>
            </w:r>
            <w:r w:rsidR="00475FD1">
              <w:rPr>
                <w:rFonts w:ascii="Arial Narrow" w:eastAsia="Times New Roman" w:hAnsi="Arial Narrow" w:cs="Arial"/>
                <w:sz w:val="20"/>
                <w:szCs w:val="20"/>
                <w:lang w:eastAsia="en-AU"/>
              </w:rPr>
              <w:t xml:space="preserve"> </w:t>
            </w:r>
            <w:r w:rsidRPr="00E30FAA">
              <w:rPr>
                <w:rFonts w:ascii="Arial Narrow" w:eastAsia="Times New Roman" w:hAnsi="Arial Narrow" w:cs="Arial"/>
                <w:sz w:val="20"/>
                <w:szCs w:val="20"/>
                <w:lang w:eastAsia="en-AU"/>
              </w:rPr>
              <w:t xml:space="preserve"> </w:t>
            </w:r>
          </w:p>
        </w:tc>
      </w:tr>
      <w:tr w:rsidR="00220BAC" w:rsidRPr="00E30FAA" w14:paraId="2B527670" w14:textId="77777777" w:rsidTr="00AE0B94">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F7886" w14:textId="77777777" w:rsidR="00220BAC" w:rsidRPr="00E30FAA" w:rsidRDefault="00220BAC" w:rsidP="00AE0B94">
            <w:pPr>
              <w:spacing w:after="0" w:line="240" w:lineRule="auto"/>
              <w:jc w:val="both"/>
              <w:rPr>
                <w:rFonts w:ascii="Arial Narrow" w:eastAsia="Times New Roman" w:hAnsi="Arial Narrow" w:cs="Arial"/>
                <w:b/>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FB93F" w14:textId="77777777" w:rsidR="00220BAC" w:rsidRPr="00E30FAA" w:rsidRDefault="00220BAC" w:rsidP="00AE0B94">
            <w:pPr>
              <w:spacing w:after="0" w:line="240" w:lineRule="auto"/>
              <w:jc w:val="both"/>
              <w:rPr>
                <w:rFonts w:ascii="Arial Narrow" w:eastAsia="Calibri" w:hAnsi="Arial Narrow" w:cs="Arial"/>
                <w:sz w:val="20"/>
                <w:szCs w:val="20"/>
                <w:lang w:eastAsia="en-AU"/>
              </w:rPr>
            </w:pPr>
            <w:r w:rsidRPr="00E30FAA">
              <w:rPr>
                <w:rFonts w:ascii="Arial Narrow" w:eastAsia="Times New Roman" w:hAnsi="Arial Narrow" w:cs="Arial"/>
                <w:b/>
                <w:sz w:val="20"/>
                <w:szCs w:val="20"/>
                <w:lang w:eastAsia="en-AU"/>
              </w:rPr>
              <w:t>Restriction Type</w:t>
            </w:r>
            <w:r>
              <w:rPr>
                <w:rFonts w:ascii="Arial Narrow" w:eastAsia="Times New Roman" w:hAnsi="Arial Narrow" w:cs="Arial"/>
                <w:b/>
                <w:sz w:val="20"/>
                <w:szCs w:val="20"/>
                <w:lang w:eastAsia="en-AU"/>
              </w:rPr>
              <w:t xml:space="preserve">: </w:t>
            </w:r>
            <w:r w:rsidRPr="00E30FAA">
              <w:rPr>
                <w:rFonts w:ascii="Arial Narrow" w:eastAsia="Calibri" w:hAnsi="Arial Narrow" w:cs="Arial"/>
                <w:sz w:val="20"/>
                <w:szCs w:val="20"/>
                <w:lang w:eastAsia="en-AU"/>
              </w:rPr>
              <w:fldChar w:fldCharType="begin">
                <w:ffData>
                  <w:name w:val=""/>
                  <w:enabled/>
                  <w:calcOnExit w:val="0"/>
                  <w:checkBox>
                    <w:sizeAuto/>
                    <w:default w:val="1"/>
                  </w:checkBox>
                </w:ffData>
              </w:fldChar>
            </w:r>
            <w:r w:rsidRPr="00E30FAA">
              <w:rPr>
                <w:rFonts w:ascii="Arial Narrow" w:eastAsia="Calibri" w:hAnsi="Arial Narrow" w:cs="Arial"/>
                <w:sz w:val="20"/>
                <w:szCs w:val="20"/>
                <w:lang w:eastAsia="en-AU"/>
              </w:rPr>
              <w:instrText xml:space="preserve"> FORMCHECKBOX </w:instrText>
            </w:r>
            <w:r w:rsidRPr="00E30FAA">
              <w:rPr>
                <w:rFonts w:ascii="Arial Narrow" w:eastAsia="Calibri" w:hAnsi="Arial Narrow" w:cs="Arial"/>
                <w:sz w:val="20"/>
                <w:szCs w:val="20"/>
                <w:lang w:eastAsia="en-AU"/>
              </w:rPr>
            </w:r>
            <w:r w:rsidRPr="00E30FAA">
              <w:rPr>
                <w:rFonts w:ascii="Arial Narrow" w:eastAsia="Calibri" w:hAnsi="Arial Narrow" w:cs="Arial"/>
                <w:sz w:val="20"/>
                <w:szCs w:val="20"/>
                <w:lang w:eastAsia="en-AU"/>
              </w:rPr>
              <w:fldChar w:fldCharType="separate"/>
            </w:r>
            <w:r w:rsidRPr="00E30FAA">
              <w:rPr>
                <w:rFonts w:ascii="Arial Narrow" w:eastAsia="Calibri" w:hAnsi="Arial Narrow" w:cs="Arial"/>
                <w:sz w:val="20"/>
                <w:szCs w:val="20"/>
                <w:lang w:eastAsia="en-AU"/>
              </w:rPr>
              <w:fldChar w:fldCharType="end"/>
            </w:r>
            <w:r>
              <w:rPr>
                <w:rFonts w:ascii="Arial Narrow" w:eastAsia="Calibri" w:hAnsi="Arial Narrow" w:cs="Arial"/>
                <w:sz w:val="20"/>
                <w:szCs w:val="20"/>
                <w:lang w:eastAsia="en-AU"/>
              </w:rPr>
              <w:t xml:space="preserve"> Restricted Benefit</w:t>
            </w:r>
            <w:r w:rsidRPr="00E30FAA">
              <w:rPr>
                <w:rFonts w:ascii="Arial Narrow" w:eastAsia="Calibri" w:hAnsi="Arial Narrow" w:cs="Arial"/>
                <w:sz w:val="20"/>
                <w:szCs w:val="20"/>
                <w:lang w:eastAsia="en-AU"/>
              </w:rPr>
              <w:t xml:space="preserve"> </w:t>
            </w:r>
          </w:p>
        </w:tc>
      </w:tr>
      <w:tr w:rsidR="00220BAC" w:rsidRPr="00E30FAA" w14:paraId="07EA3118"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966448" w14:textId="77777777" w:rsidR="00220BAC" w:rsidRPr="00E30FAA" w:rsidRDefault="00220BAC"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30503</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91DD78" w14:textId="77777777" w:rsidR="00220BAC" w:rsidRPr="00E30FAA" w:rsidRDefault="00220BAC" w:rsidP="00AE0B94">
            <w:pPr>
              <w:spacing w:after="0" w:line="240" w:lineRule="auto"/>
              <w:jc w:val="both"/>
              <w:rPr>
                <w:rFonts w:ascii="Arial Narrow" w:eastAsia="Times New Roman" w:hAnsi="Arial Narrow" w:cs="Open Sans"/>
                <w:b/>
                <w:bCs/>
                <w:sz w:val="20"/>
                <w:szCs w:val="20"/>
              </w:rPr>
            </w:pPr>
            <w:r>
              <w:rPr>
                <w:rFonts w:ascii="Arial Narrow" w:eastAsia="Times New Roman" w:hAnsi="Arial Narrow" w:cs="Open Sans"/>
                <w:b/>
                <w:bCs/>
                <w:sz w:val="20"/>
                <w:szCs w:val="20"/>
              </w:rPr>
              <w:t>Clinical criteria:</w:t>
            </w:r>
          </w:p>
        </w:tc>
      </w:tr>
      <w:tr w:rsidR="00220BAC" w:rsidRPr="00DE6C77" w14:paraId="643D8E4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6A19CB" w14:textId="77777777" w:rsidR="00220BAC" w:rsidRPr="00E30FAA" w:rsidRDefault="00220BAC" w:rsidP="00AE0B94">
            <w:pPr>
              <w:spacing w:after="0" w:line="240" w:lineRule="auto"/>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30502</w:t>
            </w: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6C63CE" w14:textId="77777777" w:rsidR="00220BAC" w:rsidRPr="00DE6C77" w:rsidRDefault="00220BAC" w:rsidP="00AE0B94">
            <w:pPr>
              <w:spacing w:after="0" w:line="240" w:lineRule="auto"/>
              <w:jc w:val="both"/>
              <w:rPr>
                <w:rFonts w:ascii="Arial Narrow" w:eastAsia="Times New Roman" w:hAnsi="Arial Narrow" w:cs="Open Sans"/>
                <w:sz w:val="20"/>
                <w:szCs w:val="20"/>
              </w:rPr>
            </w:pPr>
            <w:r w:rsidRPr="00DE6C77">
              <w:rPr>
                <w:rFonts w:ascii="Arial Narrow" w:eastAsia="Times New Roman" w:hAnsi="Arial Narrow" w:cs="Open Sans"/>
                <w:sz w:val="20"/>
                <w:szCs w:val="20"/>
              </w:rPr>
              <w:t>The condition must be stable for the prescriber to consider the listed maximum quantity of this medicine suitable for this patient</w:t>
            </w:r>
          </w:p>
        </w:tc>
      </w:tr>
      <w:tr w:rsidR="00220BAC" w:rsidRPr="00DE6C77" w14:paraId="2544178C"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874B33"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5CB978" w14:textId="77777777" w:rsidR="00220BAC" w:rsidRPr="00DE6C77" w:rsidRDefault="00220BAC"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220BAC" w:rsidRPr="00DE6C77" w14:paraId="474FFB41"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481F5D"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E813E5" w14:textId="77777777" w:rsidR="00220BAC" w:rsidRPr="00DE6C77" w:rsidRDefault="00220BAC"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220BAC" w:rsidRPr="00DE6C77" w14:paraId="1ACC981E"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66B5E4"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5CDE65" w14:textId="77777777" w:rsidR="00220BAC" w:rsidRPr="00DE6C77" w:rsidRDefault="00220BAC"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The treatment must not be for the initiation of anti-hypertensive therapy</w:t>
            </w:r>
          </w:p>
        </w:tc>
      </w:tr>
      <w:tr w:rsidR="00220BAC" w:rsidRPr="00DE6C77" w14:paraId="46CF1C12"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F47F0E"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BB12D9" w14:textId="77777777" w:rsidR="00220BAC" w:rsidRPr="00DE6C77" w:rsidRDefault="00220BAC"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AND</w:t>
            </w:r>
          </w:p>
        </w:tc>
      </w:tr>
      <w:tr w:rsidR="00220BAC" w:rsidRPr="00DE6C77" w14:paraId="78877BF2"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74C784"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16D8CA" w14:textId="77777777" w:rsidR="00220BAC" w:rsidRPr="00DE6C77" w:rsidRDefault="00220BAC" w:rsidP="00AE0B94">
            <w:pPr>
              <w:spacing w:after="0" w:line="240" w:lineRule="auto"/>
              <w:jc w:val="both"/>
              <w:rPr>
                <w:rFonts w:ascii="Arial Narrow" w:eastAsia="Times New Roman" w:hAnsi="Arial Narrow" w:cs="Open Sans"/>
                <w:b/>
                <w:bCs/>
                <w:strike/>
                <w:sz w:val="20"/>
                <w:szCs w:val="20"/>
              </w:rPr>
            </w:pPr>
            <w:r w:rsidRPr="00DE6C77">
              <w:rPr>
                <w:rFonts w:ascii="Arial Narrow" w:eastAsia="Times New Roman" w:hAnsi="Arial Narrow" w:cs="Open Sans"/>
                <w:b/>
                <w:bCs/>
                <w:strike/>
                <w:sz w:val="20"/>
                <w:szCs w:val="20"/>
              </w:rPr>
              <w:t>Clinical criteria:</w:t>
            </w:r>
          </w:p>
        </w:tc>
      </w:tr>
      <w:tr w:rsidR="00220BAC" w:rsidRPr="00DE6C77" w14:paraId="3E766DA6"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AE675"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57CD94" w14:textId="77777777" w:rsidR="00220BAC" w:rsidRPr="00DE6C77" w:rsidRDefault="00220BAC"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 xml:space="preserve">The condition must be inadequately controlled with an </w:t>
            </w:r>
            <w:r>
              <w:rPr>
                <w:rFonts w:ascii="Arial Narrow" w:eastAsia="Times New Roman" w:hAnsi="Arial Narrow" w:cs="Open Sans"/>
                <w:strike/>
                <w:sz w:val="20"/>
                <w:szCs w:val="20"/>
              </w:rPr>
              <w:t>ACE inhibitor</w:t>
            </w:r>
          </w:p>
        </w:tc>
      </w:tr>
      <w:tr w:rsidR="00220BAC" w:rsidRPr="00DE6C77" w14:paraId="0C61DC9A"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59582A"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981B72" w14:textId="77777777" w:rsidR="00220BAC" w:rsidRPr="00DE6C77" w:rsidRDefault="00220BAC" w:rsidP="00AE0B94">
            <w:pPr>
              <w:spacing w:after="0" w:line="240" w:lineRule="auto"/>
              <w:jc w:val="both"/>
              <w:rPr>
                <w:rFonts w:ascii="Arial Narrow" w:eastAsia="Times New Roman" w:hAnsi="Arial Narrow" w:cs="Open Sans"/>
                <w:strike/>
                <w:sz w:val="20"/>
                <w:szCs w:val="20"/>
              </w:rPr>
            </w:pPr>
            <w:r w:rsidRPr="00DE6C77">
              <w:rPr>
                <w:rFonts w:ascii="Arial Narrow" w:eastAsia="Times New Roman" w:hAnsi="Arial Narrow" w:cs="Open Sans"/>
                <w:strike/>
                <w:sz w:val="20"/>
                <w:szCs w:val="20"/>
              </w:rPr>
              <w:t>OR</w:t>
            </w:r>
          </w:p>
        </w:tc>
      </w:tr>
      <w:tr w:rsidR="00220BAC" w:rsidRPr="00DE6C77" w14:paraId="04069CFE" w14:textId="77777777" w:rsidTr="00AE0B94">
        <w:tc>
          <w:tcPr>
            <w:tcW w:w="5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8C0E9" w14:textId="77777777" w:rsidR="00220BAC" w:rsidRPr="00E30FAA" w:rsidRDefault="00220BAC" w:rsidP="00AE0B94">
            <w:pPr>
              <w:spacing w:after="0" w:line="240" w:lineRule="auto"/>
              <w:rPr>
                <w:rFonts w:ascii="Arial Narrow" w:eastAsia="Times New Roman" w:hAnsi="Arial Narrow" w:cs="Times New Roman"/>
                <w:sz w:val="20"/>
                <w:szCs w:val="20"/>
                <w:lang w:eastAsia="en-AU"/>
              </w:rPr>
            </w:pPr>
          </w:p>
        </w:tc>
        <w:tc>
          <w:tcPr>
            <w:tcW w:w="44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ED70A0" w14:textId="77777777" w:rsidR="00220BAC" w:rsidRPr="00DE6C77" w:rsidRDefault="00220BAC" w:rsidP="00AE0B94">
            <w:pPr>
              <w:spacing w:after="0" w:line="240" w:lineRule="auto"/>
              <w:jc w:val="both"/>
              <w:rPr>
                <w:rFonts w:ascii="Arial Narrow" w:eastAsia="Times New Roman" w:hAnsi="Arial Narrow" w:cs="Open Sans"/>
                <w:strike/>
                <w:sz w:val="20"/>
                <w:szCs w:val="20"/>
              </w:rPr>
            </w:pPr>
            <w:r w:rsidRPr="00D25D0B">
              <w:rPr>
                <w:rFonts w:ascii="Arial Narrow" w:eastAsia="Times New Roman" w:hAnsi="Arial Narrow" w:cs="Open Sans"/>
                <w:strike/>
                <w:sz w:val="20"/>
                <w:szCs w:val="20"/>
              </w:rPr>
              <w:t xml:space="preserve">The condition must be inadequately controlled with </w:t>
            </w:r>
            <w:r>
              <w:rPr>
                <w:rFonts w:ascii="Arial Narrow" w:eastAsia="Times New Roman" w:hAnsi="Arial Narrow" w:cs="Open Sans"/>
                <w:strike/>
                <w:sz w:val="20"/>
                <w:szCs w:val="20"/>
              </w:rPr>
              <w:t>verapamil</w:t>
            </w:r>
          </w:p>
        </w:tc>
      </w:tr>
    </w:tbl>
    <w:p w14:paraId="41A1530B" w14:textId="77777777" w:rsidR="008071AE" w:rsidRPr="00E52E56" w:rsidRDefault="008071AE" w:rsidP="008071AE">
      <w:pPr>
        <w:pStyle w:val="3Bodytext"/>
        <w:tabs>
          <w:tab w:val="clear" w:pos="360"/>
        </w:tabs>
        <w:ind w:left="0"/>
        <w:rPr>
          <w:rFonts w:cs="Arial"/>
          <w:bCs w:val="0"/>
          <w:i/>
          <w:iCs/>
          <w:snapToGrid w:val="0"/>
          <w:lang w:val="en-GB"/>
        </w:rPr>
      </w:pPr>
    </w:p>
    <w:sectPr w:rsidR="008071AE" w:rsidRPr="00E52E56" w:rsidSect="000C09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D019" w14:textId="77777777" w:rsidR="007019A9" w:rsidRDefault="007019A9" w:rsidP="0050457A">
      <w:r>
        <w:separator/>
      </w:r>
    </w:p>
    <w:p w14:paraId="4D204D30" w14:textId="77777777" w:rsidR="007019A9" w:rsidRDefault="007019A9" w:rsidP="0050457A"/>
  </w:endnote>
  <w:endnote w:type="continuationSeparator" w:id="0">
    <w:p w14:paraId="437F1D40" w14:textId="77777777" w:rsidR="007019A9" w:rsidRDefault="007019A9" w:rsidP="0050457A">
      <w:r>
        <w:continuationSeparator/>
      </w:r>
    </w:p>
    <w:p w14:paraId="7E920A6B" w14:textId="77777777" w:rsidR="007019A9" w:rsidRDefault="007019A9" w:rsidP="0050457A"/>
  </w:endnote>
  <w:endnote w:type="continuationNotice" w:id="1">
    <w:p w14:paraId="6E341018" w14:textId="77777777" w:rsidR="007019A9" w:rsidRDefault="00701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778" w14:textId="08A7C0B5" w:rsidR="00C90446" w:rsidRDefault="0068699C">
    <w:pPr>
      <w:pStyle w:val="Footer"/>
    </w:pPr>
    <w:r>
      <w:rPr>
        <w:noProof/>
      </w:rPr>
      <mc:AlternateContent>
        <mc:Choice Requires="wps">
          <w:drawing>
            <wp:anchor distT="0" distB="0" distL="0" distR="0" simplePos="0" relativeHeight="251662336" behindDoc="0" locked="0" layoutInCell="1" allowOverlap="1" wp14:anchorId="269890B9" wp14:editId="35793120">
              <wp:simplePos x="635" y="635"/>
              <wp:positionH relativeFrom="page">
                <wp:align>center</wp:align>
              </wp:positionH>
              <wp:positionV relativeFrom="page">
                <wp:align>bottom</wp:align>
              </wp:positionV>
              <wp:extent cx="622300" cy="391160"/>
              <wp:effectExtent l="0" t="0" r="6350" b="0"/>
              <wp:wrapNone/>
              <wp:docPr id="12233188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52B4EC" w14:textId="34F3A012"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890B9"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3952B4EC" w14:textId="34F3A012"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D3DE" w14:textId="0FF8D7D5" w:rsidR="003A03D4" w:rsidRDefault="0068699C">
    <w:pPr>
      <w:pStyle w:val="Footer"/>
      <w:jc w:val="center"/>
    </w:pPr>
    <w:r>
      <w:rPr>
        <w:noProof/>
      </w:rPr>
      <mc:AlternateContent>
        <mc:Choice Requires="wps">
          <w:drawing>
            <wp:anchor distT="0" distB="0" distL="0" distR="0" simplePos="0" relativeHeight="251663360" behindDoc="0" locked="0" layoutInCell="1" allowOverlap="1" wp14:anchorId="587CC637" wp14:editId="3DF524D2">
              <wp:simplePos x="914400" y="9410700"/>
              <wp:positionH relativeFrom="page">
                <wp:align>center</wp:align>
              </wp:positionH>
              <wp:positionV relativeFrom="page">
                <wp:align>bottom</wp:align>
              </wp:positionV>
              <wp:extent cx="622300" cy="391160"/>
              <wp:effectExtent l="0" t="0" r="6350" b="0"/>
              <wp:wrapNone/>
              <wp:docPr id="2218418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580A656" w14:textId="0379F761"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CC63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1580A656" w14:textId="0379F761"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sdt>
      <w:sdtPr>
        <w:id w:val="2096669188"/>
        <w:docPartObj>
          <w:docPartGallery w:val="Page Numbers (Bottom of Page)"/>
          <w:docPartUnique/>
        </w:docPartObj>
      </w:sdtPr>
      <w:sdtEndPr>
        <w:rPr>
          <w:noProof/>
        </w:rPr>
      </w:sdtEndPr>
      <w:sdtContent>
        <w:r w:rsidR="003A03D4">
          <w:fldChar w:fldCharType="begin"/>
        </w:r>
        <w:r w:rsidR="003A03D4">
          <w:instrText xml:space="preserve"> PAGE   \* MERGEFORMAT </w:instrText>
        </w:r>
        <w:r w:rsidR="003A03D4">
          <w:fldChar w:fldCharType="separate"/>
        </w:r>
        <w:r w:rsidR="003A03D4">
          <w:rPr>
            <w:noProof/>
          </w:rPr>
          <w:t>2</w:t>
        </w:r>
        <w:r w:rsidR="003A03D4">
          <w:rPr>
            <w:noProof/>
          </w:rPr>
          <w:fldChar w:fldCharType="end"/>
        </w:r>
      </w:sdtContent>
    </w:sdt>
  </w:p>
  <w:p w14:paraId="0E52EF43" w14:textId="77777777" w:rsidR="003A03D4" w:rsidRDefault="003A0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2771" w14:textId="134317E8" w:rsidR="00C90446" w:rsidRDefault="0068699C">
    <w:pPr>
      <w:pStyle w:val="Footer"/>
    </w:pPr>
    <w:r>
      <w:rPr>
        <w:noProof/>
      </w:rPr>
      <mc:AlternateContent>
        <mc:Choice Requires="wps">
          <w:drawing>
            <wp:anchor distT="0" distB="0" distL="0" distR="0" simplePos="0" relativeHeight="251661312" behindDoc="0" locked="0" layoutInCell="1" allowOverlap="1" wp14:anchorId="0FF8E4D1" wp14:editId="1C6292D2">
              <wp:simplePos x="635" y="635"/>
              <wp:positionH relativeFrom="page">
                <wp:align>center</wp:align>
              </wp:positionH>
              <wp:positionV relativeFrom="page">
                <wp:align>bottom</wp:align>
              </wp:positionV>
              <wp:extent cx="622300" cy="391160"/>
              <wp:effectExtent l="0" t="0" r="6350" b="0"/>
              <wp:wrapNone/>
              <wp:docPr id="4983192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6E6A41" w14:textId="6DEF2D15"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8E4D1"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736E6A41" w14:textId="6DEF2D15"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5749" w14:textId="77777777" w:rsidR="007019A9" w:rsidRDefault="007019A9" w:rsidP="0050457A">
      <w:r>
        <w:separator/>
      </w:r>
    </w:p>
    <w:p w14:paraId="51315699" w14:textId="77777777" w:rsidR="007019A9" w:rsidRDefault="007019A9" w:rsidP="0050457A"/>
  </w:footnote>
  <w:footnote w:type="continuationSeparator" w:id="0">
    <w:p w14:paraId="1CE691A6" w14:textId="77777777" w:rsidR="007019A9" w:rsidRDefault="007019A9" w:rsidP="0050457A">
      <w:r>
        <w:continuationSeparator/>
      </w:r>
    </w:p>
    <w:p w14:paraId="546E5E73" w14:textId="77777777" w:rsidR="007019A9" w:rsidRDefault="007019A9" w:rsidP="0050457A"/>
  </w:footnote>
  <w:footnote w:type="continuationNotice" w:id="1">
    <w:p w14:paraId="585CDE9B" w14:textId="77777777" w:rsidR="007019A9" w:rsidRDefault="007019A9">
      <w:pPr>
        <w:spacing w:after="0" w:line="240" w:lineRule="auto"/>
      </w:pPr>
    </w:p>
  </w:footnote>
  <w:footnote w:id="2">
    <w:p w14:paraId="397120A9" w14:textId="01BC7004" w:rsidR="2ECBDAFF" w:rsidRDefault="2ECBDAFF" w:rsidP="2ECBDAFF">
      <w:pPr>
        <w:pStyle w:val="FootnoteText"/>
      </w:pPr>
      <w:r w:rsidRPr="2ECBDAFF">
        <w:rPr>
          <w:rStyle w:val="FootnoteReference"/>
        </w:rPr>
        <w:footnoteRef/>
      </w:r>
      <w:r>
        <w:t xml:space="preserve"> Department of Health and Aged Care, </w:t>
      </w:r>
      <w:hyperlink r:id="rId1">
        <w:r w:rsidRPr="2ECBDAFF">
          <w:rPr>
            <w:rStyle w:val="Hyperlink"/>
          </w:rPr>
          <w:t>PBAC PSD Olmesartan medoxomil with amlodipine</w:t>
        </w:r>
      </w:hyperlink>
      <w:r>
        <w:t>, Sevikar®, July 2010.</w:t>
      </w:r>
    </w:p>
  </w:footnote>
  <w:footnote w:id="3">
    <w:p w14:paraId="6F8B8631" w14:textId="77777777" w:rsidR="00BF2BD6" w:rsidRPr="0060698C" w:rsidRDefault="00BF2BD6" w:rsidP="00BF2BD6">
      <w:pPr>
        <w:pStyle w:val="FootnoteText"/>
      </w:pPr>
      <w:r w:rsidRPr="0060698C">
        <w:rPr>
          <w:rStyle w:val="FootnoteReference"/>
        </w:rPr>
        <w:footnoteRef/>
      </w:r>
      <w:r w:rsidRPr="0060698C">
        <w:t xml:space="preserve"> National Heart Foundation of Australia, </w:t>
      </w:r>
      <w:hyperlink r:id="rId2" w:history="1">
        <w:r w:rsidRPr="0060698C">
          <w:rPr>
            <w:rStyle w:val="Hyperlink"/>
          </w:rPr>
          <w:t>Guideline for the diagnosis and management of hypertension in adults – 2016</w:t>
        </w:r>
      </w:hyperlink>
      <w:r w:rsidRPr="0060698C">
        <w:t>, accessed 4 August 2023.</w:t>
      </w:r>
    </w:p>
  </w:footnote>
  <w:footnote w:id="4">
    <w:p w14:paraId="6429818D" w14:textId="77777777" w:rsidR="00BF2BD6" w:rsidRPr="0060698C" w:rsidRDefault="00BF2BD6" w:rsidP="00BF2BD6">
      <w:pPr>
        <w:pStyle w:val="FootnoteText"/>
      </w:pPr>
      <w:r w:rsidRPr="0060698C">
        <w:rPr>
          <w:rStyle w:val="FootnoteReference"/>
        </w:rPr>
        <w:footnoteRef/>
      </w:r>
      <w:r w:rsidRPr="0060698C">
        <w:t xml:space="preserve"> Therapeutic Guidelines, </w:t>
      </w:r>
      <w:hyperlink r:id="rId3" w:anchor="c_CVG_Hypertension-and-blood-pressure-reductiontopic_8" w:history="1">
        <w:r w:rsidRPr="0060698C">
          <w:rPr>
            <w:rStyle w:val="Hyperlink"/>
          </w:rPr>
          <w:t>Hypertension and Blood Pressure Reduction</w:t>
        </w:r>
      </w:hyperlink>
      <w:r w:rsidRPr="0060698C">
        <w:t>, published June 2023, accessed 4 August 2023.</w:t>
      </w:r>
    </w:p>
  </w:footnote>
  <w:footnote w:id="5">
    <w:p w14:paraId="15400CF2" w14:textId="77777777" w:rsidR="00C6671B" w:rsidRPr="0060698C" w:rsidRDefault="00C6671B" w:rsidP="00C6671B">
      <w:pPr>
        <w:pStyle w:val="FootnoteText"/>
      </w:pPr>
      <w:r w:rsidRPr="0060698C">
        <w:rPr>
          <w:rStyle w:val="FootnoteReference"/>
        </w:rPr>
        <w:footnoteRef/>
      </w:r>
      <w:r w:rsidRPr="0060698C">
        <w:t xml:space="preserve"> Epstein BJ, Shah NK, and Borja-Hart NL (2013), ‘Management of Hypertension with fixed-dose triple-combination treatments’, </w:t>
      </w:r>
      <w:r w:rsidRPr="0060698C">
        <w:rPr>
          <w:i/>
          <w:iCs/>
        </w:rPr>
        <w:t>Therapeutic Advances in Cardiovascular Disease</w:t>
      </w:r>
      <w:r w:rsidRPr="0060698C">
        <w:t>, 7(5):246-59.</w:t>
      </w:r>
    </w:p>
  </w:footnote>
  <w:footnote w:id="6">
    <w:p w14:paraId="77D82A55" w14:textId="46625A66" w:rsidR="00C12E99" w:rsidRDefault="00C12E99">
      <w:pPr>
        <w:pStyle w:val="FootnoteText"/>
      </w:pPr>
      <w:r>
        <w:rPr>
          <w:rStyle w:val="FootnoteReference"/>
        </w:rPr>
        <w:footnoteRef/>
      </w:r>
      <w:r>
        <w:t xml:space="preserve"> Heart Foundation, </w:t>
      </w:r>
      <w:hyperlink r:id="rId4" w:history="1">
        <w:r w:rsidR="00724193" w:rsidRPr="00FE74D4">
          <w:rPr>
            <w:rStyle w:val="Hyperlink"/>
          </w:rPr>
          <w:t>New guidelines for managing and treating hypertension and lipids</w:t>
        </w:r>
      </w:hyperlink>
      <w:r w:rsidR="00724193">
        <w:t xml:space="preserve">, </w:t>
      </w:r>
      <w:r w:rsidR="00FE74D4">
        <w:t>accessed 15 November 2024.</w:t>
      </w:r>
    </w:p>
  </w:footnote>
  <w:footnote w:id="7">
    <w:p w14:paraId="4793772B" w14:textId="77777777" w:rsidR="002F3E1B" w:rsidRDefault="002F3E1B" w:rsidP="002F3E1B">
      <w:pPr>
        <w:pStyle w:val="FootnoteText"/>
      </w:pPr>
      <w:r>
        <w:rPr>
          <w:rStyle w:val="FootnoteReference"/>
        </w:rPr>
        <w:footnoteRef/>
      </w:r>
      <w:r>
        <w:t xml:space="preserve"> National Hypertension Taskforce, </w:t>
      </w:r>
      <w:hyperlink r:id="rId5" w:history="1">
        <w:r w:rsidRPr="00965F75">
          <w:rPr>
            <w:rStyle w:val="Hyperlink"/>
          </w:rPr>
          <w:t>Goal</w:t>
        </w:r>
      </w:hyperlink>
      <w:r>
        <w:t>, accessed 15 November 2024.</w:t>
      </w:r>
    </w:p>
  </w:footnote>
  <w:footnote w:id="8">
    <w:p w14:paraId="79B1716E" w14:textId="622274FA" w:rsidR="0064273D" w:rsidRDefault="0064273D">
      <w:pPr>
        <w:pStyle w:val="FootnoteText"/>
      </w:pPr>
      <w:r>
        <w:rPr>
          <w:rStyle w:val="FootnoteReference"/>
        </w:rPr>
        <w:footnoteRef/>
      </w:r>
      <w:r>
        <w:t xml:space="preserve"> </w:t>
      </w:r>
      <w:r w:rsidR="00D03FEF">
        <w:t xml:space="preserve">Carnagarin R et al (2023), ‘Stagnating rates of blood pressure control in Australia: insights from the opportunistic screening of 10046 participants of the May Measurement Month campaigns’, </w:t>
      </w:r>
      <w:r w:rsidR="00D03FEF" w:rsidRPr="00D03FEF">
        <w:rPr>
          <w:i/>
          <w:iCs/>
        </w:rPr>
        <w:t>J Hypertension</w:t>
      </w:r>
      <w:r w:rsidR="00D03FEF">
        <w:t>, 41(4):632-637.</w:t>
      </w:r>
    </w:p>
  </w:footnote>
  <w:footnote w:id="9">
    <w:p w14:paraId="46396AFC" w14:textId="504AD189" w:rsidR="00A72C6C" w:rsidRPr="00A72C6C" w:rsidRDefault="00A72C6C">
      <w:pPr>
        <w:pStyle w:val="FootnoteText"/>
      </w:pPr>
      <w:r>
        <w:rPr>
          <w:rStyle w:val="FootnoteReference"/>
        </w:rPr>
        <w:footnoteRef/>
      </w:r>
      <w:r>
        <w:t xml:space="preserve"> Unger T et al. (2020) ‘</w:t>
      </w:r>
      <w:hyperlink r:id="rId6" w:history="1">
        <w:r w:rsidRPr="00A72C6C">
          <w:rPr>
            <w:rStyle w:val="Hyperlink"/>
          </w:rPr>
          <w:t>2020 International Society of Hypertension Global Hypertension Practice Guidelines</w:t>
        </w:r>
      </w:hyperlink>
      <w:r>
        <w:t xml:space="preserve">’, </w:t>
      </w:r>
      <w:r>
        <w:rPr>
          <w:i/>
          <w:iCs/>
        </w:rPr>
        <w:t>Hypertension</w:t>
      </w:r>
      <w:r>
        <w:t>, 75(6): 1334-54.</w:t>
      </w:r>
    </w:p>
  </w:footnote>
  <w:footnote w:id="10">
    <w:p w14:paraId="227BB3EA" w14:textId="34A85651" w:rsidR="00A72C6C" w:rsidRPr="00553C96" w:rsidRDefault="00A72C6C">
      <w:pPr>
        <w:pStyle w:val="FootnoteText"/>
      </w:pPr>
      <w:r>
        <w:rPr>
          <w:rStyle w:val="FootnoteReference"/>
        </w:rPr>
        <w:footnoteRef/>
      </w:r>
      <w:r>
        <w:t xml:space="preserve"> McEvoy JW et al. (2024) ‘</w:t>
      </w:r>
      <w:hyperlink r:id="rId7" w:history="1">
        <w:r w:rsidRPr="00553C96">
          <w:rPr>
            <w:rStyle w:val="Hyperlink"/>
          </w:rPr>
          <w:t xml:space="preserve">2024 ESC Guidelines for the management of elevated </w:t>
        </w:r>
        <w:r w:rsidR="00553C96" w:rsidRPr="00553C96">
          <w:rPr>
            <w:rStyle w:val="Hyperlink"/>
          </w:rPr>
          <w:t>blood</w:t>
        </w:r>
        <w:r w:rsidRPr="00553C96">
          <w:rPr>
            <w:rStyle w:val="Hyperlink"/>
          </w:rPr>
          <w:t xml:space="preserve"> pressure and hypertension</w:t>
        </w:r>
      </w:hyperlink>
      <w:r>
        <w:t xml:space="preserve">: Developed by the task force on the management of elevated blood pressure and hypertension of the European Society of Cardiology (ESC) and endorsed by the </w:t>
      </w:r>
      <w:r w:rsidR="00553C96">
        <w:t xml:space="preserve">European Society of Endocrinology (ESE) and the European Stroke Organisation (ESO)’, </w:t>
      </w:r>
      <w:r w:rsidR="00553C96">
        <w:rPr>
          <w:i/>
          <w:iCs/>
        </w:rPr>
        <w:t>European Heart Journal</w:t>
      </w:r>
      <w:r w:rsidR="00553C96">
        <w:t>, 45(38): 3912-4018.</w:t>
      </w:r>
    </w:p>
  </w:footnote>
  <w:footnote w:id="11">
    <w:p w14:paraId="55A63E05" w14:textId="2F5143B8" w:rsidR="00553C96" w:rsidRDefault="00553C96">
      <w:pPr>
        <w:pStyle w:val="FootnoteText"/>
      </w:pPr>
      <w:r>
        <w:rPr>
          <w:rStyle w:val="FootnoteReference"/>
        </w:rPr>
        <w:footnoteRef/>
      </w:r>
      <w:r>
        <w:t xml:space="preserve"> World Health Organization (2021), </w:t>
      </w:r>
      <w:hyperlink r:id="rId8" w:history="1">
        <w:r w:rsidRPr="00553C96">
          <w:rPr>
            <w:rStyle w:val="Hyperlink"/>
          </w:rPr>
          <w:t>Guideline for the pharmacological treatment of hypertension in adults</w:t>
        </w:r>
      </w:hyperlink>
      <w:r>
        <w:t>, Geneva.</w:t>
      </w:r>
    </w:p>
  </w:footnote>
  <w:footnote w:id="12">
    <w:p w14:paraId="12B17172" w14:textId="74FEFAF3" w:rsidR="00CC1100" w:rsidRDefault="00CC1100">
      <w:pPr>
        <w:pStyle w:val="FootnoteText"/>
      </w:pPr>
      <w:r>
        <w:rPr>
          <w:rStyle w:val="FootnoteReference"/>
        </w:rPr>
        <w:footnoteRef/>
      </w:r>
      <w:r>
        <w:t xml:space="preserve"> </w:t>
      </w:r>
      <w:r w:rsidRPr="00E67AC5">
        <w:t xml:space="preserve">Volpe M, Gallo G, Tocci G. </w:t>
      </w:r>
      <w:r>
        <w:t>(2018), ‘</w:t>
      </w:r>
      <w:r w:rsidRPr="00E67AC5">
        <w:t>Is early and fast blood pressure control important in hypertension management?</w:t>
      </w:r>
      <w:r>
        <w:t>’,</w:t>
      </w:r>
      <w:r w:rsidRPr="00E67AC5">
        <w:t xml:space="preserve"> </w:t>
      </w:r>
      <w:r w:rsidRPr="00E67AC5">
        <w:rPr>
          <w:i/>
        </w:rPr>
        <w:t>International Journal of Cardiology</w:t>
      </w:r>
      <w:r>
        <w:t>,</w:t>
      </w:r>
      <w:r w:rsidRPr="00E67AC5">
        <w:t xml:space="preserve"> 254:328-332</w:t>
      </w:r>
      <w:r>
        <w:t>.</w:t>
      </w:r>
    </w:p>
  </w:footnote>
  <w:footnote w:id="13">
    <w:p w14:paraId="73CDB279" w14:textId="7471183B" w:rsidR="00CC1100" w:rsidRDefault="00CC1100">
      <w:pPr>
        <w:pStyle w:val="FootnoteText"/>
      </w:pPr>
      <w:r>
        <w:rPr>
          <w:rStyle w:val="FootnoteReference"/>
        </w:rPr>
        <w:footnoteRef/>
      </w:r>
      <w:r>
        <w:t xml:space="preserve"> </w:t>
      </w:r>
      <w:r w:rsidRPr="00E67AC5">
        <w:t xml:space="preserve">MacDonald TM, Williams B, Webb DJ, et al. </w:t>
      </w:r>
      <w:r>
        <w:t>(2107), ‘</w:t>
      </w:r>
      <w:r w:rsidRPr="00E67AC5">
        <w:t>Combination therapy is superior to sequential monotherapy for the initial treatment of hypertension: a double‐blind randomized controlled trial</w:t>
      </w:r>
      <w:r>
        <w:t>’,</w:t>
      </w:r>
      <w:r w:rsidRPr="00E67AC5">
        <w:t xml:space="preserve"> </w:t>
      </w:r>
      <w:r w:rsidRPr="00E67AC5">
        <w:rPr>
          <w:i/>
        </w:rPr>
        <w:t>Journal of the American Heart Association</w:t>
      </w:r>
      <w:r>
        <w:t xml:space="preserve">, </w:t>
      </w:r>
      <w:r w:rsidRPr="00E67AC5">
        <w:t>6(11):e006986.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C878" w14:textId="3A37ECD0" w:rsidR="00C90446" w:rsidRDefault="0068699C">
    <w:pPr>
      <w:pStyle w:val="Header"/>
    </w:pPr>
    <w:r>
      <w:rPr>
        <w:noProof/>
      </w:rPr>
      <mc:AlternateContent>
        <mc:Choice Requires="wps">
          <w:drawing>
            <wp:anchor distT="0" distB="0" distL="0" distR="0" simplePos="0" relativeHeight="251659264" behindDoc="0" locked="0" layoutInCell="1" allowOverlap="1" wp14:anchorId="0E84AEF9" wp14:editId="1F7BDB93">
              <wp:simplePos x="635" y="635"/>
              <wp:positionH relativeFrom="page">
                <wp:align>center</wp:align>
              </wp:positionH>
              <wp:positionV relativeFrom="page">
                <wp:align>top</wp:align>
              </wp:positionV>
              <wp:extent cx="622300" cy="391160"/>
              <wp:effectExtent l="0" t="0" r="6350" b="8890"/>
              <wp:wrapNone/>
              <wp:docPr id="12120626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6D68BB" w14:textId="0E57B005"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4AEF9"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666D68BB" w14:textId="0E57B005"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F06" w14:textId="601A7392" w:rsidR="008F311F" w:rsidRPr="008F311F" w:rsidRDefault="0068699C" w:rsidP="008F311F">
    <w:pPr>
      <w:pStyle w:val="Header"/>
      <w:jc w:val="center"/>
      <w:rPr>
        <w:i/>
        <w:iCs/>
      </w:rPr>
    </w:pPr>
    <w:r>
      <w:rPr>
        <w:i/>
        <w:iCs/>
        <w:noProof/>
      </w:rPr>
      <mc:AlternateContent>
        <mc:Choice Requires="wps">
          <w:drawing>
            <wp:anchor distT="0" distB="0" distL="0" distR="0" simplePos="0" relativeHeight="251660288" behindDoc="0" locked="0" layoutInCell="1" allowOverlap="1" wp14:anchorId="314316B1" wp14:editId="5BAA49F8">
              <wp:simplePos x="914400" y="914400"/>
              <wp:positionH relativeFrom="page">
                <wp:align>center</wp:align>
              </wp:positionH>
              <wp:positionV relativeFrom="page">
                <wp:align>top</wp:align>
              </wp:positionV>
              <wp:extent cx="622300" cy="391160"/>
              <wp:effectExtent l="0" t="0" r="6350" b="8890"/>
              <wp:wrapNone/>
              <wp:docPr id="13505310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0164D2" w14:textId="1785BB8F"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316B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30164D2" w14:textId="1785BB8F"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r w:rsidR="008E4C3C">
      <w:rPr>
        <w:i/>
        <w:iCs/>
      </w:rPr>
      <w:t xml:space="preserve">Public Summary Document </w:t>
    </w:r>
    <w:r w:rsidR="008F311F" w:rsidRPr="008F311F">
      <w:rPr>
        <w:i/>
        <w:iCs/>
      </w:rPr>
      <w:t>– December 2024 PBAC Meeting</w:t>
    </w:r>
  </w:p>
  <w:p w14:paraId="2A0DEB3C" w14:textId="77777777" w:rsidR="008F311F" w:rsidRDefault="008F311F" w:rsidP="008F311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E64A" w14:textId="52EEE3F7" w:rsidR="00C90446" w:rsidRDefault="0068699C">
    <w:pPr>
      <w:pStyle w:val="Header"/>
    </w:pPr>
    <w:r>
      <w:rPr>
        <w:noProof/>
      </w:rPr>
      <mc:AlternateContent>
        <mc:Choice Requires="wps">
          <w:drawing>
            <wp:anchor distT="0" distB="0" distL="0" distR="0" simplePos="0" relativeHeight="251658240" behindDoc="0" locked="0" layoutInCell="1" allowOverlap="1" wp14:anchorId="31AC4B21" wp14:editId="1A02C1F3">
              <wp:simplePos x="635" y="635"/>
              <wp:positionH relativeFrom="page">
                <wp:align>center</wp:align>
              </wp:positionH>
              <wp:positionV relativeFrom="page">
                <wp:align>top</wp:align>
              </wp:positionV>
              <wp:extent cx="622300" cy="391160"/>
              <wp:effectExtent l="0" t="0" r="6350" b="8890"/>
              <wp:wrapNone/>
              <wp:docPr id="13369102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6378E7" w14:textId="4C221766"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C4B21"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5D6378E7" w14:textId="4C221766" w:rsidR="0068699C" w:rsidRPr="0068699C" w:rsidRDefault="0068699C" w:rsidP="0068699C">
                    <w:pPr>
                      <w:spacing w:after="0"/>
                      <w:rPr>
                        <w:rFonts w:ascii="Aptos" w:eastAsia="Aptos" w:hAnsi="Aptos" w:cs="Aptos"/>
                        <w:noProof/>
                        <w:color w:val="FF0000"/>
                      </w:rPr>
                    </w:pPr>
                    <w:r w:rsidRPr="0068699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A37"/>
    <w:multiLevelType w:val="multilevel"/>
    <w:tmpl w:val="550AB17C"/>
    <w:lvl w:ilvl="0">
      <w:start w:val="1"/>
      <w:numFmt w:val="decimal"/>
      <w:lvlText w:val="%1"/>
      <w:lvlJc w:val="left"/>
      <w:pPr>
        <w:ind w:left="720" w:hanging="720"/>
      </w:pPr>
      <w:rPr>
        <w:rFonts w:hint="default"/>
        <w:b/>
        <w:strike w:val="0"/>
      </w:rPr>
    </w:lvl>
    <w:lvl w:ilvl="1">
      <w:start w:val="1"/>
      <w:numFmt w:val="decimal"/>
      <w:lvlText w:val="%1.%2"/>
      <w:lvlJc w:val="left"/>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bullet"/>
      <w:lvlText w:val=""/>
      <w:lvlJc w:val="left"/>
      <w:pPr>
        <w:ind w:left="1069"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A937D0"/>
    <w:multiLevelType w:val="hybridMultilevel"/>
    <w:tmpl w:val="00D89BC8"/>
    <w:lvl w:ilvl="0" w:tplc="BB22B18E">
      <w:start w:val="1"/>
      <w:numFmt w:val="bullet"/>
      <w:lvlText w:val=""/>
      <w:lvlJc w:val="left"/>
      <w:pPr>
        <w:ind w:left="720" w:hanging="360"/>
      </w:pPr>
      <w:rPr>
        <w:rFonts w:ascii="Symbol" w:hAnsi="Symbol" w:hint="default"/>
      </w:rPr>
    </w:lvl>
    <w:lvl w:ilvl="1" w:tplc="211EE406">
      <w:start w:val="1"/>
      <w:numFmt w:val="bullet"/>
      <w:lvlText w:val="o"/>
      <w:lvlJc w:val="left"/>
      <w:pPr>
        <w:ind w:left="1440" w:hanging="360"/>
      </w:pPr>
      <w:rPr>
        <w:rFonts w:ascii="Courier New" w:hAnsi="Courier New" w:hint="default"/>
      </w:rPr>
    </w:lvl>
    <w:lvl w:ilvl="2" w:tplc="5DB2139A">
      <w:start w:val="1"/>
      <w:numFmt w:val="bullet"/>
      <w:lvlText w:val=""/>
      <w:lvlJc w:val="left"/>
      <w:pPr>
        <w:ind w:left="2160" w:hanging="360"/>
      </w:pPr>
      <w:rPr>
        <w:rFonts w:ascii="Wingdings" w:hAnsi="Wingdings" w:hint="default"/>
      </w:rPr>
    </w:lvl>
    <w:lvl w:ilvl="3" w:tplc="37C4CA72">
      <w:start w:val="1"/>
      <w:numFmt w:val="bullet"/>
      <w:lvlText w:val=""/>
      <w:lvlJc w:val="left"/>
      <w:pPr>
        <w:ind w:left="2880" w:hanging="360"/>
      </w:pPr>
      <w:rPr>
        <w:rFonts w:ascii="Symbol" w:hAnsi="Symbol" w:hint="default"/>
      </w:rPr>
    </w:lvl>
    <w:lvl w:ilvl="4" w:tplc="FFE6A910">
      <w:start w:val="1"/>
      <w:numFmt w:val="bullet"/>
      <w:lvlText w:val="o"/>
      <w:lvlJc w:val="left"/>
      <w:pPr>
        <w:ind w:left="3600" w:hanging="360"/>
      </w:pPr>
      <w:rPr>
        <w:rFonts w:ascii="Courier New" w:hAnsi="Courier New" w:hint="default"/>
      </w:rPr>
    </w:lvl>
    <w:lvl w:ilvl="5" w:tplc="444ED2C0">
      <w:start w:val="1"/>
      <w:numFmt w:val="bullet"/>
      <w:lvlText w:val=""/>
      <w:lvlJc w:val="left"/>
      <w:pPr>
        <w:ind w:left="4320" w:hanging="360"/>
      </w:pPr>
      <w:rPr>
        <w:rFonts w:ascii="Wingdings" w:hAnsi="Wingdings" w:hint="default"/>
      </w:rPr>
    </w:lvl>
    <w:lvl w:ilvl="6" w:tplc="B20C1278">
      <w:start w:val="1"/>
      <w:numFmt w:val="bullet"/>
      <w:lvlText w:val=""/>
      <w:lvlJc w:val="left"/>
      <w:pPr>
        <w:ind w:left="5040" w:hanging="360"/>
      </w:pPr>
      <w:rPr>
        <w:rFonts w:ascii="Symbol" w:hAnsi="Symbol" w:hint="default"/>
      </w:rPr>
    </w:lvl>
    <w:lvl w:ilvl="7" w:tplc="CF8E34A6">
      <w:start w:val="1"/>
      <w:numFmt w:val="bullet"/>
      <w:lvlText w:val="o"/>
      <w:lvlJc w:val="left"/>
      <w:pPr>
        <w:ind w:left="5760" w:hanging="360"/>
      </w:pPr>
      <w:rPr>
        <w:rFonts w:ascii="Courier New" w:hAnsi="Courier New" w:hint="default"/>
      </w:rPr>
    </w:lvl>
    <w:lvl w:ilvl="8" w:tplc="53B811D6">
      <w:start w:val="1"/>
      <w:numFmt w:val="bullet"/>
      <w:lvlText w:val=""/>
      <w:lvlJc w:val="left"/>
      <w:pPr>
        <w:ind w:left="6480" w:hanging="360"/>
      </w:pPr>
      <w:rPr>
        <w:rFonts w:ascii="Wingdings" w:hAnsi="Wingdings" w:hint="default"/>
      </w:rPr>
    </w:lvl>
  </w:abstractNum>
  <w:abstractNum w:abstractNumId="2" w15:restartNumberingAfterBreak="0">
    <w:nsid w:val="295A23A1"/>
    <w:multiLevelType w:val="hybridMultilevel"/>
    <w:tmpl w:val="7EDC525C"/>
    <w:lvl w:ilvl="0" w:tplc="B2BC72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0B300B2"/>
    <w:multiLevelType w:val="hybridMultilevel"/>
    <w:tmpl w:val="AECA01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7B194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C04CF"/>
    <w:multiLevelType w:val="hybridMultilevel"/>
    <w:tmpl w:val="413060EE"/>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 w15:restartNumberingAfterBreak="0">
    <w:nsid w:val="784D033C"/>
    <w:multiLevelType w:val="multilevel"/>
    <w:tmpl w:val="42F8B89A"/>
    <w:lvl w:ilvl="0">
      <w:start w:val="1"/>
      <w:numFmt w:val="decimal"/>
      <w:pStyle w:val="2Sections"/>
      <w:lvlText w:val="%1"/>
      <w:lvlJc w:val="left"/>
      <w:pPr>
        <w:ind w:left="720" w:hanging="720"/>
      </w:pPr>
      <w:rPr>
        <w:rFonts w:hint="default"/>
        <w:b/>
        <w:strike w:val="0"/>
      </w:rPr>
    </w:lvl>
    <w:lvl w:ilvl="1">
      <w:start w:val="1"/>
      <w:numFmt w:val="decimal"/>
      <w:pStyle w:val="3-BodyText"/>
      <w:lvlText w:val="%1.%2"/>
      <w:lvlJc w:val="left"/>
      <w:rPr>
        <w:specVanish w:val="0"/>
      </w:rPr>
    </w:lvl>
    <w:lvl w:ilvl="2">
      <w:start w:val="1"/>
      <w:numFmt w:val="bullet"/>
      <w:lvlText w:val=""/>
      <w:lvlJc w:val="left"/>
      <w:pPr>
        <w:ind w:left="1069"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B802EF"/>
    <w:multiLevelType w:val="hybridMultilevel"/>
    <w:tmpl w:val="99E2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C82617"/>
    <w:multiLevelType w:val="hybridMultilevel"/>
    <w:tmpl w:val="215E84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FA352E"/>
    <w:multiLevelType w:val="hybridMultilevel"/>
    <w:tmpl w:val="E55CB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528370">
    <w:abstractNumId w:val="1"/>
  </w:num>
  <w:num w:numId="2" w16cid:durableId="555360108">
    <w:abstractNumId w:val="4"/>
  </w:num>
  <w:num w:numId="3" w16cid:durableId="87391714">
    <w:abstractNumId w:val="7"/>
  </w:num>
  <w:num w:numId="4" w16cid:durableId="735514681">
    <w:abstractNumId w:val="5"/>
  </w:num>
  <w:num w:numId="5" w16cid:durableId="1365519130">
    <w:abstractNumId w:val="6"/>
  </w:num>
  <w:num w:numId="6" w16cid:durableId="1543132121">
    <w:abstractNumId w:val="10"/>
  </w:num>
  <w:num w:numId="7" w16cid:durableId="1622566035">
    <w:abstractNumId w:val="0"/>
  </w:num>
  <w:num w:numId="8" w16cid:durableId="1443308528">
    <w:abstractNumId w:val="8"/>
  </w:num>
  <w:num w:numId="9" w16cid:durableId="1317109051">
    <w:abstractNumId w:val="9"/>
  </w:num>
  <w:num w:numId="10" w16cid:durableId="1775007827">
    <w:abstractNumId w:val="2"/>
  </w:num>
  <w:num w:numId="11" w16cid:durableId="153264299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AF"/>
    <w:rsid w:val="00001787"/>
    <w:rsid w:val="00005EB5"/>
    <w:rsid w:val="00007BA0"/>
    <w:rsid w:val="00011B21"/>
    <w:rsid w:val="00013D94"/>
    <w:rsid w:val="0001510B"/>
    <w:rsid w:val="00015B11"/>
    <w:rsid w:val="00017A1C"/>
    <w:rsid w:val="0002143E"/>
    <w:rsid w:val="0002192A"/>
    <w:rsid w:val="000224FA"/>
    <w:rsid w:val="00022FB8"/>
    <w:rsid w:val="00023EBE"/>
    <w:rsid w:val="000247F9"/>
    <w:rsid w:val="00026A96"/>
    <w:rsid w:val="00027744"/>
    <w:rsid w:val="00030C28"/>
    <w:rsid w:val="0003135C"/>
    <w:rsid w:val="00031859"/>
    <w:rsid w:val="00031E49"/>
    <w:rsid w:val="00033B1D"/>
    <w:rsid w:val="00034BDA"/>
    <w:rsid w:val="00035F87"/>
    <w:rsid w:val="0004362F"/>
    <w:rsid w:val="00047223"/>
    <w:rsid w:val="000509FB"/>
    <w:rsid w:val="0005249F"/>
    <w:rsid w:val="0005331D"/>
    <w:rsid w:val="00057A39"/>
    <w:rsid w:val="000613CC"/>
    <w:rsid w:val="000646C9"/>
    <w:rsid w:val="00065A4D"/>
    <w:rsid w:val="00070CA6"/>
    <w:rsid w:val="00072188"/>
    <w:rsid w:val="00072241"/>
    <w:rsid w:val="0007225E"/>
    <w:rsid w:val="00072AE4"/>
    <w:rsid w:val="00074B80"/>
    <w:rsid w:val="000764CF"/>
    <w:rsid w:val="00077A32"/>
    <w:rsid w:val="000816A0"/>
    <w:rsid w:val="00081BF3"/>
    <w:rsid w:val="00081EED"/>
    <w:rsid w:val="000826EC"/>
    <w:rsid w:val="00084685"/>
    <w:rsid w:val="00085108"/>
    <w:rsid w:val="0008564E"/>
    <w:rsid w:val="00086685"/>
    <w:rsid w:val="00092997"/>
    <w:rsid w:val="000A063D"/>
    <w:rsid w:val="000A0D17"/>
    <w:rsid w:val="000A4053"/>
    <w:rsid w:val="000A5C6D"/>
    <w:rsid w:val="000B3D39"/>
    <w:rsid w:val="000B40D7"/>
    <w:rsid w:val="000B62F2"/>
    <w:rsid w:val="000B74BC"/>
    <w:rsid w:val="000B7C80"/>
    <w:rsid w:val="000C0956"/>
    <w:rsid w:val="000C2DB1"/>
    <w:rsid w:val="000C5EDF"/>
    <w:rsid w:val="000C75C6"/>
    <w:rsid w:val="000D0D39"/>
    <w:rsid w:val="000D220F"/>
    <w:rsid w:val="000D2E47"/>
    <w:rsid w:val="000D37F3"/>
    <w:rsid w:val="000D6138"/>
    <w:rsid w:val="000D6A67"/>
    <w:rsid w:val="000D74AE"/>
    <w:rsid w:val="000E11FA"/>
    <w:rsid w:val="000E1339"/>
    <w:rsid w:val="000E3DDC"/>
    <w:rsid w:val="000E3E73"/>
    <w:rsid w:val="000E6FAF"/>
    <w:rsid w:val="000E7DDF"/>
    <w:rsid w:val="000F1742"/>
    <w:rsid w:val="000F390B"/>
    <w:rsid w:val="000F5174"/>
    <w:rsid w:val="000F5E57"/>
    <w:rsid w:val="000F60A4"/>
    <w:rsid w:val="000F7F4C"/>
    <w:rsid w:val="00101682"/>
    <w:rsid w:val="0010586D"/>
    <w:rsid w:val="00105988"/>
    <w:rsid w:val="00105BAC"/>
    <w:rsid w:val="001064F0"/>
    <w:rsid w:val="001065D6"/>
    <w:rsid w:val="00106AE4"/>
    <w:rsid w:val="001078D2"/>
    <w:rsid w:val="00110FB0"/>
    <w:rsid w:val="00113888"/>
    <w:rsid w:val="00121756"/>
    <w:rsid w:val="00126400"/>
    <w:rsid w:val="00127030"/>
    <w:rsid w:val="001321A4"/>
    <w:rsid w:val="00133054"/>
    <w:rsid w:val="00133FC5"/>
    <w:rsid w:val="00136B43"/>
    <w:rsid w:val="001421FB"/>
    <w:rsid w:val="00142CD1"/>
    <w:rsid w:val="00144A11"/>
    <w:rsid w:val="00147078"/>
    <w:rsid w:val="00147506"/>
    <w:rsid w:val="00150397"/>
    <w:rsid w:val="0015237E"/>
    <w:rsid w:val="00154ACF"/>
    <w:rsid w:val="00156130"/>
    <w:rsid w:val="00156148"/>
    <w:rsid w:val="001623C3"/>
    <w:rsid w:val="00164881"/>
    <w:rsid w:val="00164B5C"/>
    <w:rsid w:val="00166364"/>
    <w:rsid w:val="0017077C"/>
    <w:rsid w:val="001707FC"/>
    <w:rsid w:val="00172511"/>
    <w:rsid w:val="00172E13"/>
    <w:rsid w:val="0017460D"/>
    <w:rsid w:val="0017548A"/>
    <w:rsid w:val="00175DE1"/>
    <w:rsid w:val="00177734"/>
    <w:rsid w:val="00182014"/>
    <w:rsid w:val="0018490A"/>
    <w:rsid w:val="001849A8"/>
    <w:rsid w:val="0018518A"/>
    <w:rsid w:val="001862C3"/>
    <w:rsid w:val="001932A5"/>
    <w:rsid w:val="001A4C79"/>
    <w:rsid w:val="001A4F66"/>
    <w:rsid w:val="001A52FA"/>
    <w:rsid w:val="001A5FB6"/>
    <w:rsid w:val="001B0368"/>
    <w:rsid w:val="001B1CED"/>
    <w:rsid w:val="001B1DF4"/>
    <w:rsid w:val="001B6713"/>
    <w:rsid w:val="001B7122"/>
    <w:rsid w:val="001B7D26"/>
    <w:rsid w:val="001C3CDF"/>
    <w:rsid w:val="001C49C0"/>
    <w:rsid w:val="001C5AB4"/>
    <w:rsid w:val="001D1943"/>
    <w:rsid w:val="001D222D"/>
    <w:rsid w:val="001D3157"/>
    <w:rsid w:val="001D3E65"/>
    <w:rsid w:val="001D5A96"/>
    <w:rsid w:val="001D6775"/>
    <w:rsid w:val="001E077C"/>
    <w:rsid w:val="001E4551"/>
    <w:rsid w:val="001E54BE"/>
    <w:rsid w:val="001E6522"/>
    <w:rsid w:val="001F0018"/>
    <w:rsid w:val="001F0E05"/>
    <w:rsid w:val="001F17C8"/>
    <w:rsid w:val="001F1F54"/>
    <w:rsid w:val="001F2390"/>
    <w:rsid w:val="001F2EA4"/>
    <w:rsid w:val="001F51F6"/>
    <w:rsid w:val="001F7885"/>
    <w:rsid w:val="002018F0"/>
    <w:rsid w:val="00202328"/>
    <w:rsid w:val="0020307B"/>
    <w:rsid w:val="00212862"/>
    <w:rsid w:val="00212DE4"/>
    <w:rsid w:val="00213E6A"/>
    <w:rsid w:val="002146B1"/>
    <w:rsid w:val="00220BAC"/>
    <w:rsid w:val="00220DB1"/>
    <w:rsid w:val="00227008"/>
    <w:rsid w:val="002309D7"/>
    <w:rsid w:val="002344C5"/>
    <w:rsid w:val="00236B6B"/>
    <w:rsid w:val="002376F4"/>
    <w:rsid w:val="00240B99"/>
    <w:rsid w:val="00240E4B"/>
    <w:rsid w:val="00241B7F"/>
    <w:rsid w:val="00242CE6"/>
    <w:rsid w:val="00243F4D"/>
    <w:rsid w:val="00244277"/>
    <w:rsid w:val="00244E1C"/>
    <w:rsid w:val="00247BD0"/>
    <w:rsid w:val="00250A39"/>
    <w:rsid w:val="00252BFF"/>
    <w:rsid w:val="00267F76"/>
    <w:rsid w:val="002730AE"/>
    <w:rsid w:val="002733F1"/>
    <w:rsid w:val="00273949"/>
    <w:rsid w:val="00280050"/>
    <w:rsid w:val="00286479"/>
    <w:rsid w:val="00286A22"/>
    <w:rsid w:val="0029165B"/>
    <w:rsid w:val="002A0236"/>
    <w:rsid w:val="002A3166"/>
    <w:rsid w:val="002A621C"/>
    <w:rsid w:val="002B14B4"/>
    <w:rsid w:val="002B1EC4"/>
    <w:rsid w:val="002B22D5"/>
    <w:rsid w:val="002B2531"/>
    <w:rsid w:val="002B3BD0"/>
    <w:rsid w:val="002B687E"/>
    <w:rsid w:val="002B7A52"/>
    <w:rsid w:val="002C3F27"/>
    <w:rsid w:val="002C5832"/>
    <w:rsid w:val="002C7134"/>
    <w:rsid w:val="002D373F"/>
    <w:rsid w:val="002D6A6B"/>
    <w:rsid w:val="002E0A5C"/>
    <w:rsid w:val="002E3A1D"/>
    <w:rsid w:val="002F0C48"/>
    <w:rsid w:val="002F10B1"/>
    <w:rsid w:val="002F1330"/>
    <w:rsid w:val="002F1658"/>
    <w:rsid w:val="002F168C"/>
    <w:rsid w:val="002F2F35"/>
    <w:rsid w:val="002F34B1"/>
    <w:rsid w:val="002F3E1B"/>
    <w:rsid w:val="002F5411"/>
    <w:rsid w:val="002F6139"/>
    <w:rsid w:val="002F6E98"/>
    <w:rsid w:val="00301A3B"/>
    <w:rsid w:val="00305AD0"/>
    <w:rsid w:val="0031416A"/>
    <w:rsid w:val="003163A1"/>
    <w:rsid w:val="00316E79"/>
    <w:rsid w:val="00322B08"/>
    <w:rsid w:val="00323FBF"/>
    <w:rsid w:val="00326034"/>
    <w:rsid w:val="003264FD"/>
    <w:rsid w:val="003303A8"/>
    <w:rsid w:val="00330598"/>
    <w:rsid w:val="00331246"/>
    <w:rsid w:val="0033311C"/>
    <w:rsid w:val="00333CA2"/>
    <w:rsid w:val="00336DD2"/>
    <w:rsid w:val="00340731"/>
    <w:rsid w:val="00342E0C"/>
    <w:rsid w:val="00345C78"/>
    <w:rsid w:val="003460CB"/>
    <w:rsid w:val="0035077A"/>
    <w:rsid w:val="00352BFE"/>
    <w:rsid w:val="00353C72"/>
    <w:rsid w:val="00353F7D"/>
    <w:rsid w:val="00354BAD"/>
    <w:rsid w:val="00354C75"/>
    <w:rsid w:val="00355179"/>
    <w:rsid w:val="00355EC7"/>
    <w:rsid w:val="00360F6A"/>
    <w:rsid w:val="0036195A"/>
    <w:rsid w:val="00365558"/>
    <w:rsid w:val="00370870"/>
    <w:rsid w:val="00371AD4"/>
    <w:rsid w:val="00372C19"/>
    <w:rsid w:val="00375C7E"/>
    <w:rsid w:val="00380229"/>
    <w:rsid w:val="00380EE8"/>
    <w:rsid w:val="0038158B"/>
    <w:rsid w:val="0038190C"/>
    <w:rsid w:val="00381969"/>
    <w:rsid w:val="003838B7"/>
    <w:rsid w:val="00384581"/>
    <w:rsid w:val="00384E0B"/>
    <w:rsid w:val="00385865"/>
    <w:rsid w:val="00390400"/>
    <w:rsid w:val="0039203B"/>
    <w:rsid w:val="00392742"/>
    <w:rsid w:val="00394863"/>
    <w:rsid w:val="00394969"/>
    <w:rsid w:val="003950E9"/>
    <w:rsid w:val="00395F1D"/>
    <w:rsid w:val="003A03D4"/>
    <w:rsid w:val="003A1166"/>
    <w:rsid w:val="003A36BF"/>
    <w:rsid w:val="003A4030"/>
    <w:rsid w:val="003A7060"/>
    <w:rsid w:val="003B0D7A"/>
    <w:rsid w:val="003B0F98"/>
    <w:rsid w:val="003B11F2"/>
    <w:rsid w:val="003B1A02"/>
    <w:rsid w:val="003B4649"/>
    <w:rsid w:val="003B4F7A"/>
    <w:rsid w:val="003B5946"/>
    <w:rsid w:val="003B630E"/>
    <w:rsid w:val="003B7809"/>
    <w:rsid w:val="003C017E"/>
    <w:rsid w:val="003C12FA"/>
    <w:rsid w:val="003C29FD"/>
    <w:rsid w:val="003C2C0E"/>
    <w:rsid w:val="003C4B30"/>
    <w:rsid w:val="003C5B4D"/>
    <w:rsid w:val="003C6031"/>
    <w:rsid w:val="003D3E7E"/>
    <w:rsid w:val="003D6EC9"/>
    <w:rsid w:val="003E04E8"/>
    <w:rsid w:val="003E2F56"/>
    <w:rsid w:val="003E6281"/>
    <w:rsid w:val="003F05B5"/>
    <w:rsid w:val="003F2256"/>
    <w:rsid w:val="003F262C"/>
    <w:rsid w:val="003F2C16"/>
    <w:rsid w:val="003F4C57"/>
    <w:rsid w:val="0040049E"/>
    <w:rsid w:val="00401B0A"/>
    <w:rsid w:val="0040294C"/>
    <w:rsid w:val="00407582"/>
    <w:rsid w:val="0041014F"/>
    <w:rsid w:val="00413137"/>
    <w:rsid w:val="00414D40"/>
    <w:rsid w:val="00416112"/>
    <w:rsid w:val="004170CF"/>
    <w:rsid w:val="00422990"/>
    <w:rsid w:val="00423DE6"/>
    <w:rsid w:val="00427B4C"/>
    <w:rsid w:val="00430848"/>
    <w:rsid w:val="0043406E"/>
    <w:rsid w:val="00434D22"/>
    <w:rsid w:val="00434D58"/>
    <w:rsid w:val="00436511"/>
    <w:rsid w:val="00437504"/>
    <w:rsid w:val="00437B6B"/>
    <w:rsid w:val="00441910"/>
    <w:rsid w:val="004448CD"/>
    <w:rsid w:val="004449B7"/>
    <w:rsid w:val="00445238"/>
    <w:rsid w:val="00445693"/>
    <w:rsid w:val="00450A0F"/>
    <w:rsid w:val="0045380C"/>
    <w:rsid w:val="004560F5"/>
    <w:rsid w:val="00461735"/>
    <w:rsid w:val="00464027"/>
    <w:rsid w:val="004659E0"/>
    <w:rsid w:val="00470A72"/>
    <w:rsid w:val="00472C4D"/>
    <w:rsid w:val="00473457"/>
    <w:rsid w:val="004738B6"/>
    <w:rsid w:val="00474FC9"/>
    <w:rsid w:val="00475BD6"/>
    <w:rsid w:val="00475ED9"/>
    <w:rsid w:val="00475FD1"/>
    <w:rsid w:val="00476674"/>
    <w:rsid w:val="00476AFE"/>
    <w:rsid w:val="00477875"/>
    <w:rsid w:val="00482230"/>
    <w:rsid w:val="00485536"/>
    <w:rsid w:val="0049068A"/>
    <w:rsid w:val="00492FE7"/>
    <w:rsid w:val="004A0E36"/>
    <w:rsid w:val="004A2914"/>
    <w:rsid w:val="004A5DBA"/>
    <w:rsid w:val="004A74D5"/>
    <w:rsid w:val="004B0F87"/>
    <w:rsid w:val="004B4529"/>
    <w:rsid w:val="004B4901"/>
    <w:rsid w:val="004B4C61"/>
    <w:rsid w:val="004B5971"/>
    <w:rsid w:val="004B6DEF"/>
    <w:rsid w:val="004C1B8D"/>
    <w:rsid w:val="004C453C"/>
    <w:rsid w:val="004C5B7E"/>
    <w:rsid w:val="004C6164"/>
    <w:rsid w:val="004C78BA"/>
    <w:rsid w:val="004D0335"/>
    <w:rsid w:val="004D117C"/>
    <w:rsid w:val="004D6920"/>
    <w:rsid w:val="004E1A0A"/>
    <w:rsid w:val="004E1F39"/>
    <w:rsid w:val="004E29FB"/>
    <w:rsid w:val="004E2C7A"/>
    <w:rsid w:val="004E2CD6"/>
    <w:rsid w:val="004E33A4"/>
    <w:rsid w:val="004E4010"/>
    <w:rsid w:val="004E71CD"/>
    <w:rsid w:val="004E72CA"/>
    <w:rsid w:val="004E7630"/>
    <w:rsid w:val="004E7815"/>
    <w:rsid w:val="004F2F97"/>
    <w:rsid w:val="004F3178"/>
    <w:rsid w:val="004F3AC6"/>
    <w:rsid w:val="004F4635"/>
    <w:rsid w:val="004F7643"/>
    <w:rsid w:val="005002BD"/>
    <w:rsid w:val="0050037D"/>
    <w:rsid w:val="00501642"/>
    <w:rsid w:val="00502BA3"/>
    <w:rsid w:val="0050457A"/>
    <w:rsid w:val="005051B2"/>
    <w:rsid w:val="00505485"/>
    <w:rsid w:val="00506C97"/>
    <w:rsid w:val="00507442"/>
    <w:rsid w:val="00507B4B"/>
    <w:rsid w:val="00516327"/>
    <w:rsid w:val="00516A19"/>
    <w:rsid w:val="0051730B"/>
    <w:rsid w:val="00517D87"/>
    <w:rsid w:val="00521499"/>
    <w:rsid w:val="0052275F"/>
    <w:rsid w:val="005227D3"/>
    <w:rsid w:val="00524932"/>
    <w:rsid w:val="005327FB"/>
    <w:rsid w:val="00535C41"/>
    <w:rsid w:val="005376D3"/>
    <w:rsid w:val="00540E00"/>
    <w:rsid w:val="0054343B"/>
    <w:rsid w:val="005449DC"/>
    <w:rsid w:val="00544AD6"/>
    <w:rsid w:val="00546367"/>
    <w:rsid w:val="00546774"/>
    <w:rsid w:val="00547289"/>
    <w:rsid w:val="00551AE9"/>
    <w:rsid w:val="00552637"/>
    <w:rsid w:val="00553C96"/>
    <w:rsid w:val="00556626"/>
    <w:rsid w:val="00557E40"/>
    <w:rsid w:val="0056078D"/>
    <w:rsid w:val="00560BF4"/>
    <w:rsid w:val="00563DD4"/>
    <w:rsid w:val="005641E9"/>
    <w:rsid w:val="00565458"/>
    <w:rsid w:val="00565893"/>
    <w:rsid w:val="005661E5"/>
    <w:rsid w:val="00570BBC"/>
    <w:rsid w:val="00573580"/>
    <w:rsid w:val="00577399"/>
    <w:rsid w:val="00577A20"/>
    <w:rsid w:val="00581C18"/>
    <w:rsid w:val="0058566C"/>
    <w:rsid w:val="005904DC"/>
    <w:rsid w:val="0059087B"/>
    <w:rsid w:val="0059321D"/>
    <w:rsid w:val="005961C7"/>
    <w:rsid w:val="005A30F1"/>
    <w:rsid w:val="005B0184"/>
    <w:rsid w:val="005B02CA"/>
    <w:rsid w:val="005B19E1"/>
    <w:rsid w:val="005B3A95"/>
    <w:rsid w:val="005B3BA2"/>
    <w:rsid w:val="005B5D66"/>
    <w:rsid w:val="005B6034"/>
    <w:rsid w:val="005B723E"/>
    <w:rsid w:val="005B75B4"/>
    <w:rsid w:val="005B7F87"/>
    <w:rsid w:val="005C10F8"/>
    <w:rsid w:val="005C1E2A"/>
    <w:rsid w:val="005C2FF6"/>
    <w:rsid w:val="005C6D7E"/>
    <w:rsid w:val="005C7BD8"/>
    <w:rsid w:val="005D08DC"/>
    <w:rsid w:val="005D3133"/>
    <w:rsid w:val="005D3378"/>
    <w:rsid w:val="005D481C"/>
    <w:rsid w:val="005D539C"/>
    <w:rsid w:val="005D77E3"/>
    <w:rsid w:val="005E042E"/>
    <w:rsid w:val="005E0D63"/>
    <w:rsid w:val="005E2573"/>
    <w:rsid w:val="005F1895"/>
    <w:rsid w:val="005F1E0E"/>
    <w:rsid w:val="005F4F23"/>
    <w:rsid w:val="005F5048"/>
    <w:rsid w:val="005F7823"/>
    <w:rsid w:val="006005C5"/>
    <w:rsid w:val="00602D2D"/>
    <w:rsid w:val="00603D08"/>
    <w:rsid w:val="0060698C"/>
    <w:rsid w:val="00606F41"/>
    <w:rsid w:val="00607351"/>
    <w:rsid w:val="006073D1"/>
    <w:rsid w:val="00612359"/>
    <w:rsid w:val="0061327D"/>
    <w:rsid w:val="00615E8C"/>
    <w:rsid w:val="00615FD5"/>
    <w:rsid w:val="00616796"/>
    <w:rsid w:val="006228B5"/>
    <w:rsid w:val="00622DF8"/>
    <w:rsid w:val="00624190"/>
    <w:rsid w:val="006247DF"/>
    <w:rsid w:val="00626DD4"/>
    <w:rsid w:val="00627321"/>
    <w:rsid w:val="00630797"/>
    <w:rsid w:val="006325D6"/>
    <w:rsid w:val="006353C6"/>
    <w:rsid w:val="00636FDB"/>
    <w:rsid w:val="006404C1"/>
    <w:rsid w:val="00641D97"/>
    <w:rsid w:val="00642402"/>
    <w:rsid w:val="0064273D"/>
    <w:rsid w:val="006434F1"/>
    <w:rsid w:val="006448C4"/>
    <w:rsid w:val="00644C1C"/>
    <w:rsid w:val="00645547"/>
    <w:rsid w:val="00646F2D"/>
    <w:rsid w:val="0064738B"/>
    <w:rsid w:val="00650962"/>
    <w:rsid w:val="00653030"/>
    <w:rsid w:val="006554FB"/>
    <w:rsid w:val="006566FC"/>
    <w:rsid w:val="00657004"/>
    <w:rsid w:val="006608E2"/>
    <w:rsid w:val="006632C5"/>
    <w:rsid w:val="006653C0"/>
    <w:rsid w:val="0066645E"/>
    <w:rsid w:val="00666E37"/>
    <w:rsid w:val="00667FCD"/>
    <w:rsid w:val="00673D71"/>
    <w:rsid w:val="006746E4"/>
    <w:rsid w:val="00681FD3"/>
    <w:rsid w:val="006831AC"/>
    <w:rsid w:val="00684C05"/>
    <w:rsid w:val="0068699C"/>
    <w:rsid w:val="00686C52"/>
    <w:rsid w:val="0068706D"/>
    <w:rsid w:val="00687533"/>
    <w:rsid w:val="0069067A"/>
    <w:rsid w:val="006921FB"/>
    <w:rsid w:val="00693579"/>
    <w:rsid w:val="00693AE8"/>
    <w:rsid w:val="006941DC"/>
    <w:rsid w:val="006948BF"/>
    <w:rsid w:val="00695C05"/>
    <w:rsid w:val="00695D5B"/>
    <w:rsid w:val="006A1CEE"/>
    <w:rsid w:val="006A7E4D"/>
    <w:rsid w:val="006B1D2C"/>
    <w:rsid w:val="006B3DF2"/>
    <w:rsid w:val="006B5B36"/>
    <w:rsid w:val="006B7158"/>
    <w:rsid w:val="006C27C7"/>
    <w:rsid w:val="006C365A"/>
    <w:rsid w:val="006C3E7B"/>
    <w:rsid w:val="006C4B67"/>
    <w:rsid w:val="006C5588"/>
    <w:rsid w:val="006C6768"/>
    <w:rsid w:val="006C6D62"/>
    <w:rsid w:val="006D312C"/>
    <w:rsid w:val="006D4FD0"/>
    <w:rsid w:val="006D5664"/>
    <w:rsid w:val="006E05CE"/>
    <w:rsid w:val="006E2A10"/>
    <w:rsid w:val="006E41B5"/>
    <w:rsid w:val="006F13EE"/>
    <w:rsid w:val="006F1A8E"/>
    <w:rsid w:val="006F1B60"/>
    <w:rsid w:val="006F1E39"/>
    <w:rsid w:val="006F41A7"/>
    <w:rsid w:val="006F48A1"/>
    <w:rsid w:val="00701336"/>
    <w:rsid w:val="007019A9"/>
    <w:rsid w:val="00701EED"/>
    <w:rsid w:val="00705B14"/>
    <w:rsid w:val="00706DE5"/>
    <w:rsid w:val="00706EBE"/>
    <w:rsid w:val="00710C01"/>
    <w:rsid w:val="00714AA7"/>
    <w:rsid w:val="00716394"/>
    <w:rsid w:val="007226A9"/>
    <w:rsid w:val="00724193"/>
    <w:rsid w:val="00727691"/>
    <w:rsid w:val="00730004"/>
    <w:rsid w:val="0073076F"/>
    <w:rsid w:val="0073522E"/>
    <w:rsid w:val="00735CC4"/>
    <w:rsid w:val="007361F4"/>
    <w:rsid w:val="00736E7C"/>
    <w:rsid w:val="0074096E"/>
    <w:rsid w:val="00740F74"/>
    <w:rsid w:val="00741E55"/>
    <w:rsid w:val="00743470"/>
    <w:rsid w:val="00745F91"/>
    <w:rsid w:val="007467A9"/>
    <w:rsid w:val="00752CBD"/>
    <w:rsid w:val="007534EF"/>
    <w:rsid w:val="00753934"/>
    <w:rsid w:val="00754A74"/>
    <w:rsid w:val="0075768A"/>
    <w:rsid w:val="00761C06"/>
    <w:rsid w:val="007626BF"/>
    <w:rsid w:val="00763667"/>
    <w:rsid w:val="00763904"/>
    <w:rsid w:val="00766D83"/>
    <w:rsid w:val="007718B2"/>
    <w:rsid w:val="00773150"/>
    <w:rsid w:val="00776138"/>
    <w:rsid w:val="007779D4"/>
    <w:rsid w:val="00780630"/>
    <w:rsid w:val="00787D5B"/>
    <w:rsid w:val="00787DBA"/>
    <w:rsid w:val="00791DEA"/>
    <w:rsid w:val="0079564C"/>
    <w:rsid w:val="007A09A9"/>
    <w:rsid w:val="007A09D1"/>
    <w:rsid w:val="007A28B1"/>
    <w:rsid w:val="007A484A"/>
    <w:rsid w:val="007A559F"/>
    <w:rsid w:val="007A63AC"/>
    <w:rsid w:val="007A6862"/>
    <w:rsid w:val="007A6D78"/>
    <w:rsid w:val="007B3439"/>
    <w:rsid w:val="007B37A3"/>
    <w:rsid w:val="007B45BC"/>
    <w:rsid w:val="007B4ABE"/>
    <w:rsid w:val="007B5652"/>
    <w:rsid w:val="007B5A8E"/>
    <w:rsid w:val="007C346E"/>
    <w:rsid w:val="007C4A87"/>
    <w:rsid w:val="007C64F5"/>
    <w:rsid w:val="007C6796"/>
    <w:rsid w:val="007D1B57"/>
    <w:rsid w:val="007D2E2D"/>
    <w:rsid w:val="007D3879"/>
    <w:rsid w:val="007D52E9"/>
    <w:rsid w:val="007D5AAC"/>
    <w:rsid w:val="007D69AB"/>
    <w:rsid w:val="007D70F1"/>
    <w:rsid w:val="007E0691"/>
    <w:rsid w:val="007E1287"/>
    <w:rsid w:val="007E16FA"/>
    <w:rsid w:val="007E41E0"/>
    <w:rsid w:val="007E5C14"/>
    <w:rsid w:val="007F0753"/>
    <w:rsid w:val="007F1A18"/>
    <w:rsid w:val="007F26AF"/>
    <w:rsid w:val="007F3348"/>
    <w:rsid w:val="007F359B"/>
    <w:rsid w:val="007F3F78"/>
    <w:rsid w:val="007F4406"/>
    <w:rsid w:val="007F6C5E"/>
    <w:rsid w:val="008017DC"/>
    <w:rsid w:val="00802F08"/>
    <w:rsid w:val="00803169"/>
    <w:rsid w:val="00804B70"/>
    <w:rsid w:val="008050EF"/>
    <w:rsid w:val="00805C2B"/>
    <w:rsid w:val="00806E4D"/>
    <w:rsid w:val="0080707F"/>
    <w:rsid w:val="008071AE"/>
    <w:rsid w:val="008078CF"/>
    <w:rsid w:val="0081082C"/>
    <w:rsid w:val="00811AFA"/>
    <w:rsid w:val="008267D3"/>
    <w:rsid w:val="00831700"/>
    <w:rsid w:val="008345CC"/>
    <w:rsid w:val="00835A36"/>
    <w:rsid w:val="00842116"/>
    <w:rsid w:val="0084459C"/>
    <w:rsid w:val="008452D1"/>
    <w:rsid w:val="008472FF"/>
    <w:rsid w:val="0084794F"/>
    <w:rsid w:val="00851A9B"/>
    <w:rsid w:val="0085234E"/>
    <w:rsid w:val="0085577D"/>
    <w:rsid w:val="008559A8"/>
    <w:rsid w:val="00856B50"/>
    <w:rsid w:val="008626A1"/>
    <w:rsid w:val="008648CC"/>
    <w:rsid w:val="00871B6B"/>
    <w:rsid w:val="00875E13"/>
    <w:rsid w:val="008768F2"/>
    <w:rsid w:val="008813EE"/>
    <w:rsid w:val="00882849"/>
    <w:rsid w:val="00886B31"/>
    <w:rsid w:val="00891B66"/>
    <w:rsid w:val="00893C35"/>
    <w:rsid w:val="0089558F"/>
    <w:rsid w:val="00895D0A"/>
    <w:rsid w:val="008975EF"/>
    <w:rsid w:val="008A05D0"/>
    <w:rsid w:val="008A1EA1"/>
    <w:rsid w:val="008A20B1"/>
    <w:rsid w:val="008A572A"/>
    <w:rsid w:val="008B5A7D"/>
    <w:rsid w:val="008B66C1"/>
    <w:rsid w:val="008B788E"/>
    <w:rsid w:val="008C13C1"/>
    <w:rsid w:val="008C34AD"/>
    <w:rsid w:val="008C4470"/>
    <w:rsid w:val="008C4AFC"/>
    <w:rsid w:val="008D0698"/>
    <w:rsid w:val="008D222B"/>
    <w:rsid w:val="008D3078"/>
    <w:rsid w:val="008D31E9"/>
    <w:rsid w:val="008D3EFA"/>
    <w:rsid w:val="008D49CA"/>
    <w:rsid w:val="008D5098"/>
    <w:rsid w:val="008D5D0A"/>
    <w:rsid w:val="008D6066"/>
    <w:rsid w:val="008E2A02"/>
    <w:rsid w:val="008E2D7D"/>
    <w:rsid w:val="008E4A4D"/>
    <w:rsid w:val="008E4C3C"/>
    <w:rsid w:val="008E53F8"/>
    <w:rsid w:val="008E5DC8"/>
    <w:rsid w:val="008E7780"/>
    <w:rsid w:val="008F15B2"/>
    <w:rsid w:val="008F1D1D"/>
    <w:rsid w:val="008F1F1A"/>
    <w:rsid w:val="008F311F"/>
    <w:rsid w:val="008F523D"/>
    <w:rsid w:val="008F569E"/>
    <w:rsid w:val="008F63B5"/>
    <w:rsid w:val="008F79BA"/>
    <w:rsid w:val="00900658"/>
    <w:rsid w:val="009017E9"/>
    <w:rsid w:val="0090321C"/>
    <w:rsid w:val="009032FF"/>
    <w:rsid w:val="009034B4"/>
    <w:rsid w:val="00905839"/>
    <w:rsid w:val="00906336"/>
    <w:rsid w:val="00906960"/>
    <w:rsid w:val="009069CF"/>
    <w:rsid w:val="009071A9"/>
    <w:rsid w:val="00911518"/>
    <w:rsid w:val="009134BD"/>
    <w:rsid w:val="009140E3"/>
    <w:rsid w:val="009146A4"/>
    <w:rsid w:val="009151E7"/>
    <w:rsid w:val="00915656"/>
    <w:rsid w:val="00916248"/>
    <w:rsid w:val="00916D98"/>
    <w:rsid w:val="00921D80"/>
    <w:rsid w:val="0092498F"/>
    <w:rsid w:val="00925742"/>
    <w:rsid w:val="00925AF0"/>
    <w:rsid w:val="009274EF"/>
    <w:rsid w:val="0092753F"/>
    <w:rsid w:val="0093019C"/>
    <w:rsid w:val="0093131D"/>
    <w:rsid w:val="0093192E"/>
    <w:rsid w:val="00934A80"/>
    <w:rsid w:val="00941446"/>
    <w:rsid w:val="00942E46"/>
    <w:rsid w:val="00944F61"/>
    <w:rsid w:val="00945C0D"/>
    <w:rsid w:val="00953542"/>
    <w:rsid w:val="00954A2B"/>
    <w:rsid w:val="00955478"/>
    <w:rsid w:val="00956E6E"/>
    <w:rsid w:val="009623E6"/>
    <w:rsid w:val="00963733"/>
    <w:rsid w:val="009656ED"/>
    <w:rsid w:val="00965F75"/>
    <w:rsid w:val="00971DFA"/>
    <w:rsid w:val="009733EB"/>
    <w:rsid w:val="0097372E"/>
    <w:rsid w:val="00973A2A"/>
    <w:rsid w:val="00975253"/>
    <w:rsid w:val="009779BA"/>
    <w:rsid w:val="009815D0"/>
    <w:rsid w:val="00982224"/>
    <w:rsid w:val="009842F1"/>
    <w:rsid w:val="00984907"/>
    <w:rsid w:val="00986549"/>
    <w:rsid w:val="00986A7A"/>
    <w:rsid w:val="009902A3"/>
    <w:rsid w:val="009956B3"/>
    <w:rsid w:val="009958F4"/>
    <w:rsid w:val="009962A9"/>
    <w:rsid w:val="009970E9"/>
    <w:rsid w:val="009A4169"/>
    <w:rsid w:val="009A4683"/>
    <w:rsid w:val="009A530F"/>
    <w:rsid w:val="009A63A2"/>
    <w:rsid w:val="009A6D77"/>
    <w:rsid w:val="009B03F0"/>
    <w:rsid w:val="009B5B35"/>
    <w:rsid w:val="009C0A8A"/>
    <w:rsid w:val="009C1104"/>
    <w:rsid w:val="009C5588"/>
    <w:rsid w:val="009D0B0C"/>
    <w:rsid w:val="009D0FEB"/>
    <w:rsid w:val="009D1AD9"/>
    <w:rsid w:val="009D31AE"/>
    <w:rsid w:val="009D3235"/>
    <w:rsid w:val="009D43EF"/>
    <w:rsid w:val="009D48BF"/>
    <w:rsid w:val="009D53AF"/>
    <w:rsid w:val="009D675A"/>
    <w:rsid w:val="009E08EC"/>
    <w:rsid w:val="009E2D9B"/>
    <w:rsid w:val="009E4A2C"/>
    <w:rsid w:val="009E753B"/>
    <w:rsid w:val="009E7B95"/>
    <w:rsid w:val="009F2BB0"/>
    <w:rsid w:val="009F7CEF"/>
    <w:rsid w:val="009F7E5A"/>
    <w:rsid w:val="00A01396"/>
    <w:rsid w:val="00A01947"/>
    <w:rsid w:val="00A02A57"/>
    <w:rsid w:val="00A04E50"/>
    <w:rsid w:val="00A06E2D"/>
    <w:rsid w:val="00A10908"/>
    <w:rsid w:val="00A123E2"/>
    <w:rsid w:val="00A12495"/>
    <w:rsid w:val="00A13FA0"/>
    <w:rsid w:val="00A147BA"/>
    <w:rsid w:val="00A16E49"/>
    <w:rsid w:val="00A17FBE"/>
    <w:rsid w:val="00A20195"/>
    <w:rsid w:val="00A20858"/>
    <w:rsid w:val="00A22519"/>
    <w:rsid w:val="00A22843"/>
    <w:rsid w:val="00A27CFC"/>
    <w:rsid w:val="00A32E57"/>
    <w:rsid w:val="00A34C9C"/>
    <w:rsid w:val="00A36C7A"/>
    <w:rsid w:val="00A40A93"/>
    <w:rsid w:val="00A4186F"/>
    <w:rsid w:val="00A431FC"/>
    <w:rsid w:val="00A435E5"/>
    <w:rsid w:val="00A4376B"/>
    <w:rsid w:val="00A46F2F"/>
    <w:rsid w:val="00A51206"/>
    <w:rsid w:val="00A51696"/>
    <w:rsid w:val="00A5682A"/>
    <w:rsid w:val="00A56BF7"/>
    <w:rsid w:val="00A56CC5"/>
    <w:rsid w:val="00A6059E"/>
    <w:rsid w:val="00A605E3"/>
    <w:rsid w:val="00A607BD"/>
    <w:rsid w:val="00A61A09"/>
    <w:rsid w:val="00A61C97"/>
    <w:rsid w:val="00A639F3"/>
    <w:rsid w:val="00A64A3E"/>
    <w:rsid w:val="00A6708C"/>
    <w:rsid w:val="00A70084"/>
    <w:rsid w:val="00A72C6C"/>
    <w:rsid w:val="00A73D14"/>
    <w:rsid w:val="00A75C39"/>
    <w:rsid w:val="00A76498"/>
    <w:rsid w:val="00A777BD"/>
    <w:rsid w:val="00A8188D"/>
    <w:rsid w:val="00A8239B"/>
    <w:rsid w:val="00A829E9"/>
    <w:rsid w:val="00A85168"/>
    <w:rsid w:val="00A85B17"/>
    <w:rsid w:val="00A86110"/>
    <w:rsid w:val="00A9231B"/>
    <w:rsid w:val="00A92947"/>
    <w:rsid w:val="00A92C56"/>
    <w:rsid w:val="00A93F18"/>
    <w:rsid w:val="00AA0276"/>
    <w:rsid w:val="00AA2156"/>
    <w:rsid w:val="00AA23EE"/>
    <w:rsid w:val="00AA2B40"/>
    <w:rsid w:val="00AA2C15"/>
    <w:rsid w:val="00AA64F6"/>
    <w:rsid w:val="00AA7A91"/>
    <w:rsid w:val="00AB0780"/>
    <w:rsid w:val="00AB1F76"/>
    <w:rsid w:val="00AB22A9"/>
    <w:rsid w:val="00AB4E22"/>
    <w:rsid w:val="00AB548F"/>
    <w:rsid w:val="00AB60CE"/>
    <w:rsid w:val="00AB6261"/>
    <w:rsid w:val="00AB67AA"/>
    <w:rsid w:val="00AB6C1D"/>
    <w:rsid w:val="00AC00B7"/>
    <w:rsid w:val="00AC0898"/>
    <w:rsid w:val="00AC1E42"/>
    <w:rsid w:val="00AC28F4"/>
    <w:rsid w:val="00AC32E5"/>
    <w:rsid w:val="00AC4B43"/>
    <w:rsid w:val="00AC7132"/>
    <w:rsid w:val="00AD02A7"/>
    <w:rsid w:val="00AD5B0E"/>
    <w:rsid w:val="00AD5D9D"/>
    <w:rsid w:val="00AD7435"/>
    <w:rsid w:val="00AD75FF"/>
    <w:rsid w:val="00AE0136"/>
    <w:rsid w:val="00AE0B94"/>
    <w:rsid w:val="00AF244C"/>
    <w:rsid w:val="00AF5F2B"/>
    <w:rsid w:val="00B0026B"/>
    <w:rsid w:val="00B002F8"/>
    <w:rsid w:val="00B0177E"/>
    <w:rsid w:val="00B01E66"/>
    <w:rsid w:val="00B020EC"/>
    <w:rsid w:val="00B02CDD"/>
    <w:rsid w:val="00B03312"/>
    <w:rsid w:val="00B061CC"/>
    <w:rsid w:val="00B1221E"/>
    <w:rsid w:val="00B12710"/>
    <w:rsid w:val="00B12AB7"/>
    <w:rsid w:val="00B1449C"/>
    <w:rsid w:val="00B151A1"/>
    <w:rsid w:val="00B16676"/>
    <w:rsid w:val="00B170CA"/>
    <w:rsid w:val="00B17DC2"/>
    <w:rsid w:val="00B20201"/>
    <w:rsid w:val="00B207D4"/>
    <w:rsid w:val="00B2555C"/>
    <w:rsid w:val="00B32D6E"/>
    <w:rsid w:val="00B34B7E"/>
    <w:rsid w:val="00B34DFE"/>
    <w:rsid w:val="00B35837"/>
    <w:rsid w:val="00B44090"/>
    <w:rsid w:val="00B4599C"/>
    <w:rsid w:val="00B46D59"/>
    <w:rsid w:val="00B470CF"/>
    <w:rsid w:val="00B47FDF"/>
    <w:rsid w:val="00B5041F"/>
    <w:rsid w:val="00B50E51"/>
    <w:rsid w:val="00B51A5A"/>
    <w:rsid w:val="00B51C0C"/>
    <w:rsid w:val="00B520B7"/>
    <w:rsid w:val="00B532AD"/>
    <w:rsid w:val="00B555E4"/>
    <w:rsid w:val="00B579B1"/>
    <w:rsid w:val="00B57C0D"/>
    <w:rsid w:val="00B600E5"/>
    <w:rsid w:val="00B60C0B"/>
    <w:rsid w:val="00B62315"/>
    <w:rsid w:val="00B6731F"/>
    <w:rsid w:val="00B746BD"/>
    <w:rsid w:val="00B75D30"/>
    <w:rsid w:val="00B77956"/>
    <w:rsid w:val="00B80614"/>
    <w:rsid w:val="00B81174"/>
    <w:rsid w:val="00B82376"/>
    <w:rsid w:val="00B834EC"/>
    <w:rsid w:val="00B92353"/>
    <w:rsid w:val="00B93D35"/>
    <w:rsid w:val="00B9582A"/>
    <w:rsid w:val="00BA436E"/>
    <w:rsid w:val="00BA449D"/>
    <w:rsid w:val="00BA44BE"/>
    <w:rsid w:val="00BA6BC0"/>
    <w:rsid w:val="00BA7508"/>
    <w:rsid w:val="00BA7D23"/>
    <w:rsid w:val="00BB019D"/>
    <w:rsid w:val="00BB0607"/>
    <w:rsid w:val="00BB255F"/>
    <w:rsid w:val="00BB34BE"/>
    <w:rsid w:val="00BB4105"/>
    <w:rsid w:val="00BB4393"/>
    <w:rsid w:val="00BB461D"/>
    <w:rsid w:val="00BB5934"/>
    <w:rsid w:val="00BB5D6D"/>
    <w:rsid w:val="00BB68DD"/>
    <w:rsid w:val="00BC3E55"/>
    <w:rsid w:val="00BC6BF1"/>
    <w:rsid w:val="00BD0B9B"/>
    <w:rsid w:val="00BD1D09"/>
    <w:rsid w:val="00BD248A"/>
    <w:rsid w:val="00BD4D6E"/>
    <w:rsid w:val="00BD4D7D"/>
    <w:rsid w:val="00BD551F"/>
    <w:rsid w:val="00BD55D9"/>
    <w:rsid w:val="00BD68FB"/>
    <w:rsid w:val="00BD7A4A"/>
    <w:rsid w:val="00BE13C2"/>
    <w:rsid w:val="00BE2BB8"/>
    <w:rsid w:val="00BE467D"/>
    <w:rsid w:val="00BE479C"/>
    <w:rsid w:val="00BE52EB"/>
    <w:rsid w:val="00BE5A08"/>
    <w:rsid w:val="00BE697F"/>
    <w:rsid w:val="00BEAAEE"/>
    <w:rsid w:val="00BF2BD6"/>
    <w:rsid w:val="00BF3A98"/>
    <w:rsid w:val="00BF751D"/>
    <w:rsid w:val="00C023DF"/>
    <w:rsid w:val="00C02EBC"/>
    <w:rsid w:val="00C038E0"/>
    <w:rsid w:val="00C05506"/>
    <w:rsid w:val="00C05524"/>
    <w:rsid w:val="00C06098"/>
    <w:rsid w:val="00C069B2"/>
    <w:rsid w:val="00C07483"/>
    <w:rsid w:val="00C07769"/>
    <w:rsid w:val="00C12E99"/>
    <w:rsid w:val="00C12F0A"/>
    <w:rsid w:val="00C15D3E"/>
    <w:rsid w:val="00C179F7"/>
    <w:rsid w:val="00C211BD"/>
    <w:rsid w:val="00C215C1"/>
    <w:rsid w:val="00C228A5"/>
    <w:rsid w:val="00C23DC7"/>
    <w:rsid w:val="00C254CB"/>
    <w:rsid w:val="00C2665F"/>
    <w:rsid w:val="00C272FF"/>
    <w:rsid w:val="00C310B7"/>
    <w:rsid w:val="00C357A7"/>
    <w:rsid w:val="00C3654D"/>
    <w:rsid w:val="00C37EA8"/>
    <w:rsid w:val="00C37FF4"/>
    <w:rsid w:val="00C400B6"/>
    <w:rsid w:val="00C40C1D"/>
    <w:rsid w:val="00C41848"/>
    <w:rsid w:val="00C459E2"/>
    <w:rsid w:val="00C45C6F"/>
    <w:rsid w:val="00C45D89"/>
    <w:rsid w:val="00C5059D"/>
    <w:rsid w:val="00C510B8"/>
    <w:rsid w:val="00C512EA"/>
    <w:rsid w:val="00C52B03"/>
    <w:rsid w:val="00C5371E"/>
    <w:rsid w:val="00C55591"/>
    <w:rsid w:val="00C55EE2"/>
    <w:rsid w:val="00C56089"/>
    <w:rsid w:val="00C574F3"/>
    <w:rsid w:val="00C57519"/>
    <w:rsid w:val="00C616B3"/>
    <w:rsid w:val="00C62CBA"/>
    <w:rsid w:val="00C65CC6"/>
    <w:rsid w:val="00C6671B"/>
    <w:rsid w:val="00C678A9"/>
    <w:rsid w:val="00C7109F"/>
    <w:rsid w:val="00C7148A"/>
    <w:rsid w:val="00C71665"/>
    <w:rsid w:val="00C71D89"/>
    <w:rsid w:val="00C74145"/>
    <w:rsid w:val="00C742C9"/>
    <w:rsid w:val="00C85256"/>
    <w:rsid w:val="00C8719C"/>
    <w:rsid w:val="00C90446"/>
    <w:rsid w:val="00C9081B"/>
    <w:rsid w:val="00C92163"/>
    <w:rsid w:val="00C93469"/>
    <w:rsid w:val="00C94665"/>
    <w:rsid w:val="00C95675"/>
    <w:rsid w:val="00CA1229"/>
    <w:rsid w:val="00CA1D31"/>
    <w:rsid w:val="00CA5E45"/>
    <w:rsid w:val="00CB14AF"/>
    <w:rsid w:val="00CB2FF7"/>
    <w:rsid w:val="00CB4E00"/>
    <w:rsid w:val="00CB60AB"/>
    <w:rsid w:val="00CB7DEC"/>
    <w:rsid w:val="00CC0273"/>
    <w:rsid w:val="00CC1100"/>
    <w:rsid w:val="00CC5A3C"/>
    <w:rsid w:val="00CD03E7"/>
    <w:rsid w:val="00CD2046"/>
    <w:rsid w:val="00CD248E"/>
    <w:rsid w:val="00CD308C"/>
    <w:rsid w:val="00CD4426"/>
    <w:rsid w:val="00CD4F55"/>
    <w:rsid w:val="00CD5DBA"/>
    <w:rsid w:val="00CD7330"/>
    <w:rsid w:val="00CD7A14"/>
    <w:rsid w:val="00CE17EC"/>
    <w:rsid w:val="00CE48C4"/>
    <w:rsid w:val="00CE549E"/>
    <w:rsid w:val="00CE7FBE"/>
    <w:rsid w:val="00CF25DC"/>
    <w:rsid w:val="00CF6EE0"/>
    <w:rsid w:val="00D00701"/>
    <w:rsid w:val="00D03115"/>
    <w:rsid w:val="00D03FEF"/>
    <w:rsid w:val="00D05007"/>
    <w:rsid w:val="00D057D2"/>
    <w:rsid w:val="00D07156"/>
    <w:rsid w:val="00D1334A"/>
    <w:rsid w:val="00D17431"/>
    <w:rsid w:val="00D2173F"/>
    <w:rsid w:val="00D237F5"/>
    <w:rsid w:val="00D245C9"/>
    <w:rsid w:val="00D24D59"/>
    <w:rsid w:val="00D30862"/>
    <w:rsid w:val="00D30B60"/>
    <w:rsid w:val="00D3104D"/>
    <w:rsid w:val="00D31D35"/>
    <w:rsid w:val="00D3307E"/>
    <w:rsid w:val="00D40C2B"/>
    <w:rsid w:val="00D416E3"/>
    <w:rsid w:val="00D42759"/>
    <w:rsid w:val="00D438EC"/>
    <w:rsid w:val="00D44289"/>
    <w:rsid w:val="00D44374"/>
    <w:rsid w:val="00D45FAE"/>
    <w:rsid w:val="00D510EF"/>
    <w:rsid w:val="00D51824"/>
    <w:rsid w:val="00D51C5C"/>
    <w:rsid w:val="00D54EA0"/>
    <w:rsid w:val="00D55E02"/>
    <w:rsid w:val="00D56A5F"/>
    <w:rsid w:val="00D56BE1"/>
    <w:rsid w:val="00D65BE9"/>
    <w:rsid w:val="00D65C1C"/>
    <w:rsid w:val="00D71201"/>
    <w:rsid w:val="00D73076"/>
    <w:rsid w:val="00D744E3"/>
    <w:rsid w:val="00D752A5"/>
    <w:rsid w:val="00D80AEC"/>
    <w:rsid w:val="00D814B0"/>
    <w:rsid w:val="00D82BFB"/>
    <w:rsid w:val="00D83A01"/>
    <w:rsid w:val="00D83B82"/>
    <w:rsid w:val="00D8487C"/>
    <w:rsid w:val="00D85995"/>
    <w:rsid w:val="00D85A98"/>
    <w:rsid w:val="00D87BB5"/>
    <w:rsid w:val="00D90F19"/>
    <w:rsid w:val="00D9177C"/>
    <w:rsid w:val="00D91A40"/>
    <w:rsid w:val="00D929BB"/>
    <w:rsid w:val="00D9312F"/>
    <w:rsid w:val="00D93533"/>
    <w:rsid w:val="00D95D49"/>
    <w:rsid w:val="00D96BE4"/>
    <w:rsid w:val="00D970D6"/>
    <w:rsid w:val="00DA0996"/>
    <w:rsid w:val="00DA4755"/>
    <w:rsid w:val="00DA4B03"/>
    <w:rsid w:val="00DA53C5"/>
    <w:rsid w:val="00DA62D8"/>
    <w:rsid w:val="00DB0E9D"/>
    <w:rsid w:val="00DB4E5E"/>
    <w:rsid w:val="00DB61D5"/>
    <w:rsid w:val="00DB6A01"/>
    <w:rsid w:val="00DC535A"/>
    <w:rsid w:val="00DC5E8B"/>
    <w:rsid w:val="00DC7BFD"/>
    <w:rsid w:val="00DC7C6B"/>
    <w:rsid w:val="00DD085B"/>
    <w:rsid w:val="00DD235F"/>
    <w:rsid w:val="00DD305A"/>
    <w:rsid w:val="00DD537C"/>
    <w:rsid w:val="00DD65B7"/>
    <w:rsid w:val="00DE1124"/>
    <w:rsid w:val="00DE4B0C"/>
    <w:rsid w:val="00DE5A70"/>
    <w:rsid w:val="00DE692B"/>
    <w:rsid w:val="00DF2730"/>
    <w:rsid w:val="00DF4DF9"/>
    <w:rsid w:val="00DF6EBC"/>
    <w:rsid w:val="00E0135A"/>
    <w:rsid w:val="00E02449"/>
    <w:rsid w:val="00E0268F"/>
    <w:rsid w:val="00E029A2"/>
    <w:rsid w:val="00E040FE"/>
    <w:rsid w:val="00E04C34"/>
    <w:rsid w:val="00E065D5"/>
    <w:rsid w:val="00E10673"/>
    <w:rsid w:val="00E15318"/>
    <w:rsid w:val="00E22FEE"/>
    <w:rsid w:val="00E23C9B"/>
    <w:rsid w:val="00E258FB"/>
    <w:rsid w:val="00E27F07"/>
    <w:rsid w:val="00E30FAA"/>
    <w:rsid w:val="00E318FD"/>
    <w:rsid w:val="00E32409"/>
    <w:rsid w:val="00E33C75"/>
    <w:rsid w:val="00E34976"/>
    <w:rsid w:val="00E34C04"/>
    <w:rsid w:val="00E35650"/>
    <w:rsid w:val="00E36A50"/>
    <w:rsid w:val="00E36ADE"/>
    <w:rsid w:val="00E4065F"/>
    <w:rsid w:val="00E416D5"/>
    <w:rsid w:val="00E44C77"/>
    <w:rsid w:val="00E509F0"/>
    <w:rsid w:val="00E50E67"/>
    <w:rsid w:val="00E51984"/>
    <w:rsid w:val="00E52E56"/>
    <w:rsid w:val="00E54040"/>
    <w:rsid w:val="00E5433E"/>
    <w:rsid w:val="00E549DF"/>
    <w:rsid w:val="00E54D63"/>
    <w:rsid w:val="00E55033"/>
    <w:rsid w:val="00E565D8"/>
    <w:rsid w:val="00E57493"/>
    <w:rsid w:val="00E576AD"/>
    <w:rsid w:val="00E57B48"/>
    <w:rsid w:val="00E61C70"/>
    <w:rsid w:val="00E645C5"/>
    <w:rsid w:val="00E6466B"/>
    <w:rsid w:val="00E6620C"/>
    <w:rsid w:val="00E6683E"/>
    <w:rsid w:val="00E70CEB"/>
    <w:rsid w:val="00E72BFB"/>
    <w:rsid w:val="00E74219"/>
    <w:rsid w:val="00E75647"/>
    <w:rsid w:val="00E773ED"/>
    <w:rsid w:val="00E77AF7"/>
    <w:rsid w:val="00E8046A"/>
    <w:rsid w:val="00E85944"/>
    <w:rsid w:val="00E85E75"/>
    <w:rsid w:val="00E86816"/>
    <w:rsid w:val="00E91361"/>
    <w:rsid w:val="00E946FE"/>
    <w:rsid w:val="00E95933"/>
    <w:rsid w:val="00E97CB2"/>
    <w:rsid w:val="00EA026F"/>
    <w:rsid w:val="00EA2023"/>
    <w:rsid w:val="00EA3533"/>
    <w:rsid w:val="00EA48D2"/>
    <w:rsid w:val="00EA5638"/>
    <w:rsid w:val="00EA65A9"/>
    <w:rsid w:val="00EB3119"/>
    <w:rsid w:val="00EB4896"/>
    <w:rsid w:val="00EB50ED"/>
    <w:rsid w:val="00EB54C1"/>
    <w:rsid w:val="00EB55AB"/>
    <w:rsid w:val="00EB6A77"/>
    <w:rsid w:val="00EC3430"/>
    <w:rsid w:val="00EC4665"/>
    <w:rsid w:val="00EC4F88"/>
    <w:rsid w:val="00ED0D49"/>
    <w:rsid w:val="00ED1B74"/>
    <w:rsid w:val="00ED258C"/>
    <w:rsid w:val="00ED4525"/>
    <w:rsid w:val="00ED4608"/>
    <w:rsid w:val="00ED50BE"/>
    <w:rsid w:val="00EE1C88"/>
    <w:rsid w:val="00EE2E6E"/>
    <w:rsid w:val="00EE3341"/>
    <w:rsid w:val="00EE579B"/>
    <w:rsid w:val="00EE655F"/>
    <w:rsid w:val="00EF16CB"/>
    <w:rsid w:val="00EF4C46"/>
    <w:rsid w:val="00EF70F0"/>
    <w:rsid w:val="00F019C6"/>
    <w:rsid w:val="00F02ECC"/>
    <w:rsid w:val="00F030A5"/>
    <w:rsid w:val="00F04D38"/>
    <w:rsid w:val="00F05FD3"/>
    <w:rsid w:val="00F11F0D"/>
    <w:rsid w:val="00F135B5"/>
    <w:rsid w:val="00F14428"/>
    <w:rsid w:val="00F14D6C"/>
    <w:rsid w:val="00F23174"/>
    <w:rsid w:val="00F23441"/>
    <w:rsid w:val="00F24161"/>
    <w:rsid w:val="00F24420"/>
    <w:rsid w:val="00F24DBE"/>
    <w:rsid w:val="00F2513E"/>
    <w:rsid w:val="00F25986"/>
    <w:rsid w:val="00F2668E"/>
    <w:rsid w:val="00F33B9A"/>
    <w:rsid w:val="00F34BFC"/>
    <w:rsid w:val="00F35BBB"/>
    <w:rsid w:val="00F4334E"/>
    <w:rsid w:val="00F440AD"/>
    <w:rsid w:val="00F44A94"/>
    <w:rsid w:val="00F45A57"/>
    <w:rsid w:val="00F47485"/>
    <w:rsid w:val="00F51B5E"/>
    <w:rsid w:val="00F56822"/>
    <w:rsid w:val="00F63B54"/>
    <w:rsid w:val="00F6516A"/>
    <w:rsid w:val="00F657A3"/>
    <w:rsid w:val="00F66E65"/>
    <w:rsid w:val="00F71184"/>
    <w:rsid w:val="00F716D2"/>
    <w:rsid w:val="00F7378C"/>
    <w:rsid w:val="00F738E7"/>
    <w:rsid w:val="00F749F1"/>
    <w:rsid w:val="00F7796C"/>
    <w:rsid w:val="00F77975"/>
    <w:rsid w:val="00F8150C"/>
    <w:rsid w:val="00F824A8"/>
    <w:rsid w:val="00F851FF"/>
    <w:rsid w:val="00F86FDF"/>
    <w:rsid w:val="00F872A4"/>
    <w:rsid w:val="00F901FE"/>
    <w:rsid w:val="00F90B29"/>
    <w:rsid w:val="00F91110"/>
    <w:rsid w:val="00F928D4"/>
    <w:rsid w:val="00F93A2B"/>
    <w:rsid w:val="00FA2B6A"/>
    <w:rsid w:val="00FA4558"/>
    <w:rsid w:val="00FA5272"/>
    <w:rsid w:val="00FA70AB"/>
    <w:rsid w:val="00FA7D98"/>
    <w:rsid w:val="00FB00F7"/>
    <w:rsid w:val="00FB1557"/>
    <w:rsid w:val="00FB354E"/>
    <w:rsid w:val="00FB51D0"/>
    <w:rsid w:val="00FB64BF"/>
    <w:rsid w:val="00FB7941"/>
    <w:rsid w:val="00FC0733"/>
    <w:rsid w:val="00FC0B5A"/>
    <w:rsid w:val="00FC3D8A"/>
    <w:rsid w:val="00FC5C96"/>
    <w:rsid w:val="00FC6C30"/>
    <w:rsid w:val="00FD0C4B"/>
    <w:rsid w:val="00FD14DF"/>
    <w:rsid w:val="00FD1E6B"/>
    <w:rsid w:val="00FD1EE0"/>
    <w:rsid w:val="00FD3B15"/>
    <w:rsid w:val="00FD4D7E"/>
    <w:rsid w:val="00FD7A3C"/>
    <w:rsid w:val="00FD7B72"/>
    <w:rsid w:val="00FE161E"/>
    <w:rsid w:val="00FE1B0C"/>
    <w:rsid w:val="00FE21B8"/>
    <w:rsid w:val="00FE4094"/>
    <w:rsid w:val="00FE4B63"/>
    <w:rsid w:val="00FE74D4"/>
    <w:rsid w:val="00FF1E41"/>
    <w:rsid w:val="00FF6CAE"/>
    <w:rsid w:val="01305016"/>
    <w:rsid w:val="01347F19"/>
    <w:rsid w:val="013C148A"/>
    <w:rsid w:val="0180C5DD"/>
    <w:rsid w:val="019FB528"/>
    <w:rsid w:val="01C408F1"/>
    <w:rsid w:val="01FAA0FA"/>
    <w:rsid w:val="02731A3A"/>
    <w:rsid w:val="03CB83B9"/>
    <w:rsid w:val="04376DBB"/>
    <w:rsid w:val="044A0CFD"/>
    <w:rsid w:val="0462D16F"/>
    <w:rsid w:val="04703D98"/>
    <w:rsid w:val="052D7D3F"/>
    <w:rsid w:val="05A09A17"/>
    <w:rsid w:val="05E5BCF2"/>
    <w:rsid w:val="05F6834B"/>
    <w:rsid w:val="062C0158"/>
    <w:rsid w:val="0637A8E3"/>
    <w:rsid w:val="065EC111"/>
    <w:rsid w:val="06DDEC0C"/>
    <w:rsid w:val="06F50194"/>
    <w:rsid w:val="07239D32"/>
    <w:rsid w:val="0748B955"/>
    <w:rsid w:val="0832942F"/>
    <w:rsid w:val="083D8825"/>
    <w:rsid w:val="084B6635"/>
    <w:rsid w:val="08E5A85B"/>
    <w:rsid w:val="08F830C9"/>
    <w:rsid w:val="09135495"/>
    <w:rsid w:val="093A5F39"/>
    <w:rsid w:val="09B0A7FE"/>
    <w:rsid w:val="09E07EA4"/>
    <w:rsid w:val="09E686CF"/>
    <w:rsid w:val="09EC69D7"/>
    <w:rsid w:val="09FAFE4C"/>
    <w:rsid w:val="0A220E42"/>
    <w:rsid w:val="0A35BC4F"/>
    <w:rsid w:val="0AB61CE1"/>
    <w:rsid w:val="0AB78F3F"/>
    <w:rsid w:val="0BB61580"/>
    <w:rsid w:val="0BC22A1C"/>
    <w:rsid w:val="0BF06E39"/>
    <w:rsid w:val="0EAB6021"/>
    <w:rsid w:val="0EBE501D"/>
    <w:rsid w:val="0ED2BDAB"/>
    <w:rsid w:val="0EEA7FA3"/>
    <w:rsid w:val="0F283E8F"/>
    <w:rsid w:val="0F672490"/>
    <w:rsid w:val="0F6A6C70"/>
    <w:rsid w:val="0F890D6E"/>
    <w:rsid w:val="104B05BB"/>
    <w:rsid w:val="104D9681"/>
    <w:rsid w:val="10784550"/>
    <w:rsid w:val="10D1F943"/>
    <w:rsid w:val="110B67AA"/>
    <w:rsid w:val="11479E8E"/>
    <w:rsid w:val="117E604E"/>
    <w:rsid w:val="118DD063"/>
    <w:rsid w:val="11FE478C"/>
    <w:rsid w:val="1279043D"/>
    <w:rsid w:val="12CF6EE7"/>
    <w:rsid w:val="12E959A9"/>
    <w:rsid w:val="13063D73"/>
    <w:rsid w:val="13268FA1"/>
    <w:rsid w:val="13725666"/>
    <w:rsid w:val="138859DF"/>
    <w:rsid w:val="13D26E88"/>
    <w:rsid w:val="14150637"/>
    <w:rsid w:val="1456436B"/>
    <w:rsid w:val="151469EC"/>
    <w:rsid w:val="152D9592"/>
    <w:rsid w:val="154C8F58"/>
    <w:rsid w:val="15FBC1CE"/>
    <w:rsid w:val="168B55DA"/>
    <w:rsid w:val="171126D3"/>
    <w:rsid w:val="173D6DB6"/>
    <w:rsid w:val="17B3C232"/>
    <w:rsid w:val="182AB7E1"/>
    <w:rsid w:val="18495910"/>
    <w:rsid w:val="188AFE33"/>
    <w:rsid w:val="18933567"/>
    <w:rsid w:val="189C90B6"/>
    <w:rsid w:val="18A10DD6"/>
    <w:rsid w:val="198C7E35"/>
    <w:rsid w:val="19994E83"/>
    <w:rsid w:val="19E055B5"/>
    <w:rsid w:val="1A0FB8F8"/>
    <w:rsid w:val="1A9A623C"/>
    <w:rsid w:val="1B02524D"/>
    <w:rsid w:val="1B02851B"/>
    <w:rsid w:val="1B256CB3"/>
    <w:rsid w:val="1B8ADD85"/>
    <w:rsid w:val="1BAD8EF0"/>
    <w:rsid w:val="1BDAAFCB"/>
    <w:rsid w:val="1C35081D"/>
    <w:rsid w:val="1C400766"/>
    <w:rsid w:val="1CC05707"/>
    <w:rsid w:val="1CCFA17E"/>
    <w:rsid w:val="1D2C6F47"/>
    <w:rsid w:val="1D9B2E7B"/>
    <w:rsid w:val="1DC34218"/>
    <w:rsid w:val="1DF8E874"/>
    <w:rsid w:val="1E8391CF"/>
    <w:rsid w:val="1E91ECD9"/>
    <w:rsid w:val="1EAD80C7"/>
    <w:rsid w:val="1F6E6048"/>
    <w:rsid w:val="20C3B825"/>
    <w:rsid w:val="21D9DB09"/>
    <w:rsid w:val="21DF9AD2"/>
    <w:rsid w:val="21DFD0F5"/>
    <w:rsid w:val="2211330A"/>
    <w:rsid w:val="2217A54B"/>
    <w:rsid w:val="2250B064"/>
    <w:rsid w:val="225AAC10"/>
    <w:rsid w:val="2260D21C"/>
    <w:rsid w:val="227CA8B6"/>
    <w:rsid w:val="22BA51C2"/>
    <w:rsid w:val="22E11873"/>
    <w:rsid w:val="23169B3C"/>
    <w:rsid w:val="23DDFC60"/>
    <w:rsid w:val="23FBEA76"/>
    <w:rsid w:val="24A7D0CB"/>
    <w:rsid w:val="24B1C882"/>
    <w:rsid w:val="24E8F0CF"/>
    <w:rsid w:val="24EDD66B"/>
    <w:rsid w:val="26006053"/>
    <w:rsid w:val="2633C8C8"/>
    <w:rsid w:val="2643414C"/>
    <w:rsid w:val="27210EB2"/>
    <w:rsid w:val="27736427"/>
    <w:rsid w:val="27D1CAFF"/>
    <w:rsid w:val="28057C34"/>
    <w:rsid w:val="2839FCA2"/>
    <w:rsid w:val="28463FDD"/>
    <w:rsid w:val="28F0478F"/>
    <w:rsid w:val="29226D7B"/>
    <w:rsid w:val="29CBDCE0"/>
    <w:rsid w:val="29DEB84E"/>
    <w:rsid w:val="2A50DF3F"/>
    <w:rsid w:val="2AADE1CD"/>
    <w:rsid w:val="2AE67194"/>
    <w:rsid w:val="2AFBF9C3"/>
    <w:rsid w:val="2BB759FA"/>
    <w:rsid w:val="2C357687"/>
    <w:rsid w:val="2C4BD5B9"/>
    <w:rsid w:val="2D7B4762"/>
    <w:rsid w:val="2E1B4465"/>
    <w:rsid w:val="2E6CD75F"/>
    <w:rsid w:val="2E9FFCD1"/>
    <w:rsid w:val="2EB0A77B"/>
    <w:rsid w:val="2ECBDAFF"/>
    <w:rsid w:val="2EE3DE74"/>
    <w:rsid w:val="2F380672"/>
    <w:rsid w:val="2FDBB79B"/>
    <w:rsid w:val="315F5C79"/>
    <w:rsid w:val="31679BAF"/>
    <w:rsid w:val="31E0B63A"/>
    <w:rsid w:val="31EE9B6E"/>
    <w:rsid w:val="32245C05"/>
    <w:rsid w:val="3242B1C6"/>
    <w:rsid w:val="328F294F"/>
    <w:rsid w:val="32D4740D"/>
    <w:rsid w:val="33239353"/>
    <w:rsid w:val="3354B61D"/>
    <w:rsid w:val="33E5D180"/>
    <w:rsid w:val="33FEB2F4"/>
    <w:rsid w:val="340BACBB"/>
    <w:rsid w:val="34DD02E6"/>
    <w:rsid w:val="357C2440"/>
    <w:rsid w:val="35C4943F"/>
    <w:rsid w:val="35E92352"/>
    <w:rsid w:val="36266FDA"/>
    <w:rsid w:val="363BD521"/>
    <w:rsid w:val="366FE0E9"/>
    <w:rsid w:val="36D22C11"/>
    <w:rsid w:val="36EE28FC"/>
    <w:rsid w:val="37238110"/>
    <w:rsid w:val="377814C7"/>
    <w:rsid w:val="37CBD7BC"/>
    <w:rsid w:val="38584A44"/>
    <w:rsid w:val="38B32132"/>
    <w:rsid w:val="38B868A0"/>
    <w:rsid w:val="390B9660"/>
    <w:rsid w:val="39C537F8"/>
    <w:rsid w:val="39C6D233"/>
    <w:rsid w:val="3A2988D3"/>
    <w:rsid w:val="3A8E3750"/>
    <w:rsid w:val="3B0ECD2E"/>
    <w:rsid w:val="3B5F6121"/>
    <w:rsid w:val="3B96919D"/>
    <w:rsid w:val="3BA41147"/>
    <w:rsid w:val="3BB5FA8A"/>
    <w:rsid w:val="3BE01862"/>
    <w:rsid w:val="3BEC10B5"/>
    <w:rsid w:val="3C11DFD2"/>
    <w:rsid w:val="3C60E548"/>
    <w:rsid w:val="3CB1B698"/>
    <w:rsid w:val="3CC49718"/>
    <w:rsid w:val="3CDE5F5D"/>
    <w:rsid w:val="3CE25A5B"/>
    <w:rsid w:val="3CF292AC"/>
    <w:rsid w:val="3CFD3BD3"/>
    <w:rsid w:val="3D42B233"/>
    <w:rsid w:val="3D60737E"/>
    <w:rsid w:val="3D7A783A"/>
    <w:rsid w:val="3D8D5F3D"/>
    <w:rsid w:val="3DD0F30D"/>
    <w:rsid w:val="3E6852E1"/>
    <w:rsid w:val="3EFCFC8A"/>
    <w:rsid w:val="3F1EC27F"/>
    <w:rsid w:val="40803498"/>
    <w:rsid w:val="40A41409"/>
    <w:rsid w:val="41450AFB"/>
    <w:rsid w:val="41AC9110"/>
    <w:rsid w:val="41BBF51A"/>
    <w:rsid w:val="4287A2F3"/>
    <w:rsid w:val="42AB73A8"/>
    <w:rsid w:val="42B8EB25"/>
    <w:rsid w:val="443BC50F"/>
    <w:rsid w:val="44522BBD"/>
    <w:rsid w:val="449CAAE3"/>
    <w:rsid w:val="449F2F15"/>
    <w:rsid w:val="44AD9515"/>
    <w:rsid w:val="44C3D2A7"/>
    <w:rsid w:val="45563E5B"/>
    <w:rsid w:val="45A905BC"/>
    <w:rsid w:val="461287FF"/>
    <w:rsid w:val="46CC9DD8"/>
    <w:rsid w:val="46E1BD6E"/>
    <w:rsid w:val="46E9CF26"/>
    <w:rsid w:val="47047B6C"/>
    <w:rsid w:val="472DF713"/>
    <w:rsid w:val="47499559"/>
    <w:rsid w:val="476DBF86"/>
    <w:rsid w:val="477D089E"/>
    <w:rsid w:val="477E874F"/>
    <w:rsid w:val="49134489"/>
    <w:rsid w:val="493B64C5"/>
    <w:rsid w:val="49474D7E"/>
    <w:rsid w:val="497CCDA5"/>
    <w:rsid w:val="49945C1B"/>
    <w:rsid w:val="49A84896"/>
    <w:rsid w:val="4A6E2ACA"/>
    <w:rsid w:val="4AD37626"/>
    <w:rsid w:val="4AF57808"/>
    <w:rsid w:val="4B247B74"/>
    <w:rsid w:val="4B2615FE"/>
    <w:rsid w:val="4B9ED90D"/>
    <w:rsid w:val="4BAA5C6D"/>
    <w:rsid w:val="4BD2DA08"/>
    <w:rsid w:val="4BE593F3"/>
    <w:rsid w:val="4BFDF8DD"/>
    <w:rsid w:val="4BFF4CB5"/>
    <w:rsid w:val="4C907866"/>
    <w:rsid w:val="4CF52135"/>
    <w:rsid w:val="4D103248"/>
    <w:rsid w:val="4D603510"/>
    <w:rsid w:val="4D9069E5"/>
    <w:rsid w:val="4DA8B975"/>
    <w:rsid w:val="4DF499D4"/>
    <w:rsid w:val="4E6522EB"/>
    <w:rsid w:val="4E94A3B6"/>
    <w:rsid w:val="4EB72D6F"/>
    <w:rsid w:val="4F93C3D6"/>
    <w:rsid w:val="4F9EF152"/>
    <w:rsid w:val="4FBCFACC"/>
    <w:rsid w:val="4FF68F25"/>
    <w:rsid w:val="5111EA0C"/>
    <w:rsid w:val="51A77EFB"/>
    <w:rsid w:val="51FD38DA"/>
    <w:rsid w:val="53191045"/>
    <w:rsid w:val="536105F3"/>
    <w:rsid w:val="54CE4E21"/>
    <w:rsid w:val="5513F029"/>
    <w:rsid w:val="55BCFCEB"/>
    <w:rsid w:val="56875D38"/>
    <w:rsid w:val="56DDFFBD"/>
    <w:rsid w:val="56E1587D"/>
    <w:rsid w:val="57066BD4"/>
    <w:rsid w:val="573ACDF0"/>
    <w:rsid w:val="5749140E"/>
    <w:rsid w:val="57A310F5"/>
    <w:rsid w:val="57EBBFAB"/>
    <w:rsid w:val="57F1AFE6"/>
    <w:rsid w:val="58087BD5"/>
    <w:rsid w:val="584D9EB7"/>
    <w:rsid w:val="58678C9F"/>
    <w:rsid w:val="58931802"/>
    <w:rsid w:val="58CAE6B9"/>
    <w:rsid w:val="58EDB2A8"/>
    <w:rsid w:val="5919BC2F"/>
    <w:rsid w:val="59839CD0"/>
    <w:rsid w:val="59927DE0"/>
    <w:rsid w:val="59DA5056"/>
    <w:rsid w:val="59F1C263"/>
    <w:rsid w:val="5A32D101"/>
    <w:rsid w:val="5AC193BD"/>
    <w:rsid w:val="5B0133D6"/>
    <w:rsid w:val="5B3867FF"/>
    <w:rsid w:val="5B79C0B7"/>
    <w:rsid w:val="5B911D46"/>
    <w:rsid w:val="5BF3D323"/>
    <w:rsid w:val="5C918D25"/>
    <w:rsid w:val="5D371236"/>
    <w:rsid w:val="5DF87602"/>
    <w:rsid w:val="5EB4E5EB"/>
    <w:rsid w:val="5ED07811"/>
    <w:rsid w:val="5F96761C"/>
    <w:rsid w:val="604057E4"/>
    <w:rsid w:val="62345946"/>
    <w:rsid w:val="62ED683B"/>
    <w:rsid w:val="63591E0F"/>
    <w:rsid w:val="637B2154"/>
    <w:rsid w:val="637EA30C"/>
    <w:rsid w:val="6389951A"/>
    <w:rsid w:val="63AC87EC"/>
    <w:rsid w:val="6484805B"/>
    <w:rsid w:val="65AA159A"/>
    <w:rsid w:val="6622C3BB"/>
    <w:rsid w:val="66BE3A4E"/>
    <w:rsid w:val="66D53F0B"/>
    <w:rsid w:val="66E87CB3"/>
    <w:rsid w:val="6759CE16"/>
    <w:rsid w:val="675D8BAB"/>
    <w:rsid w:val="67EB251A"/>
    <w:rsid w:val="67F10288"/>
    <w:rsid w:val="689C481F"/>
    <w:rsid w:val="68E7F11A"/>
    <w:rsid w:val="69CBC267"/>
    <w:rsid w:val="6A3E6088"/>
    <w:rsid w:val="6A70021C"/>
    <w:rsid w:val="6ADFC179"/>
    <w:rsid w:val="6AE324E1"/>
    <w:rsid w:val="6AF65A68"/>
    <w:rsid w:val="6B00E822"/>
    <w:rsid w:val="6B84C0BE"/>
    <w:rsid w:val="6BFBDA5B"/>
    <w:rsid w:val="6C238DB9"/>
    <w:rsid w:val="6C56EECC"/>
    <w:rsid w:val="6C61AFCA"/>
    <w:rsid w:val="6C7292E1"/>
    <w:rsid w:val="6CAF41FD"/>
    <w:rsid w:val="6D8E3FCD"/>
    <w:rsid w:val="6DDC5826"/>
    <w:rsid w:val="6E021FCA"/>
    <w:rsid w:val="6E11E45C"/>
    <w:rsid w:val="6E49D575"/>
    <w:rsid w:val="6E9CE548"/>
    <w:rsid w:val="6F0A9EF5"/>
    <w:rsid w:val="6F39E727"/>
    <w:rsid w:val="701A42DA"/>
    <w:rsid w:val="701F5E39"/>
    <w:rsid w:val="7055F4D8"/>
    <w:rsid w:val="706B96C8"/>
    <w:rsid w:val="706EB42A"/>
    <w:rsid w:val="70B0071E"/>
    <w:rsid w:val="70BB01BD"/>
    <w:rsid w:val="710EBFE9"/>
    <w:rsid w:val="716803FB"/>
    <w:rsid w:val="72A35BD7"/>
    <w:rsid w:val="72C932D6"/>
    <w:rsid w:val="72DDD5D8"/>
    <w:rsid w:val="72E29D77"/>
    <w:rsid w:val="7335FB73"/>
    <w:rsid w:val="734BF957"/>
    <w:rsid w:val="73617EC1"/>
    <w:rsid w:val="7371BA18"/>
    <w:rsid w:val="73791184"/>
    <w:rsid w:val="73BFD427"/>
    <w:rsid w:val="740758B1"/>
    <w:rsid w:val="7415803D"/>
    <w:rsid w:val="743AD608"/>
    <w:rsid w:val="7473D570"/>
    <w:rsid w:val="7497CD69"/>
    <w:rsid w:val="749986A7"/>
    <w:rsid w:val="76255C12"/>
    <w:rsid w:val="7660BB75"/>
    <w:rsid w:val="77462A67"/>
    <w:rsid w:val="77503913"/>
    <w:rsid w:val="776A0D73"/>
    <w:rsid w:val="778E27C2"/>
    <w:rsid w:val="779EB339"/>
    <w:rsid w:val="781EEE42"/>
    <w:rsid w:val="785303FD"/>
    <w:rsid w:val="785C1C03"/>
    <w:rsid w:val="7871DBE4"/>
    <w:rsid w:val="787E9E8E"/>
    <w:rsid w:val="7A319CD6"/>
    <w:rsid w:val="7A6FD25E"/>
    <w:rsid w:val="7B736DE8"/>
    <w:rsid w:val="7B7C1E1B"/>
    <w:rsid w:val="7B969273"/>
    <w:rsid w:val="7BE75FFA"/>
    <w:rsid w:val="7C7B43B5"/>
    <w:rsid w:val="7C856941"/>
    <w:rsid w:val="7DF218CA"/>
    <w:rsid w:val="7E06C2AB"/>
    <w:rsid w:val="7E8BB226"/>
    <w:rsid w:val="7EEA7976"/>
    <w:rsid w:val="7F188924"/>
    <w:rsid w:val="7F9552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7A"/>
    <w:rPr>
      <w:rFonts w:asciiTheme="minorHAnsi" w:hAnsiTheme="minorHAnsi" w:cstheme="minorHAnsi"/>
    </w:rPr>
  </w:style>
  <w:style w:type="paragraph" w:styleId="Heading1">
    <w:name w:val="heading 1"/>
    <w:basedOn w:val="2-SectionHeading"/>
    <w:next w:val="Normal"/>
    <w:link w:val="Heading1Char"/>
    <w:uiPriority w:val="9"/>
    <w:qFormat/>
    <w:rsid w:val="0050457A"/>
    <w:pPr>
      <w:spacing w:before="0"/>
    </w:pPr>
  </w:style>
  <w:style w:type="paragraph" w:styleId="Heading2">
    <w:name w:val="heading 2"/>
    <w:basedOn w:val="2-SectionHeading"/>
    <w:next w:val="Normal"/>
    <w:link w:val="Heading2Char"/>
    <w:uiPriority w:val="9"/>
    <w:unhideWhenUsed/>
    <w:qFormat/>
    <w:rsid w:val="0050457A"/>
    <w:pPr>
      <w:outlineLvl w:val="1"/>
    </w:pPr>
    <w:rPr>
      <w:sz w:val="28"/>
      <w:szCs w:val="28"/>
    </w:rPr>
  </w:style>
  <w:style w:type="paragraph" w:styleId="Heading3">
    <w:name w:val="heading 3"/>
    <w:basedOn w:val="Normal"/>
    <w:next w:val="Normal"/>
    <w:link w:val="Heading3Char"/>
    <w:uiPriority w:val="9"/>
    <w:unhideWhenUsed/>
    <w:qFormat/>
    <w:rsid w:val="0073076F"/>
    <w:pPr>
      <w:spacing w:after="120"/>
      <w:jc w:val="both"/>
      <w:outlineLvl w:val="2"/>
    </w:pPr>
    <w:rPr>
      <w:b/>
      <w:i/>
      <w:iCs/>
      <w:sz w:val="28"/>
      <w:szCs w:val="28"/>
    </w:rPr>
  </w:style>
  <w:style w:type="paragraph" w:styleId="Heading4">
    <w:name w:val="heading 4"/>
    <w:basedOn w:val="Normal"/>
    <w:next w:val="Normal"/>
    <w:link w:val="Heading4Char"/>
    <w:uiPriority w:val="9"/>
    <w:unhideWhenUsed/>
    <w:qFormat/>
    <w:rsid w:val="00CE549E"/>
    <w:pPr>
      <w:outlineLvl w:val="3"/>
    </w:pPr>
    <w:rPr>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ummary box,Table Gridbeth"/>
    <w:basedOn w:val="TableNormal"/>
    <w:uiPriority w:val="39"/>
    <w:rsid w:val="00CB1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2A"/>
  </w:style>
  <w:style w:type="paragraph" w:styleId="Footer">
    <w:name w:val="footer"/>
    <w:basedOn w:val="Normal"/>
    <w:link w:val="FooterChar"/>
    <w:uiPriority w:val="99"/>
    <w:unhideWhenUsed/>
    <w:rsid w:val="00B95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2A"/>
  </w:style>
  <w:style w:type="paragraph" w:styleId="ListParagraph">
    <w:name w:val="List Paragraph"/>
    <w:aliases w:val="List Paragraph1,Recommendation,List Paragraph11,AR bullet 1,CAB - List Bullet,Bullet point,Bullets,CV text,Dot pt,F5 List Paragraph,FooterText,L,List Paragraph111,List Paragraph2,Medium Grid 1 - Accent 21,NAST Quote,NFP GP Bulleted List,列"/>
    <w:basedOn w:val="Normal"/>
    <w:link w:val="ListParagraphChar"/>
    <w:uiPriority w:val="72"/>
    <w:qFormat/>
    <w:rsid w:val="00B9582A"/>
    <w:pPr>
      <w:ind w:left="720"/>
      <w:contextualSpacing/>
    </w:pPr>
  </w:style>
  <w:style w:type="paragraph" w:styleId="BalloonText">
    <w:name w:val="Balloon Text"/>
    <w:basedOn w:val="Normal"/>
    <w:link w:val="BalloonTextChar"/>
    <w:uiPriority w:val="99"/>
    <w:semiHidden/>
    <w:unhideWhenUsed/>
    <w:rsid w:val="008C3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AD"/>
    <w:rPr>
      <w:rFonts w:ascii="Segoe UI" w:hAnsi="Segoe UI" w:cs="Segoe UI"/>
      <w:sz w:val="18"/>
      <w:szCs w:val="18"/>
    </w:rPr>
  </w:style>
  <w:style w:type="character" w:styleId="CommentReference">
    <w:name w:val="annotation reference"/>
    <w:aliases w:val="Table Title"/>
    <w:basedOn w:val="DefaultParagraphFont"/>
    <w:uiPriority w:val="99"/>
    <w:qFormat/>
    <w:rsid w:val="00AB4E22"/>
    <w:rPr>
      <w:sz w:val="16"/>
      <w:szCs w:val="16"/>
    </w:rPr>
  </w:style>
  <w:style w:type="paragraph" w:styleId="CommentText">
    <w:name w:val="annotation text"/>
    <w:basedOn w:val="Normal"/>
    <w:link w:val="CommentTextChar"/>
    <w:uiPriority w:val="99"/>
    <w:rsid w:val="00AB4E22"/>
    <w:pPr>
      <w:spacing w:after="200" w:line="240" w:lineRule="auto"/>
    </w:pPr>
    <w:rPr>
      <w:rFonts w:cstheme="minorBidi"/>
      <w:sz w:val="20"/>
      <w:szCs w:val="20"/>
    </w:rPr>
  </w:style>
  <w:style w:type="character" w:customStyle="1" w:styleId="CommentTextChar">
    <w:name w:val="Comment Text Char"/>
    <w:basedOn w:val="DefaultParagraphFont"/>
    <w:link w:val="CommentText"/>
    <w:uiPriority w:val="99"/>
    <w:rsid w:val="00AB4E22"/>
    <w:rPr>
      <w:rFonts w:cstheme="minorBidi"/>
      <w:sz w:val="20"/>
      <w:szCs w:val="20"/>
    </w:rPr>
  </w:style>
  <w:style w:type="paragraph" w:styleId="CommentSubject">
    <w:name w:val="annotation subject"/>
    <w:basedOn w:val="CommentText"/>
    <w:next w:val="CommentText"/>
    <w:link w:val="CommentSubjectChar"/>
    <w:uiPriority w:val="99"/>
    <w:semiHidden/>
    <w:unhideWhenUsed/>
    <w:rsid w:val="0089558F"/>
    <w:pPr>
      <w:spacing w:after="160"/>
    </w:pPr>
    <w:rPr>
      <w:rFonts w:cs="Times New Roman"/>
      <w:b/>
      <w:bCs/>
    </w:rPr>
  </w:style>
  <w:style w:type="character" w:customStyle="1" w:styleId="CommentSubjectChar">
    <w:name w:val="Comment Subject Char"/>
    <w:basedOn w:val="CommentTextChar"/>
    <w:link w:val="CommentSubject"/>
    <w:uiPriority w:val="99"/>
    <w:semiHidden/>
    <w:rsid w:val="0089558F"/>
    <w:rPr>
      <w:rFonts w:cstheme="minorBidi"/>
      <w:b/>
      <w:bCs/>
      <w:sz w:val="20"/>
      <w:szCs w:val="20"/>
    </w:rPr>
  </w:style>
  <w:style w:type="paragraph" w:customStyle="1" w:styleId="2Sections">
    <w:name w:val="2. Sections"/>
    <w:qFormat/>
    <w:rsid w:val="000D74AE"/>
    <w:pPr>
      <w:numPr>
        <w:numId w:val="3"/>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A36C7A"/>
    <w:pPr>
      <w:tabs>
        <w:tab w:val="num" w:pos="360"/>
      </w:tabs>
      <w:spacing w:after="120" w:line="240" w:lineRule="auto"/>
      <w:contextualSpacing w:val="0"/>
      <w:jc w:val="both"/>
    </w:pPr>
    <w:rPr>
      <w:rFonts w:cstheme="minorBidi"/>
      <w:bCs/>
      <w:szCs w:val="22"/>
    </w:rPr>
  </w:style>
  <w:style w:type="character" w:customStyle="1" w:styleId="3BodytextChar">
    <w:name w:val="3. Body text Char"/>
    <w:basedOn w:val="DefaultParagraphFont"/>
    <w:link w:val="3Bodytext"/>
    <w:rsid w:val="00A36C7A"/>
    <w:rPr>
      <w:rFonts w:asciiTheme="minorHAnsi" w:hAnsiTheme="minorHAnsi" w:cstheme="minorBidi"/>
      <w:bCs/>
      <w:szCs w:val="22"/>
    </w:rPr>
  </w:style>
  <w:style w:type="character" w:customStyle="1" w:styleId="ListParagraphChar">
    <w:name w:val="List Paragraph Char"/>
    <w:aliases w:val="List Paragraph1 Char,Recommendation Char,List Paragraph11 Char,AR bullet 1 Char,CAB - List Bullet Char,Bullet point Char,Bullets Char,CV text Char,Dot pt Char,F5 List Paragraph Char,FooterText Char,L Char,List Paragraph111 Char"/>
    <w:link w:val="ListParagraph"/>
    <w:uiPriority w:val="72"/>
    <w:qFormat/>
    <w:locked/>
    <w:rsid w:val="004C453C"/>
  </w:style>
  <w:style w:type="paragraph" w:styleId="NoSpacing">
    <w:name w:val="No Spacing"/>
    <w:uiPriority w:val="1"/>
    <w:qFormat/>
    <w:rsid w:val="00371AD4"/>
    <w:pPr>
      <w:spacing w:after="0" w:line="240" w:lineRule="auto"/>
    </w:pPr>
  </w:style>
  <w:style w:type="character" w:styleId="Hyperlink">
    <w:name w:val="Hyperlink"/>
    <w:basedOn w:val="DefaultParagraphFont"/>
    <w:unhideWhenUsed/>
    <w:rsid w:val="000F60A4"/>
    <w:rPr>
      <w:color w:val="0000FF"/>
      <w:u w:val="single"/>
    </w:rPr>
  </w:style>
  <w:style w:type="paragraph" w:styleId="FootnoteText">
    <w:name w:val="footnote text"/>
    <w:basedOn w:val="Normal"/>
    <w:link w:val="FootnoteTextChar"/>
    <w:uiPriority w:val="99"/>
    <w:unhideWhenUsed/>
    <w:rsid w:val="00B207D4"/>
    <w:pPr>
      <w:spacing w:after="0" w:line="240" w:lineRule="auto"/>
    </w:pPr>
    <w:rPr>
      <w:sz w:val="20"/>
      <w:szCs w:val="20"/>
    </w:rPr>
  </w:style>
  <w:style w:type="character" w:customStyle="1" w:styleId="FootnoteTextChar">
    <w:name w:val="Footnote Text Char"/>
    <w:basedOn w:val="DefaultParagraphFont"/>
    <w:link w:val="FootnoteText"/>
    <w:uiPriority w:val="99"/>
    <w:rsid w:val="00B207D4"/>
    <w:rPr>
      <w:sz w:val="20"/>
      <w:szCs w:val="20"/>
    </w:rPr>
  </w:style>
  <w:style w:type="character" w:styleId="FootnoteReference">
    <w:name w:val="footnote reference"/>
    <w:basedOn w:val="DefaultParagraphFont"/>
    <w:uiPriority w:val="99"/>
    <w:unhideWhenUsed/>
    <w:rsid w:val="00B207D4"/>
    <w:rPr>
      <w:vertAlign w:val="superscript"/>
    </w:rPr>
  </w:style>
  <w:style w:type="character" w:customStyle="1" w:styleId="simplehighlight">
    <w:name w:val="simplehighlight"/>
    <w:basedOn w:val="DefaultParagraphFont"/>
    <w:rsid w:val="00BD55D9"/>
  </w:style>
  <w:style w:type="paragraph" w:customStyle="1" w:styleId="Default">
    <w:name w:val="Default"/>
    <w:rsid w:val="002B687E"/>
    <w:pPr>
      <w:autoSpaceDE w:val="0"/>
      <w:autoSpaceDN w:val="0"/>
      <w:adjustRightInd w:val="0"/>
      <w:spacing w:after="0" w:line="240" w:lineRule="auto"/>
    </w:pPr>
    <w:rPr>
      <w:rFonts w:ascii="Arial Narrow" w:hAnsi="Arial Narrow" w:cs="Arial Narrow"/>
      <w:color w:val="000000"/>
    </w:rPr>
  </w:style>
  <w:style w:type="paragraph" w:customStyle="1" w:styleId="2-SectionHeading">
    <w:name w:val="2-Section Heading"/>
    <w:qFormat/>
    <w:rsid w:val="00C55EE2"/>
    <w:pPr>
      <w:keepNext/>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3-BodyText">
    <w:name w:val="3-Body Text"/>
    <w:basedOn w:val="3Bodytext"/>
    <w:link w:val="3-BodyTextChar"/>
    <w:qFormat/>
    <w:rsid w:val="00A8188D"/>
    <w:pPr>
      <w:numPr>
        <w:ilvl w:val="1"/>
        <w:numId w:val="3"/>
      </w:numPr>
      <w:ind w:hanging="720"/>
    </w:pPr>
    <w:rPr>
      <w:bCs w:val="0"/>
      <w:color w:val="000000"/>
      <w:szCs w:val="24"/>
      <w14:scene3d>
        <w14:camera w14:prst="orthographicFront"/>
        <w14:lightRig w14:rig="threePt" w14:dir="t">
          <w14:rot w14:lat="0" w14:lon="0" w14:rev="0"/>
        </w14:lightRig>
      </w14:scene3d>
    </w:rPr>
  </w:style>
  <w:style w:type="character" w:customStyle="1" w:styleId="3-BodyTextChar">
    <w:name w:val="3-Body Text Char"/>
    <w:basedOn w:val="DefaultParagraphFont"/>
    <w:link w:val="3-BodyText"/>
    <w:rsid w:val="00A8188D"/>
    <w:rPr>
      <w:rFonts w:asciiTheme="minorHAnsi" w:hAnsiTheme="minorHAnsi" w:cstheme="minorBidi"/>
      <w:color w:val="000000"/>
      <w14:scene3d>
        <w14:camera w14:prst="orthographicFront"/>
        <w14:lightRig w14:rig="threePt" w14:dir="t">
          <w14:rot w14:lat="0" w14:lon="0" w14:rev="0"/>
        </w14:lightRig>
      </w14:scene3d>
    </w:rPr>
  </w:style>
  <w:style w:type="character" w:styleId="Strong">
    <w:name w:val="Strong"/>
    <w:basedOn w:val="DefaultParagraphFont"/>
    <w:uiPriority w:val="22"/>
    <w:qFormat/>
    <w:rsid w:val="0080707F"/>
    <w:rPr>
      <w:b/>
      <w:bCs/>
    </w:rPr>
  </w:style>
  <w:style w:type="character" w:customStyle="1" w:styleId="search-summary">
    <w:name w:val="search-summary"/>
    <w:basedOn w:val="DefaultParagraphFont"/>
    <w:rsid w:val="0080707F"/>
  </w:style>
  <w:style w:type="paragraph" w:styleId="Revision">
    <w:name w:val="Revision"/>
    <w:hidden/>
    <w:uiPriority w:val="99"/>
    <w:semiHidden/>
    <w:rsid w:val="00026A96"/>
    <w:pPr>
      <w:spacing w:after="0" w:line="240" w:lineRule="auto"/>
    </w:pPr>
  </w:style>
  <w:style w:type="paragraph" w:styleId="NormalWeb">
    <w:name w:val="Normal (Web)"/>
    <w:basedOn w:val="Normal"/>
    <w:uiPriority w:val="99"/>
    <w:unhideWhenUsed/>
    <w:rsid w:val="001862C3"/>
    <w:pPr>
      <w:spacing w:before="100" w:beforeAutospacing="1" w:after="100" w:afterAutospacing="1" w:line="240" w:lineRule="auto"/>
    </w:pPr>
    <w:rPr>
      <w:rFonts w:eastAsia="Times New Roman"/>
      <w:lang w:eastAsia="en-AU"/>
    </w:rPr>
  </w:style>
  <w:style w:type="character" w:styleId="FollowedHyperlink">
    <w:name w:val="FollowedHyperlink"/>
    <w:basedOn w:val="DefaultParagraphFont"/>
    <w:uiPriority w:val="99"/>
    <w:semiHidden/>
    <w:unhideWhenUsed/>
    <w:rsid w:val="00150397"/>
    <w:rPr>
      <w:color w:val="954F72" w:themeColor="followedHyperlink"/>
      <w:u w:val="single"/>
    </w:rPr>
  </w:style>
  <w:style w:type="paragraph" w:customStyle="1" w:styleId="4Bodytextnumbered">
    <w:name w:val="4. Body text numbered"/>
    <w:basedOn w:val="ListParagraph"/>
    <w:qFormat/>
    <w:rsid w:val="0004362F"/>
    <w:pPr>
      <w:spacing w:after="120" w:line="240" w:lineRule="auto"/>
      <w:ind w:hanging="720"/>
      <w:contextualSpacing w:val="0"/>
      <w:jc w:val="both"/>
    </w:pPr>
    <w:rPr>
      <w:rFonts w:cstheme="minorBidi"/>
      <w:szCs w:val="22"/>
    </w:rPr>
  </w:style>
  <w:style w:type="character" w:styleId="Emphasis">
    <w:name w:val="Emphasis"/>
    <w:basedOn w:val="DefaultParagraphFont"/>
    <w:uiPriority w:val="20"/>
    <w:qFormat/>
    <w:rsid w:val="00C07769"/>
    <w:rPr>
      <w:i/>
      <w:iCs/>
    </w:rPr>
  </w:style>
  <w:style w:type="character" w:styleId="UnresolvedMention">
    <w:name w:val="Unresolved Mention"/>
    <w:basedOn w:val="DefaultParagraphFont"/>
    <w:uiPriority w:val="99"/>
    <w:semiHidden/>
    <w:unhideWhenUsed/>
    <w:rsid w:val="009071A9"/>
    <w:rPr>
      <w:color w:val="605E5C"/>
      <w:shd w:val="clear" w:color="auto" w:fill="E1DFDD"/>
    </w:rPr>
  </w:style>
  <w:style w:type="character" w:customStyle="1" w:styleId="Heading1Char">
    <w:name w:val="Heading 1 Char"/>
    <w:basedOn w:val="DefaultParagraphFont"/>
    <w:link w:val="Heading1"/>
    <w:uiPriority w:val="9"/>
    <w:rsid w:val="0050457A"/>
    <w:rPr>
      <w:rFonts w:asciiTheme="minorHAnsi" w:eastAsia="Times New Roman" w:hAnsiTheme="minorHAnsi" w:cs="Arial"/>
      <w:b/>
      <w:snapToGrid w:val="0"/>
      <w:sz w:val="32"/>
      <w:szCs w:val="32"/>
      <w:lang w:eastAsia="en-AU"/>
    </w:rPr>
  </w:style>
  <w:style w:type="character" w:customStyle="1" w:styleId="Heading2Char">
    <w:name w:val="Heading 2 Char"/>
    <w:basedOn w:val="DefaultParagraphFont"/>
    <w:link w:val="Heading2"/>
    <w:uiPriority w:val="9"/>
    <w:rsid w:val="0050457A"/>
    <w:rPr>
      <w:rFonts w:asciiTheme="minorHAnsi" w:eastAsia="Times New Roman" w:hAnsiTheme="minorHAnsi" w:cs="Arial"/>
      <w:b/>
      <w:snapToGrid w:val="0"/>
      <w:sz w:val="28"/>
      <w:szCs w:val="28"/>
      <w:lang w:eastAsia="en-AU"/>
    </w:rPr>
  </w:style>
  <w:style w:type="character" w:customStyle="1" w:styleId="Heading3Char">
    <w:name w:val="Heading 3 Char"/>
    <w:basedOn w:val="DefaultParagraphFont"/>
    <w:link w:val="Heading3"/>
    <w:uiPriority w:val="9"/>
    <w:rsid w:val="0073076F"/>
    <w:rPr>
      <w:rFonts w:asciiTheme="minorHAnsi" w:hAnsiTheme="minorHAnsi" w:cstheme="minorHAnsi"/>
      <w:b/>
      <w:i/>
      <w:iCs/>
      <w:sz w:val="28"/>
      <w:szCs w:val="28"/>
    </w:rPr>
  </w:style>
  <w:style w:type="character" w:customStyle="1" w:styleId="Heading4Char">
    <w:name w:val="Heading 4 Char"/>
    <w:basedOn w:val="DefaultParagraphFont"/>
    <w:link w:val="Heading4"/>
    <w:uiPriority w:val="9"/>
    <w:rsid w:val="00CE549E"/>
    <w:rPr>
      <w:rFonts w:asciiTheme="minorHAnsi" w:hAnsiTheme="minorHAnsi" w:cstheme="minorHAnsi"/>
      <w:b/>
      <w:bCs/>
      <w:lang w:eastAsia="en-AU"/>
    </w:rPr>
  </w:style>
  <w:style w:type="paragraph" w:customStyle="1" w:styleId="PBACHeading1">
    <w:name w:val="PBAC Heading 1"/>
    <w:qFormat/>
    <w:rsid w:val="00B6731F"/>
    <w:pPr>
      <w:keepNext/>
      <w:keepLines/>
      <w:spacing w:before="240" w:after="120" w:line="240" w:lineRule="auto"/>
      <w:ind w:left="720" w:hanging="720"/>
    </w:pPr>
    <w:rPr>
      <w:rFonts w:ascii="Calibri" w:eastAsia="Times New Roman" w:hAnsi="Calibri" w:cs="Arial"/>
      <w:b/>
      <w:snapToGrid w:val="0"/>
      <w:sz w:val="32"/>
      <w:szCs w:val="22"/>
    </w:rPr>
  </w:style>
  <w:style w:type="paragraph" w:customStyle="1" w:styleId="1MainTitle">
    <w:name w:val="1. Main Title"/>
    <w:basedOn w:val="Title"/>
    <w:link w:val="1MainTitleChar"/>
    <w:qFormat/>
    <w:rsid w:val="00F45A57"/>
    <w:pPr>
      <w:spacing w:after="12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F45A57"/>
    <w:rPr>
      <w:rFonts w:asciiTheme="minorHAnsi" w:eastAsiaTheme="majorEastAsia" w:hAnsiTheme="minorHAnsi" w:cstheme="majorBidi"/>
      <w:b/>
      <w:spacing w:val="5"/>
      <w:kern w:val="28"/>
      <w:sz w:val="36"/>
      <w:szCs w:val="36"/>
    </w:rPr>
  </w:style>
  <w:style w:type="paragraph" w:styleId="Title">
    <w:name w:val="Title"/>
    <w:basedOn w:val="Normal"/>
    <w:next w:val="Normal"/>
    <w:link w:val="TitleChar"/>
    <w:uiPriority w:val="10"/>
    <w:qFormat/>
    <w:rsid w:val="00F45A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A57"/>
    <w:rPr>
      <w:rFonts w:asciiTheme="majorHAnsi" w:eastAsiaTheme="majorEastAsia" w:hAnsiTheme="majorHAnsi" w:cstheme="majorBidi"/>
      <w:spacing w:val="-10"/>
      <w:kern w:val="28"/>
      <w:sz w:val="56"/>
      <w:szCs w:val="56"/>
    </w:rPr>
  </w:style>
  <w:style w:type="paragraph" w:customStyle="1" w:styleId="Bulletpoints">
    <w:name w:val="Bullet points"/>
    <w:basedOn w:val="ListParagraph"/>
    <w:qFormat/>
    <w:rsid w:val="00F45A57"/>
    <w:pPr>
      <w:widowControl w:val="0"/>
      <w:numPr>
        <w:numId w:val="4"/>
      </w:numPr>
      <w:spacing w:after="0" w:line="240" w:lineRule="auto"/>
      <w:contextualSpacing w:val="0"/>
      <w:jc w:val="both"/>
    </w:pPr>
    <w:rPr>
      <w:rFonts w:ascii="Calibri" w:eastAsia="Times New Roman" w:hAnsi="Calibri" w:cs="Arial"/>
      <w:snapToGrid w:val="0"/>
    </w:rPr>
  </w:style>
  <w:style w:type="character" w:customStyle="1" w:styleId="normaltextrun">
    <w:name w:val="normaltextrun"/>
    <w:basedOn w:val="DefaultParagraphFont"/>
    <w:rsid w:val="00E52E56"/>
  </w:style>
  <w:style w:type="character" w:customStyle="1" w:styleId="eop">
    <w:name w:val="eop"/>
    <w:basedOn w:val="DefaultParagraphFont"/>
    <w:rsid w:val="00E5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663">
      <w:bodyDiv w:val="1"/>
      <w:marLeft w:val="0"/>
      <w:marRight w:val="0"/>
      <w:marTop w:val="0"/>
      <w:marBottom w:val="0"/>
      <w:divBdr>
        <w:top w:val="none" w:sz="0" w:space="0" w:color="auto"/>
        <w:left w:val="none" w:sz="0" w:space="0" w:color="auto"/>
        <w:bottom w:val="none" w:sz="0" w:space="0" w:color="auto"/>
        <w:right w:val="none" w:sz="0" w:space="0" w:color="auto"/>
      </w:divBdr>
    </w:div>
    <w:div w:id="182207410">
      <w:bodyDiv w:val="1"/>
      <w:marLeft w:val="0"/>
      <w:marRight w:val="0"/>
      <w:marTop w:val="0"/>
      <w:marBottom w:val="0"/>
      <w:divBdr>
        <w:top w:val="none" w:sz="0" w:space="0" w:color="auto"/>
        <w:left w:val="none" w:sz="0" w:space="0" w:color="auto"/>
        <w:bottom w:val="none" w:sz="0" w:space="0" w:color="auto"/>
        <w:right w:val="none" w:sz="0" w:space="0" w:color="auto"/>
      </w:divBdr>
    </w:div>
    <w:div w:id="210308429">
      <w:bodyDiv w:val="1"/>
      <w:marLeft w:val="0"/>
      <w:marRight w:val="0"/>
      <w:marTop w:val="0"/>
      <w:marBottom w:val="0"/>
      <w:divBdr>
        <w:top w:val="none" w:sz="0" w:space="0" w:color="auto"/>
        <w:left w:val="none" w:sz="0" w:space="0" w:color="auto"/>
        <w:bottom w:val="none" w:sz="0" w:space="0" w:color="auto"/>
        <w:right w:val="none" w:sz="0" w:space="0" w:color="auto"/>
      </w:divBdr>
    </w:div>
    <w:div w:id="214894467">
      <w:bodyDiv w:val="1"/>
      <w:marLeft w:val="0"/>
      <w:marRight w:val="0"/>
      <w:marTop w:val="0"/>
      <w:marBottom w:val="0"/>
      <w:divBdr>
        <w:top w:val="none" w:sz="0" w:space="0" w:color="auto"/>
        <w:left w:val="none" w:sz="0" w:space="0" w:color="auto"/>
        <w:bottom w:val="none" w:sz="0" w:space="0" w:color="auto"/>
        <w:right w:val="none" w:sz="0" w:space="0" w:color="auto"/>
      </w:divBdr>
    </w:div>
    <w:div w:id="371879688">
      <w:bodyDiv w:val="1"/>
      <w:marLeft w:val="0"/>
      <w:marRight w:val="0"/>
      <w:marTop w:val="0"/>
      <w:marBottom w:val="0"/>
      <w:divBdr>
        <w:top w:val="none" w:sz="0" w:space="0" w:color="auto"/>
        <w:left w:val="none" w:sz="0" w:space="0" w:color="auto"/>
        <w:bottom w:val="none" w:sz="0" w:space="0" w:color="auto"/>
        <w:right w:val="none" w:sz="0" w:space="0" w:color="auto"/>
      </w:divBdr>
    </w:div>
    <w:div w:id="424767739">
      <w:bodyDiv w:val="1"/>
      <w:marLeft w:val="0"/>
      <w:marRight w:val="0"/>
      <w:marTop w:val="0"/>
      <w:marBottom w:val="0"/>
      <w:divBdr>
        <w:top w:val="none" w:sz="0" w:space="0" w:color="auto"/>
        <w:left w:val="none" w:sz="0" w:space="0" w:color="auto"/>
        <w:bottom w:val="none" w:sz="0" w:space="0" w:color="auto"/>
        <w:right w:val="none" w:sz="0" w:space="0" w:color="auto"/>
      </w:divBdr>
    </w:div>
    <w:div w:id="456024371">
      <w:bodyDiv w:val="1"/>
      <w:marLeft w:val="0"/>
      <w:marRight w:val="0"/>
      <w:marTop w:val="0"/>
      <w:marBottom w:val="0"/>
      <w:divBdr>
        <w:top w:val="none" w:sz="0" w:space="0" w:color="auto"/>
        <w:left w:val="none" w:sz="0" w:space="0" w:color="auto"/>
        <w:bottom w:val="none" w:sz="0" w:space="0" w:color="auto"/>
        <w:right w:val="none" w:sz="0" w:space="0" w:color="auto"/>
      </w:divBdr>
    </w:div>
    <w:div w:id="524945798">
      <w:bodyDiv w:val="1"/>
      <w:marLeft w:val="0"/>
      <w:marRight w:val="0"/>
      <w:marTop w:val="0"/>
      <w:marBottom w:val="0"/>
      <w:divBdr>
        <w:top w:val="none" w:sz="0" w:space="0" w:color="auto"/>
        <w:left w:val="none" w:sz="0" w:space="0" w:color="auto"/>
        <w:bottom w:val="none" w:sz="0" w:space="0" w:color="auto"/>
        <w:right w:val="none" w:sz="0" w:space="0" w:color="auto"/>
      </w:divBdr>
    </w:div>
    <w:div w:id="533616239">
      <w:bodyDiv w:val="1"/>
      <w:marLeft w:val="0"/>
      <w:marRight w:val="0"/>
      <w:marTop w:val="0"/>
      <w:marBottom w:val="0"/>
      <w:divBdr>
        <w:top w:val="none" w:sz="0" w:space="0" w:color="auto"/>
        <w:left w:val="none" w:sz="0" w:space="0" w:color="auto"/>
        <w:bottom w:val="none" w:sz="0" w:space="0" w:color="auto"/>
        <w:right w:val="none" w:sz="0" w:space="0" w:color="auto"/>
      </w:divBdr>
    </w:div>
    <w:div w:id="639850369">
      <w:bodyDiv w:val="1"/>
      <w:marLeft w:val="0"/>
      <w:marRight w:val="0"/>
      <w:marTop w:val="0"/>
      <w:marBottom w:val="0"/>
      <w:divBdr>
        <w:top w:val="none" w:sz="0" w:space="0" w:color="auto"/>
        <w:left w:val="none" w:sz="0" w:space="0" w:color="auto"/>
        <w:bottom w:val="none" w:sz="0" w:space="0" w:color="auto"/>
        <w:right w:val="none" w:sz="0" w:space="0" w:color="auto"/>
      </w:divBdr>
    </w:div>
    <w:div w:id="651762841">
      <w:bodyDiv w:val="1"/>
      <w:marLeft w:val="0"/>
      <w:marRight w:val="0"/>
      <w:marTop w:val="0"/>
      <w:marBottom w:val="0"/>
      <w:divBdr>
        <w:top w:val="none" w:sz="0" w:space="0" w:color="auto"/>
        <w:left w:val="none" w:sz="0" w:space="0" w:color="auto"/>
        <w:bottom w:val="none" w:sz="0" w:space="0" w:color="auto"/>
        <w:right w:val="none" w:sz="0" w:space="0" w:color="auto"/>
      </w:divBdr>
    </w:div>
    <w:div w:id="668368382">
      <w:bodyDiv w:val="1"/>
      <w:marLeft w:val="0"/>
      <w:marRight w:val="0"/>
      <w:marTop w:val="0"/>
      <w:marBottom w:val="0"/>
      <w:divBdr>
        <w:top w:val="none" w:sz="0" w:space="0" w:color="auto"/>
        <w:left w:val="none" w:sz="0" w:space="0" w:color="auto"/>
        <w:bottom w:val="none" w:sz="0" w:space="0" w:color="auto"/>
        <w:right w:val="none" w:sz="0" w:space="0" w:color="auto"/>
      </w:divBdr>
      <w:divsChild>
        <w:div w:id="17977544">
          <w:marLeft w:val="0"/>
          <w:marRight w:val="0"/>
          <w:marTop w:val="0"/>
          <w:marBottom w:val="0"/>
          <w:divBdr>
            <w:top w:val="none" w:sz="0" w:space="0" w:color="C4DEEE"/>
            <w:left w:val="none" w:sz="0" w:space="0" w:color="C4DEEE"/>
            <w:bottom w:val="none" w:sz="0" w:space="0" w:color="C4DEEE"/>
            <w:right w:val="none" w:sz="0" w:space="0" w:color="C4DEEE"/>
          </w:divBdr>
        </w:div>
        <w:div w:id="424350835">
          <w:marLeft w:val="0"/>
          <w:marRight w:val="0"/>
          <w:marTop w:val="0"/>
          <w:marBottom w:val="0"/>
          <w:divBdr>
            <w:top w:val="none" w:sz="0" w:space="0" w:color="C4DEEE"/>
            <w:left w:val="none" w:sz="0" w:space="0" w:color="C4DEEE"/>
            <w:bottom w:val="none" w:sz="0" w:space="0" w:color="C4DEEE"/>
            <w:right w:val="none" w:sz="0" w:space="0" w:color="C4DEEE"/>
          </w:divBdr>
          <w:divsChild>
            <w:div w:id="1996759183">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786461440">
      <w:bodyDiv w:val="1"/>
      <w:marLeft w:val="0"/>
      <w:marRight w:val="0"/>
      <w:marTop w:val="0"/>
      <w:marBottom w:val="0"/>
      <w:divBdr>
        <w:top w:val="none" w:sz="0" w:space="0" w:color="auto"/>
        <w:left w:val="none" w:sz="0" w:space="0" w:color="auto"/>
        <w:bottom w:val="none" w:sz="0" w:space="0" w:color="auto"/>
        <w:right w:val="none" w:sz="0" w:space="0" w:color="auto"/>
      </w:divBdr>
      <w:divsChild>
        <w:div w:id="528570115">
          <w:marLeft w:val="0"/>
          <w:marRight w:val="0"/>
          <w:marTop w:val="0"/>
          <w:marBottom w:val="0"/>
          <w:divBdr>
            <w:top w:val="none" w:sz="0" w:space="0" w:color="auto"/>
            <w:left w:val="none" w:sz="0" w:space="0" w:color="auto"/>
            <w:bottom w:val="none" w:sz="0" w:space="0" w:color="auto"/>
            <w:right w:val="none" w:sz="0" w:space="0" w:color="auto"/>
          </w:divBdr>
          <w:divsChild>
            <w:div w:id="1764453321">
              <w:marLeft w:val="0"/>
              <w:marRight w:val="0"/>
              <w:marTop w:val="0"/>
              <w:marBottom w:val="0"/>
              <w:divBdr>
                <w:top w:val="none" w:sz="0" w:space="0" w:color="auto"/>
                <w:left w:val="none" w:sz="0" w:space="0" w:color="auto"/>
                <w:bottom w:val="none" w:sz="0" w:space="0" w:color="auto"/>
                <w:right w:val="none" w:sz="0" w:space="0" w:color="auto"/>
              </w:divBdr>
              <w:divsChild>
                <w:div w:id="1746680755">
                  <w:marLeft w:val="0"/>
                  <w:marRight w:val="0"/>
                  <w:marTop w:val="0"/>
                  <w:marBottom w:val="0"/>
                  <w:divBdr>
                    <w:top w:val="none" w:sz="0" w:space="0" w:color="auto"/>
                    <w:left w:val="none" w:sz="0" w:space="0" w:color="auto"/>
                    <w:bottom w:val="none" w:sz="0" w:space="0" w:color="auto"/>
                    <w:right w:val="none" w:sz="0" w:space="0" w:color="auto"/>
                  </w:divBdr>
                  <w:divsChild>
                    <w:div w:id="1332027390">
                      <w:marLeft w:val="0"/>
                      <w:marRight w:val="0"/>
                      <w:marTop w:val="0"/>
                      <w:marBottom w:val="0"/>
                      <w:divBdr>
                        <w:top w:val="none" w:sz="0" w:space="0" w:color="auto"/>
                        <w:left w:val="none" w:sz="0" w:space="0" w:color="auto"/>
                        <w:bottom w:val="none" w:sz="0" w:space="0" w:color="auto"/>
                        <w:right w:val="none" w:sz="0" w:space="0" w:color="auto"/>
                      </w:divBdr>
                      <w:divsChild>
                        <w:div w:id="1014039664">
                          <w:marLeft w:val="13380"/>
                          <w:marRight w:val="0"/>
                          <w:marTop w:val="0"/>
                          <w:marBottom w:val="0"/>
                          <w:divBdr>
                            <w:top w:val="none" w:sz="0" w:space="0" w:color="auto"/>
                            <w:left w:val="none" w:sz="0" w:space="0" w:color="auto"/>
                            <w:bottom w:val="none" w:sz="0" w:space="0" w:color="auto"/>
                            <w:right w:val="none" w:sz="0" w:space="0" w:color="auto"/>
                          </w:divBdr>
                          <w:divsChild>
                            <w:div w:id="672074304">
                              <w:marLeft w:val="0"/>
                              <w:marRight w:val="0"/>
                              <w:marTop w:val="0"/>
                              <w:marBottom w:val="0"/>
                              <w:divBdr>
                                <w:top w:val="none" w:sz="0" w:space="0" w:color="auto"/>
                                <w:left w:val="none" w:sz="0" w:space="0" w:color="auto"/>
                                <w:bottom w:val="none" w:sz="0" w:space="0" w:color="auto"/>
                                <w:right w:val="none" w:sz="0" w:space="0" w:color="auto"/>
                              </w:divBdr>
                              <w:divsChild>
                                <w:div w:id="1346441902">
                                  <w:marLeft w:val="0"/>
                                  <w:marRight w:val="0"/>
                                  <w:marTop w:val="0"/>
                                  <w:marBottom w:val="0"/>
                                  <w:divBdr>
                                    <w:top w:val="none" w:sz="0" w:space="0" w:color="auto"/>
                                    <w:left w:val="none" w:sz="0" w:space="0" w:color="auto"/>
                                    <w:bottom w:val="none" w:sz="0" w:space="0" w:color="auto"/>
                                    <w:right w:val="none" w:sz="0" w:space="0" w:color="auto"/>
                                  </w:divBdr>
                                  <w:divsChild>
                                    <w:div w:id="859391370">
                                      <w:marLeft w:val="0"/>
                                      <w:marRight w:val="0"/>
                                      <w:marTop w:val="0"/>
                                      <w:marBottom w:val="0"/>
                                      <w:divBdr>
                                        <w:top w:val="none" w:sz="0" w:space="0" w:color="auto"/>
                                        <w:left w:val="none" w:sz="0" w:space="0" w:color="auto"/>
                                        <w:bottom w:val="none" w:sz="0" w:space="0" w:color="auto"/>
                                        <w:right w:val="none" w:sz="0" w:space="0" w:color="auto"/>
                                      </w:divBdr>
                                      <w:divsChild>
                                        <w:div w:id="1135173396">
                                          <w:marLeft w:val="0"/>
                                          <w:marRight w:val="0"/>
                                          <w:marTop w:val="0"/>
                                          <w:marBottom w:val="0"/>
                                          <w:divBdr>
                                            <w:top w:val="none" w:sz="0" w:space="0" w:color="auto"/>
                                            <w:left w:val="none" w:sz="0" w:space="0" w:color="auto"/>
                                            <w:bottom w:val="none" w:sz="0" w:space="0" w:color="auto"/>
                                            <w:right w:val="none" w:sz="0" w:space="0" w:color="auto"/>
                                          </w:divBdr>
                                          <w:divsChild>
                                            <w:div w:id="306320991">
                                              <w:marLeft w:val="0"/>
                                              <w:marRight w:val="0"/>
                                              <w:marTop w:val="0"/>
                                              <w:marBottom w:val="0"/>
                                              <w:divBdr>
                                                <w:top w:val="none" w:sz="0" w:space="0" w:color="auto"/>
                                                <w:left w:val="none" w:sz="0" w:space="0" w:color="auto"/>
                                                <w:bottom w:val="none" w:sz="0" w:space="0" w:color="auto"/>
                                                <w:right w:val="none" w:sz="0" w:space="0" w:color="auto"/>
                                              </w:divBdr>
                                              <w:divsChild>
                                                <w:div w:id="970985930">
                                                  <w:marLeft w:val="0"/>
                                                  <w:marRight w:val="0"/>
                                                  <w:marTop w:val="0"/>
                                                  <w:marBottom w:val="0"/>
                                                  <w:divBdr>
                                                    <w:top w:val="none" w:sz="0" w:space="0" w:color="auto"/>
                                                    <w:left w:val="none" w:sz="0" w:space="0" w:color="auto"/>
                                                    <w:bottom w:val="none" w:sz="0" w:space="0" w:color="auto"/>
                                                    <w:right w:val="none" w:sz="0" w:space="0" w:color="auto"/>
                                                  </w:divBdr>
                                                  <w:divsChild>
                                                    <w:div w:id="1884516331">
                                                      <w:marLeft w:val="0"/>
                                                      <w:marRight w:val="0"/>
                                                      <w:marTop w:val="0"/>
                                                      <w:marBottom w:val="0"/>
                                                      <w:divBdr>
                                                        <w:top w:val="none" w:sz="0" w:space="0" w:color="auto"/>
                                                        <w:left w:val="none" w:sz="0" w:space="0" w:color="auto"/>
                                                        <w:bottom w:val="none" w:sz="0" w:space="0" w:color="auto"/>
                                                        <w:right w:val="none" w:sz="0" w:space="0" w:color="auto"/>
                                                      </w:divBdr>
                                                      <w:divsChild>
                                                        <w:div w:id="297028840">
                                                          <w:marLeft w:val="0"/>
                                                          <w:marRight w:val="0"/>
                                                          <w:marTop w:val="0"/>
                                                          <w:marBottom w:val="0"/>
                                                          <w:divBdr>
                                                            <w:top w:val="none" w:sz="0" w:space="0" w:color="auto"/>
                                                            <w:left w:val="none" w:sz="0" w:space="0" w:color="auto"/>
                                                            <w:bottom w:val="none" w:sz="0" w:space="0" w:color="auto"/>
                                                            <w:right w:val="none" w:sz="0" w:space="0" w:color="auto"/>
                                                          </w:divBdr>
                                                          <w:divsChild>
                                                            <w:div w:id="5138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81791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913200384">
      <w:bodyDiv w:val="1"/>
      <w:marLeft w:val="0"/>
      <w:marRight w:val="0"/>
      <w:marTop w:val="0"/>
      <w:marBottom w:val="0"/>
      <w:divBdr>
        <w:top w:val="none" w:sz="0" w:space="0" w:color="auto"/>
        <w:left w:val="none" w:sz="0" w:space="0" w:color="auto"/>
        <w:bottom w:val="none" w:sz="0" w:space="0" w:color="auto"/>
        <w:right w:val="none" w:sz="0" w:space="0" w:color="auto"/>
      </w:divBdr>
    </w:div>
    <w:div w:id="921793553">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1025980616">
      <w:bodyDiv w:val="1"/>
      <w:marLeft w:val="0"/>
      <w:marRight w:val="0"/>
      <w:marTop w:val="0"/>
      <w:marBottom w:val="0"/>
      <w:divBdr>
        <w:top w:val="none" w:sz="0" w:space="0" w:color="auto"/>
        <w:left w:val="none" w:sz="0" w:space="0" w:color="auto"/>
        <w:bottom w:val="none" w:sz="0" w:space="0" w:color="auto"/>
        <w:right w:val="none" w:sz="0" w:space="0" w:color="auto"/>
      </w:divBdr>
    </w:div>
    <w:div w:id="1072001574">
      <w:bodyDiv w:val="1"/>
      <w:marLeft w:val="0"/>
      <w:marRight w:val="0"/>
      <w:marTop w:val="0"/>
      <w:marBottom w:val="0"/>
      <w:divBdr>
        <w:top w:val="none" w:sz="0" w:space="0" w:color="auto"/>
        <w:left w:val="none" w:sz="0" w:space="0" w:color="auto"/>
        <w:bottom w:val="none" w:sz="0" w:space="0" w:color="auto"/>
        <w:right w:val="none" w:sz="0" w:space="0" w:color="auto"/>
      </w:divBdr>
      <w:divsChild>
        <w:div w:id="606231590">
          <w:marLeft w:val="0"/>
          <w:marRight w:val="0"/>
          <w:marTop w:val="0"/>
          <w:marBottom w:val="0"/>
          <w:divBdr>
            <w:top w:val="none" w:sz="0" w:space="0" w:color="auto"/>
            <w:left w:val="none" w:sz="0" w:space="0" w:color="auto"/>
            <w:bottom w:val="none" w:sz="0" w:space="0" w:color="auto"/>
            <w:right w:val="none" w:sz="0" w:space="0" w:color="auto"/>
          </w:divBdr>
          <w:divsChild>
            <w:div w:id="1041982809">
              <w:marLeft w:val="0"/>
              <w:marRight w:val="0"/>
              <w:marTop w:val="0"/>
              <w:marBottom w:val="0"/>
              <w:divBdr>
                <w:top w:val="none" w:sz="0" w:space="0" w:color="auto"/>
                <w:left w:val="none" w:sz="0" w:space="0" w:color="auto"/>
                <w:bottom w:val="none" w:sz="0" w:space="0" w:color="auto"/>
                <w:right w:val="none" w:sz="0" w:space="0" w:color="auto"/>
              </w:divBdr>
              <w:divsChild>
                <w:div w:id="1989748687">
                  <w:marLeft w:val="0"/>
                  <w:marRight w:val="0"/>
                  <w:marTop w:val="0"/>
                  <w:marBottom w:val="0"/>
                  <w:divBdr>
                    <w:top w:val="none" w:sz="0" w:space="0" w:color="auto"/>
                    <w:left w:val="none" w:sz="0" w:space="0" w:color="auto"/>
                    <w:bottom w:val="none" w:sz="0" w:space="0" w:color="auto"/>
                    <w:right w:val="none" w:sz="0" w:space="0" w:color="auto"/>
                  </w:divBdr>
                  <w:divsChild>
                    <w:div w:id="609775353">
                      <w:marLeft w:val="0"/>
                      <w:marRight w:val="0"/>
                      <w:marTop w:val="0"/>
                      <w:marBottom w:val="0"/>
                      <w:divBdr>
                        <w:top w:val="none" w:sz="0" w:space="0" w:color="auto"/>
                        <w:left w:val="none" w:sz="0" w:space="0" w:color="auto"/>
                        <w:bottom w:val="none" w:sz="0" w:space="0" w:color="auto"/>
                        <w:right w:val="none" w:sz="0" w:space="0" w:color="auto"/>
                      </w:divBdr>
                      <w:divsChild>
                        <w:div w:id="1047294171">
                          <w:marLeft w:val="0"/>
                          <w:marRight w:val="0"/>
                          <w:marTop w:val="0"/>
                          <w:marBottom w:val="0"/>
                          <w:divBdr>
                            <w:top w:val="single" w:sz="6" w:space="19" w:color="000000"/>
                            <w:left w:val="single" w:sz="6" w:space="19" w:color="000000"/>
                            <w:bottom w:val="single" w:sz="6" w:space="19" w:color="000000"/>
                            <w:right w:val="single" w:sz="6" w:space="19" w:color="000000"/>
                          </w:divBdr>
                          <w:divsChild>
                            <w:div w:id="1724018938">
                              <w:marLeft w:val="0"/>
                              <w:marRight w:val="0"/>
                              <w:marTop w:val="0"/>
                              <w:marBottom w:val="0"/>
                              <w:divBdr>
                                <w:top w:val="none" w:sz="0" w:space="0" w:color="auto"/>
                                <w:left w:val="none" w:sz="0" w:space="0" w:color="auto"/>
                                <w:bottom w:val="none" w:sz="0" w:space="0" w:color="auto"/>
                                <w:right w:val="none" w:sz="0" w:space="0" w:color="auto"/>
                              </w:divBdr>
                              <w:divsChild>
                                <w:div w:id="267859945">
                                  <w:marLeft w:val="0"/>
                                  <w:marRight w:val="0"/>
                                  <w:marTop w:val="0"/>
                                  <w:marBottom w:val="0"/>
                                  <w:divBdr>
                                    <w:top w:val="none" w:sz="0" w:space="0" w:color="auto"/>
                                    <w:left w:val="none" w:sz="0" w:space="0" w:color="auto"/>
                                    <w:bottom w:val="none" w:sz="0" w:space="0" w:color="auto"/>
                                    <w:right w:val="none" w:sz="0" w:space="0" w:color="auto"/>
                                  </w:divBdr>
                                  <w:divsChild>
                                    <w:div w:id="1368483809">
                                      <w:marLeft w:val="0"/>
                                      <w:marRight w:val="0"/>
                                      <w:marTop w:val="0"/>
                                      <w:marBottom w:val="0"/>
                                      <w:divBdr>
                                        <w:top w:val="none" w:sz="0" w:space="0" w:color="auto"/>
                                        <w:left w:val="none" w:sz="0" w:space="0" w:color="auto"/>
                                        <w:bottom w:val="none" w:sz="0" w:space="0" w:color="auto"/>
                                        <w:right w:val="none" w:sz="0" w:space="0" w:color="auto"/>
                                      </w:divBdr>
                                      <w:divsChild>
                                        <w:div w:id="1297181461">
                                          <w:marLeft w:val="0"/>
                                          <w:marRight w:val="0"/>
                                          <w:marTop w:val="0"/>
                                          <w:marBottom w:val="375"/>
                                          <w:divBdr>
                                            <w:top w:val="none" w:sz="0" w:space="0" w:color="auto"/>
                                            <w:left w:val="none" w:sz="0" w:space="0" w:color="auto"/>
                                            <w:bottom w:val="none" w:sz="0" w:space="0" w:color="auto"/>
                                            <w:right w:val="none" w:sz="0" w:space="0" w:color="auto"/>
                                          </w:divBdr>
                                          <w:divsChild>
                                            <w:div w:id="704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8294">
                                      <w:marLeft w:val="0"/>
                                      <w:marRight w:val="0"/>
                                      <w:marTop w:val="0"/>
                                      <w:marBottom w:val="0"/>
                                      <w:divBdr>
                                        <w:top w:val="none" w:sz="0" w:space="0" w:color="auto"/>
                                        <w:left w:val="none" w:sz="0" w:space="0" w:color="auto"/>
                                        <w:bottom w:val="none" w:sz="0" w:space="0" w:color="auto"/>
                                        <w:right w:val="none" w:sz="0" w:space="0" w:color="auto"/>
                                      </w:divBdr>
                                      <w:divsChild>
                                        <w:div w:id="185102299">
                                          <w:marLeft w:val="0"/>
                                          <w:marRight w:val="0"/>
                                          <w:marTop w:val="0"/>
                                          <w:marBottom w:val="0"/>
                                          <w:divBdr>
                                            <w:top w:val="none" w:sz="0" w:space="0" w:color="auto"/>
                                            <w:left w:val="none" w:sz="0" w:space="0" w:color="auto"/>
                                            <w:bottom w:val="none" w:sz="0" w:space="0" w:color="auto"/>
                                            <w:right w:val="none" w:sz="0" w:space="0" w:color="auto"/>
                                          </w:divBdr>
                                          <w:divsChild>
                                            <w:div w:id="935594757">
                                              <w:marLeft w:val="0"/>
                                              <w:marRight w:val="0"/>
                                              <w:marTop w:val="0"/>
                                              <w:marBottom w:val="0"/>
                                              <w:divBdr>
                                                <w:top w:val="none" w:sz="0" w:space="0" w:color="auto"/>
                                                <w:left w:val="none" w:sz="0" w:space="0" w:color="auto"/>
                                                <w:bottom w:val="none" w:sz="0" w:space="0" w:color="auto"/>
                                                <w:right w:val="none" w:sz="0" w:space="0" w:color="auto"/>
                                              </w:divBdr>
                                            </w:div>
                                            <w:div w:id="1422988839">
                                              <w:marLeft w:val="0"/>
                                              <w:marRight w:val="0"/>
                                              <w:marTop w:val="0"/>
                                              <w:marBottom w:val="0"/>
                                              <w:divBdr>
                                                <w:top w:val="none" w:sz="0" w:space="0" w:color="auto"/>
                                                <w:left w:val="none" w:sz="0" w:space="0" w:color="auto"/>
                                                <w:bottom w:val="none" w:sz="0" w:space="0" w:color="auto"/>
                                                <w:right w:val="none" w:sz="0" w:space="0" w:color="auto"/>
                                              </w:divBdr>
                                            </w:div>
                                            <w:div w:id="1910650814">
                                              <w:marLeft w:val="0"/>
                                              <w:marRight w:val="0"/>
                                              <w:marTop w:val="0"/>
                                              <w:marBottom w:val="0"/>
                                              <w:divBdr>
                                                <w:top w:val="none" w:sz="0" w:space="0" w:color="auto"/>
                                                <w:left w:val="none" w:sz="0" w:space="0" w:color="auto"/>
                                                <w:bottom w:val="none" w:sz="0" w:space="0" w:color="auto"/>
                                                <w:right w:val="none" w:sz="0" w:space="0" w:color="auto"/>
                                              </w:divBdr>
                                            </w:div>
                                            <w:div w:id="1997413457">
                                              <w:marLeft w:val="0"/>
                                              <w:marRight w:val="0"/>
                                              <w:marTop w:val="0"/>
                                              <w:marBottom w:val="0"/>
                                              <w:divBdr>
                                                <w:top w:val="none" w:sz="0" w:space="0" w:color="auto"/>
                                                <w:left w:val="none" w:sz="0" w:space="0" w:color="auto"/>
                                                <w:bottom w:val="none" w:sz="0" w:space="0" w:color="auto"/>
                                                <w:right w:val="none" w:sz="0" w:space="0" w:color="auto"/>
                                              </w:divBdr>
                                            </w:div>
                                          </w:divsChild>
                                        </w:div>
                                        <w:div w:id="357201610">
                                          <w:marLeft w:val="0"/>
                                          <w:marRight w:val="0"/>
                                          <w:marTop w:val="0"/>
                                          <w:marBottom w:val="0"/>
                                          <w:divBdr>
                                            <w:top w:val="none" w:sz="0" w:space="0" w:color="auto"/>
                                            <w:left w:val="none" w:sz="0" w:space="0" w:color="auto"/>
                                            <w:bottom w:val="none" w:sz="0" w:space="0" w:color="auto"/>
                                            <w:right w:val="none" w:sz="0" w:space="0" w:color="auto"/>
                                          </w:divBdr>
                                          <w:divsChild>
                                            <w:div w:id="10336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62656">
                                  <w:marLeft w:val="0"/>
                                  <w:marRight w:val="0"/>
                                  <w:marTop w:val="0"/>
                                  <w:marBottom w:val="0"/>
                                  <w:divBdr>
                                    <w:top w:val="none" w:sz="0" w:space="0" w:color="auto"/>
                                    <w:left w:val="none" w:sz="0" w:space="0" w:color="auto"/>
                                    <w:bottom w:val="none" w:sz="0" w:space="0" w:color="auto"/>
                                    <w:right w:val="none" w:sz="0" w:space="0" w:color="auto"/>
                                  </w:divBdr>
                                </w:div>
                                <w:div w:id="522670692">
                                  <w:marLeft w:val="0"/>
                                  <w:marRight w:val="0"/>
                                  <w:marTop w:val="0"/>
                                  <w:marBottom w:val="0"/>
                                  <w:divBdr>
                                    <w:top w:val="none" w:sz="0" w:space="0" w:color="auto"/>
                                    <w:left w:val="none" w:sz="0" w:space="0" w:color="auto"/>
                                    <w:bottom w:val="none" w:sz="0" w:space="0" w:color="auto"/>
                                    <w:right w:val="none" w:sz="0" w:space="0" w:color="auto"/>
                                  </w:divBdr>
                                  <w:divsChild>
                                    <w:div w:id="857619538">
                                      <w:marLeft w:val="0"/>
                                      <w:marRight w:val="0"/>
                                      <w:marTop w:val="0"/>
                                      <w:marBottom w:val="0"/>
                                      <w:divBdr>
                                        <w:top w:val="none" w:sz="0" w:space="0" w:color="auto"/>
                                        <w:left w:val="none" w:sz="0" w:space="0" w:color="auto"/>
                                        <w:bottom w:val="none" w:sz="0" w:space="0" w:color="auto"/>
                                        <w:right w:val="none" w:sz="0" w:space="0" w:color="auto"/>
                                      </w:divBdr>
                                      <w:divsChild>
                                        <w:div w:id="897414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980374">
          <w:marLeft w:val="0"/>
          <w:marRight w:val="0"/>
          <w:marTop w:val="150"/>
          <w:marBottom w:val="0"/>
          <w:divBdr>
            <w:top w:val="none" w:sz="0" w:space="0" w:color="auto"/>
            <w:left w:val="none" w:sz="0" w:space="0" w:color="auto"/>
            <w:bottom w:val="none" w:sz="0" w:space="0" w:color="auto"/>
            <w:right w:val="none" w:sz="0" w:space="0" w:color="auto"/>
          </w:divBdr>
          <w:divsChild>
            <w:div w:id="811020044">
              <w:marLeft w:val="0"/>
              <w:marRight w:val="0"/>
              <w:marTop w:val="0"/>
              <w:marBottom w:val="0"/>
              <w:divBdr>
                <w:top w:val="none" w:sz="0" w:space="0" w:color="auto"/>
                <w:left w:val="none" w:sz="0" w:space="0" w:color="auto"/>
                <w:bottom w:val="none" w:sz="0" w:space="0" w:color="auto"/>
                <w:right w:val="none" w:sz="0" w:space="0" w:color="auto"/>
              </w:divBdr>
              <w:divsChild>
                <w:div w:id="10648342">
                  <w:marLeft w:val="0"/>
                  <w:marRight w:val="120"/>
                  <w:marTop w:val="0"/>
                  <w:marBottom w:val="0"/>
                  <w:divBdr>
                    <w:top w:val="none" w:sz="0" w:space="0" w:color="auto"/>
                    <w:left w:val="none" w:sz="0" w:space="0" w:color="auto"/>
                    <w:bottom w:val="none" w:sz="0" w:space="0" w:color="auto"/>
                    <w:right w:val="none" w:sz="0" w:space="0" w:color="auto"/>
                  </w:divBdr>
                </w:div>
              </w:divsChild>
            </w:div>
            <w:div w:id="1034581012">
              <w:marLeft w:val="0"/>
              <w:marRight w:val="0"/>
              <w:marTop w:val="0"/>
              <w:marBottom w:val="0"/>
              <w:divBdr>
                <w:top w:val="none" w:sz="0" w:space="0" w:color="auto"/>
                <w:left w:val="none" w:sz="0" w:space="0" w:color="auto"/>
                <w:bottom w:val="none" w:sz="0" w:space="0" w:color="auto"/>
                <w:right w:val="none" w:sz="0" w:space="0" w:color="auto"/>
              </w:divBdr>
              <w:divsChild>
                <w:div w:id="1696611811">
                  <w:marLeft w:val="0"/>
                  <w:marRight w:val="120"/>
                  <w:marTop w:val="0"/>
                  <w:marBottom w:val="0"/>
                  <w:divBdr>
                    <w:top w:val="none" w:sz="0" w:space="0" w:color="auto"/>
                    <w:left w:val="none" w:sz="0" w:space="0" w:color="auto"/>
                    <w:bottom w:val="none" w:sz="0" w:space="0" w:color="auto"/>
                    <w:right w:val="none" w:sz="0" w:space="0" w:color="auto"/>
                  </w:divBdr>
                </w:div>
              </w:divsChild>
            </w:div>
            <w:div w:id="1315262164">
              <w:marLeft w:val="0"/>
              <w:marRight w:val="0"/>
              <w:marTop w:val="0"/>
              <w:marBottom w:val="0"/>
              <w:divBdr>
                <w:top w:val="none" w:sz="0" w:space="0" w:color="auto"/>
                <w:left w:val="none" w:sz="0" w:space="0" w:color="auto"/>
                <w:bottom w:val="none" w:sz="0" w:space="0" w:color="auto"/>
                <w:right w:val="none" w:sz="0" w:space="0" w:color="auto"/>
              </w:divBdr>
              <w:divsChild>
                <w:div w:id="14387914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116288004">
      <w:bodyDiv w:val="1"/>
      <w:marLeft w:val="0"/>
      <w:marRight w:val="0"/>
      <w:marTop w:val="0"/>
      <w:marBottom w:val="0"/>
      <w:divBdr>
        <w:top w:val="none" w:sz="0" w:space="0" w:color="auto"/>
        <w:left w:val="none" w:sz="0" w:space="0" w:color="auto"/>
        <w:bottom w:val="none" w:sz="0" w:space="0" w:color="auto"/>
        <w:right w:val="none" w:sz="0" w:space="0" w:color="auto"/>
      </w:divBdr>
    </w:div>
    <w:div w:id="1230919189">
      <w:bodyDiv w:val="1"/>
      <w:marLeft w:val="0"/>
      <w:marRight w:val="0"/>
      <w:marTop w:val="0"/>
      <w:marBottom w:val="0"/>
      <w:divBdr>
        <w:top w:val="none" w:sz="0" w:space="0" w:color="auto"/>
        <w:left w:val="none" w:sz="0" w:space="0" w:color="auto"/>
        <w:bottom w:val="none" w:sz="0" w:space="0" w:color="auto"/>
        <w:right w:val="none" w:sz="0" w:space="0" w:color="auto"/>
      </w:divBdr>
    </w:div>
    <w:div w:id="1253975977">
      <w:bodyDiv w:val="1"/>
      <w:marLeft w:val="0"/>
      <w:marRight w:val="0"/>
      <w:marTop w:val="0"/>
      <w:marBottom w:val="0"/>
      <w:divBdr>
        <w:top w:val="none" w:sz="0" w:space="0" w:color="auto"/>
        <w:left w:val="none" w:sz="0" w:space="0" w:color="auto"/>
        <w:bottom w:val="none" w:sz="0" w:space="0" w:color="auto"/>
        <w:right w:val="none" w:sz="0" w:space="0" w:color="auto"/>
      </w:divBdr>
    </w:div>
    <w:div w:id="1268468992">
      <w:bodyDiv w:val="1"/>
      <w:marLeft w:val="0"/>
      <w:marRight w:val="0"/>
      <w:marTop w:val="0"/>
      <w:marBottom w:val="0"/>
      <w:divBdr>
        <w:top w:val="none" w:sz="0" w:space="0" w:color="auto"/>
        <w:left w:val="none" w:sz="0" w:space="0" w:color="auto"/>
        <w:bottom w:val="none" w:sz="0" w:space="0" w:color="auto"/>
        <w:right w:val="none" w:sz="0" w:space="0" w:color="auto"/>
      </w:divBdr>
    </w:div>
    <w:div w:id="1297947921">
      <w:bodyDiv w:val="1"/>
      <w:marLeft w:val="0"/>
      <w:marRight w:val="0"/>
      <w:marTop w:val="0"/>
      <w:marBottom w:val="0"/>
      <w:divBdr>
        <w:top w:val="none" w:sz="0" w:space="0" w:color="auto"/>
        <w:left w:val="none" w:sz="0" w:space="0" w:color="auto"/>
        <w:bottom w:val="none" w:sz="0" w:space="0" w:color="auto"/>
        <w:right w:val="none" w:sz="0" w:space="0" w:color="auto"/>
      </w:divBdr>
      <w:divsChild>
        <w:div w:id="1099762204">
          <w:marLeft w:val="0"/>
          <w:marRight w:val="0"/>
          <w:marTop w:val="0"/>
          <w:marBottom w:val="0"/>
          <w:divBdr>
            <w:top w:val="none" w:sz="0" w:space="0" w:color="C4DEEE"/>
            <w:left w:val="none" w:sz="0" w:space="0" w:color="C4DEEE"/>
            <w:bottom w:val="none" w:sz="0" w:space="0" w:color="C4DEEE"/>
            <w:right w:val="none" w:sz="0" w:space="0" w:color="C4DEEE"/>
          </w:divBdr>
          <w:divsChild>
            <w:div w:id="717242007">
              <w:marLeft w:val="0"/>
              <w:marRight w:val="0"/>
              <w:marTop w:val="0"/>
              <w:marBottom w:val="0"/>
              <w:divBdr>
                <w:top w:val="none" w:sz="0" w:space="0" w:color="C4DEEE"/>
                <w:left w:val="none" w:sz="0" w:space="0" w:color="C4DEEE"/>
                <w:bottom w:val="none" w:sz="0" w:space="0" w:color="C4DEEE"/>
                <w:right w:val="none" w:sz="0" w:space="0" w:color="C4DEEE"/>
              </w:divBdr>
            </w:div>
          </w:divsChild>
        </w:div>
        <w:div w:id="1853912157">
          <w:marLeft w:val="0"/>
          <w:marRight w:val="0"/>
          <w:marTop w:val="0"/>
          <w:marBottom w:val="0"/>
          <w:divBdr>
            <w:top w:val="none" w:sz="0" w:space="0" w:color="C4DEEE"/>
            <w:left w:val="none" w:sz="0" w:space="0" w:color="C4DEEE"/>
            <w:bottom w:val="none" w:sz="0" w:space="0" w:color="C4DEEE"/>
            <w:right w:val="none" w:sz="0" w:space="0" w:color="C4DEEE"/>
          </w:divBdr>
        </w:div>
      </w:divsChild>
    </w:div>
    <w:div w:id="1314287364">
      <w:bodyDiv w:val="1"/>
      <w:marLeft w:val="0"/>
      <w:marRight w:val="0"/>
      <w:marTop w:val="0"/>
      <w:marBottom w:val="0"/>
      <w:divBdr>
        <w:top w:val="none" w:sz="0" w:space="0" w:color="auto"/>
        <w:left w:val="none" w:sz="0" w:space="0" w:color="auto"/>
        <w:bottom w:val="none" w:sz="0" w:space="0" w:color="auto"/>
        <w:right w:val="none" w:sz="0" w:space="0" w:color="auto"/>
      </w:divBdr>
    </w:div>
    <w:div w:id="1314917327">
      <w:bodyDiv w:val="1"/>
      <w:marLeft w:val="0"/>
      <w:marRight w:val="0"/>
      <w:marTop w:val="0"/>
      <w:marBottom w:val="0"/>
      <w:divBdr>
        <w:top w:val="none" w:sz="0" w:space="0" w:color="auto"/>
        <w:left w:val="none" w:sz="0" w:space="0" w:color="auto"/>
        <w:bottom w:val="none" w:sz="0" w:space="0" w:color="auto"/>
        <w:right w:val="none" w:sz="0" w:space="0" w:color="auto"/>
      </w:divBdr>
    </w:div>
    <w:div w:id="1400977392">
      <w:bodyDiv w:val="1"/>
      <w:marLeft w:val="0"/>
      <w:marRight w:val="0"/>
      <w:marTop w:val="0"/>
      <w:marBottom w:val="0"/>
      <w:divBdr>
        <w:top w:val="none" w:sz="0" w:space="0" w:color="auto"/>
        <w:left w:val="none" w:sz="0" w:space="0" w:color="auto"/>
        <w:bottom w:val="none" w:sz="0" w:space="0" w:color="auto"/>
        <w:right w:val="none" w:sz="0" w:space="0" w:color="auto"/>
      </w:divBdr>
    </w:div>
    <w:div w:id="1479762671">
      <w:bodyDiv w:val="1"/>
      <w:marLeft w:val="0"/>
      <w:marRight w:val="0"/>
      <w:marTop w:val="0"/>
      <w:marBottom w:val="0"/>
      <w:divBdr>
        <w:top w:val="none" w:sz="0" w:space="0" w:color="auto"/>
        <w:left w:val="none" w:sz="0" w:space="0" w:color="auto"/>
        <w:bottom w:val="none" w:sz="0" w:space="0" w:color="auto"/>
        <w:right w:val="none" w:sz="0" w:space="0" w:color="auto"/>
      </w:divBdr>
    </w:div>
    <w:div w:id="1484858306">
      <w:bodyDiv w:val="1"/>
      <w:marLeft w:val="0"/>
      <w:marRight w:val="0"/>
      <w:marTop w:val="0"/>
      <w:marBottom w:val="0"/>
      <w:divBdr>
        <w:top w:val="none" w:sz="0" w:space="0" w:color="auto"/>
        <w:left w:val="none" w:sz="0" w:space="0" w:color="auto"/>
        <w:bottom w:val="none" w:sz="0" w:space="0" w:color="auto"/>
        <w:right w:val="none" w:sz="0" w:space="0" w:color="auto"/>
      </w:divBdr>
      <w:divsChild>
        <w:div w:id="440152457">
          <w:marLeft w:val="0"/>
          <w:marRight w:val="0"/>
          <w:marTop w:val="150"/>
          <w:marBottom w:val="0"/>
          <w:divBdr>
            <w:top w:val="none" w:sz="0" w:space="0" w:color="auto"/>
            <w:left w:val="none" w:sz="0" w:space="0" w:color="auto"/>
            <w:bottom w:val="none" w:sz="0" w:space="0" w:color="auto"/>
            <w:right w:val="none" w:sz="0" w:space="0" w:color="auto"/>
          </w:divBdr>
          <w:divsChild>
            <w:div w:id="654384381">
              <w:marLeft w:val="0"/>
              <w:marRight w:val="0"/>
              <w:marTop w:val="0"/>
              <w:marBottom w:val="0"/>
              <w:divBdr>
                <w:top w:val="none" w:sz="0" w:space="0" w:color="auto"/>
                <w:left w:val="none" w:sz="0" w:space="0" w:color="auto"/>
                <w:bottom w:val="none" w:sz="0" w:space="0" w:color="auto"/>
                <w:right w:val="none" w:sz="0" w:space="0" w:color="auto"/>
              </w:divBdr>
              <w:divsChild>
                <w:div w:id="1988702783">
                  <w:marLeft w:val="0"/>
                  <w:marRight w:val="120"/>
                  <w:marTop w:val="0"/>
                  <w:marBottom w:val="0"/>
                  <w:divBdr>
                    <w:top w:val="none" w:sz="0" w:space="0" w:color="auto"/>
                    <w:left w:val="none" w:sz="0" w:space="0" w:color="auto"/>
                    <w:bottom w:val="none" w:sz="0" w:space="0" w:color="auto"/>
                    <w:right w:val="none" w:sz="0" w:space="0" w:color="auto"/>
                  </w:divBdr>
                </w:div>
              </w:divsChild>
            </w:div>
            <w:div w:id="1645112764">
              <w:marLeft w:val="0"/>
              <w:marRight w:val="0"/>
              <w:marTop w:val="0"/>
              <w:marBottom w:val="0"/>
              <w:divBdr>
                <w:top w:val="none" w:sz="0" w:space="0" w:color="auto"/>
                <w:left w:val="none" w:sz="0" w:space="0" w:color="auto"/>
                <w:bottom w:val="none" w:sz="0" w:space="0" w:color="auto"/>
                <w:right w:val="none" w:sz="0" w:space="0" w:color="auto"/>
              </w:divBdr>
              <w:divsChild>
                <w:div w:id="1148598075">
                  <w:marLeft w:val="0"/>
                  <w:marRight w:val="120"/>
                  <w:marTop w:val="0"/>
                  <w:marBottom w:val="0"/>
                  <w:divBdr>
                    <w:top w:val="none" w:sz="0" w:space="0" w:color="auto"/>
                    <w:left w:val="none" w:sz="0" w:space="0" w:color="auto"/>
                    <w:bottom w:val="none" w:sz="0" w:space="0" w:color="auto"/>
                    <w:right w:val="none" w:sz="0" w:space="0" w:color="auto"/>
                  </w:divBdr>
                </w:div>
              </w:divsChild>
            </w:div>
            <w:div w:id="1695111673">
              <w:marLeft w:val="0"/>
              <w:marRight w:val="0"/>
              <w:marTop w:val="0"/>
              <w:marBottom w:val="0"/>
              <w:divBdr>
                <w:top w:val="none" w:sz="0" w:space="0" w:color="auto"/>
                <w:left w:val="none" w:sz="0" w:space="0" w:color="auto"/>
                <w:bottom w:val="none" w:sz="0" w:space="0" w:color="auto"/>
                <w:right w:val="none" w:sz="0" w:space="0" w:color="auto"/>
              </w:divBdr>
              <w:divsChild>
                <w:div w:id="12399026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70213799">
          <w:marLeft w:val="0"/>
          <w:marRight w:val="0"/>
          <w:marTop w:val="0"/>
          <w:marBottom w:val="0"/>
          <w:divBdr>
            <w:top w:val="none" w:sz="0" w:space="0" w:color="auto"/>
            <w:left w:val="none" w:sz="0" w:space="0" w:color="auto"/>
            <w:bottom w:val="none" w:sz="0" w:space="0" w:color="auto"/>
            <w:right w:val="none" w:sz="0" w:space="0" w:color="auto"/>
          </w:divBdr>
          <w:divsChild>
            <w:div w:id="13388494">
              <w:marLeft w:val="0"/>
              <w:marRight w:val="0"/>
              <w:marTop w:val="0"/>
              <w:marBottom w:val="0"/>
              <w:divBdr>
                <w:top w:val="none" w:sz="0" w:space="0" w:color="auto"/>
                <w:left w:val="none" w:sz="0" w:space="0" w:color="auto"/>
                <w:bottom w:val="none" w:sz="0" w:space="0" w:color="auto"/>
                <w:right w:val="none" w:sz="0" w:space="0" w:color="auto"/>
              </w:divBdr>
              <w:divsChild>
                <w:div w:id="989553617">
                  <w:marLeft w:val="0"/>
                  <w:marRight w:val="0"/>
                  <w:marTop w:val="0"/>
                  <w:marBottom w:val="0"/>
                  <w:divBdr>
                    <w:top w:val="none" w:sz="0" w:space="0" w:color="auto"/>
                    <w:left w:val="none" w:sz="0" w:space="0" w:color="auto"/>
                    <w:bottom w:val="none" w:sz="0" w:space="0" w:color="auto"/>
                    <w:right w:val="none" w:sz="0" w:space="0" w:color="auto"/>
                  </w:divBdr>
                  <w:divsChild>
                    <w:div w:id="376011686">
                      <w:marLeft w:val="0"/>
                      <w:marRight w:val="0"/>
                      <w:marTop w:val="0"/>
                      <w:marBottom w:val="0"/>
                      <w:divBdr>
                        <w:top w:val="none" w:sz="0" w:space="0" w:color="auto"/>
                        <w:left w:val="none" w:sz="0" w:space="0" w:color="auto"/>
                        <w:bottom w:val="none" w:sz="0" w:space="0" w:color="auto"/>
                        <w:right w:val="none" w:sz="0" w:space="0" w:color="auto"/>
                      </w:divBdr>
                      <w:divsChild>
                        <w:div w:id="652872782">
                          <w:marLeft w:val="0"/>
                          <w:marRight w:val="0"/>
                          <w:marTop w:val="0"/>
                          <w:marBottom w:val="0"/>
                          <w:divBdr>
                            <w:top w:val="single" w:sz="6" w:space="19" w:color="000000"/>
                            <w:left w:val="single" w:sz="6" w:space="19" w:color="000000"/>
                            <w:bottom w:val="single" w:sz="6" w:space="19" w:color="000000"/>
                            <w:right w:val="single" w:sz="6" w:space="19" w:color="000000"/>
                          </w:divBdr>
                          <w:divsChild>
                            <w:div w:id="241960708">
                              <w:marLeft w:val="0"/>
                              <w:marRight w:val="0"/>
                              <w:marTop w:val="0"/>
                              <w:marBottom w:val="0"/>
                              <w:divBdr>
                                <w:top w:val="none" w:sz="0" w:space="0" w:color="auto"/>
                                <w:left w:val="none" w:sz="0" w:space="0" w:color="auto"/>
                                <w:bottom w:val="none" w:sz="0" w:space="0" w:color="auto"/>
                                <w:right w:val="none" w:sz="0" w:space="0" w:color="auto"/>
                              </w:divBdr>
                              <w:divsChild>
                                <w:div w:id="199392350">
                                  <w:marLeft w:val="0"/>
                                  <w:marRight w:val="0"/>
                                  <w:marTop w:val="0"/>
                                  <w:marBottom w:val="0"/>
                                  <w:divBdr>
                                    <w:top w:val="none" w:sz="0" w:space="0" w:color="auto"/>
                                    <w:left w:val="none" w:sz="0" w:space="0" w:color="auto"/>
                                    <w:bottom w:val="none" w:sz="0" w:space="0" w:color="auto"/>
                                    <w:right w:val="none" w:sz="0" w:space="0" w:color="auto"/>
                                  </w:divBdr>
                                  <w:divsChild>
                                    <w:div w:id="328800782">
                                      <w:marLeft w:val="0"/>
                                      <w:marRight w:val="0"/>
                                      <w:marTop w:val="0"/>
                                      <w:marBottom w:val="0"/>
                                      <w:divBdr>
                                        <w:top w:val="none" w:sz="0" w:space="0" w:color="auto"/>
                                        <w:left w:val="none" w:sz="0" w:space="0" w:color="auto"/>
                                        <w:bottom w:val="none" w:sz="0" w:space="0" w:color="auto"/>
                                        <w:right w:val="none" w:sz="0" w:space="0" w:color="auto"/>
                                      </w:divBdr>
                                      <w:divsChild>
                                        <w:div w:id="19794086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6375918">
                                  <w:marLeft w:val="0"/>
                                  <w:marRight w:val="0"/>
                                  <w:marTop w:val="0"/>
                                  <w:marBottom w:val="0"/>
                                  <w:divBdr>
                                    <w:top w:val="none" w:sz="0" w:space="0" w:color="auto"/>
                                    <w:left w:val="none" w:sz="0" w:space="0" w:color="auto"/>
                                    <w:bottom w:val="none" w:sz="0" w:space="0" w:color="auto"/>
                                    <w:right w:val="none" w:sz="0" w:space="0" w:color="auto"/>
                                  </w:divBdr>
                                </w:div>
                                <w:div w:id="1740588735">
                                  <w:marLeft w:val="0"/>
                                  <w:marRight w:val="0"/>
                                  <w:marTop w:val="0"/>
                                  <w:marBottom w:val="0"/>
                                  <w:divBdr>
                                    <w:top w:val="none" w:sz="0" w:space="0" w:color="auto"/>
                                    <w:left w:val="none" w:sz="0" w:space="0" w:color="auto"/>
                                    <w:bottom w:val="none" w:sz="0" w:space="0" w:color="auto"/>
                                    <w:right w:val="none" w:sz="0" w:space="0" w:color="auto"/>
                                  </w:divBdr>
                                  <w:divsChild>
                                    <w:div w:id="333579136">
                                      <w:marLeft w:val="0"/>
                                      <w:marRight w:val="0"/>
                                      <w:marTop w:val="0"/>
                                      <w:marBottom w:val="0"/>
                                      <w:divBdr>
                                        <w:top w:val="none" w:sz="0" w:space="0" w:color="auto"/>
                                        <w:left w:val="none" w:sz="0" w:space="0" w:color="auto"/>
                                        <w:bottom w:val="none" w:sz="0" w:space="0" w:color="auto"/>
                                        <w:right w:val="none" w:sz="0" w:space="0" w:color="auto"/>
                                      </w:divBdr>
                                      <w:divsChild>
                                        <w:div w:id="1376584995">
                                          <w:marLeft w:val="0"/>
                                          <w:marRight w:val="0"/>
                                          <w:marTop w:val="0"/>
                                          <w:marBottom w:val="375"/>
                                          <w:divBdr>
                                            <w:top w:val="none" w:sz="0" w:space="0" w:color="auto"/>
                                            <w:left w:val="none" w:sz="0" w:space="0" w:color="auto"/>
                                            <w:bottom w:val="none" w:sz="0" w:space="0" w:color="auto"/>
                                            <w:right w:val="none" w:sz="0" w:space="0" w:color="auto"/>
                                          </w:divBdr>
                                          <w:divsChild>
                                            <w:div w:id="185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39766">
                                      <w:marLeft w:val="0"/>
                                      <w:marRight w:val="0"/>
                                      <w:marTop w:val="0"/>
                                      <w:marBottom w:val="0"/>
                                      <w:divBdr>
                                        <w:top w:val="none" w:sz="0" w:space="0" w:color="auto"/>
                                        <w:left w:val="none" w:sz="0" w:space="0" w:color="auto"/>
                                        <w:bottom w:val="none" w:sz="0" w:space="0" w:color="auto"/>
                                        <w:right w:val="none" w:sz="0" w:space="0" w:color="auto"/>
                                      </w:divBdr>
                                      <w:divsChild>
                                        <w:div w:id="941382017">
                                          <w:marLeft w:val="0"/>
                                          <w:marRight w:val="0"/>
                                          <w:marTop w:val="0"/>
                                          <w:marBottom w:val="0"/>
                                          <w:divBdr>
                                            <w:top w:val="none" w:sz="0" w:space="0" w:color="auto"/>
                                            <w:left w:val="none" w:sz="0" w:space="0" w:color="auto"/>
                                            <w:bottom w:val="none" w:sz="0" w:space="0" w:color="auto"/>
                                            <w:right w:val="none" w:sz="0" w:space="0" w:color="auto"/>
                                          </w:divBdr>
                                          <w:divsChild>
                                            <w:div w:id="1589730252">
                                              <w:marLeft w:val="0"/>
                                              <w:marRight w:val="0"/>
                                              <w:marTop w:val="0"/>
                                              <w:marBottom w:val="0"/>
                                              <w:divBdr>
                                                <w:top w:val="none" w:sz="0" w:space="0" w:color="auto"/>
                                                <w:left w:val="none" w:sz="0" w:space="0" w:color="auto"/>
                                                <w:bottom w:val="none" w:sz="0" w:space="0" w:color="auto"/>
                                                <w:right w:val="none" w:sz="0" w:space="0" w:color="auto"/>
                                              </w:divBdr>
                                            </w:div>
                                          </w:divsChild>
                                        </w:div>
                                        <w:div w:id="1158955135">
                                          <w:marLeft w:val="0"/>
                                          <w:marRight w:val="0"/>
                                          <w:marTop w:val="0"/>
                                          <w:marBottom w:val="0"/>
                                          <w:divBdr>
                                            <w:top w:val="none" w:sz="0" w:space="0" w:color="auto"/>
                                            <w:left w:val="none" w:sz="0" w:space="0" w:color="auto"/>
                                            <w:bottom w:val="none" w:sz="0" w:space="0" w:color="auto"/>
                                            <w:right w:val="none" w:sz="0" w:space="0" w:color="auto"/>
                                          </w:divBdr>
                                          <w:divsChild>
                                            <w:div w:id="74211382">
                                              <w:marLeft w:val="0"/>
                                              <w:marRight w:val="0"/>
                                              <w:marTop w:val="0"/>
                                              <w:marBottom w:val="0"/>
                                              <w:divBdr>
                                                <w:top w:val="none" w:sz="0" w:space="0" w:color="auto"/>
                                                <w:left w:val="none" w:sz="0" w:space="0" w:color="auto"/>
                                                <w:bottom w:val="none" w:sz="0" w:space="0" w:color="auto"/>
                                                <w:right w:val="none" w:sz="0" w:space="0" w:color="auto"/>
                                              </w:divBdr>
                                            </w:div>
                                            <w:div w:id="417289143">
                                              <w:marLeft w:val="0"/>
                                              <w:marRight w:val="0"/>
                                              <w:marTop w:val="0"/>
                                              <w:marBottom w:val="0"/>
                                              <w:divBdr>
                                                <w:top w:val="none" w:sz="0" w:space="0" w:color="auto"/>
                                                <w:left w:val="none" w:sz="0" w:space="0" w:color="auto"/>
                                                <w:bottom w:val="none" w:sz="0" w:space="0" w:color="auto"/>
                                                <w:right w:val="none" w:sz="0" w:space="0" w:color="auto"/>
                                              </w:divBdr>
                                            </w:div>
                                            <w:div w:id="705448673">
                                              <w:marLeft w:val="0"/>
                                              <w:marRight w:val="0"/>
                                              <w:marTop w:val="0"/>
                                              <w:marBottom w:val="0"/>
                                              <w:divBdr>
                                                <w:top w:val="none" w:sz="0" w:space="0" w:color="auto"/>
                                                <w:left w:val="none" w:sz="0" w:space="0" w:color="auto"/>
                                                <w:bottom w:val="none" w:sz="0" w:space="0" w:color="auto"/>
                                                <w:right w:val="none" w:sz="0" w:space="0" w:color="auto"/>
                                              </w:divBdr>
                                            </w:div>
                                            <w:div w:id="13022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265158">
      <w:bodyDiv w:val="1"/>
      <w:marLeft w:val="0"/>
      <w:marRight w:val="0"/>
      <w:marTop w:val="0"/>
      <w:marBottom w:val="0"/>
      <w:divBdr>
        <w:top w:val="none" w:sz="0" w:space="0" w:color="auto"/>
        <w:left w:val="none" w:sz="0" w:space="0" w:color="auto"/>
        <w:bottom w:val="none" w:sz="0" w:space="0" w:color="auto"/>
        <w:right w:val="none" w:sz="0" w:space="0" w:color="auto"/>
      </w:divBdr>
    </w:div>
    <w:div w:id="1647926939">
      <w:bodyDiv w:val="1"/>
      <w:marLeft w:val="0"/>
      <w:marRight w:val="0"/>
      <w:marTop w:val="0"/>
      <w:marBottom w:val="0"/>
      <w:divBdr>
        <w:top w:val="none" w:sz="0" w:space="0" w:color="auto"/>
        <w:left w:val="none" w:sz="0" w:space="0" w:color="auto"/>
        <w:bottom w:val="none" w:sz="0" w:space="0" w:color="auto"/>
        <w:right w:val="none" w:sz="0" w:space="0" w:color="auto"/>
      </w:divBdr>
    </w:div>
    <w:div w:id="1723822822">
      <w:bodyDiv w:val="1"/>
      <w:marLeft w:val="0"/>
      <w:marRight w:val="0"/>
      <w:marTop w:val="0"/>
      <w:marBottom w:val="0"/>
      <w:divBdr>
        <w:top w:val="none" w:sz="0" w:space="0" w:color="auto"/>
        <w:left w:val="none" w:sz="0" w:space="0" w:color="auto"/>
        <w:bottom w:val="none" w:sz="0" w:space="0" w:color="auto"/>
        <w:right w:val="none" w:sz="0" w:space="0" w:color="auto"/>
      </w:divBdr>
    </w:div>
    <w:div w:id="1787965656">
      <w:bodyDiv w:val="1"/>
      <w:marLeft w:val="0"/>
      <w:marRight w:val="0"/>
      <w:marTop w:val="0"/>
      <w:marBottom w:val="0"/>
      <w:divBdr>
        <w:top w:val="none" w:sz="0" w:space="0" w:color="auto"/>
        <w:left w:val="none" w:sz="0" w:space="0" w:color="auto"/>
        <w:bottom w:val="none" w:sz="0" w:space="0" w:color="auto"/>
        <w:right w:val="none" w:sz="0" w:space="0" w:color="auto"/>
      </w:divBdr>
    </w:div>
    <w:div w:id="1795639148">
      <w:bodyDiv w:val="1"/>
      <w:marLeft w:val="0"/>
      <w:marRight w:val="0"/>
      <w:marTop w:val="0"/>
      <w:marBottom w:val="0"/>
      <w:divBdr>
        <w:top w:val="none" w:sz="0" w:space="0" w:color="auto"/>
        <w:left w:val="none" w:sz="0" w:space="0" w:color="auto"/>
        <w:bottom w:val="none" w:sz="0" w:space="0" w:color="auto"/>
        <w:right w:val="none" w:sz="0" w:space="0" w:color="auto"/>
      </w:divBdr>
    </w:div>
    <w:div w:id="1869757340">
      <w:bodyDiv w:val="1"/>
      <w:marLeft w:val="0"/>
      <w:marRight w:val="0"/>
      <w:marTop w:val="0"/>
      <w:marBottom w:val="0"/>
      <w:divBdr>
        <w:top w:val="none" w:sz="0" w:space="0" w:color="auto"/>
        <w:left w:val="none" w:sz="0" w:space="0" w:color="auto"/>
        <w:bottom w:val="none" w:sz="0" w:space="0" w:color="auto"/>
        <w:right w:val="none" w:sz="0" w:space="0" w:color="auto"/>
      </w:divBdr>
    </w:div>
    <w:div w:id="1885602568">
      <w:bodyDiv w:val="1"/>
      <w:marLeft w:val="0"/>
      <w:marRight w:val="0"/>
      <w:marTop w:val="0"/>
      <w:marBottom w:val="0"/>
      <w:divBdr>
        <w:top w:val="none" w:sz="0" w:space="0" w:color="auto"/>
        <w:left w:val="none" w:sz="0" w:space="0" w:color="auto"/>
        <w:bottom w:val="none" w:sz="0" w:space="0" w:color="auto"/>
        <w:right w:val="none" w:sz="0" w:space="0" w:color="auto"/>
      </w:divBdr>
      <w:divsChild>
        <w:div w:id="388185502">
          <w:marLeft w:val="0"/>
          <w:marRight w:val="0"/>
          <w:marTop w:val="0"/>
          <w:marBottom w:val="0"/>
          <w:divBdr>
            <w:top w:val="none" w:sz="0" w:space="0" w:color="auto"/>
            <w:left w:val="none" w:sz="0" w:space="0" w:color="auto"/>
            <w:bottom w:val="none" w:sz="0" w:space="0" w:color="auto"/>
            <w:right w:val="none" w:sz="0" w:space="0" w:color="auto"/>
          </w:divBdr>
          <w:divsChild>
            <w:div w:id="766459091">
              <w:marLeft w:val="0"/>
              <w:marRight w:val="0"/>
              <w:marTop w:val="0"/>
              <w:marBottom w:val="0"/>
              <w:divBdr>
                <w:top w:val="none" w:sz="0" w:space="0" w:color="auto"/>
                <w:left w:val="none" w:sz="0" w:space="0" w:color="auto"/>
                <w:bottom w:val="none" w:sz="0" w:space="0" w:color="auto"/>
                <w:right w:val="none" w:sz="0" w:space="0" w:color="auto"/>
              </w:divBdr>
              <w:divsChild>
                <w:div w:id="2009166847">
                  <w:marLeft w:val="0"/>
                  <w:marRight w:val="0"/>
                  <w:marTop w:val="0"/>
                  <w:marBottom w:val="0"/>
                  <w:divBdr>
                    <w:top w:val="none" w:sz="0" w:space="0" w:color="auto"/>
                    <w:left w:val="none" w:sz="0" w:space="0" w:color="auto"/>
                    <w:bottom w:val="none" w:sz="0" w:space="0" w:color="auto"/>
                    <w:right w:val="none" w:sz="0" w:space="0" w:color="auto"/>
                  </w:divBdr>
                  <w:divsChild>
                    <w:div w:id="69541012">
                      <w:marLeft w:val="0"/>
                      <w:marRight w:val="0"/>
                      <w:marTop w:val="0"/>
                      <w:marBottom w:val="0"/>
                      <w:divBdr>
                        <w:top w:val="none" w:sz="0" w:space="0" w:color="auto"/>
                        <w:left w:val="none" w:sz="0" w:space="0" w:color="auto"/>
                        <w:bottom w:val="none" w:sz="0" w:space="0" w:color="auto"/>
                        <w:right w:val="none" w:sz="0" w:space="0" w:color="auto"/>
                      </w:divBdr>
                      <w:divsChild>
                        <w:div w:id="1686130717">
                          <w:marLeft w:val="0"/>
                          <w:marRight w:val="0"/>
                          <w:marTop w:val="0"/>
                          <w:marBottom w:val="0"/>
                          <w:divBdr>
                            <w:top w:val="none" w:sz="0" w:space="0" w:color="auto"/>
                            <w:left w:val="none" w:sz="0" w:space="0" w:color="auto"/>
                            <w:bottom w:val="none" w:sz="0" w:space="0" w:color="auto"/>
                            <w:right w:val="none" w:sz="0" w:space="0" w:color="auto"/>
                          </w:divBdr>
                          <w:divsChild>
                            <w:div w:id="1233615446">
                              <w:marLeft w:val="2700"/>
                              <w:marRight w:val="3960"/>
                              <w:marTop w:val="0"/>
                              <w:marBottom w:val="0"/>
                              <w:divBdr>
                                <w:top w:val="none" w:sz="0" w:space="0" w:color="auto"/>
                                <w:left w:val="none" w:sz="0" w:space="0" w:color="auto"/>
                                <w:bottom w:val="none" w:sz="0" w:space="0" w:color="auto"/>
                                <w:right w:val="none" w:sz="0" w:space="0" w:color="auto"/>
                              </w:divBdr>
                              <w:divsChild>
                                <w:div w:id="1107046358">
                                  <w:marLeft w:val="0"/>
                                  <w:marRight w:val="0"/>
                                  <w:marTop w:val="0"/>
                                  <w:marBottom w:val="0"/>
                                  <w:divBdr>
                                    <w:top w:val="none" w:sz="0" w:space="0" w:color="auto"/>
                                    <w:left w:val="none" w:sz="0" w:space="0" w:color="auto"/>
                                    <w:bottom w:val="none" w:sz="0" w:space="0" w:color="auto"/>
                                    <w:right w:val="none" w:sz="0" w:space="0" w:color="auto"/>
                                  </w:divBdr>
                                  <w:divsChild>
                                    <w:div w:id="691801364">
                                      <w:marLeft w:val="0"/>
                                      <w:marRight w:val="0"/>
                                      <w:marTop w:val="0"/>
                                      <w:marBottom w:val="0"/>
                                      <w:divBdr>
                                        <w:top w:val="none" w:sz="0" w:space="0" w:color="auto"/>
                                        <w:left w:val="none" w:sz="0" w:space="0" w:color="auto"/>
                                        <w:bottom w:val="none" w:sz="0" w:space="0" w:color="auto"/>
                                        <w:right w:val="none" w:sz="0" w:space="0" w:color="auto"/>
                                      </w:divBdr>
                                      <w:divsChild>
                                        <w:div w:id="506214378">
                                          <w:marLeft w:val="0"/>
                                          <w:marRight w:val="0"/>
                                          <w:marTop w:val="0"/>
                                          <w:marBottom w:val="0"/>
                                          <w:divBdr>
                                            <w:top w:val="none" w:sz="0" w:space="0" w:color="auto"/>
                                            <w:left w:val="none" w:sz="0" w:space="0" w:color="auto"/>
                                            <w:bottom w:val="none" w:sz="0" w:space="0" w:color="auto"/>
                                            <w:right w:val="none" w:sz="0" w:space="0" w:color="auto"/>
                                          </w:divBdr>
                                          <w:divsChild>
                                            <w:div w:id="872620238">
                                              <w:marLeft w:val="0"/>
                                              <w:marRight w:val="0"/>
                                              <w:marTop w:val="90"/>
                                              <w:marBottom w:val="0"/>
                                              <w:divBdr>
                                                <w:top w:val="none" w:sz="0" w:space="0" w:color="auto"/>
                                                <w:left w:val="none" w:sz="0" w:space="0" w:color="auto"/>
                                                <w:bottom w:val="none" w:sz="0" w:space="0" w:color="auto"/>
                                                <w:right w:val="none" w:sz="0" w:space="0" w:color="auto"/>
                                              </w:divBdr>
                                              <w:divsChild>
                                                <w:div w:id="385952579">
                                                  <w:marLeft w:val="0"/>
                                                  <w:marRight w:val="0"/>
                                                  <w:marTop w:val="0"/>
                                                  <w:marBottom w:val="420"/>
                                                  <w:divBdr>
                                                    <w:top w:val="none" w:sz="0" w:space="0" w:color="auto"/>
                                                    <w:left w:val="none" w:sz="0" w:space="0" w:color="auto"/>
                                                    <w:bottom w:val="none" w:sz="0" w:space="0" w:color="auto"/>
                                                    <w:right w:val="none" w:sz="0" w:space="0" w:color="auto"/>
                                                  </w:divBdr>
                                                  <w:divsChild>
                                                    <w:div w:id="247077580">
                                                      <w:marLeft w:val="0"/>
                                                      <w:marRight w:val="0"/>
                                                      <w:marTop w:val="0"/>
                                                      <w:marBottom w:val="0"/>
                                                      <w:divBdr>
                                                        <w:top w:val="none" w:sz="0" w:space="0" w:color="auto"/>
                                                        <w:left w:val="none" w:sz="0" w:space="0" w:color="auto"/>
                                                        <w:bottom w:val="none" w:sz="0" w:space="0" w:color="auto"/>
                                                        <w:right w:val="none" w:sz="0" w:space="0" w:color="auto"/>
                                                      </w:divBdr>
                                                      <w:divsChild>
                                                        <w:div w:id="16517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7737061">
      <w:bodyDiv w:val="1"/>
      <w:marLeft w:val="0"/>
      <w:marRight w:val="0"/>
      <w:marTop w:val="0"/>
      <w:marBottom w:val="0"/>
      <w:divBdr>
        <w:top w:val="none" w:sz="0" w:space="0" w:color="auto"/>
        <w:left w:val="none" w:sz="0" w:space="0" w:color="auto"/>
        <w:bottom w:val="none" w:sz="0" w:space="0" w:color="auto"/>
        <w:right w:val="none" w:sz="0" w:space="0" w:color="auto"/>
      </w:divBdr>
    </w:div>
    <w:div w:id="1917737575">
      <w:bodyDiv w:val="1"/>
      <w:marLeft w:val="0"/>
      <w:marRight w:val="0"/>
      <w:marTop w:val="0"/>
      <w:marBottom w:val="0"/>
      <w:divBdr>
        <w:top w:val="none" w:sz="0" w:space="0" w:color="auto"/>
        <w:left w:val="none" w:sz="0" w:space="0" w:color="auto"/>
        <w:bottom w:val="none" w:sz="0" w:space="0" w:color="auto"/>
        <w:right w:val="none" w:sz="0" w:space="0" w:color="auto"/>
      </w:divBdr>
    </w:div>
    <w:div w:id="1924950476">
      <w:bodyDiv w:val="1"/>
      <w:marLeft w:val="0"/>
      <w:marRight w:val="0"/>
      <w:marTop w:val="0"/>
      <w:marBottom w:val="0"/>
      <w:divBdr>
        <w:top w:val="none" w:sz="0" w:space="0" w:color="auto"/>
        <w:left w:val="none" w:sz="0" w:space="0" w:color="auto"/>
        <w:bottom w:val="none" w:sz="0" w:space="0" w:color="auto"/>
        <w:right w:val="none" w:sz="0" w:space="0" w:color="auto"/>
      </w:divBdr>
      <w:divsChild>
        <w:div w:id="1211115562">
          <w:marLeft w:val="0"/>
          <w:marRight w:val="0"/>
          <w:marTop w:val="0"/>
          <w:marBottom w:val="0"/>
          <w:divBdr>
            <w:top w:val="none" w:sz="0" w:space="0" w:color="auto"/>
            <w:left w:val="none" w:sz="0" w:space="0" w:color="auto"/>
            <w:bottom w:val="none" w:sz="0" w:space="0" w:color="auto"/>
            <w:right w:val="none" w:sz="0" w:space="0" w:color="auto"/>
          </w:divBdr>
          <w:divsChild>
            <w:div w:id="203639385">
              <w:marLeft w:val="0"/>
              <w:marRight w:val="0"/>
              <w:marTop w:val="0"/>
              <w:marBottom w:val="0"/>
              <w:divBdr>
                <w:top w:val="none" w:sz="0" w:space="0" w:color="auto"/>
                <w:left w:val="none" w:sz="0" w:space="0" w:color="auto"/>
                <w:bottom w:val="none" w:sz="0" w:space="0" w:color="auto"/>
                <w:right w:val="none" w:sz="0" w:space="0" w:color="auto"/>
              </w:divBdr>
              <w:divsChild>
                <w:div w:id="1213343937">
                  <w:marLeft w:val="0"/>
                  <w:marRight w:val="0"/>
                  <w:marTop w:val="0"/>
                  <w:marBottom w:val="0"/>
                  <w:divBdr>
                    <w:top w:val="none" w:sz="0" w:space="0" w:color="auto"/>
                    <w:left w:val="none" w:sz="0" w:space="0" w:color="auto"/>
                    <w:bottom w:val="none" w:sz="0" w:space="0" w:color="auto"/>
                    <w:right w:val="none" w:sz="0" w:space="0" w:color="auto"/>
                  </w:divBdr>
                  <w:divsChild>
                    <w:div w:id="1465387421">
                      <w:marLeft w:val="0"/>
                      <w:marRight w:val="0"/>
                      <w:marTop w:val="0"/>
                      <w:marBottom w:val="0"/>
                      <w:divBdr>
                        <w:top w:val="none" w:sz="0" w:space="0" w:color="auto"/>
                        <w:left w:val="none" w:sz="0" w:space="0" w:color="auto"/>
                        <w:bottom w:val="none" w:sz="0" w:space="0" w:color="auto"/>
                        <w:right w:val="none" w:sz="0" w:space="0" w:color="auto"/>
                      </w:divBdr>
                      <w:divsChild>
                        <w:div w:id="1331907375">
                          <w:marLeft w:val="0"/>
                          <w:marRight w:val="0"/>
                          <w:marTop w:val="0"/>
                          <w:marBottom w:val="0"/>
                          <w:divBdr>
                            <w:top w:val="none" w:sz="0" w:space="0" w:color="auto"/>
                            <w:left w:val="none" w:sz="0" w:space="0" w:color="auto"/>
                            <w:bottom w:val="none" w:sz="0" w:space="0" w:color="auto"/>
                            <w:right w:val="none" w:sz="0" w:space="0" w:color="auto"/>
                          </w:divBdr>
                          <w:divsChild>
                            <w:div w:id="1692029509">
                              <w:marLeft w:val="2700"/>
                              <w:marRight w:val="3960"/>
                              <w:marTop w:val="0"/>
                              <w:marBottom w:val="0"/>
                              <w:divBdr>
                                <w:top w:val="none" w:sz="0" w:space="0" w:color="auto"/>
                                <w:left w:val="none" w:sz="0" w:space="0" w:color="auto"/>
                                <w:bottom w:val="none" w:sz="0" w:space="0" w:color="auto"/>
                                <w:right w:val="none" w:sz="0" w:space="0" w:color="auto"/>
                              </w:divBdr>
                              <w:divsChild>
                                <w:div w:id="417941488">
                                  <w:marLeft w:val="0"/>
                                  <w:marRight w:val="0"/>
                                  <w:marTop w:val="0"/>
                                  <w:marBottom w:val="0"/>
                                  <w:divBdr>
                                    <w:top w:val="none" w:sz="0" w:space="0" w:color="auto"/>
                                    <w:left w:val="none" w:sz="0" w:space="0" w:color="auto"/>
                                    <w:bottom w:val="none" w:sz="0" w:space="0" w:color="auto"/>
                                    <w:right w:val="none" w:sz="0" w:space="0" w:color="auto"/>
                                  </w:divBdr>
                                  <w:divsChild>
                                    <w:div w:id="545534216">
                                      <w:marLeft w:val="0"/>
                                      <w:marRight w:val="0"/>
                                      <w:marTop w:val="0"/>
                                      <w:marBottom w:val="0"/>
                                      <w:divBdr>
                                        <w:top w:val="none" w:sz="0" w:space="0" w:color="auto"/>
                                        <w:left w:val="none" w:sz="0" w:space="0" w:color="auto"/>
                                        <w:bottom w:val="none" w:sz="0" w:space="0" w:color="auto"/>
                                        <w:right w:val="none" w:sz="0" w:space="0" w:color="auto"/>
                                      </w:divBdr>
                                      <w:divsChild>
                                        <w:div w:id="680395253">
                                          <w:marLeft w:val="0"/>
                                          <w:marRight w:val="0"/>
                                          <w:marTop w:val="0"/>
                                          <w:marBottom w:val="0"/>
                                          <w:divBdr>
                                            <w:top w:val="none" w:sz="0" w:space="0" w:color="auto"/>
                                            <w:left w:val="none" w:sz="0" w:space="0" w:color="auto"/>
                                            <w:bottom w:val="none" w:sz="0" w:space="0" w:color="auto"/>
                                            <w:right w:val="none" w:sz="0" w:space="0" w:color="auto"/>
                                          </w:divBdr>
                                          <w:divsChild>
                                            <w:div w:id="1585382268">
                                              <w:marLeft w:val="0"/>
                                              <w:marRight w:val="0"/>
                                              <w:marTop w:val="90"/>
                                              <w:marBottom w:val="0"/>
                                              <w:divBdr>
                                                <w:top w:val="none" w:sz="0" w:space="0" w:color="auto"/>
                                                <w:left w:val="none" w:sz="0" w:space="0" w:color="auto"/>
                                                <w:bottom w:val="none" w:sz="0" w:space="0" w:color="auto"/>
                                                <w:right w:val="none" w:sz="0" w:space="0" w:color="auto"/>
                                              </w:divBdr>
                                              <w:divsChild>
                                                <w:div w:id="1646741204">
                                                  <w:marLeft w:val="0"/>
                                                  <w:marRight w:val="0"/>
                                                  <w:marTop w:val="0"/>
                                                  <w:marBottom w:val="420"/>
                                                  <w:divBdr>
                                                    <w:top w:val="none" w:sz="0" w:space="0" w:color="auto"/>
                                                    <w:left w:val="none" w:sz="0" w:space="0" w:color="auto"/>
                                                    <w:bottom w:val="none" w:sz="0" w:space="0" w:color="auto"/>
                                                    <w:right w:val="none" w:sz="0" w:space="0" w:color="auto"/>
                                                  </w:divBdr>
                                                  <w:divsChild>
                                                    <w:div w:id="925381104">
                                                      <w:marLeft w:val="0"/>
                                                      <w:marRight w:val="0"/>
                                                      <w:marTop w:val="0"/>
                                                      <w:marBottom w:val="0"/>
                                                      <w:divBdr>
                                                        <w:top w:val="none" w:sz="0" w:space="0" w:color="auto"/>
                                                        <w:left w:val="none" w:sz="0" w:space="0" w:color="auto"/>
                                                        <w:bottom w:val="none" w:sz="0" w:space="0" w:color="auto"/>
                                                        <w:right w:val="none" w:sz="0" w:space="0" w:color="auto"/>
                                                      </w:divBdr>
                                                      <w:divsChild>
                                                        <w:div w:id="70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040275">
      <w:bodyDiv w:val="1"/>
      <w:marLeft w:val="0"/>
      <w:marRight w:val="0"/>
      <w:marTop w:val="0"/>
      <w:marBottom w:val="0"/>
      <w:divBdr>
        <w:top w:val="none" w:sz="0" w:space="0" w:color="auto"/>
        <w:left w:val="none" w:sz="0" w:space="0" w:color="auto"/>
        <w:bottom w:val="none" w:sz="0" w:space="0" w:color="auto"/>
        <w:right w:val="none" w:sz="0" w:space="0" w:color="auto"/>
      </w:divBdr>
    </w:div>
    <w:div w:id="2004772420">
      <w:bodyDiv w:val="1"/>
      <w:marLeft w:val="0"/>
      <w:marRight w:val="0"/>
      <w:marTop w:val="0"/>
      <w:marBottom w:val="0"/>
      <w:divBdr>
        <w:top w:val="none" w:sz="0" w:space="0" w:color="auto"/>
        <w:left w:val="none" w:sz="0" w:space="0" w:color="auto"/>
        <w:bottom w:val="none" w:sz="0" w:space="0" w:color="auto"/>
        <w:right w:val="none" w:sz="0" w:space="0" w:color="auto"/>
      </w:divBdr>
    </w:div>
    <w:div w:id="213524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publications/i/item/9789240033986" TargetMode="External"/><Relationship Id="rId3" Type="http://schemas.openxmlformats.org/officeDocument/2006/relationships/hyperlink" Target="https://tgldcdp.tg.org.au/viewTopic?etgAccess=true&amp;guidelinePage=Cardiovascular&amp;topicfile=c_CVG_Hypertension-and-blood-pressure-reductiontopic_1&amp;guidelinename=auto&amp;sectionId=c_CVG_Hypertension-and-blood-pressure-reductiontopic_8" TargetMode="External"/><Relationship Id="rId7" Type="http://schemas.openxmlformats.org/officeDocument/2006/relationships/hyperlink" Target="https://academic.oup.com/eurheartj/article/45/38/3912/7741010?login=true" TargetMode="External"/><Relationship Id="rId2" Type="http://schemas.openxmlformats.org/officeDocument/2006/relationships/hyperlink" Target="https://www.heartfoundation.org.au/getmedia/c83511ab-835a-4fcf-96f5-88d770582ddc/PRO-167_Hypertension-guideline-2016_WEB.pdf" TargetMode="External"/><Relationship Id="rId1" Type="http://schemas.openxmlformats.org/officeDocument/2006/relationships/hyperlink" Target="https://www.pbs.gov.au/info/industry/listing/elements/pbac-meetings/psd/2010-07/pbac-psd-Olmesartan-Medoxomil-july10" TargetMode="External"/><Relationship Id="rId6" Type="http://schemas.openxmlformats.org/officeDocument/2006/relationships/hyperlink" Target="https://www.ahajournals.org/doi/10.1161/HYPERTENSIONAHA.120.15026" TargetMode="External"/><Relationship Id="rId5" Type="http://schemas.openxmlformats.org/officeDocument/2006/relationships/hyperlink" Target="https://www.hypertensiontaskforce.au/" TargetMode="External"/><Relationship Id="rId4" Type="http://schemas.openxmlformats.org/officeDocument/2006/relationships/hyperlink" Target="https://www.heartfoundation.org.au/media-releases/new-best-practices-for-hypertension-and-lipi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D8DF0-CEAA-4B6C-96BD-CDDCE806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DDA0B-F283-46AF-BBAF-EC6D69C6B3D7}">
  <ds:schemaRefs>
    <ds:schemaRef ds:uri="http://schemas.openxmlformats.org/officeDocument/2006/bibliography"/>
  </ds:schemaRefs>
</ds:datastoreItem>
</file>

<file path=customXml/itemProps3.xml><?xml version="1.0" encoding="utf-8"?>
<ds:datastoreItem xmlns:ds="http://schemas.openxmlformats.org/officeDocument/2006/customXml" ds:itemID="{3D3CBCA8-A150-4208-A110-1BDC7DEE9FA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5F532B39-8F3B-47B5-ACBF-FDD3B4F2E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6116</Words>
  <Characters>36819</Characters>
  <Application>Microsoft Office Word</Application>
  <DocSecurity>0</DocSecurity>
  <Lines>575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2025-01-23T23:19:00Z</dcterms:created>
  <dcterms:modified xsi:type="dcterms:W3CDTF">2026-03-19T03:58:00Z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4fafa1a0,483e9bcb,507f77c5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1db3bf61,48ea5d40,d3909e7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2026-01-20T03:17:35Z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cda4f528-d591-47b3-9b03-46f24f7c62e5</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