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A89" w:rsidRPr="00E82B09" w:rsidRDefault="00963A89" w:rsidP="00963A89">
      <w:pPr>
        <w:spacing w:before="3800" w:after="240" w:line="240" w:lineRule="auto"/>
        <w:jc w:val="center"/>
        <w:rPr>
          <w:rFonts w:ascii="Calibri" w:hAnsi="Calibri"/>
          <w:b/>
          <w:sz w:val="52"/>
          <w:szCs w:val="52"/>
        </w:rPr>
      </w:pPr>
      <w:bookmarkStart w:id="0" w:name="_GoBack"/>
      <w:bookmarkEnd w:id="0"/>
      <w:r w:rsidRPr="00E82B09">
        <w:rPr>
          <w:rFonts w:ascii="Calibri" w:hAnsi="Calibri"/>
          <w:b/>
          <w:sz w:val="52"/>
          <w:szCs w:val="52"/>
        </w:rPr>
        <w:t>Pharmaceutical Benefits Scheme</w:t>
      </w:r>
    </w:p>
    <w:p w:rsidR="00963A89" w:rsidRPr="00E82B09" w:rsidRDefault="00963A89" w:rsidP="00963A89">
      <w:pPr>
        <w:spacing w:before="480" w:after="240" w:line="240" w:lineRule="auto"/>
        <w:jc w:val="center"/>
        <w:rPr>
          <w:rFonts w:ascii="Calibri" w:hAnsi="Calibri"/>
          <w:b/>
          <w:sz w:val="40"/>
          <w:szCs w:val="40"/>
        </w:rPr>
      </w:pPr>
      <w:r w:rsidRPr="00E82B09">
        <w:rPr>
          <w:rFonts w:ascii="Calibri" w:hAnsi="Calibri"/>
          <w:b/>
          <w:sz w:val="40"/>
          <w:szCs w:val="40"/>
        </w:rPr>
        <w:t>Post-market Review of</w:t>
      </w:r>
    </w:p>
    <w:p w:rsidR="00963A89" w:rsidRPr="00E82B09" w:rsidRDefault="00963A89" w:rsidP="00963A89">
      <w:pPr>
        <w:spacing w:before="240" w:line="240" w:lineRule="auto"/>
        <w:jc w:val="center"/>
        <w:rPr>
          <w:rFonts w:ascii="Calibri" w:hAnsi="Calibri"/>
          <w:b/>
          <w:color w:val="365F91" w:themeColor="accent1" w:themeShade="BF"/>
          <w:sz w:val="40"/>
          <w:szCs w:val="40"/>
        </w:rPr>
      </w:pPr>
      <w:r w:rsidRPr="00E82B09">
        <w:rPr>
          <w:rFonts w:ascii="Calibri" w:hAnsi="Calibri"/>
          <w:b/>
          <w:color w:val="365F91" w:themeColor="accent1" w:themeShade="BF"/>
          <w:sz w:val="40"/>
          <w:szCs w:val="40"/>
        </w:rPr>
        <w:t>Medicines to treat Pulmonary Arterial Hypertension</w:t>
      </w:r>
    </w:p>
    <w:p w:rsidR="00963A89" w:rsidRPr="00E82B09" w:rsidRDefault="00767A96" w:rsidP="00963A89">
      <w:pPr>
        <w:spacing w:before="240" w:after="1920" w:line="240" w:lineRule="auto"/>
        <w:jc w:val="center"/>
        <w:rPr>
          <w:rFonts w:ascii="Calibri" w:hAnsi="Calibri"/>
          <w:b/>
          <w:color w:val="365F91" w:themeColor="accent1" w:themeShade="BF"/>
          <w:sz w:val="40"/>
          <w:szCs w:val="40"/>
        </w:rPr>
      </w:pPr>
      <w:r w:rsidRPr="00E82B09">
        <w:rPr>
          <w:rFonts w:ascii="Calibri" w:hAnsi="Calibri"/>
          <w:b/>
          <w:color w:val="365F91" w:themeColor="accent1" w:themeShade="BF"/>
          <w:sz w:val="40"/>
          <w:szCs w:val="40"/>
        </w:rPr>
        <w:t>ToR 3</w:t>
      </w:r>
    </w:p>
    <w:p w:rsidR="00963A89" w:rsidRPr="00E82B09" w:rsidRDefault="00963A89" w:rsidP="00963A89">
      <w:pPr>
        <w:spacing w:before="240" w:line="240" w:lineRule="auto"/>
        <w:jc w:val="center"/>
        <w:rPr>
          <w:rFonts w:ascii="Calibri" w:hAnsi="Calibri"/>
          <w:b/>
          <w:color w:val="365F91" w:themeColor="accent1" w:themeShade="BF"/>
          <w:sz w:val="32"/>
          <w:szCs w:val="32"/>
        </w:rPr>
      </w:pPr>
      <w:r w:rsidRPr="00E82B09">
        <w:rPr>
          <w:rFonts w:ascii="Calibri" w:hAnsi="Calibri"/>
          <w:b/>
          <w:color w:val="365F91" w:themeColor="accent1" w:themeShade="BF"/>
          <w:sz w:val="32"/>
          <w:szCs w:val="32"/>
        </w:rPr>
        <w:t xml:space="preserve">Final Report </w:t>
      </w:r>
    </w:p>
    <w:p w:rsidR="00963A89" w:rsidRPr="00E82B09" w:rsidRDefault="00963A89" w:rsidP="00963A89">
      <w:pPr>
        <w:spacing w:before="240" w:after="1920" w:line="240" w:lineRule="auto"/>
        <w:jc w:val="center"/>
        <w:rPr>
          <w:rFonts w:ascii="Calibri" w:hAnsi="Calibri"/>
        </w:rPr>
      </w:pPr>
      <w:r w:rsidRPr="00E82B09">
        <w:rPr>
          <w:rFonts w:ascii="Calibri" w:hAnsi="Calibri"/>
          <w:b/>
          <w:color w:val="365F91" w:themeColor="accent1" w:themeShade="BF"/>
          <w:sz w:val="32"/>
          <w:szCs w:val="32"/>
        </w:rPr>
        <w:t>November 2018</w:t>
      </w:r>
    </w:p>
    <w:p w:rsidR="00AD6665" w:rsidRPr="008D4204" w:rsidRDefault="00AD6665" w:rsidP="00AD6665">
      <w:pPr>
        <w:rPr>
          <w:rFonts w:asciiTheme="minorHAnsi" w:hAnsiTheme="minorHAnsi"/>
          <w:b/>
          <w:bCs/>
        </w:rPr>
      </w:pPr>
      <w:r w:rsidRPr="008D4204">
        <w:rPr>
          <w:rFonts w:asciiTheme="minorHAnsi" w:hAnsiTheme="minorHAnsi"/>
        </w:rPr>
        <w:br w:type="page"/>
      </w:r>
    </w:p>
    <w:sdt>
      <w:sdtPr>
        <w:rPr>
          <w:rFonts w:ascii="Cambria" w:eastAsiaTheme="minorHAnsi" w:hAnsi="Cambria" w:cstheme="minorBidi"/>
          <w:b w:val="0"/>
          <w:bCs w:val="0"/>
          <w:color w:val="auto"/>
          <w:sz w:val="24"/>
          <w:szCs w:val="22"/>
          <w:lang w:val="en-AU" w:eastAsia="en-AU"/>
        </w:rPr>
        <w:id w:val="253712644"/>
        <w:docPartObj>
          <w:docPartGallery w:val="Table of Contents"/>
          <w:docPartUnique/>
        </w:docPartObj>
      </w:sdtPr>
      <w:sdtEndPr>
        <w:rPr>
          <w:rFonts w:asciiTheme="minorHAnsi" w:hAnsiTheme="minorHAnsi"/>
          <w:noProof/>
        </w:rPr>
      </w:sdtEndPr>
      <w:sdtContent>
        <w:p w:rsidR="00AD6665" w:rsidRPr="00E82B09" w:rsidRDefault="00AD6665" w:rsidP="00AD6665">
          <w:pPr>
            <w:pStyle w:val="TOCHeading"/>
            <w:rPr>
              <w:rFonts w:cstheme="minorHAnsi"/>
              <w:lang w:val="en-AU" w:eastAsia="en-AU"/>
            </w:rPr>
          </w:pPr>
          <w:r w:rsidRPr="00E82B09">
            <w:rPr>
              <w:rFonts w:cstheme="minorHAnsi"/>
              <w:lang w:val="en-AU" w:eastAsia="en-AU"/>
            </w:rPr>
            <w:t>Contents</w:t>
          </w:r>
        </w:p>
        <w:p w:rsidR="00051E89" w:rsidRPr="00E82B09" w:rsidRDefault="00051E89">
          <w:pPr>
            <w:pStyle w:val="TOC1"/>
            <w:tabs>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List of Tables</w:t>
          </w:r>
          <w:r w:rsidRPr="00E82B09">
            <w:rPr>
              <w:rFonts w:asciiTheme="minorHAnsi" w:hAnsiTheme="minorHAnsi" w:cstheme="minorHAnsi"/>
              <w:noProof/>
              <w:webHidden/>
            </w:rPr>
            <w:tab/>
          </w:r>
          <w:r w:rsidR="00194614" w:rsidRPr="00E82B09">
            <w:rPr>
              <w:rFonts w:asciiTheme="minorHAnsi" w:hAnsiTheme="minorHAnsi" w:cstheme="minorHAnsi"/>
              <w:noProof/>
              <w:webHidden/>
            </w:rPr>
            <w:t>3</w:t>
          </w:r>
        </w:p>
        <w:p w:rsidR="00051E89" w:rsidRPr="00E82B09" w:rsidRDefault="00051E89">
          <w:pPr>
            <w:pStyle w:val="TOC1"/>
            <w:tabs>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Abbreviations</w:t>
          </w:r>
          <w:r w:rsidRPr="00E82B09">
            <w:rPr>
              <w:rFonts w:asciiTheme="minorHAnsi" w:hAnsiTheme="minorHAnsi" w:cstheme="minorHAnsi"/>
              <w:noProof/>
              <w:webHidden/>
            </w:rPr>
            <w:tab/>
          </w:r>
          <w:r w:rsidR="00194614" w:rsidRPr="00E82B09">
            <w:rPr>
              <w:rFonts w:asciiTheme="minorHAnsi" w:hAnsiTheme="minorHAnsi" w:cstheme="minorHAnsi"/>
              <w:noProof/>
              <w:webHidden/>
            </w:rPr>
            <w:t>4</w:t>
          </w:r>
        </w:p>
        <w:p w:rsidR="00051E89" w:rsidRPr="00E82B09" w:rsidRDefault="00051E89">
          <w:pPr>
            <w:pStyle w:val="TOC1"/>
            <w:tabs>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Section 3: ToR 3 Patient relevant clinical outcomes</w:t>
          </w:r>
          <w:r w:rsidRPr="00E82B09">
            <w:rPr>
              <w:rFonts w:asciiTheme="minorHAnsi" w:hAnsiTheme="minorHAnsi" w:cstheme="minorHAnsi"/>
              <w:noProof/>
              <w:webHidden/>
            </w:rPr>
            <w:tab/>
          </w:r>
          <w:r w:rsidR="00194614" w:rsidRPr="00E82B09">
            <w:rPr>
              <w:rFonts w:asciiTheme="minorHAnsi" w:hAnsiTheme="minorHAnsi" w:cstheme="minorHAnsi"/>
              <w:noProof/>
              <w:webHidden/>
            </w:rPr>
            <w:t>5</w:t>
          </w:r>
        </w:p>
        <w:p w:rsidR="00051E89" w:rsidRPr="00E82B09" w:rsidRDefault="00051E89">
          <w:pPr>
            <w:pStyle w:val="TOC2"/>
            <w:tabs>
              <w:tab w:val="left" w:pos="88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3.1</w:t>
          </w:r>
          <w:r w:rsidRPr="00E82B09">
            <w:rPr>
              <w:rFonts w:asciiTheme="minorHAnsi" w:eastAsiaTheme="minorEastAsia" w:hAnsiTheme="minorHAnsi" w:cstheme="minorHAnsi"/>
              <w:noProof/>
              <w:sz w:val="22"/>
            </w:rPr>
            <w:tab/>
          </w:r>
          <w:r w:rsidRPr="00E82B09">
            <w:rPr>
              <w:rFonts w:asciiTheme="minorHAnsi" w:hAnsiTheme="minorHAnsi" w:cstheme="minorHAnsi"/>
              <w:noProof/>
            </w:rPr>
            <w:t>Key findings for ToR 3</w:t>
          </w:r>
          <w:r w:rsidRPr="00E82B09">
            <w:rPr>
              <w:rFonts w:asciiTheme="minorHAnsi" w:hAnsiTheme="minorHAnsi" w:cstheme="minorHAnsi"/>
              <w:noProof/>
              <w:webHidden/>
            </w:rPr>
            <w:tab/>
          </w:r>
          <w:r w:rsidR="00194614" w:rsidRPr="00E82B09">
            <w:rPr>
              <w:rFonts w:asciiTheme="minorHAnsi" w:hAnsiTheme="minorHAnsi" w:cstheme="minorHAnsi"/>
              <w:noProof/>
              <w:webHidden/>
            </w:rPr>
            <w:t>5</w:t>
          </w:r>
        </w:p>
        <w:p w:rsidR="00051E89" w:rsidRPr="00E82B09" w:rsidRDefault="00051E89">
          <w:pPr>
            <w:pStyle w:val="TOC3"/>
            <w:tabs>
              <w:tab w:val="left" w:pos="132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3.1.1</w:t>
          </w:r>
          <w:r w:rsidRPr="00E82B09">
            <w:rPr>
              <w:rFonts w:asciiTheme="minorHAnsi" w:eastAsiaTheme="minorEastAsia" w:hAnsiTheme="minorHAnsi" w:cstheme="minorHAnsi"/>
              <w:noProof/>
              <w:sz w:val="22"/>
            </w:rPr>
            <w:tab/>
          </w:r>
          <w:r w:rsidRPr="00E82B09">
            <w:rPr>
              <w:rFonts w:asciiTheme="minorHAnsi" w:hAnsiTheme="minorHAnsi" w:cstheme="minorHAnsi"/>
              <w:noProof/>
            </w:rPr>
            <w:t>Stakeholder views</w:t>
          </w:r>
          <w:r w:rsidRPr="00E82B09">
            <w:rPr>
              <w:rFonts w:asciiTheme="minorHAnsi" w:hAnsiTheme="minorHAnsi" w:cstheme="minorHAnsi"/>
              <w:noProof/>
              <w:webHidden/>
            </w:rPr>
            <w:tab/>
          </w:r>
          <w:r w:rsidR="00194614" w:rsidRPr="00E82B09">
            <w:rPr>
              <w:rFonts w:asciiTheme="minorHAnsi" w:hAnsiTheme="minorHAnsi" w:cstheme="minorHAnsi"/>
              <w:noProof/>
              <w:webHidden/>
            </w:rPr>
            <w:t>5</w:t>
          </w:r>
        </w:p>
        <w:p w:rsidR="00051E89" w:rsidRPr="00E82B09" w:rsidRDefault="00051E89">
          <w:pPr>
            <w:pStyle w:val="TOC2"/>
            <w:tabs>
              <w:tab w:val="left" w:pos="88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3.2</w:t>
          </w:r>
          <w:r w:rsidRPr="00E82B09">
            <w:rPr>
              <w:rFonts w:asciiTheme="minorHAnsi" w:eastAsiaTheme="minorEastAsia" w:hAnsiTheme="minorHAnsi" w:cstheme="minorHAnsi"/>
              <w:noProof/>
              <w:sz w:val="22"/>
            </w:rPr>
            <w:tab/>
          </w:r>
          <w:r w:rsidRPr="00E82B09">
            <w:rPr>
              <w:rFonts w:asciiTheme="minorHAnsi" w:hAnsiTheme="minorHAnsi" w:cstheme="minorHAnsi"/>
              <w:noProof/>
            </w:rPr>
            <w:t>Patient views on relevant clinical outcomes</w:t>
          </w:r>
          <w:r w:rsidRPr="00E82B09">
            <w:rPr>
              <w:rFonts w:asciiTheme="minorHAnsi" w:hAnsiTheme="minorHAnsi" w:cstheme="minorHAnsi"/>
              <w:noProof/>
              <w:webHidden/>
            </w:rPr>
            <w:tab/>
          </w:r>
          <w:r w:rsidR="00194614" w:rsidRPr="00E82B09">
            <w:rPr>
              <w:rFonts w:asciiTheme="minorHAnsi" w:hAnsiTheme="minorHAnsi" w:cstheme="minorHAnsi"/>
              <w:noProof/>
              <w:webHidden/>
            </w:rPr>
            <w:t>6</w:t>
          </w:r>
        </w:p>
        <w:p w:rsidR="00051E89" w:rsidRPr="00E82B09" w:rsidRDefault="00051E89">
          <w:pPr>
            <w:pStyle w:val="TOC3"/>
            <w:tabs>
              <w:tab w:val="left" w:pos="132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3.2.1</w:t>
          </w:r>
          <w:r w:rsidRPr="00E82B09">
            <w:rPr>
              <w:rFonts w:asciiTheme="minorHAnsi" w:eastAsiaTheme="minorEastAsia" w:hAnsiTheme="minorHAnsi" w:cstheme="minorHAnsi"/>
              <w:noProof/>
              <w:sz w:val="22"/>
            </w:rPr>
            <w:tab/>
          </w:r>
          <w:r w:rsidRPr="00E82B09">
            <w:rPr>
              <w:rFonts w:asciiTheme="minorHAnsi" w:hAnsiTheme="minorHAnsi" w:cstheme="minorHAnsi"/>
              <w:noProof/>
            </w:rPr>
            <w:t>Consumer session</w:t>
          </w:r>
          <w:r w:rsidRPr="00E82B09">
            <w:rPr>
              <w:rFonts w:asciiTheme="minorHAnsi" w:hAnsiTheme="minorHAnsi" w:cstheme="minorHAnsi"/>
              <w:noProof/>
              <w:webHidden/>
            </w:rPr>
            <w:tab/>
          </w:r>
          <w:r w:rsidR="00194614" w:rsidRPr="00E82B09">
            <w:rPr>
              <w:rFonts w:asciiTheme="minorHAnsi" w:hAnsiTheme="minorHAnsi" w:cstheme="minorHAnsi"/>
              <w:noProof/>
              <w:webHidden/>
            </w:rPr>
            <w:t>6</w:t>
          </w:r>
        </w:p>
        <w:p w:rsidR="00051E89" w:rsidRPr="00E82B09" w:rsidRDefault="00051E89">
          <w:pPr>
            <w:pStyle w:val="TOC3"/>
            <w:tabs>
              <w:tab w:val="left" w:pos="132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3.2.2</w:t>
          </w:r>
          <w:r w:rsidRPr="00E82B09">
            <w:rPr>
              <w:rFonts w:asciiTheme="minorHAnsi" w:eastAsiaTheme="minorEastAsia" w:hAnsiTheme="minorHAnsi" w:cstheme="minorHAnsi"/>
              <w:noProof/>
              <w:sz w:val="22"/>
            </w:rPr>
            <w:tab/>
          </w:r>
          <w:r w:rsidRPr="00E82B09">
            <w:rPr>
              <w:rFonts w:asciiTheme="minorHAnsi" w:hAnsiTheme="minorHAnsi" w:cstheme="minorHAnsi"/>
              <w:noProof/>
            </w:rPr>
            <w:t>Impact of PAH medicines</w:t>
          </w:r>
          <w:r w:rsidRPr="00E82B09">
            <w:rPr>
              <w:rFonts w:asciiTheme="minorHAnsi" w:hAnsiTheme="minorHAnsi" w:cstheme="minorHAnsi"/>
              <w:noProof/>
              <w:webHidden/>
            </w:rPr>
            <w:tab/>
          </w:r>
          <w:r w:rsidR="00194614" w:rsidRPr="00E82B09">
            <w:rPr>
              <w:rFonts w:asciiTheme="minorHAnsi" w:hAnsiTheme="minorHAnsi" w:cstheme="minorHAnsi"/>
              <w:noProof/>
              <w:webHidden/>
            </w:rPr>
            <w:t>6</w:t>
          </w:r>
        </w:p>
        <w:p w:rsidR="00051E89" w:rsidRPr="00E82B09" w:rsidRDefault="00051E89">
          <w:pPr>
            <w:pStyle w:val="TOC3"/>
            <w:tabs>
              <w:tab w:val="left" w:pos="132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3.2.3</w:t>
          </w:r>
          <w:r w:rsidRPr="00E82B09">
            <w:rPr>
              <w:rFonts w:asciiTheme="minorHAnsi" w:eastAsiaTheme="minorEastAsia" w:hAnsiTheme="minorHAnsi" w:cstheme="minorHAnsi"/>
              <w:noProof/>
              <w:sz w:val="22"/>
            </w:rPr>
            <w:tab/>
          </w:r>
          <w:r w:rsidRPr="00E82B09">
            <w:rPr>
              <w:rFonts w:asciiTheme="minorHAnsi" w:hAnsiTheme="minorHAnsi" w:cstheme="minorHAnsi"/>
              <w:noProof/>
            </w:rPr>
            <w:t>Patient relevant outcomes</w:t>
          </w:r>
          <w:r w:rsidRPr="00E82B09">
            <w:rPr>
              <w:rFonts w:asciiTheme="minorHAnsi" w:hAnsiTheme="minorHAnsi" w:cstheme="minorHAnsi"/>
              <w:noProof/>
              <w:webHidden/>
            </w:rPr>
            <w:tab/>
          </w:r>
          <w:r w:rsidR="00194614" w:rsidRPr="00E82B09">
            <w:rPr>
              <w:rFonts w:asciiTheme="minorHAnsi" w:hAnsiTheme="minorHAnsi" w:cstheme="minorHAnsi"/>
              <w:noProof/>
              <w:webHidden/>
            </w:rPr>
            <w:t>6</w:t>
          </w:r>
        </w:p>
        <w:p w:rsidR="00051E89" w:rsidRPr="00E82B09" w:rsidRDefault="00051E89">
          <w:pPr>
            <w:pStyle w:val="TOC3"/>
            <w:tabs>
              <w:tab w:val="left" w:pos="132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3.2.4</w:t>
          </w:r>
          <w:r w:rsidRPr="00E82B09">
            <w:rPr>
              <w:rFonts w:asciiTheme="minorHAnsi" w:eastAsiaTheme="minorEastAsia" w:hAnsiTheme="minorHAnsi" w:cstheme="minorHAnsi"/>
              <w:noProof/>
              <w:sz w:val="22"/>
            </w:rPr>
            <w:tab/>
          </w:r>
          <w:r w:rsidRPr="00E82B09">
            <w:rPr>
              <w:rFonts w:asciiTheme="minorHAnsi" w:hAnsiTheme="minorHAnsi" w:cstheme="minorHAnsi"/>
              <w:noProof/>
            </w:rPr>
            <w:t>Relevance of 6MWD to patients</w:t>
          </w:r>
          <w:r w:rsidRPr="00E82B09">
            <w:rPr>
              <w:rFonts w:asciiTheme="minorHAnsi" w:hAnsiTheme="minorHAnsi" w:cstheme="minorHAnsi"/>
              <w:noProof/>
              <w:webHidden/>
            </w:rPr>
            <w:tab/>
          </w:r>
          <w:r w:rsidR="00194614" w:rsidRPr="00E82B09">
            <w:rPr>
              <w:rFonts w:asciiTheme="minorHAnsi" w:hAnsiTheme="minorHAnsi" w:cstheme="minorHAnsi"/>
              <w:noProof/>
              <w:webHidden/>
            </w:rPr>
            <w:t>7</w:t>
          </w:r>
        </w:p>
        <w:p w:rsidR="00051E89" w:rsidRPr="00E82B09" w:rsidRDefault="00051E89">
          <w:pPr>
            <w:pStyle w:val="TOC3"/>
            <w:tabs>
              <w:tab w:val="left" w:pos="132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3.2.5</w:t>
          </w:r>
          <w:r w:rsidRPr="00E82B09">
            <w:rPr>
              <w:rFonts w:asciiTheme="minorHAnsi" w:eastAsiaTheme="minorEastAsia" w:hAnsiTheme="minorHAnsi" w:cstheme="minorHAnsi"/>
              <w:noProof/>
              <w:sz w:val="22"/>
            </w:rPr>
            <w:tab/>
          </w:r>
          <w:r w:rsidRPr="00E82B09">
            <w:rPr>
              <w:rFonts w:asciiTheme="minorHAnsi" w:hAnsiTheme="minorHAnsi" w:cstheme="minorHAnsi"/>
              <w:noProof/>
            </w:rPr>
            <w:t>Other patient relevant outcomes</w:t>
          </w:r>
          <w:r w:rsidRPr="00E82B09">
            <w:rPr>
              <w:rFonts w:asciiTheme="minorHAnsi" w:hAnsiTheme="minorHAnsi" w:cstheme="minorHAnsi"/>
              <w:noProof/>
              <w:webHidden/>
            </w:rPr>
            <w:tab/>
          </w:r>
          <w:r w:rsidR="00194614" w:rsidRPr="00E82B09">
            <w:rPr>
              <w:rFonts w:asciiTheme="minorHAnsi" w:hAnsiTheme="minorHAnsi" w:cstheme="minorHAnsi"/>
              <w:noProof/>
              <w:webHidden/>
            </w:rPr>
            <w:t>7</w:t>
          </w:r>
        </w:p>
        <w:p w:rsidR="00051E89" w:rsidRPr="00E82B09" w:rsidRDefault="00051E89">
          <w:pPr>
            <w:pStyle w:val="TOC3"/>
            <w:tabs>
              <w:tab w:val="left" w:pos="132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3.2.6</w:t>
          </w:r>
          <w:r w:rsidRPr="00E82B09">
            <w:rPr>
              <w:rFonts w:asciiTheme="minorHAnsi" w:eastAsiaTheme="minorEastAsia" w:hAnsiTheme="minorHAnsi" w:cstheme="minorHAnsi"/>
              <w:noProof/>
              <w:sz w:val="22"/>
            </w:rPr>
            <w:tab/>
          </w:r>
          <w:r w:rsidRPr="00E82B09">
            <w:rPr>
              <w:rFonts w:asciiTheme="minorHAnsi" w:hAnsiTheme="minorHAnsi" w:cstheme="minorHAnsi"/>
              <w:noProof/>
            </w:rPr>
            <w:t>Adverse events</w:t>
          </w:r>
          <w:r w:rsidRPr="00E82B09">
            <w:rPr>
              <w:rFonts w:asciiTheme="minorHAnsi" w:hAnsiTheme="minorHAnsi" w:cstheme="minorHAnsi"/>
              <w:noProof/>
              <w:webHidden/>
            </w:rPr>
            <w:tab/>
          </w:r>
          <w:r w:rsidR="00194614" w:rsidRPr="00E82B09">
            <w:rPr>
              <w:rFonts w:asciiTheme="minorHAnsi" w:hAnsiTheme="minorHAnsi" w:cstheme="minorHAnsi"/>
              <w:noProof/>
              <w:webHidden/>
            </w:rPr>
            <w:t>7</w:t>
          </w:r>
        </w:p>
        <w:p w:rsidR="00051E89" w:rsidRPr="00E82B09" w:rsidRDefault="00051E89">
          <w:pPr>
            <w:pStyle w:val="TOC2"/>
            <w:tabs>
              <w:tab w:val="left" w:pos="88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3.3</w:t>
          </w:r>
          <w:r w:rsidRPr="00E82B09">
            <w:rPr>
              <w:rFonts w:asciiTheme="minorHAnsi" w:eastAsiaTheme="minorEastAsia" w:hAnsiTheme="minorHAnsi" w:cstheme="minorHAnsi"/>
              <w:noProof/>
              <w:sz w:val="22"/>
            </w:rPr>
            <w:tab/>
          </w:r>
          <w:r w:rsidRPr="00E82B09">
            <w:rPr>
              <w:rFonts w:asciiTheme="minorHAnsi" w:hAnsiTheme="minorHAnsi" w:cstheme="minorHAnsi"/>
              <w:noProof/>
            </w:rPr>
            <w:t>Outcomes considered by the PBAC in submissions for PAH medicines</w:t>
          </w:r>
          <w:r w:rsidRPr="00E82B09">
            <w:rPr>
              <w:rFonts w:asciiTheme="minorHAnsi" w:hAnsiTheme="minorHAnsi" w:cstheme="minorHAnsi"/>
              <w:noProof/>
              <w:webHidden/>
            </w:rPr>
            <w:tab/>
          </w:r>
          <w:r w:rsidR="00194614" w:rsidRPr="00E82B09">
            <w:rPr>
              <w:rFonts w:asciiTheme="minorHAnsi" w:hAnsiTheme="minorHAnsi" w:cstheme="minorHAnsi"/>
              <w:noProof/>
              <w:webHidden/>
            </w:rPr>
            <w:t>8</w:t>
          </w:r>
        </w:p>
        <w:p w:rsidR="00051E89" w:rsidRPr="00E82B09" w:rsidRDefault="00051E89">
          <w:pPr>
            <w:pStyle w:val="TOC2"/>
            <w:tabs>
              <w:tab w:val="left" w:pos="88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3.4</w:t>
          </w:r>
          <w:r w:rsidRPr="00E82B09">
            <w:rPr>
              <w:rFonts w:asciiTheme="minorHAnsi" w:eastAsiaTheme="minorEastAsia" w:hAnsiTheme="minorHAnsi" w:cstheme="minorHAnsi"/>
              <w:noProof/>
              <w:sz w:val="22"/>
            </w:rPr>
            <w:tab/>
          </w:r>
          <w:r w:rsidRPr="00E82B09">
            <w:rPr>
              <w:rFonts w:asciiTheme="minorHAnsi" w:hAnsiTheme="minorHAnsi" w:cstheme="minorHAnsi"/>
              <w:noProof/>
            </w:rPr>
            <w:t>Discussion</w:t>
          </w:r>
          <w:r w:rsidRPr="00E82B09">
            <w:rPr>
              <w:rFonts w:asciiTheme="minorHAnsi" w:hAnsiTheme="minorHAnsi" w:cstheme="minorHAnsi"/>
              <w:noProof/>
              <w:webHidden/>
            </w:rPr>
            <w:tab/>
          </w:r>
          <w:r w:rsidR="00194614" w:rsidRPr="00E82B09">
            <w:rPr>
              <w:rFonts w:asciiTheme="minorHAnsi" w:hAnsiTheme="minorHAnsi" w:cstheme="minorHAnsi"/>
              <w:noProof/>
              <w:webHidden/>
            </w:rPr>
            <w:t>13</w:t>
          </w:r>
        </w:p>
        <w:p w:rsidR="00051E89" w:rsidRPr="00E82B09" w:rsidRDefault="00051E89">
          <w:pPr>
            <w:pStyle w:val="TOC2"/>
            <w:tabs>
              <w:tab w:val="left" w:pos="880"/>
              <w:tab w:val="right" w:leader="dot" w:pos="9016"/>
            </w:tabs>
            <w:rPr>
              <w:rFonts w:asciiTheme="minorHAnsi" w:eastAsiaTheme="minorEastAsia" w:hAnsiTheme="minorHAnsi" w:cstheme="minorHAnsi"/>
              <w:noProof/>
              <w:sz w:val="22"/>
            </w:rPr>
          </w:pPr>
          <w:r w:rsidRPr="00E82B09">
            <w:rPr>
              <w:rFonts w:asciiTheme="minorHAnsi" w:hAnsiTheme="minorHAnsi" w:cstheme="minorHAnsi"/>
              <w:noProof/>
            </w:rPr>
            <w:t>3.5</w:t>
          </w:r>
          <w:r w:rsidRPr="00E82B09">
            <w:rPr>
              <w:rFonts w:asciiTheme="minorHAnsi" w:eastAsiaTheme="minorEastAsia" w:hAnsiTheme="minorHAnsi" w:cstheme="minorHAnsi"/>
              <w:noProof/>
              <w:sz w:val="22"/>
            </w:rPr>
            <w:tab/>
          </w:r>
          <w:r w:rsidRPr="00E82B09">
            <w:rPr>
              <w:rFonts w:asciiTheme="minorHAnsi" w:hAnsiTheme="minorHAnsi" w:cstheme="minorHAnsi"/>
              <w:noProof/>
            </w:rPr>
            <w:t>Summary</w:t>
          </w:r>
          <w:r w:rsidRPr="00E82B09">
            <w:rPr>
              <w:rFonts w:asciiTheme="minorHAnsi" w:hAnsiTheme="minorHAnsi" w:cstheme="minorHAnsi"/>
              <w:noProof/>
              <w:webHidden/>
            </w:rPr>
            <w:tab/>
          </w:r>
          <w:r w:rsidR="00194614" w:rsidRPr="00E82B09">
            <w:rPr>
              <w:rFonts w:asciiTheme="minorHAnsi" w:hAnsiTheme="minorHAnsi" w:cstheme="minorHAnsi"/>
              <w:noProof/>
              <w:webHidden/>
            </w:rPr>
            <w:t>14</w:t>
          </w:r>
        </w:p>
        <w:p w:rsidR="00051E89" w:rsidRDefault="00051E89">
          <w:pPr>
            <w:pStyle w:val="TOC1"/>
            <w:tabs>
              <w:tab w:val="right" w:leader="dot" w:pos="9016"/>
            </w:tabs>
            <w:rPr>
              <w:rFonts w:asciiTheme="minorHAnsi" w:eastAsiaTheme="minorEastAsia" w:hAnsiTheme="minorHAnsi"/>
              <w:noProof/>
              <w:sz w:val="22"/>
            </w:rPr>
          </w:pPr>
          <w:r w:rsidRPr="00E82B09">
            <w:rPr>
              <w:rFonts w:asciiTheme="minorHAnsi" w:hAnsiTheme="minorHAnsi" w:cstheme="minorHAnsi"/>
              <w:noProof/>
            </w:rPr>
            <w:t>References</w:t>
          </w:r>
          <w:r w:rsidRPr="00E82B09">
            <w:rPr>
              <w:rFonts w:ascii="Calibri" w:hAnsi="Calibri"/>
              <w:noProof/>
              <w:webHidden/>
            </w:rPr>
            <w:tab/>
          </w:r>
          <w:r w:rsidR="00194614" w:rsidRPr="00E82B09">
            <w:rPr>
              <w:rFonts w:ascii="Calibri" w:hAnsi="Calibri"/>
              <w:noProof/>
              <w:webHidden/>
            </w:rPr>
            <w:t>15</w:t>
          </w:r>
        </w:p>
        <w:p w:rsidR="00AD6665" w:rsidRPr="006B426A" w:rsidRDefault="00E5124A" w:rsidP="00AD6665">
          <w:pPr>
            <w:rPr>
              <w:rFonts w:asciiTheme="minorHAnsi" w:hAnsiTheme="minorHAnsi"/>
            </w:rPr>
          </w:pPr>
        </w:p>
      </w:sdtContent>
    </w:sdt>
    <w:p w:rsidR="00AD6665" w:rsidRPr="008D4204" w:rsidRDefault="00AD6665" w:rsidP="00AD6665">
      <w:pPr>
        <w:rPr>
          <w:rFonts w:asciiTheme="minorHAnsi" w:eastAsiaTheme="majorEastAsia" w:hAnsiTheme="minorHAnsi" w:cstheme="majorBidi"/>
          <w:b/>
          <w:bCs/>
          <w:color w:val="365F91" w:themeColor="accent1" w:themeShade="BF"/>
          <w:sz w:val="28"/>
          <w:szCs w:val="28"/>
        </w:rPr>
      </w:pPr>
      <w:r w:rsidRPr="008D4204">
        <w:rPr>
          <w:rFonts w:asciiTheme="minorHAnsi" w:hAnsiTheme="minorHAnsi"/>
        </w:rPr>
        <w:br w:type="page"/>
      </w:r>
    </w:p>
    <w:p w:rsidR="00E13DA2" w:rsidRPr="001437B9" w:rsidRDefault="00AD6665" w:rsidP="001437B9">
      <w:pPr>
        <w:pStyle w:val="Heading1"/>
        <w:spacing w:before="480"/>
        <w:rPr>
          <w:szCs w:val="40"/>
        </w:rPr>
      </w:pPr>
      <w:bookmarkStart w:id="1" w:name="_Toc509571137"/>
      <w:bookmarkStart w:id="2" w:name="_Toc38439359"/>
      <w:r w:rsidRPr="008D4204">
        <w:rPr>
          <w:szCs w:val="40"/>
        </w:rPr>
        <w:lastRenderedPageBreak/>
        <w:t>List of Tables</w:t>
      </w:r>
      <w:bookmarkEnd w:id="1"/>
      <w:bookmarkEnd w:id="2"/>
    </w:p>
    <w:p w:rsidR="007E1871" w:rsidRDefault="007E1871">
      <w:pPr>
        <w:pStyle w:val="TableofFigures"/>
        <w:tabs>
          <w:tab w:val="left" w:pos="1320"/>
          <w:tab w:val="right" w:leader="dot" w:pos="9016"/>
        </w:tabs>
        <w:rPr>
          <w:rFonts w:asciiTheme="minorHAnsi" w:eastAsiaTheme="minorEastAsia" w:hAnsiTheme="minorHAnsi"/>
          <w:noProof/>
          <w:sz w:val="22"/>
        </w:rPr>
      </w:pPr>
      <w:r w:rsidRPr="001E56D6">
        <w:rPr>
          <w:rFonts w:asciiTheme="minorHAnsi" w:hAnsiTheme="minorHAnsi" w:cstheme="minorHAnsi"/>
          <w:noProof/>
        </w:rPr>
        <w:t xml:space="preserve">Table 3.1 </w:t>
      </w:r>
      <w:r w:rsidRPr="00051E89">
        <w:rPr>
          <w:rFonts w:asciiTheme="minorHAnsi" w:eastAsiaTheme="minorEastAsia" w:hAnsiTheme="minorHAnsi" w:cstheme="minorHAnsi"/>
          <w:noProof/>
          <w:sz w:val="22"/>
        </w:rPr>
        <w:tab/>
      </w:r>
      <w:r w:rsidRPr="001E56D6">
        <w:rPr>
          <w:rFonts w:asciiTheme="minorHAnsi" w:hAnsiTheme="minorHAnsi" w:cstheme="minorHAnsi"/>
          <w:noProof/>
        </w:rPr>
        <w:t>Outcomes considered by the Pharmaceutical Benefits Advisory Committee in submissions for PAH medicines</w:t>
      </w:r>
      <w:r w:rsidRPr="00E82B09">
        <w:rPr>
          <w:rFonts w:ascii="Calibri" w:hAnsi="Calibri"/>
          <w:noProof/>
          <w:webHidden/>
        </w:rPr>
        <w:tab/>
      </w:r>
      <w:r w:rsidR="00673DEF" w:rsidRPr="00E82B09">
        <w:rPr>
          <w:rFonts w:ascii="Calibri" w:hAnsi="Calibri"/>
          <w:noProof/>
          <w:webHidden/>
        </w:rPr>
        <w:t>9</w:t>
      </w:r>
    </w:p>
    <w:p w:rsidR="00E13DA2" w:rsidRDefault="00E13DA2" w:rsidP="00AD6665">
      <w:pPr>
        <w:jc w:val="left"/>
        <w:rPr>
          <w:rFonts w:asciiTheme="minorHAnsi" w:hAnsiTheme="minorHAnsi"/>
        </w:rPr>
      </w:pPr>
    </w:p>
    <w:p w:rsidR="00AD6665" w:rsidRDefault="00AD6665" w:rsidP="00AD6665">
      <w:pPr>
        <w:jc w:val="left"/>
        <w:rPr>
          <w:rFonts w:asciiTheme="minorHAnsi" w:hAnsiTheme="minorHAnsi"/>
        </w:rPr>
      </w:pPr>
      <w:r w:rsidRPr="008D4204">
        <w:rPr>
          <w:rFonts w:asciiTheme="minorHAnsi" w:hAnsiTheme="minorHAnsi"/>
        </w:rPr>
        <w:br w:type="page"/>
      </w:r>
    </w:p>
    <w:p w:rsidR="00051E89" w:rsidRPr="008D4204" w:rsidRDefault="00051E89" w:rsidP="00051E89">
      <w:pPr>
        <w:pStyle w:val="Heading1"/>
        <w:spacing w:before="480"/>
        <w:rPr>
          <w:szCs w:val="40"/>
        </w:rPr>
      </w:pPr>
      <w:bookmarkStart w:id="3" w:name="_Toc481076737"/>
      <w:bookmarkStart w:id="4" w:name="_Toc38439360"/>
      <w:r w:rsidRPr="008D4204">
        <w:rPr>
          <w:szCs w:val="40"/>
        </w:rPr>
        <w:lastRenderedPageBreak/>
        <w:t>Abbreviations</w:t>
      </w:r>
      <w:bookmarkEnd w:id="3"/>
      <w:bookmarkEnd w:id="4"/>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80"/>
        <w:gridCol w:w="6660"/>
      </w:tblGrid>
      <w:tr w:rsidR="00051E89" w:rsidRPr="00E82B09" w:rsidTr="008E5AE3">
        <w:trPr>
          <w:trHeight w:val="411"/>
        </w:trPr>
        <w:tc>
          <w:tcPr>
            <w:tcW w:w="1980" w:type="dxa"/>
            <w:shd w:val="clear" w:color="auto" w:fill="BFBFBF" w:themeFill="background1" w:themeFillShade="BF"/>
            <w:vAlign w:val="bottom"/>
          </w:tcPr>
          <w:p w:rsidR="00051E89" w:rsidRPr="00E82B09" w:rsidRDefault="00051E89" w:rsidP="008E5AE3">
            <w:pPr>
              <w:spacing w:before="60" w:after="60" w:line="240" w:lineRule="auto"/>
              <w:rPr>
                <w:rFonts w:ascii="Calibri" w:hAnsi="Calibri" w:cs="Arial"/>
                <w:b/>
                <w:szCs w:val="24"/>
              </w:rPr>
            </w:pPr>
            <w:r w:rsidRPr="00E82B09">
              <w:rPr>
                <w:rFonts w:ascii="Calibri" w:hAnsi="Calibri" w:cs="Arial"/>
                <w:b/>
                <w:szCs w:val="24"/>
              </w:rPr>
              <w:t>Abbreviation</w:t>
            </w:r>
          </w:p>
        </w:tc>
        <w:tc>
          <w:tcPr>
            <w:tcW w:w="6660" w:type="dxa"/>
            <w:shd w:val="clear" w:color="auto" w:fill="BFBFBF" w:themeFill="background1" w:themeFillShade="BF"/>
            <w:vAlign w:val="bottom"/>
          </w:tcPr>
          <w:p w:rsidR="00051E89" w:rsidRPr="00E82B09" w:rsidRDefault="00051E89" w:rsidP="008E5AE3">
            <w:pPr>
              <w:spacing w:before="60" w:after="60" w:line="240" w:lineRule="auto"/>
              <w:rPr>
                <w:rFonts w:ascii="Calibri" w:hAnsi="Calibri" w:cs="Arial"/>
                <w:b/>
                <w:szCs w:val="24"/>
              </w:rPr>
            </w:pPr>
            <w:r w:rsidRPr="00E82B09">
              <w:rPr>
                <w:rFonts w:ascii="Calibri" w:hAnsi="Calibri" w:cs="Arial"/>
                <w:b/>
                <w:szCs w:val="24"/>
              </w:rPr>
              <w:t xml:space="preserve">Full Name / Wording </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szCs w:val="20"/>
              </w:rPr>
            </w:pPr>
            <w:r w:rsidRPr="00E82B09">
              <w:rPr>
                <w:rFonts w:ascii="Calibri" w:hAnsi="Calibri" w:cs="Arial"/>
                <w:sz w:val="22"/>
                <w:szCs w:val="20"/>
              </w:rPr>
              <w:t>6MWT</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szCs w:val="20"/>
              </w:rPr>
            </w:pPr>
            <w:r w:rsidRPr="00E82B09">
              <w:rPr>
                <w:rFonts w:ascii="Calibri" w:hAnsi="Calibri" w:cs="Arial"/>
                <w:sz w:val="22"/>
                <w:szCs w:val="20"/>
              </w:rPr>
              <w:t>Six minute walk test</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szCs w:val="20"/>
              </w:rPr>
            </w:pPr>
            <w:r w:rsidRPr="00E82B09">
              <w:rPr>
                <w:rFonts w:ascii="Calibri" w:hAnsi="Calibri" w:cs="Arial"/>
                <w:sz w:val="22"/>
                <w:szCs w:val="20"/>
              </w:rPr>
              <w:t>6MWD</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szCs w:val="20"/>
              </w:rPr>
            </w:pPr>
            <w:r w:rsidRPr="00E82B09">
              <w:rPr>
                <w:rFonts w:ascii="Calibri" w:hAnsi="Calibri" w:cs="Arial"/>
                <w:sz w:val="22"/>
                <w:szCs w:val="20"/>
              </w:rPr>
              <w:t>Six minute walk distance</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szCs w:val="20"/>
              </w:rPr>
              <w:t>CAMPHOR</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szCs w:val="20"/>
              </w:rPr>
              <w:t xml:space="preserve">Cambridge Pulmonary Hypertension Outcome Review </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EQ-5D</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EuroQol 5-dimension</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ESC</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Economics Sub Committee</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FC</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Functional class</w:t>
            </w:r>
          </w:p>
        </w:tc>
      </w:tr>
      <w:tr w:rsidR="00051E89" w:rsidRPr="00E82B09" w:rsidTr="008E5AE3">
        <w:trPr>
          <w:trHeight w:val="170"/>
        </w:trPr>
        <w:tc>
          <w:tcPr>
            <w:tcW w:w="1980" w:type="dxa"/>
            <w:shd w:val="clear" w:color="auto" w:fill="auto"/>
            <w:vAlign w:val="center"/>
          </w:tcPr>
          <w:p w:rsidR="00051E89" w:rsidRPr="00E82B09" w:rsidRDefault="00353C80" w:rsidP="008E5AE3">
            <w:pPr>
              <w:spacing w:beforeLines="60" w:before="144" w:after="60" w:line="240" w:lineRule="auto"/>
              <w:jc w:val="left"/>
              <w:rPr>
                <w:rFonts w:ascii="Calibri" w:hAnsi="Calibri" w:cs="Arial"/>
                <w:sz w:val="22"/>
              </w:rPr>
            </w:pPr>
            <w:r w:rsidRPr="00E82B09">
              <w:rPr>
                <w:rFonts w:ascii="Calibri" w:hAnsi="Calibri" w:cs="Arial"/>
                <w:sz w:val="22"/>
                <w:szCs w:val="20"/>
              </w:rPr>
              <w:t>HRQo</w:t>
            </w:r>
            <w:r w:rsidR="00051E89" w:rsidRPr="00E82B09">
              <w:rPr>
                <w:rFonts w:ascii="Calibri" w:hAnsi="Calibri" w:cs="Arial"/>
                <w:sz w:val="22"/>
                <w:szCs w:val="20"/>
              </w:rPr>
              <w:t>L</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szCs w:val="20"/>
              </w:rPr>
              <w:t>Health related quality of life measures</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szCs w:val="20"/>
              </w:rPr>
            </w:pPr>
            <w:r w:rsidRPr="00E82B09">
              <w:rPr>
                <w:rFonts w:ascii="Calibri" w:hAnsi="Calibri" w:cs="Arial"/>
                <w:sz w:val="22"/>
                <w:szCs w:val="20"/>
              </w:rPr>
              <w:t>ICER</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szCs w:val="20"/>
              </w:rPr>
            </w:pPr>
            <w:r w:rsidRPr="00E82B09">
              <w:rPr>
                <w:rFonts w:ascii="Calibri" w:hAnsi="Calibri" w:cs="Arial"/>
                <w:sz w:val="22"/>
                <w:szCs w:val="20"/>
              </w:rPr>
              <w:t>Incremental cost effectiveness ratio</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MM</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rPr>
              <w:t>mortality/morbidity</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mPAP</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Mean pulmonary arterial pressure</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mRAP</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Mean right atrial pressure</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PAH</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Pulmonary arterial hypertension</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PBAC</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Pharmaceutical Benefits Advisory Committee</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PBS</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Pharmaceutical Benefits Scheme</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PDE-5</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Phosphodiesterase-5 inhibitor</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PHAA</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Pulmonary Hypertension Association of Australia</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PSD</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Public Summary Document</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QoL</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Quality of life</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QALY</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Quality-adjusted life years</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Review</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Post-market Review</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RHC</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Right heart catheterisation</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SF36</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36-Item short form survey</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ToR</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Term</w:t>
            </w:r>
            <w:r w:rsidR="00FC1BC7" w:rsidRPr="00E82B09">
              <w:rPr>
                <w:rFonts w:ascii="Calibri" w:hAnsi="Calibri" w:cs="Arial"/>
                <w:sz w:val="22"/>
              </w:rPr>
              <w:t>(s)</w:t>
            </w:r>
            <w:r w:rsidRPr="00E82B09">
              <w:rPr>
                <w:rFonts w:ascii="Calibri" w:hAnsi="Calibri" w:cs="Arial"/>
                <w:sz w:val="22"/>
              </w:rPr>
              <w:t xml:space="preserve"> of Reference</w:t>
            </w:r>
          </w:p>
        </w:tc>
      </w:tr>
      <w:tr w:rsidR="00051E89" w:rsidRPr="00E82B09" w:rsidTr="008E5AE3">
        <w:trPr>
          <w:trHeight w:val="170"/>
        </w:trPr>
        <w:tc>
          <w:tcPr>
            <w:tcW w:w="198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WHO</w:t>
            </w:r>
          </w:p>
        </w:tc>
        <w:tc>
          <w:tcPr>
            <w:tcW w:w="6660" w:type="dxa"/>
            <w:shd w:val="clear" w:color="auto" w:fill="auto"/>
            <w:vAlign w:val="center"/>
          </w:tcPr>
          <w:p w:rsidR="00051E89" w:rsidRPr="00E82B09" w:rsidRDefault="00051E89" w:rsidP="008E5AE3">
            <w:pPr>
              <w:spacing w:beforeLines="60" w:before="144" w:after="60" w:line="240" w:lineRule="auto"/>
              <w:jc w:val="left"/>
              <w:rPr>
                <w:rFonts w:ascii="Calibri" w:hAnsi="Calibri" w:cs="Arial"/>
                <w:sz w:val="22"/>
              </w:rPr>
            </w:pPr>
            <w:r w:rsidRPr="00E82B09">
              <w:rPr>
                <w:rFonts w:ascii="Calibri" w:hAnsi="Calibri" w:cs="Arial"/>
                <w:sz w:val="22"/>
              </w:rPr>
              <w:t>World Health Organization</w:t>
            </w:r>
          </w:p>
        </w:tc>
      </w:tr>
    </w:tbl>
    <w:p w:rsidR="00051E89" w:rsidRPr="00051E89" w:rsidRDefault="00051E89" w:rsidP="00AD6665">
      <w:pPr>
        <w:jc w:val="left"/>
        <w:rPr>
          <w:rFonts w:asciiTheme="minorHAnsi" w:eastAsiaTheme="majorEastAsia" w:hAnsiTheme="minorHAnsi" w:cstheme="majorBidi"/>
          <w:b/>
          <w:bCs/>
          <w:color w:val="4F81BD" w:themeColor="accent1"/>
          <w:sz w:val="40"/>
          <w:szCs w:val="40"/>
        </w:rPr>
      </w:pPr>
      <w:r w:rsidRPr="008D4204">
        <w:rPr>
          <w:rFonts w:asciiTheme="minorHAnsi" w:hAnsiTheme="minorHAnsi"/>
          <w:sz w:val="40"/>
          <w:szCs w:val="40"/>
        </w:rPr>
        <w:br w:type="page"/>
      </w:r>
    </w:p>
    <w:p w:rsidR="00AD6665" w:rsidRPr="008D4204" w:rsidRDefault="00AD6665" w:rsidP="00AD6665">
      <w:pPr>
        <w:pStyle w:val="Heading1"/>
        <w:spacing w:before="480"/>
        <w:rPr>
          <w:szCs w:val="40"/>
        </w:rPr>
      </w:pPr>
      <w:bookmarkStart w:id="5" w:name="_Toc388453125"/>
      <w:bookmarkStart w:id="6" w:name="_Toc492911780"/>
      <w:bookmarkStart w:id="7" w:name="_Toc38439361"/>
      <w:r w:rsidRPr="008D4204">
        <w:rPr>
          <w:szCs w:val="40"/>
        </w:rPr>
        <w:lastRenderedPageBreak/>
        <w:t>Section 3: ToR 3</w:t>
      </w:r>
      <w:r w:rsidRPr="008D4204">
        <w:rPr>
          <w:szCs w:val="40"/>
        </w:rPr>
        <w:br/>
      </w:r>
      <w:bookmarkEnd w:id="5"/>
      <w:bookmarkEnd w:id="6"/>
      <w:r w:rsidRPr="008D4204">
        <w:rPr>
          <w:szCs w:val="40"/>
        </w:rPr>
        <w:t>Patient relevant clinical outcomes</w:t>
      </w:r>
      <w:bookmarkEnd w:id="7"/>
    </w:p>
    <w:p w:rsidR="00AD6665" w:rsidRPr="00EE0CC4" w:rsidRDefault="00AD6665" w:rsidP="00AD6665">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rPr>
      </w:pPr>
      <w:bookmarkStart w:id="8" w:name="_Toc388453126"/>
      <w:r w:rsidRPr="00EE0CC4">
        <w:rPr>
          <w:rFonts w:asciiTheme="minorHAnsi" w:hAnsiTheme="minorHAnsi"/>
        </w:rPr>
        <w:t>Review the clinical outcomes that are most important or clinically relevant to patients with PAH, and the extent to which these outcomes are included in the evidence previously considered by PBAC.</w:t>
      </w:r>
    </w:p>
    <w:p w:rsidR="00AD6665" w:rsidRPr="008D4204" w:rsidRDefault="00AD6665" w:rsidP="008D4204">
      <w:pPr>
        <w:pStyle w:val="Heading2"/>
      </w:pPr>
      <w:bookmarkStart w:id="9" w:name="_Toc492911781"/>
      <w:bookmarkStart w:id="10" w:name="_Toc38439362"/>
      <w:r w:rsidRPr="008D4204">
        <w:t>3.1</w:t>
      </w:r>
      <w:r w:rsidRPr="008D4204">
        <w:tab/>
        <w:t>Key findings for ToR 3</w:t>
      </w:r>
      <w:bookmarkEnd w:id="8"/>
      <w:bookmarkEnd w:id="9"/>
      <w:bookmarkEnd w:id="10"/>
    </w:p>
    <w:p w:rsidR="00AD6665" w:rsidRPr="008D4204" w:rsidRDefault="00AD6665" w:rsidP="00B61DAE">
      <w:pPr>
        <w:pStyle w:val="ListParagraph"/>
        <w:numPr>
          <w:ilvl w:val="0"/>
          <w:numId w:val="6"/>
        </w:numPr>
        <w:ind w:left="714" w:hanging="357"/>
        <w:jc w:val="left"/>
        <w:rPr>
          <w:rFonts w:asciiTheme="minorHAnsi" w:hAnsiTheme="minorHAnsi"/>
          <w:szCs w:val="24"/>
        </w:rPr>
      </w:pPr>
      <w:r w:rsidRPr="008D4204">
        <w:rPr>
          <w:rFonts w:asciiTheme="minorHAnsi" w:hAnsiTheme="minorHAnsi"/>
          <w:szCs w:val="24"/>
        </w:rPr>
        <w:t xml:space="preserve">Historically, the Pharmaceutical Benefits Advisory Committee (PBAC) has primarily </w:t>
      </w:r>
      <w:r w:rsidR="003E63A3" w:rsidRPr="008D4204">
        <w:rPr>
          <w:rFonts w:asciiTheme="minorHAnsi" w:hAnsiTheme="minorHAnsi"/>
          <w:szCs w:val="24"/>
        </w:rPr>
        <w:t>used</w:t>
      </w:r>
      <w:r w:rsidR="00051E89">
        <w:rPr>
          <w:rFonts w:asciiTheme="minorHAnsi" w:hAnsiTheme="minorHAnsi"/>
          <w:szCs w:val="24"/>
        </w:rPr>
        <w:t xml:space="preserve"> the </w:t>
      </w:r>
      <w:r w:rsidRPr="008D4204">
        <w:rPr>
          <w:rFonts w:asciiTheme="minorHAnsi" w:hAnsiTheme="minorHAnsi"/>
          <w:szCs w:val="24"/>
        </w:rPr>
        <w:t xml:space="preserve">Six Minute Walk Test (6MWT) results as the main surrogate outcome when assessing </w:t>
      </w:r>
      <w:r w:rsidR="003E63A3" w:rsidRPr="008D4204">
        <w:rPr>
          <w:rFonts w:asciiTheme="minorHAnsi" w:hAnsiTheme="minorHAnsi"/>
          <w:szCs w:val="24"/>
        </w:rPr>
        <w:t xml:space="preserve">submissions for </w:t>
      </w:r>
      <w:r w:rsidR="00FC1BC7">
        <w:rPr>
          <w:rFonts w:asciiTheme="minorHAnsi" w:hAnsiTheme="minorHAnsi"/>
          <w:szCs w:val="24"/>
        </w:rPr>
        <w:t>pulmonary arterial hypertension</w:t>
      </w:r>
      <w:r w:rsidRPr="008D4204">
        <w:rPr>
          <w:rFonts w:asciiTheme="minorHAnsi" w:hAnsiTheme="minorHAnsi"/>
          <w:szCs w:val="24"/>
        </w:rPr>
        <w:t xml:space="preserve"> </w:t>
      </w:r>
      <w:r w:rsidR="00FC1BC7">
        <w:rPr>
          <w:rFonts w:asciiTheme="minorHAnsi" w:hAnsiTheme="minorHAnsi"/>
          <w:szCs w:val="24"/>
        </w:rPr>
        <w:t>(</w:t>
      </w:r>
      <w:r w:rsidR="00FC1BC7" w:rsidRPr="008D4204">
        <w:rPr>
          <w:rFonts w:asciiTheme="minorHAnsi" w:hAnsiTheme="minorHAnsi"/>
          <w:szCs w:val="24"/>
        </w:rPr>
        <w:t>PAH</w:t>
      </w:r>
      <w:r w:rsidR="00FC1BC7">
        <w:rPr>
          <w:rFonts w:asciiTheme="minorHAnsi" w:hAnsiTheme="minorHAnsi"/>
          <w:szCs w:val="24"/>
        </w:rPr>
        <w:t>)</w:t>
      </w:r>
      <w:r w:rsidR="00FC1BC7" w:rsidRPr="008D4204">
        <w:rPr>
          <w:rFonts w:asciiTheme="minorHAnsi" w:hAnsiTheme="minorHAnsi"/>
          <w:szCs w:val="24"/>
        </w:rPr>
        <w:t xml:space="preserve"> </w:t>
      </w:r>
      <w:r w:rsidRPr="008D4204">
        <w:rPr>
          <w:rFonts w:asciiTheme="minorHAnsi" w:hAnsiTheme="minorHAnsi"/>
          <w:szCs w:val="24"/>
        </w:rPr>
        <w:t>medicines.</w:t>
      </w:r>
    </w:p>
    <w:p w:rsidR="00AD6665" w:rsidRPr="008D4204" w:rsidRDefault="00AD6665" w:rsidP="00B61DAE">
      <w:pPr>
        <w:pStyle w:val="ListParagraph"/>
        <w:numPr>
          <w:ilvl w:val="0"/>
          <w:numId w:val="6"/>
        </w:numPr>
        <w:ind w:left="714" w:hanging="357"/>
        <w:jc w:val="left"/>
        <w:rPr>
          <w:rFonts w:asciiTheme="minorHAnsi" w:hAnsiTheme="minorHAnsi"/>
          <w:szCs w:val="24"/>
        </w:rPr>
      </w:pPr>
      <w:r w:rsidRPr="008D4204">
        <w:rPr>
          <w:rFonts w:asciiTheme="minorHAnsi" w:hAnsiTheme="minorHAnsi"/>
          <w:szCs w:val="24"/>
        </w:rPr>
        <w:t xml:space="preserve">Clinical trials for PAH medicines may also measure a range of other clinical outcomes such as changes in </w:t>
      </w:r>
      <w:r w:rsidR="006B426A">
        <w:rPr>
          <w:rFonts w:asciiTheme="minorHAnsi" w:hAnsiTheme="minorHAnsi"/>
          <w:szCs w:val="24"/>
        </w:rPr>
        <w:t>World Health Organization (</w:t>
      </w:r>
      <w:r w:rsidRPr="008D4204">
        <w:rPr>
          <w:rFonts w:asciiTheme="minorHAnsi" w:hAnsiTheme="minorHAnsi"/>
          <w:szCs w:val="24"/>
        </w:rPr>
        <w:t>WHO</w:t>
      </w:r>
      <w:r w:rsidR="006B426A">
        <w:rPr>
          <w:rFonts w:asciiTheme="minorHAnsi" w:hAnsiTheme="minorHAnsi"/>
          <w:szCs w:val="24"/>
        </w:rPr>
        <w:t>) Functional Class</w:t>
      </w:r>
      <w:r w:rsidRPr="008D4204">
        <w:rPr>
          <w:rFonts w:asciiTheme="minorHAnsi" w:hAnsiTheme="minorHAnsi"/>
          <w:szCs w:val="24"/>
        </w:rPr>
        <w:t xml:space="preserve"> </w:t>
      </w:r>
      <w:r w:rsidR="006B426A">
        <w:rPr>
          <w:rFonts w:asciiTheme="minorHAnsi" w:hAnsiTheme="minorHAnsi"/>
          <w:szCs w:val="24"/>
        </w:rPr>
        <w:t>(</w:t>
      </w:r>
      <w:r w:rsidRPr="008D4204">
        <w:rPr>
          <w:rFonts w:asciiTheme="minorHAnsi" w:hAnsiTheme="minorHAnsi"/>
          <w:szCs w:val="24"/>
        </w:rPr>
        <w:t>FC</w:t>
      </w:r>
      <w:r w:rsidR="006B426A">
        <w:rPr>
          <w:rFonts w:asciiTheme="minorHAnsi" w:hAnsiTheme="minorHAnsi"/>
          <w:szCs w:val="24"/>
        </w:rPr>
        <w:t>)</w:t>
      </w:r>
      <w:r w:rsidRPr="008D4204">
        <w:rPr>
          <w:rFonts w:asciiTheme="minorHAnsi" w:hAnsiTheme="minorHAnsi"/>
          <w:szCs w:val="24"/>
        </w:rPr>
        <w:t>, clinical worsening, haemodynamic parameters, adverse events and survival.</w:t>
      </w:r>
    </w:p>
    <w:p w:rsidR="00AD6665" w:rsidRPr="008D4204" w:rsidRDefault="00AD6665" w:rsidP="00B61DAE">
      <w:pPr>
        <w:pStyle w:val="ListParagraph"/>
        <w:numPr>
          <w:ilvl w:val="0"/>
          <w:numId w:val="6"/>
        </w:numPr>
        <w:ind w:left="714" w:hanging="357"/>
        <w:jc w:val="left"/>
        <w:rPr>
          <w:rFonts w:asciiTheme="minorHAnsi" w:hAnsiTheme="minorHAnsi"/>
          <w:szCs w:val="24"/>
        </w:rPr>
      </w:pPr>
      <w:r w:rsidRPr="008D4204">
        <w:rPr>
          <w:rFonts w:asciiTheme="minorHAnsi" w:hAnsiTheme="minorHAnsi"/>
          <w:szCs w:val="24"/>
        </w:rPr>
        <w:t xml:space="preserve">Treatment goals for PAH patients have evolved over time to become more patient centred and can include attaining an improved FC status, an improved six minute walk distance (6MWD) and exercise capacity, and haemodynamic parameter improvements. </w:t>
      </w:r>
    </w:p>
    <w:p w:rsidR="00AD6665" w:rsidRPr="008D4204" w:rsidRDefault="00AD6665" w:rsidP="00B61DAE">
      <w:pPr>
        <w:pStyle w:val="ListParagraph"/>
        <w:numPr>
          <w:ilvl w:val="0"/>
          <w:numId w:val="6"/>
        </w:numPr>
        <w:ind w:left="714" w:hanging="357"/>
        <w:jc w:val="left"/>
        <w:rPr>
          <w:rFonts w:asciiTheme="minorHAnsi" w:hAnsiTheme="minorHAnsi"/>
          <w:szCs w:val="24"/>
        </w:rPr>
      </w:pPr>
      <w:r w:rsidRPr="008D4204">
        <w:rPr>
          <w:rFonts w:asciiTheme="minorHAnsi" w:hAnsiTheme="minorHAnsi"/>
          <w:szCs w:val="24"/>
        </w:rPr>
        <w:t xml:space="preserve">Patient relevant outcomes are reflected only in part in the evidence which the PBAC has considered in relation to submissions for PAH medicines. The key clinical outcome of relevance and significance to PAH patients is their quality of life, as reflected in their ability to function and complete everyday activities and live as normal a life as possible. </w:t>
      </w:r>
    </w:p>
    <w:p w:rsidR="00AD6665" w:rsidRPr="008D4204" w:rsidRDefault="00AD6665" w:rsidP="00B61DAE">
      <w:pPr>
        <w:pStyle w:val="ListParagraph"/>
        <w:numPr>
          <w:ilvl w:val="0"/>
          <w:numId w:val="6"/>
        </w:numPr>
        <w:ind w:left="714" w:hanging="357"/>
        <w:jc w:val="left"/>
        <w:rPr>
          <w:rFonts w:asciiTheme="minorHAnsi" w:hAnsiTheme="minorHAnsi"/>
          <w:szCs w:val="24"/>
        </w:rPr>
      </w:pPr>
      <w:r w:rsidRPr="008D4204">
        <w:rPr>
          <w:rFonts w:asciiTheme="minorHAnsi" w:hAnsiTheme="minorHAnsi"/>
          <w:szCs w:val="24"/>
        </w:rPr>
        <w:t>Patients do relate improvement in their 6MWD results with their treatment efficacy but note that the results are subjective and not fully reflective of their health status.</w:t>
      </w:r>
    </w:p>
    <w:p w:rsidR="00AD6665" w:rsidRPr="008D4204" w:rsidRDefault="00AD6665" w:rsidP="00B61DAE">
      <w:pPr>
        <w:pStyle w:val="ListParagraph"/>
        <w:numPr>
          <w:ilvl w:val="0"/>
          <w:numId w:val="6"/>
        </w:numPr>
        <w:ind w:left="714" w:hanging="357"/>
        <w:jc w:val="left"/>
        <w:rPr>
          <w:rFonts w:asciiTheme="minorHAnsi" w:hAnsiTheme="minorHAnsi"/>
          <w:szCs w:val="24"/>
        </w:rPr>
      </w:pPr>
      <w:r w:rsidRPr="008D4204">
        <w:rPr>
          <w:rFonts w:asciiTheme="minorHAnsi" w:hAnsiTheme="minorHAnsi"/>
          <w:szCs w:val="24"/>
        </w:rPr>
        <w:t xml:space="preserve">Patients considered that other measures, including quality of life </w:t>
      </w:r>
      <w:r w:rsidR="008E5AE3">
        <w:rPr>
          <w:rFonts w:asciiTheme="minorHAnsi" w:hAnsiTheme="minorHAnsi"/>
          <w:szCs w:val="24"/>
        </w:rPr>
        <w:t xml:space="preserve">(QoL) </w:t>
      </w:r>
      <w:r w:rsidRPr="008D4204">
        <w:rPr>
          <w:rFonts w:asciiTheme="minorHAnsi" w:hAnsiTheme="minorHAnsi"/>
          <w:szCs w:val="24"/>
        </w:rPr>
        <w:t>assessments, assessments of everyday functional ability, right heart catheterisation (RHC) measurement, echo results, and use of supplemental oxygen could also be considered as clinically relevant outcomes.</w:t>
      </w:r>
    </w:p>
    <w:p w:rsidR="00AD6665" w:rsidRPr="008D4204" w:rsidRDefault="00AD6665" w:rsidP="00B61DAE">
      <w:pPr>
        <w:pStyle w:val="ListParagraph"/>
        <w:numPr>
          <w:ilvl w:val="0"/>
          <w:numId w:val="6"/>
        </w:numPr>
        <w:ind w:left="714" w:hanging="357"/>
        <w:jc w:val="left"/>
        <w:rPr>
          <w:rFonts w:asciiTheme="minorHAnsi" w:hAnsiTheme="minorHAnsi"/>
          <w:szCs w:val="24"/>
        </w:rPr>
      </w:pPr>
      <w:r w:rsidRPr="008D4204">
        <w:rPr>
          <w:rFonts w:asciiTheme="minorHAnsi" w:hAnsiTheme="minorHAnsi"/>
          <w:szCs w:val="24"/>
        </w:rPr>
        <w:t xml:space="preserve">The use of composite outcomes to assess the clinical and cost-effectiveness of PAH medicine is increasing in clinical trials. </w:t>
      </w:r>
    </w:p>
    <w:p w:rsidR="00AD6665" w:rsidRPr="008D4204" w:rsidRDefault="00563758" w:rsidP="008D4204">
      <w:pPr>
        <w:pStyle w:val="Heading3"/>
      </w:pPr>
      <w:bookmarkStart w:id="11" w:name="_Toc38439363"/>
      <w:r>
        <w:t>3.1.1</w:t>
      </w:r>
      <w:r>
        <w:tab/>
      </w:r>
      <w:r w:rsidR="00AD6665" w:rsidRPr="008D4204">
        <w:t>Stakeholder views</w:t>
      </w:r>
      <w:bookmarkEnd w:id="11"/>
    </w:p>
    <w:p w:rsidR="008D4204" w:rsidRPr="008D4204" w:rsidRDefault="00AD6665" w:rsidP="00B61DAE">
      <w:pPr>
        <w:pStyle w:val="ListParagraph"/>
        <w:numPr>
          <w:ilvl w:val="0"/>
          <w:numId w:val="10"/>
        </w:numPr>
        <w:rPr>
          <w:rFonts w:asciiTheme="minorHAnsi" w:hAnsiTheme="minorHAnsi"/>
          <w:szCs w:val="24"/>
        </w:rPr>
      </w:pPr>
      <w:r w:rsidRPr="008D4204">
        <w:rPr>
          <w:rFonts w:asciiTheme="minorHAnsi" w:hAnsiTheme="minorHAnsi"/>
          <w:szCs w:val="24"/>
        </w:rPr>
        <w:t xml:space="preserve">The Reference Group has noted the usefulness of health related quality of life </w:t>
      </w:r>
      <w:r w:rsidR="00353C80">
        <w:rPr>
          <w:rFonts w:asciiTheme="minorHAnsi" w:hAnsiTheme="minorHAnsi"/>
          <w:szCs w:val="24"/>
        </w:rPr>
        <w:t>measures (HRQo</w:t>
      </w:r>
      <w:r w:rsidRPr="008D4204">
        <w:rPr>
          <w:rFonts w:asciiTheme="minorHAnsi" w:hAnsiTheme="minorHAnsi"/>
          <w:szCs w:val="24"/>
        </w:rPr>
        <w:t>L) and their potential value in capturing benefits associa</w:t>
      </w:r>
      <w:r w:rsidR="00BB4272">
        <w:rPr>
          <w:rFonts w:asciiTheme="minorHAnsi" w:hAnsiTheme="minorHAnsi"/>
          <w:szCs w:val="24"/>
        </w:rPr>
        <w:t>ted with medicines for PAH. HRQo</w:t>
      </w:r>
      <w:r w:rsidRPr="008D4204">
        <w:rPr>
          <w:rFonts w:asciiTheme="minorHAnsi" w:hAnsiTheme="minorHAnsi"/>
          <w:szCs w:val="24"/>
        </w:rPr>
        <w:t>L measures could include the EQ</w:t>
      </w:r>
      <w:r w:rsidR="006B426A">
        <w:rPr>
          <w:rFonts w:asciiTheme="minorHAnsi" w:hAnsiTheme="minorHAnsi"/>
          <w:szCs w:val="24"/>
        </w:rPr>
        <w:t>-</w:t>
      </w:r>
      <w:r w:rsidRPr="008D4204">
        <w:rPr>
          <w:rFonts w:asciiTheme="minorHAnsi" w:hAnsiTheme="minorHAnsi"/>
          <w:szCs w:val="24"/>
        </w:rPr>
        <w:t>5</w:t>
      </w:r>
      <w:r w:rsidR="006B426A">
        <w:rPr>
          <w:rFonts w:asciiTheme="minorHAnsi" w:hAnsiTheme="minorHAnsi"/>
          <w:szCs w:val="24"/>
        </w:rPr>
        <w:t>D</w:t>
      </w:r>
      <w:r w:rsidRPr="008D4204">
        <w:rPr>
          <w:rFonts w:asciiTheme="minorHAnsi" w:hAnsiTheme="minorHAnsi"/>
          <w:szCs w:val="24"/>
        </w:rPr>
        <w:t>, SF36 and the PAH specific Cambridge Pulmonary Hypertension Outcome Review (CAMPHOR).</w:t>
      </w:r>
      <w:r w:rsidR="008D4204" w:rsidRPr="008D4204">
        <w:rPr>
          <w:rFonts w:asciiTheme="minorHAnsi" w:hAnsiTheme="minorHAnsi"/>
          <w:szCs w:val="24"/>
        </w:rPr>
        <w:t xml:space="preserve"> </w:t>
      </w:r>
    </w:p>
    <w:p w:rsidR="00AD6665" w:rsidRPr="008D4204" w:rsidRDefault="008D4204" w:rsidP="00B61DAE">
      <w:pPr>
        <w:pStyle w:val="ListParagraph"/>
        <w:numPr>
          <w:ilvl w:val="0"/>
          <w:numId w:val="10"/>
        </w:numPr>
        <w:rPr>
          <w:rFonts w:asciiTheme="minorHAnsi" w:hAnsiTheme="minorHAnsi"/>
          <w:szCs w:val="24"/>
        </w:rPr>
      </w:pPr>
      <w:r w:rsidRPr="008D4204">
        <w:rPr>
          <w:rFonts w:asciiTheme="minorHAnsi" w:hAnsiTheme="minorHAnsi"/>
          <w:szCs w:val="24"/>
        </w:rPr>
        <w:t xml:space="preserve">The Pulmonary Hypertension Association Australia (PHAA) notes that most studies have assessed clinical outcomes through changes in exercise capacity, however, PHAA </w:t>
      </w:r>
      <w:r w:rsidRPr="008D4204">
        <w:rPr>
          <w:rFonts w:asciiTheme="minorHAnsi" w:hAnsiTheme="minorHAnsi"/>
          <w:szCs w:val="24"/>
        </w:rPr>
        <w:lastRenderedPageBreak/>
        <w:t>members also consider how patients feel, daily function, prevention of hospitalisation, and survival as patient relevant outcomes.</w:t>
      </w:r>
    </w:p>
    <w:p w:rsidR="00AD6665" w:rsidRPr="008D4204" w:rsidRDefault="00AD6665" w:rsidP="00B61DAE">
      <w:pPr>
        <w:pStyle w:val="ListParagraph"/>
        <w:numPr>
          <w:ilvl w:val="0"/>
          <w:numId w:val="6"/>
        </w:numPr>
        <w:ind w:left="714" w:hanging="357"/>
        <w:jc w:val="left"/>
        <w:rPr>
          <w:rFonts w:asciiTheme="minorHAnsi" w:hAnsiTheme="minorHAnsi"/>
          <w:szCs w:val="24"/>
        </w:rPr>
      </w:pPr>
      <w:r w:rsidRPr="008D4204">
        <w:rPr>
          <w:rFonts w:asciiTheme="minorHAnsi" w:hAnsiTheme="minorHAnsi"/>
          <w:szCs w:val="24"/>
        </w:rPr>
        <w:t>Consumer views on patient relevant outcomes are described in detail in section 3.2.</w:t>
      </w:r>
    </w:p>
    <w:p w:rsidR="00AD6665" w:rsidRPr="008D4204" w:rsidRDefault="00AD6665" w:rsidP="00AD6665">
      <w:pPr>
        <w:pStyle w:val="Heading2"/>
      </w:pPr>
      <w:bookmarkStart w:id="12" w:name="_Toc388453127"/>
      <w:bookmarkStart w:id="13" w:name="_Toc492911782"/>
      <w:bookmarkStart w:id="14" w:name="_Toc38439364"/>
      <w:r w:rsidRPr="008D4204">
        <w:t>3.2</w:t>
      </w:r>
      <w:r w:rsidRPr="008D4204">
        <w:tab/>
      </w:r>
      <w:bookmarkEnd w:id="12"/>
      <w:bookmarkEnd w:id="13"/>
      <w:r w:rsidRPr="008D4204">
        <w:t>Patient views on relevant clinical outcomes</w:t>
      </w:r>
      <w:bookmarkEnd w:id="14"/>
    </w:p>
    <w:p w:rsidR="00AD6665" w:rsidRPr="008D4204" w:rsidRDefault="00AD6665" w:rsidP="00AD6665">
      <w:pPr>
        <w:pStyle w:val="Heading3"/>
      </w:pPr>
      <w:bookmarkStart w:id="15" w:name="_Toc38439365"/>
      <w:bookmarkStart w:id="16" w:name="_Toc388453130"/>
      <w:r w:rsidRPr="008D4204">
        <w:t>3.2.1</w:t>
      </w:r>
      <w:r w:rsidRPr="008D4204">
        <w:tab/>
        <w:t>Consumer session</w:t>
      </w:r>
      <w:bookmarkEnd w:id="15"/>
    </w:p>
    <w:p w:rsidR="00B43983" w:rsidRPr="008D4204" w:rsidRDefault="00AD6665" w:rsidP="00AD6665">
      <w:pPr>
        <w:jc w:val="left"/>
        <w:rPr>
          <w:rFonts w:asciiTheme="minorHAnsi" w:hAnsiTheme="minorHAnsi"/>
        </w:rPr>
      </w:pPr>
      <w:r w:rsidRPr="008D4204">
        <w:rPr>
          <w:rFonts w:asciiTheme="minorHAnsi" w:hAnsiTheme="minorHAnsi"/>
        </w:rPr>
        <w:t xml:space="preserve">Three departmental representatives and the Chair of the Reference Group attended the Pulmonary Hypertension Association of Australia (PHAA) Members &amp; Carers Day on 14 October 2017 and held a consumer session with PAH patients, their families and carers. The aim of the consumer session was to ensure that the views of a wide range of consumers were able to be included in this report. </w:t>
      </w:r>
    </w:p>
    <w:p w:rsidR="00AD6665" w:rsidRPr="008D4204" w:rsidRDefault="00AD6665" w:rsidP="00AD6665">
      <w:pPr>
        <w:jc w:val="left"/>
        <w:rPr>
          <w:rFonts w:asciiTheme="minorHAnsi" w:hAnsiTheme="minorHAnsi"/>
        </w:rPr>
      </w:pPr>
      <w:r w:rsidRPr="008D4204">
        <w:rPr>
          <w:rFonts w:asciiTheme="minorHAnsi" w:hAnsiTheme="minorHAnsi"/>
        </w:rPr>
        <w:t xml:space="preserve">Prior to the meeting, attendees were provided with a discussion paper that included information on the Review Terms of Reference (ToR), and identified key issues and questions for consumers and their families and carers. The questions from the discussion paper were used as the basis for prompting small group discussions where the common themes were captured on butchers’ paper. Consumers and carers were also able to submit their responses to the discussion paper by email. Both small group and individual input were synthesised in a consumer summary which was </w:t>
      </w:r>
      <w:r w:rsidR="00543A01" w:rsidRPr="008D4204">
        <w:rPr>
          <w:rFonts w:asciiTheme="minorHAnsi" w:hAnsiTheme="minorHAnsi"/>
        </w:rPr>
        <w:t>reviewed</w:t>
      </w:r>
      <w:r w:rsidRPr="008D4204">
        <w:rPr>
          <w:rFonts w:asciiTheme="minorHAnsi" w:hAnsiTheme="minorHAnsi"/>
        </w:rPr>
        <w:t xml:space="preserve"> by several PHAA members (refer to Appendix </w:t>
      </w:r>
      <w:r w:rsidR="00266830">
        <w:rPr>
          <w:rFonts w:asciiTheme="minorHAnsi" w:hAnsiTheme="minorHAnsi"/>
        </w:rPr>
        <w:t>3A</w:t>
      </w:r>
      <w:r w:rsidRPr="008D4204">
        <w:rPr>
          <w:rFonts w:asciiTheme="minorHAnsi" w:hAnsiTheme="minorHAnsi"/>
        </w:rPr>
        <w:t xml:space="preserve"> </w:t>
      </w:r>
      <w:r w:rsidR="000E700F" w:rsidRPr="008D4204">
        <w:rPr>
          <w:rFonts w:asciiTheme="minorHAnsi" w:hAnsiTheme="minorHAnsi"/>
        </w:rPr>
        <w:t xml:space="preserve">- </w:t>
      </w:r>
      <w:r w:rsidR="00051E89">
        <w:rPr>
          <w:rFonts w:asciiTheme="minorHAnsi" w:hAnsiTheme="minorHAnsi"/>
        </w:rPr>
        <w:t>Consumer Outcome Statement).</w:t>
      </w:r>
    </w:p>
    <w:p w:rsidR="00AD6665" w:rsidRPr="008D4204" w:rsidRDefault="00AD6665" w:rsidP="00AD6665">
      <w:pPr>
        <w:jc w:val="left"/>
        <w:rPr>
          <w:rFonts w:asciiTheme="minorHAnsi" w:hAnsiTheme="minorHAnsi"/>
        </w:rPr>
      </w:pPr>
      <w:r w:rsidRPr="008D4204">
        <w:rPr>
          <w:rFonts w:asciiTheme="minorHAnsi" w:hAnsiTheme="minorHAnsi"/>
        </w:rPr>
        <w:t>The following is a summary of issues raised by consumers in relation to patient relevant outcomes and their views on the relevance of the 6MWD.</w:t>
      </w:r>
    </w:p>
    <w:p w:rsidR="00AD6665" w:rsidRPr="008D4204" w:rsidRDefault="00563758" w:rsidP="008D4204">
      <w:pPr>
        <w:pStyle w:val="Heading3"/>
      </w:pPr>
      <w:bookmarkStart w:id="17" w:name="_Toc38439366"/>
      <w:r>
        <w:t>3.2.2</w:t>
      </w:r>
      <w:r>
        <w:tab/>
      </w:r>
      <w:r w:rsidR="00AD6665" w:rsidRPr="008D4204">
        <w:t>Impact of PAH medicines</w:t>
      </w:r>
      <w:bookmarkEnd w:id="17"/>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Consumers noted that medicines made a significant difference to their lives, and noted specific relief of PAH symptoms with ongoing medicine use, including reduced fatigue, br</w:t>
      </w:r>
      <w:r w:rsidR="00051E89">
        <w:rPr>
          <w:rFonts w:asciiTheme="minorHAnsi" w:hAnsiTheme="minorHAnsi"/>
        </w:rPr>
        <w:t>eathlessness and heart racing.</w:t>
      </w:r>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Some consumers reported they had improved from the point of heart failure to FC II, where they were able to come off the transplant list and recommence a semi normal life.</w:t>
      </w:r>
    </w:p>
    <w:p w:rsidR="00AD6665" w:rsidRPr="008D4204" w:rsidRDefault="00563758" w:rsidP="008D4204">
      <w:pPr>
        <w:pStyle w:val="Heading3"/>
      </w:pPr>
      <w:bookmarkStart w:id="18" w:name="_Toc38439367"/>
      <w:r>
        <w:t>3.2.3</w:t>
      </w:r>
      <w:r>
        <w:tab/>
      </w:r>
      <w:r w:rsidR="00AD6665" w:rsidRPr="008D4204">
        <w:t>Patient relevant outcomes</w:t>
      </w:r>
      <w:bookmarkEnd w:id="18"/>
      <w:r w:rsidR="00AD6665" w:rsidRPr="008D4204">
        <w:t xml:space="preserve"> </w:t>
      </w:r>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 xml:space="preserve">The most commonly reported symptoms of PAH from patients are fatigue, chest pain, </w:t>
      </w:r>
      <w:r w:rsidR="003E63A3" w:rsidRPr="008D4204">
        <w:rPr>
          <w:rFonts w:asciiTheme="minorHAnsi" w:hAnsiTheme="minorHAnsi"/>
        </w:rPr>
        <w:t xml:space="preserve">difficulty breathing, </w:t>
      </w:r>
      <w:r w:rsidRPr="008D4204">
        <w:rPr>
          <w:rFonts w:asciiTheme="minorHAnsi" w:hAnsiTheme="minorHAnsi"/>
        </w:rPr>
        <w:t xml:space="preserve">syncope (fainting) and reduced ability to perform daily physical activities – all of which have an extensive impact on patients’ </w:t>
      </w:r>
      <w:r w:rsidR="008E5AE3">
        <w:rPr>
          <w:rFonts w:asciiTheme="minorHAnsi" w:hAnsiTheme="minorHAnsi"/>
        </w:rPr>
        <w:t>QoL</w:t>
      </w:r>
      <w:r w:rsidRPr="008D4204">
        <w:rPr>
          <w:rFonts w:asciiTheme="minorHAnsi" w:hAnsiTheme="minorHAnsi"/>
        </w:rPr>
        <w:t>.</w:t>
      </w:r>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 xml:space="preserve">Beyond mortality, the recurring feedback from consumers was that they primarily valued their </w:t>
      </w:r>
      <w:r w:rsidR="008E5AE3">
        <w:rPr>
          <w:rFonts w:asciiTheme="minorHAnsi" w:hAnsiTheme="minorHAnsi"/>
        </w:rPr>
        <w:t>QoL</w:t>
      </w:r>
      <w:r w:rsidRPr="008D4204">
        <w:rPr>
          <w:rFonts w:asciiTheme="minorHAnsi" w:hAnsiTheme="minorHAnsi"/>
        </w:rPr>
        <w:t xml:space="preserve"> – that is, their ability to function in everyday life and an increased tolerance to exercise</w:t>
      </w:r>
      <w:r w:rsidR="00051E89">
        <w:rPr>
          <w:rFonts w:asciiTheme="minorHAnsi" w:hAnsiTheme="minorHAnsi"/>
        </w:rPr>
        <w:t>/activity.</w:t>
      </w:r>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 xml:space="preserve">Everyday activities that consumers described as important included the ability to work, get out of bed, attend to household chores, be able to socialise, to climb stairs </w:t>
      </w:r>
      <w:r w:rsidRPr="008D4204">
        <w:rPr>
          <w:rFonts w:asciiTheme="minorHAnsi" w:hAnsiTheme="minorHAnsi"/>
        </w:rPr>
        <w:lastRenderedPageBreak/>
        <w:t>and walk further. Some consumers valued the ability to travel and compete in sporting events.</w:t>
      </w:r>
    </w:p>
    <w:p w:rsidR="00AD6665" w:rsidRPr="008D4204" w:rsidRDefault="00AD6665" w:rsidP="00B61DAE">
      <w:pPr>
        <w:pStyle w:val="ListParagraph"/>
        <w:numPr>
          <w:ilvl w:val="0"/>
          <w:numId w:val="8"/>
        </w:numPr>
        <w:spacing w:before="120" w:after="120"/>
        <w:ind w:hanging="720"/>
        <w:rPr>
          <w:rFonts w:asciiTheme="minorHAnsi" w:hAnsiTheme="minorHAnsi"/>
        </w:rPr>
      </w:pPr>
      <w:r w:rsidRPr="008D4204">
        <w:rPr>
          <w:rFonts w:asciiTheme="minorHAnsi" w:hAnsiTheme="minorHAnsi"/>
        </w:rPr>
        <w:t xml:space="preserve">Consumers commented they </w:t>
      </w:r>
      <w:r w:rsidR="003E63A3" w:rsidRPr="008D4204">
        <w:rPr>
          <w:rFonts w:asciiTheme="minorHAnsi" w:hAnsiTheme="minorHAnsi"/>
        </w:rPr>
        <w:t xml:space="preserve">may </w:t>
      </w:r>
      <w:r w:rsidRPr="008D4204">
        <w:rPr>
          <w:rFonts w:asciiTheme="minorHAnsi" w:hAnsiTheme="minorHAnsi"/>
        </w:rPr>
        <w:t>have reduced anxiety when their PAH is stable.</w:t>
      </w:r>
    </w:p>
    <w:p w:rsidR="00AD6665" w:rsidRPr="008D4204" w:rsidRDefault="00563758" w:rsidP="008D4204">
      <w:pPr>
        <w:pStyle w:val="Heading3"/>
      </w:pPr>
      <w:bookmarkStart w:id="19" w:name="_Toc38439368"/>
      <w:r>
        <w:t>3.2.4</w:t>
      </w:r>
      <w:r>
        <w:tab/>
      </w:r>
      <w:r w:rsidR="00AD6665" w:rsidRPr="008D4204">
        <w:t>Relevance of 6MWD to patients</w:t>
      </w:r>
      <w:bookmarkEnd w:id="19"/>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Consumers did relate improvements in their 6MWD to the effectiveness of PAH medicines, and some consumers described their health status by referring to the</w:t>
      </w:r>
      <w:r w:rsidR="003E63A3" w:rsidRPr="008D4204">
        <w:rPr>
          <w:rFonts w:asciiTheme="minorHAnsi" w:hAnsiTheme="minorHAnsi"/>
        </w:rPr>
        <w:t>ir</w:t>
      </w:r>
      <w:r w:rsidRPr="008D4204">
        <w:rPr>
          <w:rFonts w:asciiTheme="minorHAnsi" w:hAnsiTheme="minorHAnsi"/>
        </w:rPr>
        <w:t xml:space="preserve"> 6MWD results or FC status.</w:t>
      </w:r>
    </w:p>
    <w:p w:rsidR="003E63A3" w:rsidRPr="008D4204" w:rsidRDefault="00971733"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Some c</w:t>
      </w:r>
      <w:r w:rsidR="003E63A3" w:rsidRPr="008D4204">
        <w:rPr>
          <w:rFonts w:asciiTheme="minorHAnsi" w:hAnsiTheme="minorHAnsi"/>
        </w:rPr>
        <w:t xml:space="preserve">onsumers linked an improvement in their exercise capacity with an improvement in their </w:t>
      </w:r>
      <w:r w:rsidR="008E5AE3">
        <w:rPr>
          <w:rFonts w:asciiTheme="minorHAnsi" w:hAnsiTheme="minorHAnsi"/>
        </w:rPr>
        <w:t>QoL</w:t>
      </w:r>
      <w:r w:rsidR="003E63A3" w:rsidRPr="008D4204">
        <w:rPr>
          <w:rFonts w:asciiTheme="minorHAnsi" w:hAnsiTheme="minorHAnsi"/>
        </w:rPr>
        <w:t xml:space="preserve"> and functional daily ability.</w:t>
      </w:r>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However, consumers commented that the 6MWD can be somewhat subjective as a means of assessing their disease, as the results are a ‘snapshot’ of their overall health only. They noted that results can change daily and can be impacted a number of variables related to the day, time and location of the actual test, for example, travel required on the day of the test, the test area or exercise/stair climbing prior to the test. Consumers acknowledged a</w:t>
      </w:r>
      <w:r w:rsidR="00051E89">
        <w:rPr>
          <w:rFonts w:asciiTheme="minorHAnsi" w:hAnsiTheme="minorHAnsi"/>
        </w:rPr>
        <w:t xml:space="preserve"> tendency to plan for the 6MWT.</w:t>
      </w:r>
    </w:p>
    <w:p w:rsidR="00AD6665" w:rsidRPr="008D4204" w:rsidRDefault="00AD6665" w:rsidP="00B61DAE">
      <w:pPr>
        <w:pStyle w:val="ListParagraph"/>
        <w:numPr>
          <w:ilvl w:val="0"/>
          <w:numId w:val="8"/>
        </w:numPr>
        <w:spacing w:before="120" w:after="120"/>
        <w:ind w:hanging="720"/>
        <w:rPr>
          <w:rFonts w:asciiTheme="minorHAnsi" w:hAnsiTheme="minorHAnsi"/>
        </w:rPr>
      </w:pPr>
      <w:r w:rsidRPr="008D4204">
        <w:rPr>
          <w:rFonts w:asciiTheme="minorHAnsi" w:hAnsiTheme="minorHAnsi"/>
        </w:rPr>
        <w:t xml:space="preserve">Consumers considered that RHC is invasive but likely more accurate than the 6MWT </w:t>
      </w:r>
      <w:r w:rsidR="003E63A3" w:rsidRPr="008D4204">
        <w:rPr>
          <w:rFonts w:asciiTheme="minorHAnsi" w:hAnsiTheme="minorHAnsi"/>
        </w:rPr>
        <w:t xml:space="preserve">in assessing disease pathology </w:t>
      </w:r>
      <w:r w:rsidRPr="008D4204">
        <w:rPr>
          <w:rFonts w:asciiTheme="minorHAnsi" w:hAnsiTheme="minorHAnsi"/>
        </w:rPr>
        <w:t>for some patients.</w:t>
      </w:r>
    </w:p>
    <w:p w:rsidR="00AD6665" w:rsidRPr="008D4204" w:rsidRDefault="00563758" w:rsidP="008D4204">
      <w:pPr>
        <w:pStyle w:val="Heading3"/>
      </w:pPr>
      <w:bookmarkStart w:id="20" w:name="_Toc38439369"/>
      <w:r>
        <w:t>3.2.5</w:t>
      </w:r>
      <w:r>
        <w:tab/>
      </w:r>
      <w:r w:rsidR="00AD6665" w:rsidRPr="008D4204">
        <w:t>Other patient relevant outcomes</w:t>
      </w:r>
      <w:bookmarkEnd w:id="20"/>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 xml:space="preserve">The firm view of patients was that their </w:t>
      </w:r>
      <w:r w:rsidR="008E5AE3">
        <w:rPr>
          <w:rFonts w:asciiTheme="minorHAnsi" w:hAnsiTheme="minorHAnsi"/>
        </w:rPr>
        <w:t>QoL</w:t>
      </w:r>
      <w:r w:rsidRPr="008D4204">
        <w:rPr>
          <w:rFonts w:asciiTheme="minorHAnsi" w:hAnsiTheme="minorHAnsi"/>
        </w:rPr>
        <w:t xml:space="preserve"> and functional ability day to day were the most relevant outcomes to them.</w:t>
      </w:r>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Written submissions from consumers also noted the following outcomes were patient relevant and could also be used to inform considerations of the effectiveness of PAH medicines:</w:t>
      </w:r>
    </w:p>
    <w:p w:rsidR="00AD6665" w:rsidRPr="008D4204" w:rsidRDefault="008E5AE3" w:rsidP="00B61DAE">
      <w:pPr>
        <w:pStyle w:val="NoSpacing"/>
        <w:numPr>
          <w:ilvl w:val="1"/>
          <w:numId w:val="8"/>
        </w:numPr>
        <w:spacing w:before="60" w:after="60" w:line="276" w:lineRule="auto"/>
        <w:ind w:right="-57" w:hanging="731"/>
        <w:contextualSpacing/>
        <w:rPr>
          <w:rFonts w:asciiTheme="minorHAnsi" w:hAnsiTheme="minorHAnsi"/>
        </w:rPr>
      </w:pPr>
      <w:r>
        <w:rPr>
          <w:rFonts w:asciiTheme="minorHAnsi" w:hAnsiTheme="minorHAnsi"/>
        </w:rPr>
        <w:t>QoL</w:t>
      </w:r>
      <w:r w:rsidR="00AD6665" w:rsidRPr="008D4204">
        <w:rPr>
          <w:rFonts w:asciiTheme="minorHAnsi" w:hAnsiTheme="minorHAnsi"/>
        </w:rPr>
        <w:t xml:space="preserve"> assessments</w:t>
      </w:r>
    </w:p>
    <w:p w:rsidR="00AD6665" w:rsidRPr="008D4204" w:rsidRDefault="00AD6665" w:rsidP="00B61DAE">
      <w:pPr>
        <w:pStyle w:val="NoSpacing"/>
        <w:numPr>
          <w:ilvl w:val="1"/>
          <w:numId w:val="8"/>
        </w:numPr>
        <w:spacing w:before="60" w:after="60" w:line="276" w:lineRule="auto"/>
        <w:ind w:right="-57" w:hanging="731"/>
        <w:contextualSpacing/>
        <w:rPr>
          <w:rFonts w:asciiTheme="minorHAnsi" w:hAnsiTheme="minorHAnsi"/>
        </w:rPr>
      </w:pPr>
      <w:r w:rsidRPr="008D4204">
        <w:rPr>
          <w:rFonts w:asciiTheme="minorHAnsi" w:hAnsiTheme="minorHAnsi"/>
        </w:rPr>
        <w:t>Everyday functional ability</w:t>
      </w:r>
    </w:p>
    <w:p w:rsidR="00AD6665" w:rsidRPr="008D4204" w:rsidRDefault="008E5AE3" w:rsidP="00B61DAE">
      <w:pPr>
        <w:pStyle w:val="NoSpacing"/>
        <w:numPr>
          <w:ilvl w:val="1"/>
          <w:numId w:val="8"/>
        </w:numPr>
        <w:spacing w:before="60" w:after="60" w:line="276" w:lineRule="auto"/>
        <w:ind w:right="-57" w:hanging="731"/>
        <w:contextualSpacing/>
        <w:rPr>
          <w:rFonts w:asciiTheme="minorHAnsi" w:hAnsiTheme="minorHAnsi"/>
        </w:rPr>
      </w:pPr>
      <w:r>
        <w:rPr>
          <w:rFonts w:asciiTheme="minorHAnsi" w:hAnsiTheme="minorHAnsi"/>
        </w:rPr>
        <w:t>RHC</w:t>
      </w:r>
      <w:r w:rsidR="00A60C98">
        <w:rPr>
          <w:rFonts w:asciiTheme="minorHAnsi" w:hAnsiTheme="minorHAnsi"/>
        </w:rPr>
        <w:t xml:space="preserve"> </w:t>
      </w:r>
      <w:r w:rsidR="00AD6665" w:rsidRPr="008D4204">
        <w:rPr>
          <w:rFonts w:asciiTheme="minorHAnsi" w:hAnsiTheme="minorHAnsi"/>
        </w:rPr>
        <w:t>measurements</w:t>
      </w:r>
    </w:p>
    <w:p w:rsidR="00AD6665" w:rsidRPr="008D4204" w:rsidRDefault="00AD6665" w:rsidP="00B61DAE">
      <w:pPr>
        <w:pStyle w:val="NoSpacing"/>
        <w:numPr>
          <w:ilvl w:val="1"/>
          <w:numId w:val="8"/>
        </w:numPr>
        <w:spacing w:before="60" w:after="60" w:line="276" w:lineRule="auto"/>
        <w:ind w:right="-57" w:hanging="731"/>
        <w:contextualSpacing/>
        <w:rPr>
          <w:rFonts w:asciiTheme="minorHAnsi" w:hAnsiTheme="minorHAnsi"/>
        </w:rPr>
      </w:pPr>
      <w:r w:rsidRPr="008D4204">
        <w:rPr>
          <w:rFonts w:asciiTheme="minorHAnsi" w:hAnsiTheme="minorHAnsi"/>
        </w:rPr>
        <w:t>Echocardiogram outcomes</w:t>
      </w:r>
    </w:p>
    <w:p w:rsidR="00AD6665" w:rsidRPr="008D4204" w:rsidRDefault="00AD6665" w:rsidP="00B61DAE">
      <w:pPr>
        <w:pStyle w:val="NoSpacing"/>
        <w:numPr>
          <w:ilvl w:val="1"/>
          <w:numId w:val="8"/>
        </w:numPr>
        <w:spacing w:before="60" w:after="60" w:line="276" w:lineRule="auto"/>
        <w:ind w:right="-57" w:hanging="731"/>
        <w:contextualSpacing/>
        <w:rPr>
          <w:rFonts w:asciiTheme="minorHAnsi" w:hAnsiTheme="minorHAnsi"/>
        </w:rPr>
      </w:pPr>
      <w:r w:rsidRPr="008D4204">
        <w:rPr>
          <w:rFonts w:asciiTheme="minorHAnsi" w:hAnsiTheme="minorHAnsi"/>
        </w:rPr>
        <w:t>Changes in oxygen use from medications</w:t>
      </w:r>
    </w:p>
    <w:p w:rsidR="00AD6665" w:rsidRPr="008D4204" w:rsidRDefault="00AD6665" w:rsidP="00B61DAE">
      <w:pPr>
        <w:pStyle w:val="NoSpacing"/>
        <w:numPr>
          <w:ilvl w:val="1"/>
          <w:numId w:val="8"/>
        </w:numPr>
        <w:spacing w:before="60" w:after="60" w:line="276" w:lineRule="auto"/>
        <w:ind w:right="-57" w:hanging="731"/>
        <w:contextualSpacing/>
        <w:rPr>
          <w:rFonts w:asciiTheme="minorHAnsi" w:hAnsiTheme="minorHAnsi"/>
        </w:rPr>
      </w:pPr>
      <w:r w:rsidRPr="008D4204">
        <w:rPr>
          <w:rFonts w:asciiTheme="minorHAnsi" w:hAnsiTheme="minorHAnsi"/>
        </w:rPr>
        <w:t>Changes in exercise capacity</w:t>
      </w:r>
    </w:p>
    <w:p w:rsidR="00AD6665" w:rsidRPr="008D4204" w:rsidRDefault="00AD6665" w:rsidP="00B61DAE">
      <w:pPr>
        <w:pStyle w:val="NoSpacing"/>
        <w:numPr>
          <w:ilvl w:val="1"/>
          <w:numId w:val="8"/>
        </w:numPr>
        <w:spacing w:before="60" w:after="120" w:line="276" w:lineRule="auto"/>
        <w:ind w:right="-57" w:hanging="731"/>
        <w:contextualSpacing/>
        <w:rPr>
          <w:rFonts w:asciiTheme="minorHAnsi" w:hAnsiTheme="minorHAnsi"/>
        </w:rPr>
      </w:pPr>
      <w:r w:rsidRPr="008D4204">
        <w:rPr>
          <w:rFonts w:asciiTheme="minorHAnsi" w:hAnsiTheme="minorHAnsi"/>
        </w:rPr>
        <w:t>Ability to work and/or travel</w:t>
      </w:r>
      <w:r w:rsidR="00856773">
        <w:rPr>
          <w:rFonts w:asciiTheme="minorHAnsi" w:hAnsiTheme="minorHAnsi"/>
        </w:rPr>
        <w:t>.</w:t>
      </w:r>
    </w:p>
    <w:p w:rsidR="00AD6665" w:rsidRPr="008D4204" w:rsidRDefault="00563758" w:rsidP="008D4204">
      <w:pPr>
        <w:pStyle w:val="Heading3"/>
      </w:pPr>
      <w:bookmarkStart w:id="21" w:name="_Toc38439370"/>
      <w:r>
        <w:t>3.2.6</w:t>
      </w:r>
      <w:r>
        <w:tab/>
      </w:r>
      <w:r w:rsidR="00AD6665" w:rsidRPr="008D4204">
        <w:t>Adverse events</w:t>
      </w:r>
      <w:bookmarkEnd w:id="21"/>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 xml:space="preserve">Many consumers described side effects ranging from minor to severe, including headaches, sinus, jaw and muscle pain, foot pain, dizziness, chest tightness, gastrointestinal complications, palpitations, flushing and unwanted erections in males </w:t>
      </w:r>
      <w:r w:rsidR="00971733" w:rsidRPr="008D4204">
        <w:rPr>
          <w:rFonts w:asciiTheme="minorHAnsi" w:hAnsiTheme="minorHAnsi"/>
        </w:rPr>
        <w:t>(</w:t>
      </w:r>
      <w:r w:rsidRPr="008D4204">
        <w:rPr>
          <w:rFonts w:asciiTheme="minorHAnsi" w:hAnsiTheme="minorHAnsi"/>
        </w:rPr>
        <w:t>associated with the use of PDE-5 inhibitors</w:t>
      </w:r>
      <w:r w:rsidR="00971733" w:rsidRPr="008D4204">
        <w:rPr>
          <w:rFonts w:asciiTheme="minorHAnsi" w:hAnsiTheme="minorHAnsi"/>
        </w:rPr>
        <w:t>)</w:t>
      </w:r>
      <w:r w:rsidRPr="008D4204">
        <w:rPr>
          <w:rFonts w:asciiTheme="minorHAnsi" w:hAnsiTheme="minorHAnsi"/>
        </w:rPr>
        <w:t>.</w:t>
      </w:r>
    </w:p>
    <w:p w:rsidR="00971733"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Consumers also noted side effects associated with use of intravenous epoprostenol, such as infections and allergic reactions to the dressings.</w:t>
      </w:r>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lastRenderedPageBreak/>
        <w:t>Despite these side effects, consumers generally considered that the benefits gained from PAH medicines outweighed the side effects.</w:t>
      </w:r>
    </w:p>
    <w:p w:rsidR="00AD6665" w:rsidRPr="008D4204" w:rsidRDefault="00AD6665" w:rsidP="00B61DAE">
      <w:pPr>
        <w:pStyle w:val="ListParagraph"/>
        <w:numPr>
          <w:ilvl w:val="0"/>
          <w:numId w:val="8"/>
        </w:numPr>
        <w:spacing w:before="120" w:after="0"/>
        <w:ind w:hanging="720"/>
        <w:rPr>
          <w:rFonts w:asciiTheme="minorHAnsi" w:hAnsiTheme="minorHAnsi"/>
        </w:rPr>
      </w:pPr>
      <w:r w:rsidRPr="008D4204">
        <w:rPr>
          <w:rFonts w:asciiTheme="minorHAnsi" w:hAnsiTheme="minorHAnsi"/>
        </w:rPr>
        <w:t>Where necessary, consumers commented that they used other medicines to treat the side effects, such as pain killers.</w:t>
      </w:r>
    </w:p>
    <w:p w:rsidR="00AD6665" w:rsidRPr="008D4204" w:rsidRDefault="00AD6665" w:rsidP="00543A01">
      <w:pPr>
        <w:pStyle w:val="Heading2"/>
      </w:pPr>
      <w:bookmarkStart w:id="22" w:name="_Toc38439371"/>
      <w:r w:rsidRPr="008D4204">
        <w:t>3.3</w:t>
      </w:r>
      <w:r w:rsidRPr="008D4204">
        <w:tab/>
      </w:r>
      <w:r w:rsidR="00971733" w:rsidRPr="008D4204">
        <w:t>Outcomes considered by the PBAC in submissions for PAH medicines</w:t>
      </w:r>
      <w:bookmarkEnd w:id="22"/>
      <w:r w:rsidR="00971733" w:rsidRPr="008D4204">
        <w:t xml:space="preserve"> </w:t>
      </w:r>
    </w:p>
    <w:p w:rsidR="00AD6665" w:rsidRPr="008D4204" w:rsidRDefault="00B43983" w:rsidP="00AD6665">
      <w:pPr>
        <w:jc w:val="left"/>
        <w:rPr>
          <w:rFonts w:asciiTheme="minorHAnsi" w:hAnsiTheme="minorHAnsi"/>
        </w:rPr>
        <w:sectPr w:rsidR="00AD6665" w:rsidRPr="008D4204" w:rsidSect="00E92B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sidRPr="008D4204">
        <w:rPr>
          <w:rFonts w:asciiTheme="minorHAnsi" w:hAnsiTheme="minorHAnsi"/>
        </w:rPr>
        <w:t>A range of outc</w:t>
      </w:r>
      <w:r w:rsidR="00585484" w:rsidRPr="008D4204">
        <w:rPr>
          <w:rFonts w:asciiTheme="minorHAnsi" w:hAnsiTheme="minorHAnsi"/>
        </w:rPr>
        <w:t>omes</w:t>
      </w:r>
      <w:r w:rsidRPr="008D4204">
        <w:rPr>
          <w:rFonts w:asciiTheme="minorHAnsi" w:hAnsiTheme="minorHAnsi"/>
        </w:rPr>
        <w:t xml:space="preserve"> have been</w:t>
      </w:r>
      <w:r w:rsidR="00585484" w:rsidRPr="008D4204">
        <w:rPr>
          <w:rFonts w:asciiTheme="minorHAnsi" w:hAnsiTheme="minorHAnsi"/>
        </w:rPr>
        <w:t xml:space="preserve"> considered by the </w:t>
      </w:r>
      <w:r w:rsidRPr="008D4204">
        <w:rPr>
          <w:rFonts w:asciiTheme="minorHAnsi" w:hAnsiTheme="minorHAnsi"/>
        </w:rPr>
        <w:t>PBAC</w:t>
      </w:r>
      <w:r w:rsidR="00585484" w:rsidRPr="008D4204">
        <w:rPr>
          <w:rFonts w:asciiTheme="minorHAnsi" w:hAnsiTheme="minorHAnsi"/>
        </w:rPr>
        <w:t xml:space="preserve"> in submissions for </w:t>
      </w:r>
      <w:r w:rsidRPr="008D4204">
        <w:rPr>
          <w:rFonts w:asciiTheme="minorHAnsi" w:hAnsiTheme="minorHAnsi"/>
        </w:rPr>
        <w:t xml:space="preserve">the PBS listing of </w:t>
      </w:r>
      <w:r w:rsidR="00585484" w:rsidRPr="008D4204">
        <w:rPr>
          <w:rFonts w:asciiTheme="minorHAnsi" w:hAnsiTheme="minorHAnsi"/>
        </w:rPr>
        <w:t>PAH medicines</w:t>
      </w:r>
      <w:r w:rsidRPr="008D4204">
        <w:rPr>
          <w:rFonts w:asciiTheme="minorHAnsi" w:hAnsiTheme="minorHAnsi"/>
        </w:rPr>
        <w:t xml:space="preserve">, as captured in table 3.1. </w:t>
      </w:r>
      <w:r w:rsidR="00AD6665" w:rsidRPr="008D4204">
        <w:rPr>
          <w:rFonts w:asciiTheme="minorHAnsi" w:hAnsiTheme="minorHAnsi"/>
        </w:rPr>
        <w:t>The outcomes reported</w:t>
      </w:r>
      <w:r w:rsidRPr="008D4204">
        <w:rPr>
          <w:rFonts w:asciiTheme="minorHAnsi" w:hAnsiTheme="minorHAnsi"/>
        </w:rPr>
        <w:t xml:space="preserve"> in submissions and considered by the PBAC</w:t>
      </w:r>
      <w:r w:rsidR="00AD6665" w:rsidRPr="008D4204">
        <w:rPr>
          <w:rFonts w:asciiTheme="minorHAnsi" w:hAnsiTheme="minorHAnsi"/>
        </w:rPr>
        <w:t xml:space="preserve"> are dominated by 6MWD, which is captured for every submission</w:t>
      </w:r>
      <w:r w:rsidRPr="008D4204">
        <w:rPr>
          <w:rFonts w:asciiTheme="minorHAnsi" w:hAnsiTheme="minorHAnsi"/>
        </w:rPr>
        <w:t xml:space="preserve"> except the most recent selexipag submissions</w:t>
      </w:r>
      <w:r w:rsidR="00AD6665" w:rsidRPr="008D4204">
        <w:rPr>
          <w:rFonts w:asciiTheme="minorHAnsi" w:hAnsiTheme="minorHAnsi"/>
        </w:rPr>
        <w:t>.</w:t>
      </w:r>
    </w:p>
    <w:p w:rsidR="00723911" w:rsidRDefault="007E1871" w:rsidP="00723911">
      <w:pPr>
        <w:pStyle w:val="Caption"/>
        <w:keepNext/>
      </w:pPr>
      <w:bookmarkStart w:id="23" w:name="_Toc511211445"/>
      <w:r>
        <w:lastRenderedPageBreak/>
        <w:t>Table 3.</w:t>
      </w:r>
      <w:r w:rsidR="00673DEF">
        <w:rPr>
          <w:noProof/>
        </w:rPr>
        <w:t>1</w:t>
      </w:r>
      <w:r w:rsidR="00723911" w:rsidRPr="00723911">
        <w:t xml:space="preserve"> </w:t>
      </w:r>
      <w:r w:rsidR="00723911" w:rsidRPr="008D4204">
        <w:tab/>
        <w:t>Outcomes considered by the Pharmaceutical Benefits Advisory Committee in submissions for PAH medicines</w:t>
      </w:r>
      <w:bookmarkEnd w:id="23"/>
    </w:p>
    <w:tbl>
      <w:tblPr>
        <w:tblW w:w="50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Description w:val="Public Summary Documents for PBS-listed COPD medications"/>
      </w:tblPr>
      <w:tblGrid>
        <w:gridCol w:w="2968"/>
        <w:gridCol w:w="1668"/>
        <w:gridCol w:w="34"/>
        <w:gridCol w:w="849"/>
        <w:gridCol w:w="3117"/>
        <w:gridCol w:w="5379"/>
      </w:tblGrid>
      <w:tr w:rsidR="00AD6665" w:rsidRPr="008D4204" w:rsidTr="00761231">
        <w:trPr>
          <w:tblHeader/>
        </w:trPr>
        <w:tc>
          <w:tcPr>
            <w:tcW w:w="1059" w:type="pct"/>
            <w:shd w:val="clear" w:color="auto" w:fill="BFBFBF"/>
          </w:tcPr>
          <w:p w:rsidR="00AD6665" w:rsidRPr="00723911" w:rsidRDefault="00AD6665" w:rsidP="00B43DE9">
            <w:pPr>
              <w:pStyle w:val="01TableHEADINGleftaligned"/>
              <w:rPr>
                <w:rFonts w:ascii="Arial" w:hAnsi="Arial" w:cs="Arial"/>
                <w:sz w:val="20"/>
                <w:szCs w:val="20"/>
              </w:rPr>
            </w:pPr>
            <w:r w:rsidRPr="00723911">
              <w:rPr>
                <w:rFonts w:ascii="Arial" w:hAnsi="Arial" w:cs="Arial"/>
                <w:sz w:val="20"/>
                <w:szCs w:val="20"/>
              </w:rPr>
              <w:t>Name of active ingredient</w:t>
            </w:r>
            <w:r w:rsidRPr="00723911">
              <w:rPr>
                <w:rFonts w:ascii="Arial" w:hAnsi="Arial" w:cs="Arial"/>
                <w:sz w:val="20"/>
                <w:szCs w:val="20"/>
              </w:rPr>
              <w:br/>
              <w:t>(brand name and strength)</w:t>
            </w:r>
          </w:p>
        </w:tc>
        <w:tc>
          <w:tcPr>
            <w:tcW w:w="607" w:type="pct"/>
            <w:gridSpan w:val="2"/>
            <w:shd w:val="clear" w:color="auto" w:fill="BFBFBF"/>
          </w:tcPr>
          <w:p w:rsidR="00AD6665" w:rsidRPr="00723911" w:rsidRDefault="00AD6665" w:rsidP="00B43DE9">
            <w:pPr>
              <w:pStyle w:val="02TableHEADINGcentred"/>
              <w:jc w:val="left"/>
              <w:rPr>
                <w:rFonts w:ascii="Arial" w:hAnsi="Arial" w:cs="Arial"/>
                <w:sz w:val="20"/>
                <w:szCs w:val="20"/>
              </w:rPr>
            </w:pPr>
            <w:r w:rsidRPr="00723911">
              <w:rPr>
                <w:rFonts w:ascii="Arial" w:hAnsi="Arial" w:cs="Arial"/>
                <w:sz w:val="20"/>
                <w:szCs w:val="20"/>
              </w:rPr>
              <w:t>PBAC Meeting Date</w:t>
            </w:r>
          </w:p>
        </w:tc>
        <w:tc>
          <w:tcPr>
            <w:tcW w:w="1415" w:type="pct"/>
            <w:gridSpan w:val="2"/>
            <w:shd w:val="clear" w:color="auto" w:fill="BFBFBF"/>
          </w:tcPr>
          <w:p w:rsidR="00AD6665" w:rsidRPr="00723911" w:rsidRDefault="00AD6665" w:rsidP="00B43DE9">
            <w:pPr>
              <w:pStyle w:val="01TableHEADINGleftaligned"/>
              <w:rPr>
                <w:rFonts w:ascii="Arial" w:hAnsi="Arial" w:cs="Arial"/>
                <w:sz w:val="20"/>
                <w:szCs w:val="20"/>
              </w:rPr>
            </w:pPr>
            <w:r w:rsidRPr="00723911">
              <w:rPr>
                <w:rFonts w:ascii="Arial" w:hAnsi="Arial" w:cs="Arial"/>
                <w:sz w:val="20"/>
                <w:szCs w:val="20"/>
              </w:rPr>
              <w:t>Source</w:t>
            </w:r>
          </w:p>
        </w:tc>
        <w:tc>
          <w:tcPr>
            <w:tcW w:w="1919" w:type="pct"/>
            <w:shd w:val="clear" w:color="auto" w:fill="BFBFBF"/>
          </w:tcPr>
          <w:p w:rsidR="00AD6665" w:rsidRPr="00723911" w:rsidRDefault="00AD6665" w:rsidP="00E900A9">
            <w:pPr>
              <w:pStyle w:val="01TableHEADINGleftaligned"/>
              <w:ind w:left="139" w:firstLine="2"/>
              <w:rPr>
                <w:rFonts w:ascii="Arial" w:hAnsi="Arial" w:cs="Arial"/>
                <w:sz w:val="20"/>
                <w:szCs w:val="20"/>
              </w:rPr>
            </w:pPr>
            <w:r w:rsidRPr="00723911">
              <w:rPr>
                <w:rFonts w:ascii="Arial" w:hAnsi="Arial" w:cs="Arial"/>
                <w:sz w:val="20"/>
                <w:szCs w:val="20"/>
              </w:rPr>
              <w:t>Outcomes considered by the Pharmaceutical Benefits Advisory Committee</w:t>
            </w:r>
          </w:p>
        </w:tc>
      </w:tr>
      <w:tr w:rsidR="00AD6665" w:rsidRPr="008D4204" w:rsidTr="00E900A9">
        <w:tc>
          <w:tcPr>
            <w:tcW w:w="1059" w:type="pct"/>
            <w:shd w:val="clear" w:color="auto" w:fill="000000"/>
          </w:tcPr>
          <w:p w:rsidR="00AD6665" w:rsidRPr="00723911" w:rsidRDefault="00AD6665" w:rsidP="00B43DE9">
            <w:pPr>
              <w:pStyle w:val="04Tablesubheading"/>
              <w:rPr>
                <w:rFonts w:ascii="Arial" w:hAnsi="Arial" w:cs="Arial"/>
                <w:sz w:val="20"/>
                <w:szCs w:val="20"/>
              </w:rPr>
            </w:pPr>
            <w:r w:rsidRPr="00723911">
              <w:rPr>
                <w:rFonts w:ascii="Arial" w:hAnsi="Arial" w:cs="Arial"/>
                <w:sz w:val="20"/>
                <w:szCs w:val="20"/>
              </w:rPr>
              <w:t>ERAs</w:t>
            </w:r>
          </w:p>
        </w:tc>
        <w:tc>
          <w:tcPr>
            <w:tcW w:w="607" w:type="pct"/>
            <w:gridSpan w:val="2"/>
            <w:shd w:val="clear" w:color="auto" w:fill="000000"/>
          </w:tcPr>
          <w:p w:rsidR="00AD6665" w:rsidRPr="00723911" w:rsidRDefault="00AD6665" w:rsidP="00B43DE9">
            <w:pPr>
              <w:pStyle w:val="04Tablesubheading"/>
              <w:rPr>
                <w:rFonts w:ascii="Arial" w:hAnsi="Arial" w:cs="Arial"/>
                <w:sz w:val="20"/>
                <w:szCs w:val="20"/>
              </w:rPr>
            </w:pPr>
          </w:p>
        </w:tc>
        <w:tc>
          <w:tcPr>
            <w:tcW w:w="303" w:type="pct"/>
            <w:shd w:val="clear" w:color="auto" w:fill="000000" w:themeFill="text1"/>
          </w:tcPr>
          <w:p w:rsidR="00AD6665" w:rsidRPr="00723911" w:rsidRDefault="00AD6665" w:rsidP="00B43DE9">
            <w:pPr>
              <w:pStyle w:val="04Tablesubheading"/>
              <w:rPr>
                <w:rFonts w:ascii="Arial" w:hAnsi="Arial" w:cs="Arial"/>
                <w:sz w:val="20"/>
                <w:szCs w:val="20"/>
              </w:rPr>
            </w:pPr>
          </w:p>
        </w:tc>
        <w:tc>
          <w:tcPr>
            <w:tcW w:w="3031" w:type="pct"/>
            <w:gridSpan w:val="2"/>
            <w:shd w:val="clear" w:color="auto" w:fill="000000" w:themeFill="text1"/>
          </w:tcPr>
          <w:p w:rsidR="00AD6665" w:rsidRPr="00723911" w:rsidRDefault="00AD6665" w:rsidP="00B61DAE">
            <w:pPr>
              <w:pStyle w:val="04Tablesubheading"/>
              <w:ind w:left="283" w:hanging="142"/>
              <w:rPr>
                <w:rFonts w:ascii="Arial" w:hAnsi="Arial" w:cs="Arial"/>
                <w:sz w:val="20"/>
                <w:szCs w:val="20"/>
              </w:rPr>
            </w:pPr>
          </w:p>
        </w:tc>
      </w:tr>
      <w:tr w:rsidR="00AD6665" w:rsidRPr="008D4204" w:rsidTr="00761231">
        <w:tc>
          <w:tcPr>
            <w:tcW w:w="1059" w:type="pct"/>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Bosentan</w:t>
            </w:r>
          </w:p>
          <w:p w:rsidR="00AD6665" w:rsidRPr="00723911" w:rsidRDefault="00AD6665" w:rsidP="00B43DE9">
            <w:pPr>
              <w:pStyle w:val="05Tabletext"/>
              <w:rPr>
                <w:rFonts w:ascii="Arial" w:hAnsi="Arial" w:cs="Arial"/>
                <w:sz w:val="20"/>
                <w:szCs w:val="20"/>
              </w:rPr>
            </w:pPr>
            <w:r w:rsidRPr="00723911">
              <w:rPr>
                <w:rFonts w:ascii="Arial" w:hAnsi="Arial" w:cs="Arial"/>
                <w:sz w:val="20"/>
                <w:szCs w:val="20"/>
              </w:rPr>
              <w:t>(tablets, 62.5 mg and 125 mg (base), Tracleer</w:t>
            </w:r>
            <w:r w:rsidRPr="00051E89">
              <w:rPr>
                <w:rFonts w:ascii="Arial" w:hAnsi="Arial" w:cs="Arial"/>
                <w:sz w:val="20"/>
                <w:szCs w:val="20"/>
                <w:vertAlign w:val="superscript"/>
              </w:rPr>
              <w:t>®</w:t>
            </w:r>
            <w:r w:rsidRPr="00723911">
              <w:rPr>
                <w:rFonts w:ascii="Arial" w:hAnsi="Arial" w:cs="Arial"/>
                <w:sz w:val="20"/>
                <w:szCs w:val="20"/>
              </w:rPr>
              <w:t>)</w:t>
            </w:r>
          </w:p>
        </w:tc>
        <w:tc>
          <w:tcPr>
            <w:tcW w:w="607" w:type="pct"/>
            <w:gridSpan w:val="2"/>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December 2002</w:t>
            </w:r>
            <w:r w:rsidR="004D263E" w:rsidRPr="004F5FC6">
              <w:rPr>
                <w:rStyle w:val="EndnoteReference"/>
                <w:rFonts w:ascii="Arial" w:hAnsi="Arial" w:cs="Arial"/>
                <w:sz w:val="20"/>
                <w:szCs w:val="20"/>
              </w:rPr>
              <w:endnoteReference w:id="1"/>
            </w:r>
          </w:p>
          <w:p w:rsidR="00AD6665" w:rsidRPr="00723911" w:rsidRDefault="00AD6665" w:rsidP="00B43DE9">
            <w:pPr>
              <w:pStyle w:val="06Tabletextspacebefore"/>
              <w:rPr>
                <w:rFonts w:ascii="Arial" w:hAnsi="Arial" w:cs="Arial"/>
                <w:sz w:val="20"/>
                <w:szCs w:val="20"/>
              </w:rPr>
            </w:pPr>
          </w:p>
          <w:p w:rsidR="00AD6665" w:rsidRPr="001E56D6" w:rsidRDefault="001E56D6" w:rsidP="00B43DE9">
            <w:pPr>
              <w:pStyle w:val="05Tabletext"/>
              <w:rPr>
                <w:rFonts w:ascii="Arial" w:hAnsi="Arial" w:cs="Arial"/>
                <w:sz w:val="20"/>
                <w:szCs w:val="20"/>
                <w:highlight w:val="black"/>
              </w:rPr>
            </w:pPr>
            <w:r>
              <w:rPr>
                <w:rFonts w:ascii="Arial" w:hAnsi="Arial" w:cs="Arial"/>
                <w:noProof/>
                <w:color w:val="000000"/>
                <w:sz w:val="20"/>
                <w:szCs w:val="20"/>
                <w:highlight w:val="black"/>
              </w:rPr>
              <w:t>''''''''''' '''''''''''''''''''</w:t>
            </w:r>
          </w:p>
        </w:tc>
        <w:tc>
          <w:tcPr>
            <w:tcW w:w="1415" w:type="pct"/>
            <w:gridSpan w:val="2"/>
            <w:shd w:val="clear" w:color="auto" w:fill="auto"/>
          </w:tcPr>
          <w:p w:rsidR="00AD6665" w:rsidRPr="001E56D6" w:rsidRDefault="001E56D6" w:rsidP="004D263E">
            <w:pPr>
              <w:pStyle w:val="05Tabletext"/>
              <w:rPr>
                <w:rFonts w:ascii="Arial" w:hAnsi="Arial" w:cs="Arial"/>
                <w:sz w:val="20"/>
                <w:szCs w:val="20"/>
                <w:highlight w:val="black"/>
              </w:rPr>
            </w:pPr>
            <w:r>
              <w:rPr>
                <w:rFonts w:ascii="Arial" w:hAnsi="Arial" w:cs="Arial"/>
                <w:noProof/>
                <w:color w:val="000000"/>
                <w:sz w:val="20"/>
                <w:szCs w:val="20"/>
                <w:highlight w:val="black"/>
              </w:rPr>
              <w:t>''''''''''' ''''''''' '''''''''''''''' '''''''''''''''''''''' ''''''''''''''''''''''' '''''''''''''' '''''''''''''' ''''''''''''''''''</w:t>
            </w:r>
          </w:p>
        </w:tc>
        <w:tc>
          <w:tcPr>
            <w:tcW w:w="1919" w:type="pct"/>
            <w:shd w:val="clear" w:color="auto" w:fill="auto"/>
          </w:tcPr>
          <w:p w:rsidR="00AD6665" w:rsidRPr="001E56D6" w:rsidRDefault="001E56D6" w:rsidP="001E56D6">
            <w:pPr>
              <w:pStyle w:val="07Tablebullet"/>
              <w:numPr>
                <w:ilvl w:val="0"/>
                <w:numId w:val="0"/>
              </w:numPr>
              <w:ind w:left="425" w:hanging="284"/>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AD6665" w:rsidRPr="001E56D6" w:rsidRDefault="001E56D6" w:rsidP="001E56D6">
            <w:pPr>
              <w:pStyle w:val="07Tablebullet"/>
              <w:numPr>
                <w:ilvl w:val="0"/>
                <w:numId w:val="0"/>
              </w:numPr>
              <w:ind w:left="425" w:hanging="284"/>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AD6665" w:rsidRPr="001E56D6" w:rsidRDefault="001E56D6" w:rsidP="001E56D6">
            <w:pPr>
              <w:pStyle w:val="07Tablebullet"/>
              <w:numPr>
                <w:ilvl w:val="0"/>
                <w:numId w:val="0"/>
              </w:numPr>
              <w:ind w:left="425" w:hanging="284"/>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AD6665" w:rsidRPr="001E56D6" w:rsidRDefault="001E56D6" w:rsidP="001E56D6">
            <w:pPr>
              <w:pStyle w:val="07Tablebullet"/>
              <w:numPr>
                <w:ilvl w:val="0"/>
                <w:numId w:val="0"/>
              </w:numPr>
              <w:ind w:left="425" w:hanging="284"/>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AD6665" w:rsidRPr="001E56D6" w:rsidRDefault="001E56D6" w:rsidP="001E56D6">
            <w:pPr>
              <w:pStyle w:val="07Tablebullet"/>
              <w:numPr>
                <w:ilvl w:val="0"/>
                <w:numId w:val="0"/>
              </w:numPr>
              <w:ind w:left="425" w:hanging="284"/>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AD6665" w:rsidRPr="001E56D6" w:rsidRDefault="001E56D6" w:rsidP="001E56D6">
            <w:pPr>
              <w:pStyle w:val="07Tablebullet"/>
              <w:numPr>
                <w:ilvl w:val="0"/>
                <w:numId w:val="0"/>
              </w:numPr>
              <w:ind w:left="425" w:hanging="284"/>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AD6665" w:rsidRPr="001E56D6" w:rsidRDefault="001E56D6" w:rsidP="001E56D6">
            <w:pPr>
              <w:pStyle w:val="07Tablebullet"/>
              <w:numPr>
                <w:ilvl w:val="0"/>
                <w:numId w:val="0"/>
              </w:numPr>
              <w:ind w:left="425" w:hanging="284"/>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p w:rsidR="00AD6665" w:rsidRPr="001E56D6" w:rsidRDefault="001E56D6" w:rsidP="001E56D6">
            <w:pPr>
              <w:pStyle w:val="07Tablebullet"/>
              <w:numPr>
                <w:ilvl w:val="0"/>
                <w:numId w:val="0"/>
              </w:numPr>
              <w:ind w:left="425" w:hanging="284"/>
              <w:rPr>
                <w:rFonts w:ascii="Arial" w:hAnsi="Arial" w:cs="Arial"/>
                <w:sz w:val="20"/>
                <w:szCs w:val="20"/>
                <w:highlight w:val="black"/>
              </w:rPr>
            </w:pP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r>
              <w:rPr>
                <w:rFonts w:ascii="Symbol" w:hAnsi="Symbol" w:cs="Arial"/>
                <w:noProof/>
                <w:color w:val="000000"/>
                <w:sz w:val="20"/>
                <w:szCs w:val="20"/>
                <w:highlight w:val="black"/>
              </w:rPr>
              <w:t></w:t>
            </w:r>
          </w:p>
        </w:tc>
      </w:tr>
      <w:tr w:rsidR="00AD6665" w:rsidRPr="008D4204" w:rsidTr="00761231">
        <w:tc>
          <w:tcPr>
            <w:tcW w:w="1059" w:type="pct"/>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Sitaxentan</w:t>
            </w:r>
          </w:p>
          <w:p w:rsidR="00AD6665" w:rsidRPr="00723911" w:rsidRDefault="00AD6665" w:rsidP="00B43DE9">
            <w:pPr>
              <w:pStyle w:val="05Tabletext"/>
              <w:rPr>
                <w:rFonts w:ascii="Arial" w:hAnsi="Arial" w:cs="Arial"/>
                <w:sz w:val="20"/>
                <w:szCs w:val="20"/>
              </w:rPr>
            </w:pPr>
            <w:r w:rsidRPr="00723911">
              <w:rPr>
                <w:rFonts w:ascii="Arial" w:hAnsi="Arial" w:cs="Arial"/>
                <w:sz w:val="20"/>
                <w:szCs w:val="20"/>
              </w:rPr>
              <w:t>(tablet 100 mg, Thelin</w:t>
            </w:r>
            <w:r w:rsidRPr="00051E89">
              <w:rPr>
                <w:rFonts w:ascii="Arial" w:hAnsi="Arial" w:cs="Arial"/>
                <w:sz w:val="20"/>
                <w:szCs w:val="20"/>
                <w:vertAlign w:val="superscript"/>
              </w:rPr>
              <w:t>®</w:t>
            </w:r>
            <w:r w:rsidRPr="00723911">
              <w:rPr>
                <w:rFonts w:ascii="Arial" w:hAnsi="Arial" w:cs="Arial"/>
                <w:sz w:val="20"/>
                <w:szCs w:val="20"/>
              </w:rPr>
              <w:t>)</w:t>
            </w:r>
          </w:p>
          <w:p w:rsidR="00AD6665" w:rsidRPr="00723911" w:rsidRDefault="00227614" w:rsidP="00227614">
            <w:pPr>
              <w:pStyle w:val="06Tabletextspacebefore"/>
              <w:rPr>
                <w:rFonts w:ascii="Arial" w:hAnsi="Arial" w:cs="Arial"/>
                <w:i/>
                <w:sz w:val="20"/>
                <w:szCs w:val="20"/>
              </w:rPr>
            </w:pPr>
            <w:r w:rsidRPr="00723911">
              <w:rPr>
                <w:rFonts w:ascii="Arial" w:hAnsi="Arial" w:cs="Arial"/>
                <w:sz w:val="20"/>
                <w:szCs w:val="20"/>
              </w:rPr>
              <w:t>*</w:t>
            </w:r>
            <w:r w:rsidR="00AD6665" w:rsidRPr="00723911">
              <w:rPr>
                <w:rFonts w:ascii="Arial" w:hAnsi="Arial" w:cs="Arial"/>
                <w:i/>
                <w:sz w:val="20"/>
                <w:szCs w:val="20"/>
              </w:rPr>
              <w:t>No longer PBS listed</w:t>
            </w:r>
            <w:r w:rsidRPr="00723911">
              <w:rPr>
                <w:rFonts w:ascii="Arial" w:hAnsi="Arial" w:cs="Arial"/>
                <w:i/>
                <w:sz w:val="20"/>
                <w:szCs w:val="20"/>
              </w:rPr>
              <w:t xml:space="preserve"> - delisted 31 </w:t>
            </w:r>
            <w:r w:rsidR="00AD6665" w:rsidRPr="00723911">
              <w:rPr>
                <w:rFonts w:ascii="Arial" w:hAnsi="Arial" w:cs="Arial"/>
                <w:i/>
                <w:sz w:val="20"/>
                <w:szCs w:val="20"/>
              </w:rPr>
              <w:t>March 2011</w:t>
            </w:r>
          </w:p>
        </w:tc>
        <w:tc>
          <w:tcPr>
            <w:tcW w:w="607" w:type="pct"/>
            <w:gridSpan w:val="2"/>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July 2007</w:t>
            </w:r>
            <w:r w:rsidR="004D263E" w:rsidRPr="00723911">
              <w:rPr>
                <w:rStyle w:val="EndnoteReference"/>
                <w:rFonts w:ascii="Arial" w:hAnsi="Arial" w:cs="Arial"/>
                <w:sz w:val="20"/>
                <w:szCs w:val="20"/>
              </w:rPr>
              <w:endnoteReference w:id="2"/>
            </w:r>
          </w:p>
        </w:tc>
        <w:tc>
          <w:tcPr>
            <w:tcW w:w="1415" w:type="pct"/>
            <w:gridSpan w:val="2"/>
            <w:shd w:val="clear" w:color="auto" w:fill="auto"/>
          </w:tcPr>
          <w:p w:rsidR="00552910" w:rsidRPr="005C198A" w:rsidRDefault="00552910" w:rsidP="00B43DE9">
            <w:pPr>
              <w:pStyle w:val="05Tabletext"/>
              <w:rPr>
                <w:rFonts w:ascii="Arial" w:hAnsi="Arial" w:cs="Arial"/>
                <w:sz w:val="20"/>
                <w:szCs w:val="20"/>
              </w:rPr>
            </w:pPr>
            <w:r w:rsidRPr="001E56D6">
              <w:rPr>
                <w:rFonts w:ascii="Arial" w:hAnsi="Arial" w:cs="Arial"/>
                <w:sz w:val="20"/>
                <w:szCs w:val="20"/>
              </w:rPr>
              <w:t>Public Summary Document (PSD) Sitaxentan July 2007</w:t>
            </w:r>
          </w:p>
          <w:p w:rsidR="00AD6665" w:rsidRPr="00723911" w:rsidRDefault="00AD6665" w:rsidP="00B43DE9">
            <w:pPr>
              <w:pStyle w:val="05Tabletext"/>
              <w:rPr>
                <w:rFonts w:ascii="Arial" w:hAnsi="Arial" w:cs="Arial"/>
                <w:sz w:val="20"/>
                <w:szCs w:val="20"/>
              </w:rPr>
            </w:pPr>
          </w:p>
        </w:tc>
        <w:tc>
          <w:tcPr>
            <w:tcW w:w="1919" w:type="pct"/>
            <w:shd w:val="clear" w:color="auto" w:fill="auto"/>
          </w:tcPr>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6MWD</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Adverse events</w:t>
            </w:r>
          </w:p>
        </w:tc>
      </w:tr>
      <w:tr w:rsidR="00AD6665" w:rsidRPr="008D4204" w:rsidTr="00761231">
        <w:tc>
          <w:tcPr>
            <w:tcW w:w="1059" w:type="pct"/>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Bosentan</w:t>
            </w:r>
          </w:p>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t>(tablets, 62.5 mg and 125 mg (base), Tracleer</w:t>
            </w:r>
            <w:r w:rsidRPr="00051E89">
              <w:rPr>
                <w:rFonts w:ascii="Arial" w:hAnsi="Arial" w:cs="Arial"/>
                <w:sz w:val="20"/>
                <w:szCs w:val="20"/>
                <w:vertAlign w:val="superscript"/>
              </w:rPr>
              <w:t>®</w:t>
            </w:r>
            <w:r w:rsidRPr="00723911">
              <w:rPr>
                <w:rFonts w:ascii="Arial" w:hAnsi="Arial" w:cs="Arial"/>
                <w:sz w:val="20"/>
                <w:szCs w:val="20"/>
              </w:rPr>
              <w:t>)</w:t>
            </w:r>
          </w:p>
        </w:tc>
        <w:tc>
          <w:tcPr>
            <w:tcW w:w="607" w:type="pct"/>
            <w:gridSpan w:val="2"/>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March 2008</w:t>
            </w:r>
            <w:r w:rsidR="004D263E" w:rsidRPr="00723911">
              <w:rPr>
                <w:rStyle w:val="EndnoteReference"/>
                <w:rFonts w:ascii="Arial" w:hAnsi="Arial" w:cs="Arial"/>
                <w:sz w:val="20"/>
                <w:szCs w:val="20"/>
              </w:rPr>
              <w:endnoteReference w:id="3"/>
            </w:r>
          </w:p>
        </w:tc>
        <w:tc>
          <w:tcPr>
            <w:tcW w:w="1415" w:type="pct"/>
            <w:gridSpan w:val="2"/>
            <w:shd w:val="clear" w:color="auto" w:fill="auto"/>
          </w:tcPr>
          <w:p w:rsidR="00552910" w:rsidRPr="005C198A" w:rsidRDefault="00552910" w:rsidP="00B43DE9">
            <w:pPr>
              <w:pStyle w:val="05Tabletext"/>
              <w:rPr>
                <w:rFonts w:ascii="Arial" w:hAnsi="Arial" w:cs="Arial"/>
                <w:sz w:val="20"/>
                <w:szCs w:val="20"/>
              </w:rPr>
            </w:pPr>
            <w:r w:rsidRPr="001E56D6">
              <w:rPr>
                <w:rFonts w:ascii="Arial" w:hAnsi="Arial" w:cs="Arial"/>
                <w:sz w:val="20"/>
                <w:szCs w:val="20"/>
              </w:rPr>
              <w:t>PSD</w:t>
            </w:r>
            <w:r w:rsidR="00B37295" w:rsidRPr="001E56D6">
              <w:rPr>
                <w:rFonts w:ascii="Arial" w:hAnsi="Arial" w:cs="Arial"/>
                <w:sz w:val="20"/>
                <w:szCs w:val="20"/>
              </w:rPr>
              <w:t xml:space="preserve"> Bosentan monohydrate March 2008</w:t>
            </w:r>
          </w:p>
          <w:p w:rsidR="00AD6665" w:rsidRPr="00723911" w:rsidRDefault="00AD6665" w:rsidP="00B43DE9">
            <w:pPr>
              <w:pStyle w:val="05Tabletext"/>
              <w:rPr>
                <w:rFonts w:ascii="Arial" w:hAnsi="Arial" w:cs="Arial"/>
                <w:sz w:val="20"/>
                <w:szCs w:val="20"/>
              </w:rPr>
            </w:pPr>
          </w:p>
        </w:tc>
        <w:tc>
          <w:tcPr>
            <w:tcW w:w="1919" w:type="pct"/>
            <w:shd w:val="clear" w:color="auto" w:fill="auto"/>
          </w:tcPr>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6MWD</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Indexed pulmonary vascular resistance</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Oxygen saturation</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WHO FC</w:t>
            </w:r>
          </w:p>
          <w:p w:rsidR="00AD6665" w:rsidRPr="00B61DAE" w:rsidRDefault="00AD6665" w:rsidP="00B61DAE">
            <w:pPr>
              <w:pStyle w:val="07Tablebullet"/>
              <w:ind w:left="425" w:hanging="284"/>
              <w:rPr>
                <w:rFonts w:ascii="Arial" w:hAnsi="Arial" w:cs="Arial"/>
                <w:sz w:val="20"/>
                <w:szCs w:val="20"/>
              </w:rPr>
            </w:pPr>
            <w:r w:rsidRPr="00723911">
              <w:rPr>
                <w:rFonts w:ascii="Arial" w:hAnsi="Arial" w:cs="Arial"/>
                <w:sz w:val="20"/>
                <w:szCs w:val="20"/>
              </w:rPr>
              <w:t>Haemodynamic parameters</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Adverse events</w:t>
            </w:r>
          </w:p>
        </w:tc>
      </w:tr>
      <w:tr w:rsidR="00AD6665" w:rsidRPr="008D4204" w:rsidTr="00761231">
        <w:tc>
          <w:tcPr>
            <w:tcW w:w="1059" w:type="pct"/>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Bosentan</w:t>
            </w:r>
          </w:p>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t>(tablets, 62.5 mg and 125 mg (base), Tracleer</w:t>
            </w:r>
            <w:r w:rsidRPr="00051E89">
              <w:rPr>
                <w:rFonts w:ascii="Arial" w:hAnsi="Arial" w:cs="Arial"/>
                <w:sz w:val="20"/>
                <w:szCs w:val="20"/>
                <w:vertAlign w:val="superscript"/>
              </w:rPr>
              <w:t>®</w:t>
            </w:r>
            <w:r w:rsidRPr="00723911">
              <w:rPr>
                <w:rFonts w:ascii="Arial" w:hAnsi="Arial" w:cs="Arial"/>
                <w:sz w:val="20"/>
                <w:szCs w:val="20"/>
              </w:rPr>
              <w:t>)</w:t>
            </w:r>
          </w:p>
        </w:tc>
        <w:tc>
          <w:tcPr>
            <w:tcW w:w="607" w:type="pct"/>
            <w:gridSpan w:val="2"/>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March 2009</w:t>
            </w:r>
            <w:r w:rsidR="004D263E" w:rsidRPr="004F5FC6">
              <w:rPr>
                <w:rStyle w:val="EndnoteReference"/>
                <w:rFonts w:ascii="Arial" w:hAnsi="Arial" w:cs="Arial"/>
                <w:sz w:val="20"/>
                <w:szCs w:val="20"/>
              </w:rPr>
              <w:endnoteReference w:id="4"/>
            </w:r>
            <w:r w:rsidRPr="00723911">
              <w:rPr>
                <w:rFonts w:ascii="Arial" w:hAnsi="Arial" w:cs="Arial"/>
                <w:sz w:val="20"/>
                <w:szCs w:val="20"/>
              </w:rPr>
              <w:t xml:space="preserve"> </w:t>
            </w:r>
          </w:p>
          <w:p w:rsidR="00AD6665" w:rsidRPr="00723911" w:rsidRDefault="00AD6665" w:rsidP="00B43DE9">
            <w:pPr>
              <w:pStyle w:val="05Tabletext"/>
              <w:rPr>
                <w:rFonts w:ascii="Arial" w:hAnsi="Arial" w:cs="Arial"/>
                <w:sz w:val="20"/>
                <w:szCs w:val="20"/>
              </w:rPr>
            </w:pPr>
          </w:p>
          <w:p w:rsidR="00AD6665" w:rsidRPr="001E56D6" w:rsidRDefault="001E56D6" w:rsidP="00B43DE9">
            <w:pPr>
              <w:pStyle w:val="05Tabletext"/>
              <w:rPr>
                <w:rFonts w:ascii="Arial" w:hAnsi="Arial" w:cs="Arial"/>
                <w:sz w:val="20"/>
                <w:szCs w:val="20"/>
                <w:highlight w:val="black"/>
              </w:rPr>
            </w:pPr>
            <w:r>
              <w:rPr>
                <w:rFonts w:ascii="Arial" w:hAnsi="Arial" w:cs="Arial"/>
                <w:noProof/>
                <w:color w:val="000000"/>
                <w:sz w:val="20"/>
                <w:szCs w:val="20"/>
                <w:highlight w:val="black"/>
              </w:rPr>
              <w:t xml:space="preserve">'''''''''''' ''''''''''''''''''' </w:t>
            </w:r>
          </w:p>
        </w:tc>
        <w:tc>
          <w:tcPr>
            <w:tcW w:w="1415" w:type="pct"/>
            <w:gridSpan w:val="2"/>
            <w:shd w:val="clear" w:color="auto" w:fill="auto"/>
          </w:tcPr>
          <w:p w:rsidR="00AD6665" w:rsidRPr="001E56D6" w:rsidRDefault="001E56D6" w:rsidP="00B43DE9">
            <w:pPr>
              <w:pStyle w:val="05Tabletext"/>
              <w:rPr>
                <w:rFonts w:ascii="Arial" w:hAnsi="Arial" w:cs="Arial"/>
                <w:sz w:val="20"/>
                <w:szCs w:val="20"/>
                <w:highlight w:val="black"/>
              </w:rPr>
            </w:pPr>
            <w:r>
              <w:rPr>
                <w:rFonts w:ascii="Arial" w:hAnsi="Arial" w:cs="Arial"/>
                <w:noProof/>
                <w:color w:val="000000"/>
                <w:sz w:val="20"/>
                <w:szCs w:val="20"/>
                <w:highlight w:val="black"/>
              </w:rPr>
              <w:t>''''''''''' '''''''''' '''''''''''''''' ''''''''''''''''''''' '''''''''''''''' '''''''''''''' '''''''''''''' ''''''''''''''''''</w:t>
            </w:r>
          </w:p>
        </w:tc>
        <w:tc>
          <w:tcPr>
            <w:tcW w:w="1919" w:type="pct"/>
            <w:shd w:val="clear" w:color="auto" w:fill="auto"/>
          </w:tcPr>
          <w:p w:rsidR="00AD6665" w:rsidRPr="00EF4481" w:rsidRDefault="001E56D6" w:rsidP="001E56D6">
            <w:pPr>
              <w:pStyle w:val="07Tablebullet"/>
              <w:numPr>
                <w:ilvl w:val="0"/>
                <w:numId w:val="0"/>
              </w:numPr>
              <w:ind w:left="425" w:hanging="284"/>
              <w:rPr>
                <w:rFonts w:ascii="Arial" w:hAnsi="Arial" w:cs="Arial"/>
                <w:sz w:val="16"/>
                <w:szCs w:val="16"/>
                <w:highlight w:val="black"/>
              </w:rPr>
            </w:pP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p>
          <w:p w:rsidR="00AD6665" w:rsidRPr="00EF4481" w:rsidRDefault="001E56D6" w:rsidP="001E56D6">
            <w:pPr>
              <w:pStyle w:val="07Tablebullet"/>
              <w:numPr>
                <w:ilvl w:val="0"/>
                <w:numId w:val="0"/>
              </w:numPr>
              <w:ind w:left="425" w:hanging="284"/>
              <w:rPr>
                <w:rFonts w:ascii="Arial" w:hAnsi="Arial" w:cs="Arial"/>
                <w:sz w:val="16"/>
                <w:szCs w:val="16"/>
                <w:highlight w:val="black"/>
              </w:rPr>
            </w:pP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p>
          <w:p w:rsidR="00AD6665" w:rsidRPr="00EF4481" w:rsidRDefault="001E56D6" w:rsidP="001E56D6">
            <w:pPr>
              <w:pStyle w:val="07Tablebullet"/>
              <w:numPr>
                <w:ilvl w:val="0"/>
                <w:numId w:val="0"/>
              </w:numPr>
              <w:ind w:left="425" w:hanging="284"/>
              <w:rPr>
                <w:rFonts w:ascii="Arial" w:hAnsi="Arial" w:cs="Arial"/>
                <w:sz w:val="16"/>
                <w:szCs w:val="16"/>
                <w:highlight w:val="black"/>
              </w:rPr>
            </w:pP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p>
          <w:p w:rsidR="00AD6665" w:rsidRPr="00EF4481" w:rsidRDefault="001E56D6" w:rsidP="00EF4481">
            <w:pPr>
              <w:pStyle w:val="07Tablebullet"/>
              <w:numPr>
                <w:ilvl w:val="0"/>
                <w:numId w:val="0"/>
              </w:numPr>
              <w:ind w:left="425" w:hanging="284"/>
              <w:rPr>
                <w:rFonts w:ascii="Arial" w:hAnsi="Arial" w:cs="Arial"/>
                <w:sz w:val="16"/>
                <w:szCs w:val="16"/>
                <w:highlight w:val="black"/>
              </w:rPr>
            </w:pP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p>
          <w:p w:rsidR="00AD6665" w:rsidRPr="00EF4481" w:rsidRDefault="001E56D6" w:rsidP="001E56D6">
            <w:pPr>
              <w:pStyle w:val="07Tablebullet"/>
              <w:numPr>
                <w:ilvl w:val="0"/>
                <w:numId w:val="0"/>
              </w:numPr>
              <w:ind w:left="845" w:hanging="425"/>
              <w:rPr>
                <w:rFonts w:ascii="Arial" w:hAnsi="Arial" w:cs="Arial"/>
                <w:sz w:val="16"/>
                <w:szCs w:val="16"/>
                <w:highlight w:val="black"/>
              </w:rPr>
            </w:pP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p>
          <w:p w:rsidR="00AD6665" w:rsidRPr="00EF4481" w:rsidRDefault="001E56D6" w:rsidP="001E56D6">
            <w:pPr>
              <w:pStyle w:val="07Tablebullet"/>
              <w:numPr>
                <w:ilvl w:val="0"/>
                <w:numId w:val="0"/>
              </w:numPr>
              <w:ind w:left="845" w:hanging="425"/>
              <w:rPr>
                <w:rFonts w:ascii="Arial" w:hAnsi="Arial" w:cs="Arial"/>
                <w:sz w:val="16"/>
                <w:szCs w:val="16"/>
                <w:highlight w:val="black"/>
              </w:rPr>
            </w:pP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p>
          <w:p w:rsidR="00AD6665" w:rsidRPr="00EF4481" w:rsidRDefault="001E56D6" w:rsidP="001E56D6">
            <w:pPr>
              <w:pStyle w:val="07Tablebullet"/>
              <w:numPr>
                <w:ilvl w:val="0"/>
                <w:numId w:val="0"/>
              </w:numPr>
              <w:ind w:left="845" w:hanging="425"/>
              <w:rPr>
                <w:rFonts w:ascii="Arial" w:hAnsi="Arial" w:cs="Arial"/>
                <w:sz w:val="16"/>
                <w:szCs w:val="16"/>
                <w:highlight w:val="black"/>
              </w:rPr>
            </w:pP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p>
          <w:p w:rsidR="00AD6665" w:rsidRPr="00EF4481" w:rsidRDefault="001E56D6" w:rsidP="001E56D6">
            <w:pPr>
              <w:pStyle w:val="07Tablebullet"/>
              <w:numPr>
                <w:ilvl w:val="0"/>
                <w:numId w:val="0"/>
              </w:numPr>
              <w:ind w:left="845" w:hanging="425"/>
              <w:rPr>
                <w:rFonts w:ascii="Arial" w:hAnsi="Arial" w:cs="Arial"/>
                <w:sz w:val="16"/>
                <w:szCs w:val="16"/>
                <w:highlight w:val="black"/>
              </w:rPr>
            </w:pP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r w:rsidRPr="00EF4481">
              <w:rPr>
                <w:rFonts w:ascii="Wingdings" w:hAnsi="Wingdings" w:cs="Arial"/>
                <w:noProof/>
                <w:color w:val="000000"/>
                <w:sz w:val="16"/>
                <w:szCs w:val="16"/>
                <w:highlight w:val="black"/>
              </w:rPr>
              <w:t></w:t>
            </w:r>
          </w:p>
          <w:p w:rsidR="00AD6665" w:rsidRPr="00EF4481" w:rsidRDefault="001E56D6" w:rsidP="001E56D6">
            <w:pPr>
              <w:pStyle w:val="07Tablebullet"/>
              <w:numPr>
                <w:ilvl w:val="0"/>
                <w:numId w:val="0"/>
              </w:numPr>
              <w:ind w:left="425" w:hanging="284"/>
              <w:rPr>
                <w:rFonts w:ascii="Arial" w:hAnsi="Arial" w:cs="Arial"/>
                <w:sz w:val="12"/>
                <w:szCs w:val="12"/>
                <w:highlight w:val="black"/>
              </w:rPr>
            </w:pP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r w:rsidRPr="00EF4481">
              <w:rPr>
                <w:rFonts w:ascii="Symbol" w:hAnsi="Symbol" w:cs="Arial"/>
                <w:noProof/>
                <w:color w:val="000000"/>
                <w:sz w:val="16"/>
                <w:szCs w:val="16"/>
                <w:highlight w:val="black"/>
              </w:rPr>
              <w:t></w:t>
            </w:r>
          </w:p>
        </w:tc>
      </w:tr>
      <w:tr w:rsidR="00AD6665" w:rsidRPr="008D4204" w:rsidTr="00761231">
        <w:tc>
          <w:tcPr>
            <w:tcW w:w="1059" w:type="pct"/>
            <w:shd w:val="clear" w:color="auto" w:fill="auto"/>
          </w:tcPr>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lastRenderedPageBreak/>
              <w:t>Ambrisentan (tablets, 5 mg and 10 mg, Volibris</w:t>
            </w:r>
            <w:r w:rsidRPr="00051E89">
              <w:rPr>
                <w:rFonts w:ascii="Arial" w:hAnsi="Arial" w:cs="Arial"/>
                <w:sz w:val="20"/>
                <w:szCs w:val="20"/>
                <w:vertAlign w:val="superscript"/>
              </w:rPr>
              <w:t>®</w:t>
            </w:r>
            <w:r w:rsidRPr="00723911">
              <w:rPr>
                <w:rFonts w:ascii="Arial" w:hAnsi="Arial" w:cs="Arial"/>
                <w:sz w:val="20"/>
                <w:szCs w:val="20"/>
              </w:rPr>
              <w:t>)</w:t>
            </w:r>
          </w:p>
        </w:tc>
        <w:tc>
          <w:tcPr>
            <w:tcW w:w="607" w:type="pct"/>
            <w:gridSpan w:val="2"/>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July 2009</w:t>
            </w:r>
            <w:r w:rsidRPr="00723911">
              <w:rPr>
                <w:rStyle w:val="EndnoteReference"/>
                <w:rFonts w:ascii="Arial" w:hAnsi="Arial" w:cs="Arial"/>
                <w:sz w:val="20"/>
                <w:szCs w:val="20"/>
              </w:rPr>
              <w:endnoteReference w:id="5"/>
            </w:r>
          </w:p>
        </w:tc>
        <w:tc>
          <w:tcPr>
            <w:tcW w:w="1415" w:type="pct"/>
            <w:gridSpan w:val="2"/>
            <w:shd w:val="clear" w:color="auto" w:fill="auto"/>
          </w:tcPr>
          <w:p w:rsidR="00B37295" w:rsidRPr="005C198A" w:rsidRDefault="00B37295" w:rsidP="00B43DE9">
            <w:pPr>
              <w:pStyle w:val="05Tabletext"/>
              <w:rPr>
                <w:rFonts w:ascii="Arial" w:hAnsi="Arial" w:cs="Arial"/>
                <w:sz w:val="20"/>
                <w:szCs w:val="20"/>
              </w:rPr>
            </w:pPr>
            <w:r w:rsidRPr="001E56D6">
              <w:rPr>
                <w:rFonts w:ascii="Arial" w:hAnsi="Arial" w:cs="Arial"/>
                <w:sz w:val="20"/>
                <w:szCs w:val="20"/>
              </w:rPr>
              <w:t>PSD Ambrisentan July 2009</w:t>
            </w:r>
          </w:p>
          <w:p w:rsidR="00AD6665" w:rsidRPr="00723911" w:rsidRDefault="00AD6665" w:rsidP="00B43DE9">
            <w:pPr>
              <w:pStyle w:val="05Tabletext"/>
              <w:rPr>
                <w:rFonts w:ascii="Arial" w:hAnsi="Arial" w:cs="Arial"/>
                <w:sz w:val="20"/>
                <w:szCs w:val="20"/>
              </w:rPr>
            </w:pPr>
          </w:p>
        </w:tc>
        <w:tc>
          <w:tcPr>
            <w:tcW w:w="1919" w:type="pct"/>
            <w:shd w:val="clear" w:color="auto" w:fill="auto"/>
          </w:tcPr>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 xml:space="preserve">6MWD </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 xml:space="preserve">Borg Dyspnoea Index </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 xml:space="preserve">WHO FC </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Clinical worsening</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Adverse events</w:t>
            </w:r>
          </w:p>
        </w:tc>
      </w:tr>
      <w:tr w:rsidR="00AD6665" w:rsidRPr="008D4204" w:rsidTr="00761231">
        <w:tc>
          <w:tcPr>
            <w:tcW w:w="1059" w:type="pct"/>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 xml:space="preserve">Macitentan </w:t>
            </w:r>
          </w:p>
          <w:p w:rsidR="00AD6665" w:rsidRPr="00723911" w:rsidRDefault="00AD6665" w:rsidP="00B43DE9">
            <w:pPr>
              <w:pStyle w:val="05Tabletext"/>
              <w:rPr>
                <w:rFonts w:ascii="Arial" w:hAnsi="Arial" w:cs="Arial"/>
                <w:sz w:val="20"/>
                <w:szCs w:val="20"/>
              </w:rPr>
            </w:pPr>
            <w:r w:rsidRPr="00723911">
              <w:rPr>
                <w:rFonts w:ascii="Arial" w:hAnsi="Arial" w:cs="Arial"/>
                <w:sz w:val="20"/>
                <w:szCs w:val="20"/>
              </w:rPr>
              <w:t>(tablet 10 mg, Opsumit</w:t>
            </w:r>
            <w:r w:rsidRPr="00051E89">
              <w:rPr>
                <w:rFonts w:ascii="Arial" w:hAnsi="Arial" w:cs="Arial"/>
                <w:sz w:val="20"/>
                <w:szCs w:val="20"/>
                <w:vertAlign w:val="superscript"/>
              </w:rPr>
              <w:t>®</w:t>
            </w:r>
            <w:r w:rsidRPr="00723911">
              <w:rPr>
                <w:rFonts w:ascii="Arial" w:hAnsi="Arial" w:cs="Arial"/>
                <w:sz w:val="20"/>
                <w:szCs w:val="20"/>
              </w:rPr>
              <w:t>)</w:t>
            </w:r>
          </w:p>
        </w:tc>
        <w:tc>
          <w:tcPr>
            <w:tcW w:w="607" w:type="pct"/>
            <w:gridSpan w:val="2"/>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March 2014</w:t>
            </w:r>
            <w:r w:rsidR="004D263E" w:rsidRPr="00723911">
              <w:rPr>
                <w:rStyle w:val="EndnoteReference"/>
                <w:rFonts w:ascii="Arial" w:hAnsi="Arial" w:cs="Arial"/>
                <w:sz w:val="20"/>
                <w:szCs w:val="20"/>
              </w:rPr>
              <w:endnoteReference w:id="6"/>
            </w:r>
          </w:p>
        </w:tc>
        <w:tc>
          <w:tcPr>
            <w:tcW w:w="1415" w:type="pct"/>
            <w:gridSpan w:val="2"/>
            <w:shd w:val="clear" w:color="auto" w:fill="auto"/>
          </w:tcPr>
          <w:p w:rsidR="00AD6665" w:rsidRPr="00723911" w:rsidRDefault="00B37295" w:rsidP="00B37295">
            <w:pPr>
              <w:pStyle w:val="05Tabletext"/>
              <w:rPr>
                <w:rFonts w:ascii="Arial" w:hAnsi="Arial" w:cs="Arial"/>
                <w:sz w:val="20"/>
                <w:szCs w:val="20"/>
              </w:rPr>
            </w:pPr>
            <w:r w:rsidRPr="001E56D6">
              <w:rPr>
                <w:rFonts w:ascii="Arial" w:hAnsi="Arial" w:cs="Arial"/>
                <w:sz w:val="20"/>
                <w:szCs w:val="20"/>
              </w:rPr>
              <w:t>PSD Macitentan March 2014</w:t>
            </w:r>
          </w:p>
        </w:tc>
        <w:tc>
          <w:tcPr>
            <w:tcW w:w="1919" w:type="pct"/>
            <w:shd w:val="clear" w:color="auto" w:fill="auto"/>
          </w:tcPr>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6MWD</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Composite endpoint of mortality/morbidity events</w:t>
            </w:r>
            <w:r w:rsidR="00D73298">
              <w:rPr>
                <w:rFonts w:ascii="Arial" w:hAnsi="Arial" w:cs="Arial"/>
                <w:sz w:val="20"/>
                <w:szCs w:val="20"/>
              </w:rPr>
              <w:t>:</w:t>
            </w:r>
            <w:r w:rsidRPr="00723911">
              <w:rPr>
                <w:rFonts w:ascii="Arial" w:hAnsi="Arial" w:cs="Arial"/>
                <w:sz w:val="20"/>
                <w:szCs w:val="20"/>
              </w:rPr>
              <w:t xml:space="preserve"> </w:t>
            </w:r>
          </w:p>
          <w:p w:rsidR="00AD6665" w:rsidRPr="00723911" w:rsidRDefault="00AD6665" w:rsidP="00D73298">
            <w:pPr>
              <w:pStyle w:val="07Tablebullet"/>
              <w:numPr>
                <w:ilvl w:val="0"/>
                <w:numId w:val="9"/>
              </w:numPr>
              <w:ind w:left="708" w:hanging="283"/>
              <w:rPr>
                <w:rFonts w:ascii="Arial" w:hAnsi="Arial" w:cs="Arial"/>
                <w:sz w:val="20"/>
                <w:szCs w:val="20"/>
              </w:rPr>
            </w:pPr>
            <w:r w:rsidRPr="00723911">
              <w:rPr>
                <w:rFonts w:ascii="Arial" w:hAnsi="Arial" w:cs="Arial"/>
                <w:sz w:val="20"/>
                <w:szCs w:val="20"/>
              </w:rPr>
              <w:t>prostanoid initiation</w:t>
            </w:r>
          </w:p>
          <w:p w:rsidR="00AD6665" w:rsidRPr="00723911" w:rsidRDefault="00AD6665" w:rsidP="00D73298">
            <w:pPr>
              <w:pStyle w:val="07Tablebullet"/>
              <w:numPr>
                <w:ilvl w:val="0"/>
                <w:numId w:val="9"/>
              </w:numPr>
              <w:ind w:left="708" w:hanging="283"/>
              <w:rPr>
                <w:rFonts w:ascii="Arial" w:hAnsi="Arial" w:cs="Arial"/>
                <w:sz w:val="20"/>
                <w:szCs w:val="20"/>
              </w:rPr>
            </w:pPr>
            <w:r w:rsidRPr="00723911">
              <w:rPr>
                <w:rFonts w:ascii="Arial" w:hAnsi="Arial" w:cs="Arial"/>
                <w:sz w:val="20"/>
                <w:szCs w:val="20"/>
              </w:rPr>
              <w:t>death</w:t>
            </w:r>
          </w:p>
          <w:p w:rsidR="00AD6665" w:rsidRPr="00723911" w:rsidRDefault="00AD6665" w:rsidP="00D73298">
            <w:pPr>
              <w:pStyle w:val="07Tablebullet"/>
              <w:numPr>
                <w:ilvl w:val="0"/>
                <w:numId w:val="9"/>
              </w:numPr>
              <w:ind w:left="708" w:hanging="283"/>
              <w:rPr>
                <w:rFonts w:ascii="Arial" w:hAnsi="Arial" w:cs="Arial"/>
                <w:sz w:val="20"/>
                <w:szCs w:val="20"/>
              </w:rPr>
            </w:pPr>
            <w:r w:rsidRPr="00723911">
              <w:rPr>
                <w:rFonts w:ascii="Arial" w:hAnsi="Arial" w:cs="Arial"/>
                <w:sz w:val="20"/>
                <w:szCs w:val="20"/>
              </w:rPr>
              <w:t>clinical worsening</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Adverse events</w:t>
            </w:r>
          </w:p>
        </w:tc>
      </w:tr>
      <w:tr w:rsidR="00AD6665" w:rsidRPr="008D4204" w:rsidTr="00761231">
        <w:tc>
          <w:tcPr>
            <w:tcW w:w="1059" w:type="pct"/>
            <w:shd w:val="clear" w:color="auto" w:fill="000000"/>
          </w:tcPr>
          <w:p w:rsidR="00AD6665" w:rsidRPr="00723911" w:rsidRDefault="00AD6665" w:rsidP="00B43DE9">
            <w:pPr>
              <w:pStyle w:val="04Tablesubheading"/>
              <w:rPr>
                <w:rFonts w:ascii="Arial" w:hAnsi="Arial" w:cs="Arial"/>
                <w:sz w:val="20"/>
                <w:szCs w:val="20"/>
              </w:rPr>
            </w:pPr>
            <w:r w:rsidRPr="00723911">
              <w:rPr>
                <w:rFonts w:ascii="Arial" w:hAnsi="Arial" w:cs="Arial"/>
                <w:sz w:val="20"/>
                <w:szCs w:val="20"/>
              </w:rPr>
              <w:t>PDE-5 inhibitors</w:t>
            </w:r>
          </w:p>
        </w:tc>
        <w:tc>
          <w:tcPr>
            <w:tcW w:w="607" w:type="pct"/>
            <w:gridSpan w:val="2"/>
            <w:shd w:val="clear" w:color="auto" w:fill="000000"/>
          </w:tcPr>
          <w:p w:rsidR="00AD6665" w:rsidRPr="00723911" w:rsidRDefault="00AD6665" w:rsidP="00B43DE9">
            <w:pPr>
              <w:pStyle w:val="04Tablesubheading"/>
              <w:rPr>
                <w:rFonts w:ascii="Arial" w:hAnsi="Arial" w:cs="Arial"/>
                <w:sz w:val="20"/>
                <w:szCs w:val="20"/>
              </w:rPr>
            </w:pPr>
          </w:p>
        </w:tc>
        <w:tc>
          <w:tcPr>
            <w:tcW w:w="1415" w:type="pct"/>
            <w:gridSpan w:val="2"/>
            <w:shd w:val="clear" w:color="auto" w:fill="000000"/>
          </w:tcPr>
          <w:p w:rsidR="00AD6665" w:rsidRPr="00723911" w:rsidRDefault="00AD6665" w:rsidP="00B43DE9">
            <w:pPr>
              <w:pStyle w:val="04Tablesubheading"/>
              <w:rPr>
                <w:rFonts w:ascii="Arial" w:hAnsi="Arial" w:cs="Arial"/>
                <w:b w:val="0"/>
                <w:sz w:val="20"/>
                <w:szCs w:val="20"/>
              </w:rPr>
            </w:pPr>
          </w:p>
        </w:tc>
        <w:tc>
          <w:tcPr>
            <w:tcW w:w="1919" w:type="pct"/>
            <w:shd w:val="clear" w:color="auto" w:fill="000000"/>
          </w:tcPr>
          <w:p w:rsidR="00AD6665" w:rsidRPr="00723911" w:rsidRDefault="00AD6665" w:rsidP="00B61DAE">
            <w:pPr>
              <w:pStyle w:val="04Tablesubheading"/>
              <w:ind w:left="283" w:hanging="142"/>
              <w:rPr>
                <w:rFonts w:ascii="Arial" w:hAnsi="Arial" w:cs="Arial"/>
                <w:sz w:val="20"/>
                <w:szCs w:val="20"/>
              </w:rPr>
            </w:pPr>
          </w:p>
        </w:tc>
      </w:tr>
      <w:tr w:rsidR="00AD6665" w:rsidRPr="008D4204" w:rsidTr="00761231">
        <w:trPr>
          <w:trHeight w:val="812"/>
        </w:trPr>
        <w:tc>
          <w:tcPr>
            <w:tcW w:w="1059" w:type="pct"/>
            <w:shd w:val="clear" w:color="auto" w:fill="auto"/>
          </w:tcPr>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t>Sildenafil citrate</w:t>
            </w:r>
          </w:p>
          <w:p w:rsidR="00AD6665" w:rsidRPr="00723911" w:rsidRDefault="00AD6665" w:rsidP="00971733">
            <w:pPr>
              <w:pStyle w:val="06Tabletextspacebefore"/>
              <w:rPr>
                <w:rFonts w:ascii="Arial" w:hAnsi="Arial" w:cs="Arial"/>
                <w:sz w:val="20"/>
                <w:szCs w:val="20"/>
              </w:rPr>
            </w:pPr>
            <w:r w:rsidRPr="00723911">
              <w:rPr>
                <w:rFonts w:ascii="Arial" w:hAnsi="Arial" w:cs="Arial"/>
                <w:sz w:val="20"/>
                <w:szCs w:val="20"/>
              </w:rPr>
              <w:t>(20 mg tablet, Revatio</w:t>
            </w:r>
            <w:r w:rsidRPr="00051E89">
              <w:rPr>
                <w:rFonts w:ascii="Arial" w:hAnsi="Arial" w:cs="Arial"/>
                <w:sz w:val="20"/>
                <w:szCs w:val="20"/>
                <w:vertAlign w:val="superscript"/>
              </w:rPr>
              <w:t>®</w:t>
            </w:r>
            <w:r w:rsidRPr="00723911">
              <w:rPr>
                <w:rFonts w:ascii="Arial" w:hAnsi="Arial" w:cs="Arial"/>
                <w:sz w:val="20"/>
                <w:szCs w:val="20"/>
              </w:rPr>
              <w:t>)</w:t>
            </w:r>
          </w:p>
        </w:tc>
        <w:tc>
          <w:tcPr>
            <w:tcW w:w="607" w:type="pct"/>
            <w:gridSpan w:val="2"/>
            <w:shd w:val="clear" w:color="auto" w:fill="auto"/>
          </w:tcPr>
          <w:p w:rsidR="00AD6665" w:rsidRPr="00723911" w:rsidRDefault="00AD6665" w:rsidP="00B43DE9">
            <w:pPr>
              <w:pStyle w:val="05Tabletext"/>
              <w:rPr>
                <w:rFonts w:ascii="Arial" w:hAnsi="Arial" w:cs="Arial"/>
                <w:sz w:val="20"/>
                <w:szCs w:val="20"/>
              </w:rPr>
            </w:pPr>
            <w:r w:rsidRPr="00723911">
              <w:rPr>
                <w:rFonts w:ascii="Arial" w:hAnsi="Arial" w:cs="Arial"/>
                <w:sz w:val="20"/>
                <w:szCs w:val="20"/>
              </w:rPr>
              <w:t>November 2006</w:t>
            </w:r>
            <w:r w:rsidR="004D263E" w:rsidRPr="00723911">
              <w:rPr>
                <w:rStyle w:val="EndnoteReference"/>
                <w:rFonts w:ascii="Arial" w:hAnsi="Arial" w:cs="Arial"/>
                <w:sz w:val="20"/>
                <w:szCs w:val="20"/>
              </w:rPr>
              <w:endnoteReference w:id="7"/>
            </w:r>
          </w:p>
        </w:tc>
        <w:tc>
          <w:tcPr>
            <w:tcW w:w="1415" w:type="pct"/>
            <w:gridSpan w:val="2"/>
            <w:shd w:val="clear" w:color="auto" w:fill="auto"/>
          </w:tcPr>
          <w:p w:rsidR="00AD6665" w:rsidRPr="00723911" w:rsidRDefault="00B37295" w:rsidP="00B37295">
            <w:pPr>
              <w:pStyle w:val="05Tabletext"/>
              <w:rPr>
                <w:rFonts w:ascii="Arial" w:hAnsi="Arial" w:cs="Arial"/>
                <w:sz w:val="20"/>
                <w:szCs w:val="20"/>
              </w:rPr>
            </w:pPr>
            <w:r w:rsidRPr="001E56D6">
              <w:rPr>
                <w:rFonts w:ascii="Arial" w:hAnsi="Arial" w:cs="Arial"/>
                <w:sz w:val="20"/>
                <w:szCs w:val="20"/>
              </w:rPr>
              <w:t>PSD Sildenafil Citrate November 2006</w:t>
            </w:r>
            <w:r>
              <w:rPr>
                <w:rFonts w:ascii="Arial" w:hAnsi="Arial" w:cs="Arial"/>
                <w:sz w:val="20"/>
                <w:szCs w:val="20"/>
              </w:rPr>
              <w:t xml:space="preserve"> </w:t>
            </w:r>
          </w:p>
        </w:tc>
        <w:tc>
          <w:tcPr>
            <w:tcW w:w="1919" w:type="pct"/>
            <w:shd w:val="clear" w:color="auto" w:fill="auto"/>
          </w:tcPr>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6MWD</w:t>
            </w:r>
          </w:p>
          <w:p w:rsidR="00AD6665" w:rsidRPr="00723911" w:rsidRDefault="00AD6665" w:rsidP="00B61DAE">
            <w:pPr>
              <w:pStyle w:val="07Tablebullet"/>
              <w:ind w:left="425" w:hanging="284"/>
              <w:rPr>
                <w:rFonts w:ascii="Arial" w:hAnsi="Arial" w:cs="Arial"/>
                <w:b/>
                <w:sz w:val="20"/>
                <w:szCs w:val="20"/>
              </w:rPr>
            </w:pPr>
            <w:r w:rsidRPr="00723911">
              <w:rPr>
                <w:rFonts w:ascii="Arial" w:hAnsi="Arial" w:cs="Arial"/>
                <w:sz w:val="20"/>
                <w:szCs w:val="20"/>
              </w:rPr>
              <w:t>Adverse events</w:t>
            </w:r>
          </w:p>
        </w:tc>
      </w:tr>
      <w:tr w:rsidR="00AD6665" w:rsidRPr="008D4204" w:rsidTr="00761231">
        <w:tc>
          <w:tcPr>
            <w:tcW w:w="1059" w:type="pct"/>
            <w:tcBorders>
              <w:bottom w:val="single" w:sz="4" w:space="0" w:color="auto"/>
            </w:tcBorders>
            <w:shd w:val="clear" w:color="auto" w:fill="auto"/>
          </w:tcPr>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t>Tadalafil</w:t>
            </w:r>
          </w:p>
          <w:p w:rsidR="00AD6665" w:rsidRPr="00723911" w:rsidRDefault="00AD6665" w:rsidP="00971733">
            <w:pPr>
              <w:pStyle w:val="06Tabletextspacebefore"/>
              <w:rPr>
                <w:rFonts w:ascii="Arial" w:hAnsi="Arial" w:cs="Arial"/>
                <w:sz w:val="20"/>
                <w:szCs w:val="20"/>
              </w:rPr>
            </w:pPr>
            <w:r w:rsidRPr="00723911">
              <w:rPr>
                <w:rFonts w:ascii="Arial" w:hAnsi="Arial" w:cs="Arial"/>
                <w:sz w:val="20"/>
                <w:szCs w:val="20"/>
              </w:rPr>
              <w:t>(20 mg tablet, Adcirca</w:t>
            </w:r>
            <w:r w:rsidRPr="00051E89">
              <w:rPr>
                <w:rFonts w:ascii="Arial" w:hAnsi="Arial" w:cs="Arial"/>
                <w:sz w:val="20"/>
                <w:szCs w:val="20"/>
                <w:vertAlign w:val="superscript"/>
              </w:rPr>
              <w:t>®</w:t>
            </w:r>
            <w:r w:rsidRPr="00723911">
              <w:rPr>
                <w:rFonts w:ascii="Arial" w:hAnsi="Arial" w:cs="Arial"/>
                <w:sz w:val="20"/>
                <w:szCs w:val="20"/>
              </w:rPr>
              <w:t>)</w:t>
            </w:r>
          </w:p>
        </w:tc>
        <w:tc>
          <w:tcPr>
            <w:tcW w:w="607" w:type="pct"/>
            <w:gridSpan w:val="2"/>
            <w:tcBorders>
              <w:bottom w:val="single" w:sz="4" w:space="0" w:color="auto"/>
            </w:tcBorders>
            <w:shd w:val="clear" w:color="auto" w:fill="auto"/>
          </w:tcPr>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t>November 2011</w:t>
            </w:r>
            <w:r w:rsidR="004D263E" w:rsidRPr="00723911">
              <w:rPr>
                <w:rStyle w:val="EndnoteReference"/>
                <w:rFonts w:ascii="Arial" w:hAnsi="Arial" w:cs="Arial"/>
                <w:sz w:val="20"/>
                <w:szCs w:val="20"/>
              </w:rPr>
              <w:endnoteReference w:id="8"/>
            </w:r>
          </w:p>
        </w:tc>
        <w:tc>
          <w:tcPr>
            <w:tcW w:w="1415" w:type="pct"/>
            <w:gridSpan w:val="2"/>
            <w:tcBorders>
              <w:bottom w:val="single" w:sz="4" w:space="0" w:color="auto"/>
            </w:tcBorders>
            <w:shd w:val="clear" w:color="auto" w:fill="auto"/>
          </w:tcPr>
          <w:p w:rsidR="00AD6665" w:rsidRPr="00723911" w:rsidRDefault="00B37295" w:rsidP="00B37295">
            <w:pPr>
              <w:pStyle w:val="06Tabletextspacebefore"/>
              <w:rPr>
                <w:rFonts w:ascii="Arial" w:hAnsi="Arial" w:cs="Arial"/>
                <w:sz w:val="20"/>
                <w:szCs w:val="20"/>
              </w:rPr>
            </w:pPr>
            <w:r w:rsidRPr="001E56D6">
              <w:rPr>
                <w:rFonts w:ascii="Arial" w:hAnsi="Arial" w:cs="Arial"/>
                <w:sz w:val="20"/>
                <w:szCs w:val="20"/>
              </w:rPr>
              <w:t>PSD Tadalafil November 2011</w:t>
            </w:r>
            <w:r>
              <w:rPr>
                <w:rFonts w:ascii="Arial" w:hAnsi="Arial" w:cs="Arial"/>
                <w:sz w:val="20"/>
                <w:szCs w:val="20"/>
              </w:rPr>
              <w:t xml:space="preserve"> </w:t>
            </w:r>
          </w:p>
        </w:tc>
        <w:tc>
          <w:tcPr>
            <w:tcW w:w="1919" w:type="pct"/>
            <w:tcBorders>
              <w:bottom w:val="single" w:sz="4" w:space="0" w:color="auto"/>
            </w:tcBorders>
            <w:shd w:val="clear" w:color="auto" w:fill="auto"/>
          </w:tcPr>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6MWD</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WHO FC</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Clinical worsening</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Haemodynamic parameters</w:t>
            </w:r>
          </w:p>
          <w:p w:rsidR="00AD6665" w:rsidRPr="00723911" w:rsidRDefault="00AD6665" w:rsidP="00B61DAE">
            <w:pPr>
              <w:pStyle w:val="07Tablebullet"/>
              <w:ind w:left="425" w:hanging="284"/>
              <w:rPr>
                <w:rFonts w:ascii="Arial" w:hAnsi="Arial" w:cs="Arial"/>
                <w:sz w:val="20"/>
                <w:szCs w:val="20"/>
              </w:rPr>
            </w:pPr>
            <w:r w:rsidRPr="00723911">
              <w:rPr>
                <w:rFonts w:ascii="Arial" w:hAnsi="Arial" w:cs="Arial"/>
                <w:sz w:val="20"/>
                <w:szCs w:val="20"/>
              </w:rPr>
              <w:t>Adverse events</w:t>
            </w:r>
          </w:p>
        </w:tc>
      </w:tr>
      <w:tr w:rsidR="00AD6665" w:rsidRPr="007519FD" w:rsidTr="00761231">
        <w:tc>
          <w:tcPr>
            <w:tcW w:w="1059" w:type="pct"/>
            <w:shd w:val="clear" w:color="auto" w:fill="000000"/>
          </w:tcPr>
          <w:p w:rsidR="00AD6665" w:rsidRPr="00140616" w:rsidRDefault="00AD6665" w:rsidP="00B43DE9">
            <w:pPr>
              <w:pStyle w:val="04Tablesubheading"/>
              <w:rPr>
                <w:rFonts w:ascii="Arial" w:hAnsi="Arial" w:cs="Arial"/>
                <w:sz w:val="20"/>
                <w:szCs w:val="20"/>
              </w:rPr>
            </w:pPr>
            <w:r w:rsidRPr="00140616">
              <w:rPr>
                <w:rFonts w:ascii="Arial" w:hAnsi="Arial" w:cs="Arial"/>
                <w:sz w:val="20"/>
                <w:szCs w:val="20"/>
              </w:rPr>
              <w:t>Prostacyclins</w:t>
            </w:r>
          </w:p>
        </w:tc>
        <w:tc>
          <w:tcPr>
            <w:tcW w:w="607" w:type="pct"/>
            <w:gridSpan w:val="2"/>
            <w:shd w:val="clear" w:color="auto" w:fill="000000"/>
          </w:tcPr>
          <w:p w:rsidR="00AD6665" w:rsidRPr="007519FD" w:rsidRDefault="00AD6665" w:rsidP="00B43DE9">
            <w:pPr>
              <w:pStyle w:val="04Tablesubheading"/>
              <w:rPr>
                <w:rFonts w:ascii="Calibri" w:hAnsi="Calibri" w:cs="Arial"/>
                <w:sz w:val="20"/>
                <w:szCs w:val="20"/>
              </w:rPr>
            </w:pPr>
          </w:p>
        </w:tc>
        <w:tc>
          <w:tcPr>
            <w:tcW w:w="1415" w:type="pct"/>
            <w:gridSpan w:val="2"/>
            <w:shd w:val="clear" w:color="auto" w:fill="000000"/>
          </w:tcPr>
          <w:p w:rsidR="00AD6665" w:rsidRPr="007519FD" w:rsidRDefault="00AD6665" w:rsidP="00B43DE9">
            <w:pPr>
              <w:pStyle w:val="04Tablesubheading"/>
              <w:rPr>
                <w:rFonts w:ascii="Calibri" w:hAnsi="Calibri" w:cs="Arial"/>
                <w:b w:val="0"/>
                <w:sz w:val="20"/>
                <w:szCs w:val="20"/>
              </w:rPr>
            </w:pPr>
          </w:p>
        </w:tc>
        <w:tc>
          <w:tcPr>
            <w:tcW w:w="1919" w:type="pct"/>
            <w:shd w:val="clear" w:color="auto" w:fill="000000"/>
          </w:tcPr>
          <w:p w:rsidR="00AD6665" w:rsidRPr="007519FD" w:rsidRDefault="00AD6665" w:rsidP="00B61DAE">
            <w:pPr>
              <w:pStyle w:val="04Tablesubheading"/>
              <w:ind w:left="283" w:hanging="142"/>
              <w:rPr>
                <w:rFonts w:ascii="Calibri" w:hAnsi="Calibri" w:cs="Arial"/>
                <w:sz w:val="20"/>
                <w:szCs w:val="20"/>
              </w:rPr>
            </w:pPr>
          </w:p>
        </w:tc>
      </w:tr>
      <w:tr w:rsidR="00AD6665" w:rsidRPr="007519FD" w:rsidTr="00761231">
        <w:trPr>
          <w:trHeight w:val="1275"/>
        </w:trPr>
        <w:tc>
          <w:tcPr>
            <w:tcW w:w="1059" w:type="pct"/>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Iloprost</w:t>
            </w:r>
          </w:p>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(nebuliser solution, 10 mcg in 1 mL, 2 mL ampoule, Ventavis</w:t>
            </w:r>
            <w:r w:rsidRPr="00140616">
              <w:rPr>
                <w:rFonts w:ascii="Arial" w:hAnsi="Arial" w:cs="Arial"/>
                <w:sz w:val="20"/>
                <w:szCs w:val="20"/>
                <w:vertAlign w:val="superscript"/>
              </w:rPr>
              <w:t>®</w:t>
            </w:r>
            <w:r w:rsidRPr="00140616">
              <w:rPr>
                <w:rFonts w:ascii="Arial" w:hAnsi="Arial" w:cs="Arial"/>
                <w:sz w:val="20"/>
                <w:szCs w:val="20"/>
              </w:rPr>
              <w:t>)</w:t>
            </w:r>
          </w:p>
        </w:tc>
        <w:tc>
          <w:tcPr>
            <w:tcW w:w="607" w:type="pct"/>
            <w:gridSpan w:val="2"/>
            <w:shd w:val="clear" w:color="auto" w:fill="auto"/>
          </w:tcPr>
          <w:p w:rsidR="00AD6665" w:rsidRPr="00140616" w:rsidRDefault="00AD6665" w:rsidP="00B43DE9">
            <w:pPr>
              <w:pStyle w:val="05Tabletext"/>
              <w:rPr>
                <w:rFonts w:ascii="Arial" w:hAnsi="Arial" w:cs="Arial"/>
                <w:sz w:val="20"/>
                <w:szCs w:val="20"/>
              </w:rPr>
            </w:pPr>
            <w:r w:rsidRPr="00140616">
              <w:rPr>
                <w:rFonts w:ascii="Arial" w:hAnsi="Arial" w:cs="Arial"/>
                <w:sz w:val="20"/>
                <w:szCs w:val="20"/>
              </w:rPr>
              <w:t>November 2004</w:t>
            </w:r>
            <w:r w:rsidR="004D263E" w:rsidRPr="00140616">
              <w:rPr>
                <w:rStyle w:val="EndnoteReference"/>
                <w:rFonts w:ascii="Arial" w:hAnsi="Arial" w:cs="Arial"/>
                <w:sz w:val="20"/>
                <w:szCs w:val="20"/>
              </w:rPr>
              <w:endnoteReference w:id="9"/>
            </w:r>
          </w:p>
          <w:p w:rsidR="00AD6665" w:rsidRPr="00140616" w:rsidRDefault="00AD6665" w:rsidP="00B43DE9">
            <w:pPr>
              <w:pStyle w:val="05Tabletext"/>
              <w:rPr>
                <w:rFonts w:ascii="Arial" w:hAnsi="Arial" w:cs="Arial"/>
                <w:sz w:val="20"/>
                <w:szCs w:val="20"/>
              </w:rPr>
            </w:pPr>
          </w:p>
          <w:p w:rsidR="00AD6665" w:rsidRPr="00140616" w:rsidRDefault="001E56D6" w:rsidP="00B43DE9">
            <w:pPr>
              <w:pStyle w:val="06Tabletextspacebefore"/>
              <w:rPr>
                <w:rFonts w:ascii="Arial" w:hAnsi="Arial" w:cs="Arial"/>
                <w:sz w:val="20"/>
                <w:szCs w:val="20"/>
                <w:highlight w:val="black"/>
              </w:rPr>
            </w:pPr>
            <w:r w:rsidRPr="00140616">
              <w:rPr>
                <w:rFonts w:ascii="Arial" w:hAnsi="Arial" w:cs="Arial"/>
                <w:noProof/>
                <w:color w:val="000000"/>
                <w:sz w:val="20"/>
                <w:szCs w:val="20"/>
                <w:highlight w:val="black"/>
              </w:rPr>
              <w:t>''''''''''' '''''''''''''''''''</w:t>
            </w:r>
            <w:r w:rsidR="00AD6665" w:rsidRPr="00140616">
              <w:rPr>
                <w:rFonts w:ascii="Arial" w:hAnsi="Arial" w:cs="Arial"/>
                <w:sz w:val="20"/>
                <w:szCs w:val="20"/>
                <w:highlight w:val="black"/>
              </w:rPr>
              <w:t xml:space="preserve"> </w:t>
            </w:r>
          </w:p>
        </w:tc>
        <w:tc>
          <w:tcPr>
            <w:tcW w:w="1415" w:type="pct"/>
            <w:gridSpan w:val="2"/>
            <w:shd w:val="clear" w:color="auto" w:fill="auto"/>
          </w:tcPr>
          <w:p w:rsidR="00AD6665" w:rsidRPr="007519FD" w:rsidRDefault="001E56D6" w:rsidP="00B43DE9">
            <w:pPr>
              <w:pStyle w:val="06Tabletextspacebefore"/>
              <w:rPr>
                <w:rFonts w:ascii="Calibri" w:hAnsi="Calibri" w:cs="Arial"/>
                <w:sz w:val="20"/>
                <w:szCs w:val="20"/>
                <w:highlight w:val="black"/>
              </w:rPr>
            </w:pPr>
            <w:r w:rsidRPr="007519FD">
              <w:rPr>
                <w:rFonts w:ascii="Calibri" w:hAnsi="Calibri" w:cs="Arial"/>
                <w:noProof/>
                <w:color w:val="000000"/>
                <w:sz w:val="20"/>
                <w:szCs w:val="20"/>
                <w:highlight w:val="black"/>
              </w:rPr>
              <w:t>''''''''''' ''''''''' '''''''''''''''''' ''''''''''''''''''' '''''''''''''''''''''''' '''''''''''' '''''''''''''''' '''''''''''''''''''''</w:t>
            </w:r>
          </w:p>
        </w:tc>
        <w:tc>
          <w:tcPr>
            <w:tcW w:w="1919" w:type="pct"/>
            <w:shd w:val="clear" w:color="auto" w:fill="auto"/>
          </w:tcPr>
          <w:p w:rsidR="00AD6665" w:rsidRPr="007519FD" w:rsidRDefault="001E56D6" w:rsidP="001E56D6">
            <w:pPr>
              <w:pStyle w:val="07Tablebullet"/>
              <w:numPr>
                <w:ilvl w:val="0"/>
                <w:numId w:val="0"/>
              </w:numPr>
              <w:ind w:left="425" w:hanging="284"/>
              <w:rPr>
                <w:rFonts w:ascii="Calibri" w:hAnsi="Calibri" w:cs="Arial"/>
                <w:sz w:val="20"/>
                <w:szCs w:val="20"/>
                <w:highlight w:val="black"/>
              </w:rPr>
            </w:pP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r w:rsidRPr="007519FD">
              <w:rPr>
                <w:rFonts w:ascii="Calibri" w:hAnsi="Calibri" w:cs="Arial"/>
                <w:noProof/>
                <w:color w:val="000000"/>
                <w:sz w:val="20"/>
                <w:szCs w:val="20"/>
                <w:highlight w:val="black"/>
              </w:rPr>
              <w:t></w:t>
            </w:r>
          </w:p>
        </w:tc>
      </w:tr>
      <w:tr w:rsidR="00AD6665" w:rsidRPr="007519FD" w:rsidTr="00761231">
        <w:trPr>
          <w:trHeight w:val="1275"/>
        </w:trPr>
        <w:tc>
          <w:tcPr>
            <w:tcW w:w="1059" w:type="pct"/>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Epoprostenol Sodium</w:t>
            </w:r>
          </w:p>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 xml:space="preserve">(inj set containing 1 vial powder for I.V. infusion 500 mcg and 1 vial diluent 50 mL, inj set containing 1 vial powder for I.V. </w:t>
            </w:r>
            <w:r w:rsidRPr="00140616">
              <w:rPr>
                <w:rFonts w:ascii="Arial" w:hAnsi="Arial" w:cs="Arial"/>
                <w:sz w:val="20"/>
                <w:szCs w:val="20"/>
              </w:rPr>
              <w:lastRenderedPageBreak/>
              <w:t>infusion 1.5 mg and 2 vials diluent 50 mL, Flolan</w:t>
            </w:r>
            <w:r w:rsidRPr="00140616">
              <w:rPr>
                <w:rFonts w:ascii="Arial" w:hAnsi="Arial" w:cs="Arial"/>
                <w:sz w:val="20"/>
                <w:szCs w:val="20"/>
                <w:vertAlign w:val="superscript"/>
              </w:rPr>
              <w:t>®</w:t>
            </w:r>
            <w:r w:rsidRPr="00140616">
              <w:rPr>
                <w:rFonts w:ascii="Arial" w:hAnsi="Arial" w:cs="Arial"/>
                <w:sz w:val="20"/>
                <w:szCs w:val="20"/>
              </w:rPr>
              <w:t>)</w:t>
            </w:r>
          </w:p>
        </w:tc>
        <w:tc>
          <w:tcPr>
            <w:tcW w:w="607" w:type="pct"/>
            <w:gridSpan w:val="2"/>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lastRenderedPageBreak/>
              <w:t>March 2006</w:t>
            </w:r>
            <w:r w:rsidR="004D263E" w:rsidRPr="00140616">
              <w:rPr>
                <w:rStyle w:val="EndnoteReference"/>
                <w:rFonts w:ascii="Arial" w:hAnsi="Arial" w:cs="Arial"/>
                <w:sz w:val="20"/>
                <w:szCs w:val="20"/>
              </w:rPr>
              <w:endnoteReference w:id="10"/>
            </w:r>
          </w:p>
        </w:tc>
        <w:tc>
          <w:tcPr>
            <w:tcW w:w="1415" w:type="pct"/>
            <w:gridSpan w:val="2"/>
            <w:shd w:val="clear" w:color="auto" w:fill="auto"/>
          </w:tcPr>
          <w:p w:rsidR="00AD6665" w:rsidRPr="00140616" w:rsidRDefault="00B37295" w:rsidP="00462CF6">
            <w:pPr>
              <w:pStyle w:val="06Tabletextspacebefore"/>
              <w:rPr>
                <w:rFonts w:ascii="Arial" w:hAnsi="Arial" w:cs="Arial"/>
                <w:sz w:val="20"/>
                <w:szCs w:val="20"/>
              </w:rPr>
            </w:pPr>
            <w:r w:rsidRPr="00140616">
              <w:rPr>
                <w:rFonts w:ascii="Arial" w:hAnsi="Arial" w:cs="Arial"/>
                <w:sz w:val="20"/>
                <w:szCs w:val="20"/>
              </w:rPr>
              <w:t>PSD Epoprostenol March 2006</w:t>
            </w:r>
            <w:r w:rsidRPr="00140616">
              <w:rPr>
                <w:rFonts w:ascii="Arial" w:hAnsi="Arial" w:cs="Arial"/>
              </w:rPr>
              <w:t xml:space="preserve"> </w:t>
            </w:r>
          </w:p>
        </w:tc>
        <w:tc>
          <w:tcPr>
            <w:tcW w:w="1919" w:type="pct"/>
            <w:shd w:val="clear" w:color="auto" w:fill="auto"/>
          </w:tcPr>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6MWD</w:t>
            </w:r>
          </w:p>
          <w:p w:rsidR="00AD6665" w:rsidRPr="00140616" w:rsidRDefault="00AD6665" w:rsidP="00B61DAE">
            <w:pPr>
              <w:pStyle w:val="07Tablebullet"/>
              <w:numPr>
                <w:ilvl w:val="0"/>
                <w:numId w:val="0"/>
              </w:numPr>
              <w:ind w:left="283" w:hanging="142"/>
              <w:rPr>
                <w:rFonts w:ascii="Arial" w:hAnsi="Arial" w:cs="Arial"/>
                <w:sz w:val="20"/>
                <w:szCs w:val="20"/>
              </w:rPr>
            </w:pPr>
          </w:p>
        </w:tc>
      </w:tr>
      <w:tr w:rsidR="00AD6665" w:rsidRPr="007519FD" w:rsidTr="00761231">
        <w:trPr>
          <w:trHeight w:val="1275"/>
        </w:trPr>
        <w:tc>
          <w:tcPr>
            <w:tcW w:w="1059" w:type="pct"/>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Epoprostenol sodium</w:t>
            </w:r>
          </w:p>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(500 mcg powder for I.V. infusion, (base) with diluent, 1.5 mg powder for I.V infusion (base) with diluent, Flolan</w:t>
            </w:r>
            <w:r w:rsidRPr="00140616">
              <w:rPr>
                <w:rFonts w:ascii="Arial" w:hAnsi="Arial" w:cs="Arial"/>
                <w:sz w:val="20"/>
                <w:szCs w:val="20"/>
                <w:vertAlign w:val="superscript"/>
              </w:rPr>
              <w:t>®</w:t>
            </w:r>
            <w:r w:rsidRPr="00140616">
              <w:rPr>
                <w:rFonts w:ascii="Arial" w:hAnsi="Arial" w:cs="Arial"/>
                <w:sz w:val="20"/>
                <w:szCs w:val="20"/>
              </w:rPr>
              <w:t>)</w:t>
            </w:r>
          </w:p>
        </w:tc>
        <w:tc>
          <w:tcPr>
            <w:tcW w:w="607" w:type="pct"/>
            <w:gridSpan w:val="2"/>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November 2011</w:t>
            </w:r>
            <w:r w:rsidR="004D263E" w:rsidRPr="00140616">
              <w:rPr>
                <w:rStyle w:val="EndnoteReference"/>
                <w:rFonts w:ascii="Arial" w:hAnsi="Arial" w:cs="Arial"/>
                <w:sz w:val="20"/>
                <w:szCs w:val="20"/>
              </w:rPr>
              <w:endnoteReference w:id="11"/>
            </w:r>
          </w:p>
        </w:tc>
        <w:tc>
          <w:tcPr>
            <w:tcW w:w="1415" w:type="pct"/>
            <w:gridSpan w:val="2"/>
            <w:shd w:val="clear" w:color="auto" w:fill="auto"/>
          </w:tcPr>
          <w:p w:rsidR="00AD6665" w:rsidRPr="00140616" w:rsidRDefault="00B37295" w:rsidP="00462CF6">
            <w:pPr>
              <w:pStyle w:val="06Tabletextspacebefore"/>
              <w:rPr>
                <w:rFonts w:ascii="Arial" w:hAnsi="Arial" w:cs="Arial"/>
                <w:sz w:val="20"/>
                <w:szCs w:val="20"/>
              </w:rPr>
            </w:pPr>
            <w:r w:rsidRPr="00140616">
              <w:rPr>
                <w:rFonts w:ascii="Arial" w:hAnsi="Arial" w:cs="Arial"/>
                <w:sz w:val="20"/>
                <w:szCs w:val="20"/>
              </w:rPr>
              <w:t xml:space="preserve">PSD Epoprostenol November 2011 </w:t>
            </w:r>
          </w:p>
        </w:tc>
        <w:tc>
          <w:tcPr>
            <w:tcW w:w="1919" w:type="pct"/>
            <w:shd w:val="clear" w:color="auto" w:fill="auto"/>
          </w:tcPr>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6MWD</w:t>
            </w:r>
          </w:p>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Haemodynamic parameters</w:t>
            </w:r>
            <w:r w:rsidR="00D73298" w:rsidRPr="00140616">
              <w:rPr>
                <w:rFonts w:ascii="Arial" w:hAnsi="Arial" w:cs="Arial"/>
                <w:sz w:val="20"/>
                <w:szCs w:val="20"/>
              </w:rPr>
              <w:t>:</w:t>
            </w:r>
          </w:p>
          <w:p w:rsidR="00AD6665" w:rsidRPr="00140616" w:rsidRDefault="00AD6665" w:rsidP="00D73298">
            <w:pPr>
              <w:pStyle w:val="07Tablebullet"/>
              <w:numPr>
                <w:ilvl w:val="0"/>
                <w:numId w:val="9"/>
              </w:numPr>
              <w:ind w:left="708" w:hanging="283"/>
              <w:rPr>
                <w:rFonts w:ascii="Arial" w:hAnsi="Arial" w:cs="Arial"/>
                <w:sz w:val="20"/>
                <w:szCs w:val="20"/>
              </w:rPr>
            </w:pPr>
            <w:r w:rsidRPr="00140616">
              <w:rPr>
                <w:rFonts w:ascii="Arial" w:hAnsi="Arial" w:cs="Arial"/>
                <w:sz w:val="20"/>
                <w:szCs w:val="20"/>
              </w:rPr>
              <w:t>Mean Pulmonary vascular resistance</w:t>
            </w:r>
          </w:p>
          <w:p w:rsidR="00AD6665" w:rsidRPr="00140616" w:rsidRDefault="00AD6665" w:rsidP="00D73298">
            <w:pPr>
              <w:pStyle w:val="07Tablebullet"/>
              <w:numPr>
                <w:ilvl w:val="0"/>
                <w:numId w:val="9"/>
              </w:numPr>
              <w:ind w:left="708" w:hanging="283"/>
              <w:rPr>
                <w:rFonts w:ascii="Arial" w:hAnsi="Arial" w:cs="Arial"/>
                <w:sz w:val="20"/>
                <w:szCs w:val="20"/>
              </w:rPr>
            </w:pPr>
            <w:r w:rsidRPr="00140616">
              <w:rPr>
                <w:rFonts w:ascii="Arial" w:hAnsi="Arial" w:cs="Arial"/>
                <w:sz w:val="20"/>
                <w:szCs w:val="20"/>
              </w:rPr>
              <w:t>Mean Pulmonary Arterial Pressure</w:t>
            </w:r>
          </w:p>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Adverse events</w:t>
            </w:r>
          </w:p>
        </w:tc>
      </w:tr>
      <w:tr w:rsidR="00AD6665" w:rsidRPr="007519FD" w:rsidTr="00761231">
        <w:tc>
          <w:tcPr>
            <w:tcW w:w="1059" w:type="pct"/>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Selexipag</w:t>
            </w:r>
          </w:p>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(tablet</w:t>
            </w:r>
            <w:r w:rsidR="00971733" w:rsidRPr="00140616">
              <w:rPr>
                <w:rFonts w:ascii="Arial" w:hAnsi="Arial" w:cs="Arial"/>
                <w:sz w:val="20"/>
                <w:szCs w:val="20"/>
              </w:rPr>
              <w:t>s</w:t>
            </w:r>
            <w:r w:rsidRPr="00140616">
              <w:rPr>
                <w:rFonts w:ascii="Arial" w:hAnsi="Arial" w:cs="Arial"/>
                <w:sz w:val="20"/>
                <w:szCs w:val="20"/>
              </w:rPr>
              <w:t>, 200, 400, 600, 800, 1000, 1200, 1400 and 1600 mcg, Uptravi</w:t>
            </w:r>
            <w:r w:rsidRPr="00140616">
              <w:rPr>
                <w:rFonts w:ascii="Arial" w:hAnsi="Arial" w:cs="Arial"/>
                <w:sz w:val="20"/>
                <w:szCs w:val="20"/>
                <w:vertAlign w:val="superscript"/>
              </w:rPr>
              <w:t>®</w:t>
            </w:r>
            <w:r w:rsidRPr="00140616">
              <w:rPr>
                <w:rFonts w:ascii="Arial" w:hAnsi="Arial" w:cs="Arial"/>
                <w:sz w:val="20"/>
                <w:szCs w:val="20"/>
              </w:rPr>
              <w:t>)</w:t>
            </w:r>
          </w:p>
          <w:p w:rsidR="00AD6665" w:rsidRPr="00140616" w:rsidRDefault="00AD6665" w:rsidP="00B43DE9">
            <w:pPr>
              <w:pStyle w:val="06Tabletextspacebefore"/>
              <w:rPr>
                <w:rFonts w:ascii="Arial" w:hAnsi="Arial" w:cs="Arial"/>
                <w:sz w:val="20"/>
                <w:szCs w:val="20"/>
              </w:rPr>
            </w:pPr>
          </w:p>
        </w:tc>
        <w:tc>
          <w:tcPr>
            <w:tcW w:w="607" w:type="pct"/>
            <w:gridSpan w:val="2"/>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March 2016</w:t>
            </w:r>
            <w:r w:rsidR="004D263E" w:rsidRPr="00140616">
              <w:rPr>
                <w:rStyle w:val="EndnoteReference"/>
                <w:rFonts w:ascii="Arial" w:hAnsi="Arial" w:cs="Arial"/>
                <w:sz w:val="20"/>
                <w:szCs w:val="20"/>
              </w:rPr>
              <w:endnoteReference w:id="12"/>
            </w:r>
            <w:r w:rsidRPr="00140616">
              <w:rPr>
                <w:rFonts w:ascii="Arial" w:hAnsi="Arial" w:cs="Arial"/>
                <w:sz w:val="20"/>
                <w:szCs w:val="20"/>
              </w:rPr>
              <w:t xml:space="preserve"> (rejected)</w:t>
            </w:r>
          </w:p>
        </w:tc>
        <w:tc>
          <w:tcPr>
            <w:tcW w:w="1415" w:type="pct"/>
            <w:gridSpan w:val="2"/>
            <w:shd w:val="clear" w:color="auto" w:fill="auto"/>
          </w:tcPr>
          <w:p w:rsidR="00AD6665" w:rsidRPr="00140616" w:rsidRDefault="00B37295" w:rsidP="00462CF6">
            <w:pPr>
              <w:pStyle w:val="06Tabletextspacebefore"/>
              <w:rPr>
                <w:rFonts w:ascii="Arial" w:hAnsi="Arial" w:cs="Arial"/>
                <w:sz w:val="20"/>
                <w:szCs w:val="20"/>
                <w:highlight w:val="yellow"/>
              </w:rPr>
            </w:pPr>
            <w:r w:rsidRPr="00140616">
              <w:rPr>
                <w:rFonts w:ascii="Arial" w:hAnsi="Arial" w:cs="Arial"/>
                <w:sz w:val="20"/>
                <w:szCs w:val="20"/>
              </w:rPr>
              <w:t xml:space="preserve">PSD Selexipag March 2016 </w:t>
            </w:r>
          </w:p>
        </w:tc>
        <w:tc>
          <w:tcPr>
            <w:tcW w:w="1919" w:type="pct"/>
            <w:shd w:val="clear" w:color="auto" w:fill="auto"/>
          </w:tcPr>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Composite endpoint of time to first mortality/morbidity event</w:t>
            </w:r>
            <w:r w:rsidR="00B61DAE" w:rsidRPr="00140616">
              <w:rPr>
                <w:rFonts w:ascii="Arial" w:hAnsi="Arial" w:cs="Arial"/>
                <w:sz w:val="20"/>
                <w:szCs w:val="20"/>
              </w:rPr>
              <w:t>:</w:t>
            </w:r>
          </w:p>
          <w:p w:rsidR="00AD6665" w:rsidRPr="00140616" w:rsidRDefault="00AD6665"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death</w:t>
            </w:r>
          </w:p>
          <w:p w:rsidR="00AD6665" w:rsidRPr="00140616" w:rsidRDefault="00AD6665"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hospitalisation for PAH worsening</w:t>
            </w:r>
          </w:p>
          <w:p w:rsidR="00AD6665" w:rsidRPr="00140616" w:rsidRDefault="00AD6665"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lung transplantation or balloon atrial septostomy due to worsening PAH</w:t>
            </w:r>
          </w:p>
          <w:p w:rsidR="00AD6665" w:rsidRPr="00140616" w:rsidRDefault="00AD6665"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initiation of parenteral prostanoid or chronic oxygen therapy due to worsening PAH</w:t>
            </w:r>
          </w:p>
          <w:p w:rsidR="00AD6665" w:rsidRPr="00140616" w:rsidRDefault="00AD6665"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Disease progression confirmed by decrease in 6MWD from baseline of at least 15%, and either worsening of WHO FC or need for additional PAH specific therapy (depending on WHO FC at baseline)</w:t>
            </w:r>
          </w:p>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Adverse events</w:t>
            </w:r>
          </w:p>
        </w:tc>
      </w:tr>
      <w:tr w:rsidR="00AD6665" w:rsidRPr="007519FD" w:rsidTr="00761231">
        <w:tc>
          <w:tcPr>
            <w:tcW w:w="1059" w:type="pct"/>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Selexipag</w:t>
            </w:r>
          </w:p>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(tablet</w:t>
            </w:r>
            <w:r w:rsidR="00971733" w:rsidRPr="00140616">
              <w:rPr>
                <w:rFonts w:ascii="Arial" w:hAnsi="Arial" w:cs="Arial"/>
                <w:sz w:val="20"/>
                <w:szCs w:val="20"/>
              </w:rPr>
              <w:t>s</w:t>
            </w:r>
            <w:r w:rsidRPr="00140616">
              <w:rPr>
                <w:rFonts w:ascii="Arial" w:hAnsi="Arial" w:cs="Arial"/>
                <w:sz w:val="20"/>
                <w:szCs w:val="20"/>
              </w:rPr>
              <w:t>, 200, 400, 600, 800, 1000, 1200, 1400 and 1600 mcg, Uptravi</w:t>
            </w:r>
            <w:r w:rsidRPr="00140616">
              <w:rPr>
                <w:rFonts w:ascii="Arial" w:hAnsi="Arial" w:cs="Arial"/>
                <w:sz w:val="20"/>
                <w:szCs w:val="20"/>
                <w:vertAlign w:val="superscript"/>
              </w:rPr>
              <w:t>®</w:t>
            </w:r>
            <w:r w:rsidRPr="00140616">
              <w:rPr>
                <w:rFonts w:ascii="Arial" w:hAnsi="Arial" w:cs="Arial"/>
                <w:sz w:val="20"/>
                <w:szCs w:val="20"/>
              </w:rPr>
              <w:t>)</w:t>
            </w:r>
          </w:p>
          <w:p w:rsidR="00AD6665" w:rsidRPr="00140616" w:rsidRDefault="00AD6665" w:rsidP="00B43DE9">
            <w:pPr>
              <w:pStyle w:val="06Tabletextspacebefore"/>
              <w:rPr>
                <w:rFonts w:ascii="Arial" w:hAnsi="Arial" w:cs="Arial"/>
                <w:sz w:val="20"/>
                <w:szCs w:val="20"/>
              </w:rPr>
            </w:pPr>
          </w:p>
        </w:tc>
        <w:tc>
          <w:tcPr>
            <w:tcW w:w="607" w:type="pct"/>
            <w:gridSpan w:val="2"/>
            <w:shd w:val="clear" w:color="auto" w:fill="auto"/>
          </w:tcPr>
          <w:p w:rsidR="00AD6665" w:rsidRPr="00140616" w:rsidRDefault="00AD6665" w:rsidP="00B43DE9">
            <w:pPr>
              <w:pStyle w:val="06Tabletextspacebefore"/>
              <w:rPr>
                <w:rFonts w:ascii="Arial" w:hAnsi="Arial" w:cs="Arial"/>
                <w:sz w:val="20"/>
                <w:szCs w:val="20"/>
              </w:rPr>
            </w:pPr>
            <w:r w:rsidRPr="00140616">
              <w:rPr>
                <w:rFonts w:ascii="Arial" w:hAnsi="Arial" w:cs="Arial"/>
                <w:sz w:val="20"/>
                <w:szCs w:val="20"/>
              </w:rPr>
              <w:t>March 2017</w:t>
            </w:r>
            <w:r w:rsidR="004D263E" w:rsidRPr="00140616">
              <w:rPr>
                <w:rStyle w:val="EndnoteReference"/>
                <w:rFonts w:ascii="Arial" w:hAnsi="Arial" w:cs="Arial"/>
                <w:sz w:val="20"/>
                <w:szCs w:val="20"/>
              </w:rPr>
              <w:endnoteReference w:id="13"/>
            </w:r>
            <w:r w:rsidR="004D263E" w:rsidRPr="00140616">
              <w:rPr>
                <w:rFonts w:ascii="Arial" w:hAnsi="Arial" w:cs="Arial"/>
                <w:sz w:val="20"/>
                <w:szCs w:val="20"/>
              </w:rPr>
              <w:t xml:space="preserve"> </w:t>
            </w:r>
            <w:r w:rsidRPr="00140616">
              <w:rPr>
                <w:rFonts w:ascii="Arial" w:hAnsi="Arial" w:cs="Arial"/>
                <w:sz w:val="20"/>
                <w:szCs w:val="20"/>
              </w:rPr>
              <w:t>(rejected)</w:t>
            </w:r>
          </w:p>
        </w:tc>
        <w:tc>
          <w:tcPr>
            <w:tcW w:w="1415" w:type="pct"/>
            <w:gridSpan w:val="2"/>
            <w:shd w:val="clear" w:color="auto" w:fill="auto"/>
          </w:tcPr>
          <w:p w:rsidR="00AD6665" w:rsidRPr="00140616" w:rsidRDefault="00B37295" w:rsidP="00462CF6">
            <w:pPr>
              <w:pStyle w:val="06Tabletextspacebefore"/>
              <w:rPr>
                <w:rFonts w:ascii="Arial" w:hAnsi="Arial" w:cs="Arial"/>
                <w:sz w:val="20"/>
                <w:szCs w:val="20"/>
              </w:rPr>
            </w:pPr>
            <w:r w:rsidRPr="00140616">
              <w:rPr>
                <w:rFonts w:ascii="Arial" w:hAnsi="Arial" w:cs="Arial"/>
                <w:sz w:val="20"/>
                <w:szCs w:val="20"/>
              </w:rPr>
              <w:t xml:space="preserve">PSD Selexipag March 2017 </w:t>
            </w:r>
          </w:p>
        </w:tc>
        <w:tc>
          <w:tcPr>
            <w:tcW w:w="1919" w:type="pct"/>
            <w:shd w:val="clear" w:color="auto" w:fill="auto"/>
          </w:tcPr>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Composite endpoint of time to first mortality/morbidity event</w:t>
            </w:r>
            <w:r w:rsidR="00B61DAE" w:rsidRPr="00140616">
              <w:rPr>
                <w:rFonts w:ascii="Arial" w:hAnsi="Arial" w:cs="Arial"/>
                <w:sz w:val="20"/>
                <w:szCs w:val="20"/>
              </w:rPr>
              <w:t>:</w:t>
            </w:r>
          </w:p>
          <w:p w:rsidR="00AD6665" w:rsidRPr="00140616" w:rsidRDefault="00B61DAE"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death</w:t>
            </w:r>
            <w:r w:rsidR="00AD6665" w:rsidRPr="00140616">
              <w:rPr>
                <w:rFonts w:ascii="Arial" w:hAnsi="Arial" w:cs="Arial"/>
                <w:sz w:val="20"/>
                <w:szCs w:val="20"/>
              </w:rPr>
              <w:t xml:space="preserve"> </w:t>
            </w:r>
          </w:p>
          <w:p w:rsidR="00AD6665" w:rsidRPr="00140616" w:rsidRDefault="00AD6665"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hos</w:t>
            </w:r>
            <w:r w:rsidR="00B61DAE" w:rsidRPr="00140616">
              <w:rPr>
                <w:rFonts w:ascii="Arial" w:hAnsi="Arial" w:cs="Arial"/>
                <w:sz w:val="20"/>
                <w:szCs w:val="20"/>
              </w:rPr>
              <w:t>pitalisations for PAH worsening</w:t>
            </w:r>
          </w:p>
          <w:p w:rsidR="00AD6665" w:rsidRPr="00140616" w:rsidRDefault="00B61DAE"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increase in WHO FC</w:t>
            </w:r>
          </w:p>
          <w:p w:rsidR="00AD6665" w:rsidRPr="00140616" w:rsidRDefault="00AD6665"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signs/sympto</w:t>
            </w:r>
            <w:r w:rsidR="00B61DAE" w:rsidRPr="00140616">
              <w:rPr>
                <w:rFonts w:ascii="Arial" w:hAnsi="Arial" w:cs="Arial"/>
                <w:sz w:val="20"/>
                <w:szCs w:val="20"/>
              </w:rPr>
              <w:t>ms of right-sided heart failure</w:t>
            </w:r>
          </w:p>
          <w:p w:rsidR="00AD6665" w:rsidRPr="00140616" w:rsidRDefault="00AD6665" w:rsidP="00B61DAE">
            <w:pPr>
              <w:pStyle w:val="07Tablebullet"/>
              <w:numPr>
                <w:ilvl w:val="0"/>
                <w:numId w:val="9"/>
              </w:numPr>
              <w:ind w:left="708" w:hanging="283"/>
              <w:rPr>
                <w:rFonts w:ascii="Arial" w:hAnsi="Arial" w:cs="Arial"/>
                <w:sz w:val="20"/>
                <w:szCs w:val="20"/>
              </w:rPr>
            </w:pPr>
            <w:r w:rsidRPr="00140616">
              <w:rPr>
                <w:rFonts w:ascii="Arial" w:hAnsi="Arial" w:cs="Arial"/>
                <w:sz w:val="20"/>
                <w:szCs w:val="20"/>
              </w:rPr>
              <w:t>≥ 15%</w:t>
            </w:r>
            <w:r w:rsidR="00B61DAE" w:rsidRPr="00140616">
              <w:rPr>
                <w:rFonts w:ascii="Arial" w:hAnsi="Arial" w:cs="Arial"/>
                <w:sz w:val="20"/>
                <w:szCs w:val="20"/>
              </w:rPr>
              <w:t xml:space="preserve"> decrease in 6MWD from baseline</w:t>
            </w:r>
          </w:p>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Overall survival</w:t>
            </w:r>
          </w:p>
          <w:p w:rsidR="00AD6665" w:rsidRPr="00140616" w:rsidRDefault="00AD6665" w:rsidP="00B61DAE">
            <w:pPr>
              <w:pStyle w:val="07Tablebullet"/>
              <w:ind w:left="425" w:hanging="284"/>
              <w:rPr>
                <w:rFonts w:ascii="Arial" w:hAnsi="Arial" w:cs="Arial"/>
                <w:sz w:val="20"/>
                <w:szCs w:val="20"/>
              </w:rPr>
            </w:pPr>
            <w:r w:rsidRPr="00140616">
              <w:rPr>
                <w:rFonts w:ascii="Arial" w:hAnsi="Arial" w:cs="Arial"/>
                <w:sz w:val="20"/>
                <w:szCs w:val="20"/>
              </w:rPr>
              <w:t>Adverse events</w:t>
            </w:r>
          </w:p>
        </w:tc>
      </w:tr>
      <w:tr w:rsidR="00AD6665" w:rsidRPr="008D4204" w:rsidTr="00761231">
        <w:tc>
          <w:tcPr>
            <w:tcW w:w="1059" w:type="pct"/>
            <w:shd w:val="clear" w:color="auto" w:fill="000000"/>
          </w:tcPr>
          <w:p w:rsidR="00AD6665" w:rsidRPr="00723911" w:rsidRDefault="005C198A" w:rsidP="00B43DE9">
            <w:pPr>
              <w:pStyle w:val="04Tablesubheading"/>
              <w:rPr>
                <w:rFonts w:ascii="Arial" w:hAnsi="Arial" w:cs="Arial"/>
                <w:sz w:val="20"/>
                <w:szCs w:val="20"/>
              </w:rPr>
            </w:pPr>
            <w:r>
              <w:rPr>
                <w:rFonts w:ascii="Arial" w:hAnsi="Arial" w:cs="Arial"/>
                <w:sz w:val="20"/>
                <w:szCs w:val="20"/>
              </w:rPr>
              <w:lastRenderedPageBreak/>
              <w:t>s</w:t>
            </w:r>
            <w:r w:rsidR="00AD6665" w:rsidRPr="00723911">
              <w:rPr>
                <w:rFonts w:ascii="Arial" w:hAnsi="Arial" w:cs="Arial"/>
                <w:sz w:val="20"/>
                <w:szCs w:val="20"/>
              </w:rPr>
              <w:t>GC stimulators</w:t>
            </w:r>
          </w:p>
        </w:tc>
        <w:tc>
          <w:tcPr>
            <w:tcW w:w="595" w:type="pct"/>
            <w:shd w:val="clear" w:color="auto" w:fill="000000"/>
          </w:tcPr>
          <w:p w:rsidR="00AD6665" w:rsidRPr="00723911" w:rsidRDefault="00AD6665" w:rsidP="00B43DE9">
            <w:pPr>
              <w:pStyle w:val="04Tablesubheading"/>
              <w:rPr>
                <w:rFonts w:ascii="Arial" w:hAnsi="Arial" w:cs="Arial"/>
                <w:sz w:val="20"/>
                <w:szCs w:val="20"/>
              </w:rPr>
            </w:pPr>
          </w:p>
        </w:tc>
        <w:tc>
          <w:tcPr>
            <w:tcW w:w="1427" w:type="pct"/>
            <w:gridSpan w:val="3"/>
            <w:shd w:val="clear" w:color="auto" w:fill="000000"/>
          </w:tcPr>
          <w:p w:rsidR="00AD6665" w:rsidRPr="00723911" w:rsidRDefault="00AD6665" w:rsidP="00B43DE9">
            <w:pPr>
              <w:pStyle w:val="04Tablesubheading"/>
              <w:rPr>
                <w:rFonts w:ascii="Arial" w:hAnsi="Arial" w:cs="Arial"/>
                <w:b w:val="0"/>
                <w:sz w:val="20"/>
                <w:szCs w:val="20"/>
              </w:rPr>
            </w:pPr>
          </w:p>
        </w:tc>
        <w:tc>
          <w:tcPr>
            <w:tcW w:w="1919" w:type="pct"/>
            <w:shd w:val="clear" w:color="auto" w:fill="000000"/>
          </w:tcPr>
          <w:p w:rsidR="00AD6665" w:rsidRPr="00723911" w:rsidRDefault="00AD6665" w:rsidP="00B43DE9">
            <w:pPr>
              <w:pStyle w:val="07Tablebullet"/>
              <w:numPr>
                <w:ilvl w:val="0"/>
                <w:numId w:val="0"/>
              </w:numPr>
              <w:ind w:left="227"/>
              <w:rPr>
                <w:rFonts w:ascii="Arial" w:hAnsi="Arial" w:cs="Arial"/>
                <w:sz w:val="20"/>
                <w:szCs w:val="20"/>
              </w:rPr>
            </w:pPr>
          </w:p>
        </w:tc>
      </w:tr>
      <w:tr w:rsidR="00AD6665" w:rsidRPr="008D4204" w:rsidTr="00761231">
        <w:trPr>
          <w:trHeight w:val="731"/>
        </w:trPr>
        <w:tc>
          <w:tcPr>
            <w:tcW w:w="1059" w:type="pct"/>
            <w:shd w:val="clear" w:color="auto" w:fill="auto"/>
          </w:tcPr>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t>Riociguat</w:t>
            </w:r>
          </w:p>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t>(tablet</w:t>
            </w:r>
            <w:r w:rsidR="00971733" w:rsidRPr="00723911">
              <w:rPr>
                <w:rFonts w:ascii="Arial" w:hAnsi="Arial" w:cs="Arial"/>
                <w:sz w:val="20"/>
                <w:szCs w:val="20"/>
              </w:rPr>
              <w:t>s</w:t>
            </w:r>
            <w:r w:rsidRPr="00723911">
              <w:rPr>
                <w:rFonts w:ascii="Arial" w:hAnsi="Arial" w:cs="Arial"/>
                <w:sz w:val="20"/>
                <w:szCs w:val="20"/>
              </w:rPr>
              <w:t>, 500 mcg, 1 mg, 1.5 mg, 2 mg, 2.5 mg, Adempas</w:t>
            </w:r>
            <w:r w:rsidRPr="00051E89">
              <w:rPr>
                <w:rFonts w:ascii="Arial" w:hAnsi="Arial" w:cs="Arial"/>
                <w:sz w:val="20"/>
                <w:szCs w:val="20"/>
                <w:vertAlign w:val="superscript"/>
              </w:rPr>
              <w:t>®</w:t>
            </w:r>
            <w:r w:rsidRPr="00723911">
              <w:rPr>
                <w:rFonts w:ascii="Arial" w:hAnsi="Arial" w:cs="Arial"/>
                <w:sz w:val="20"/>
                <w:szCs w:val="20"/>
              </w:rPr>
              <w:t>)</w:t>
            </w:r>
          </w:p>
        </w:tc>
        <w:tc>
          <w:tcPr>
            <w:tcW w:w="595" w:type="pct"/>
            <w:shd w:val="clear" w:color="auto" w:fill="auto"/>
          </w:tcPr>
          <w:p w:rsidR="00AD6665" w:rsidRPr="00723911" w:rsidRDefault="00AD6665" w:rsidP="00B43DE9">
            <w:pPr>
              <w:pStyle w:val="06Tabletextspacebefore"/>
              <w:rPr>
                <w:rFonts w:ascii="Arial" w:hAnsi="Arial" w:cs="Arial"/>
                <w:sz w:val="20"/>
                <w:szCs w:val="20"/>
              </w:rPr>
            </w:pPr>
            <w:r w:rsidRPr="00723911">
              <w:rPr>
                <w:rFonts w:ascii="Arial" w:hAnsi="Arial" w:cs="Arial"/>
                <w:sz w:val="20"/>
                <w:szCs w:val="20"/>
              </w:rPr>
              <w:t>March 2014</w:t>
            </w:r>
            <w:r w:rsidR="004D263E" w:rsidRPr="00723911">
              <w:rPr>
                <w:rStyle w:val="EndnoteReference"/>
                <w:rFonts w:ascii="Arial" w:hAnsi="Arial" w:cs="Arial"/>
                <w:sz w:val="20"/>
                <w:szCs w:val="20"/>
              </w:rPr>
              <w:endnoteReference w:id="14"/>
            </w:r>
          </w:p>
        </w:tc>
        <w:tc>
          <w:tcPr>
            <w:tcW w:w="1427" w:type="pct"/>
            <w:gridSpan w:val="3"/>
            <w:shd w:val="clear" w:color="auto" w:fill="auto"/>
          </w:tcPr>
          <w:p w:rsidR="00AD6665" w:rsidRPr="00723911" w:rsidRDefault="00B37295" w:rsidP="00462CF6">
            <w:pPr>
              <w:pStyle w:val="06Tabletextspacebefore"/>
              <w:rPr>
                <w:rFonts w:ascii="Arial" w:hAnsi="Arial" w:cs="Arial"/>
                <w:sz w:val="20"/>
                <w:szCs w:val="20"/>
              </w:rPr>
            </w:pPr>
            <w:r w:rsidRPr="001E56D6">
              <w:rPr>
                <w:rFonts w:ascii="Arial" w:hAnsi="Arial" w:cs="Arial"/>
                <w:sz w:val="20"/>
                <w:szCs w:val="20"/>
              </w:rPr>
              <w:t>PSD Riociguat March 2014</w:t>
            </w:r>
            <w:r w:rsidRPr="00B37295">
              <w:rPr>
                <w:rFonts w:ascii="Arial" w:hAnsi="Arial" w:cs="Arial"/>
                <w:sz w:val="20"/>
                <w:szCs w:val="20"/>
              </w:rPr>
              <w:t xml:space="preserve"> </w:t>
            </w:r>
          </w:p>
        </w:tc>
        <w:tc>
          <w:tcPr>
            <w:tcW w:w="1919" w:type="pct"/>
            <w:shd w:val="clear" w:color="auto" w:fill="auto"/>
          </w:tcPr>
          <w:p w:rsidR="00AD6665" w:rsidRPr="00723911" w:rsidRDefault="00AD6665" w:rsidP="00D73298">
            <w:pPr>
              <w:pStyle w:val="07Tablebullet"/>
              <w:ind w:left="425" w:hanging="284"/>
              <w:rPr>
                <w:rFonts w:ascii="Arial" w:hAnsi="Arial" w:cs="Arial"/>
                <w:sz w:val="20"/>
                <w:szCs w:val="20"/>
              </w:rPr>
            </w:pPr>
            <w:r w:rsidRPr="00723911">
              <w:rPr>
                <w:rFonts w:ascii="Arial" w:hAnsi="Arial" w:cs="Arial"/>
                <w:sz w:val="20"/>
                <w:szCs w:val="20"/>
              </w:rPr>
              <w:t>6MWD</w:t>
            </w:r>
          </w:p>
          <w:p w:rsidR="00AD6665" w:rsidRPr="00723911" w:rsidRDefault="00AD6665" w:rsidP="00D73298">
            <w:pPr>
              <w:pStyle w:val="07Tablebullet"/>
              <w:ind w:left="425" w:hanging="284"/>
              <w:rPr>
                <w:rFonts w:ascii="Arial" w:hAnsi="Arial" w:cs="Arial"/>
                <w:sz w:val="20"/>
                <w:szCs w:val="20"/>
              </w:rPr>
            </w:pPr>
            <w:r w:rsidRPr="00723911">
              <w:rPr>
                <w:rFonts w:ascii="Arial" w:hAnsi="Arial" w:cs="Arial"/>
                <w:sz w:val="20"/>
                <w:szCs w:val="20"/>
              </w:rPr>
              <w:t>Adverse events</w:t>
            </w:r>
          </w:p>
          <w:p w:rsidR="00AD6665" w:rsidRPr="00723911" w:rsidRDefault="00AD6665" w:rsidP="00B43DE9">
            <w:pPr>
              <w:pStyle w:val="07Tablebullet"/>
              <w:numPr>
                <w:ilvl w:val="0"/>
                <w:numId w:val="0"/>
              </w:numPr>
              <w:ind w:left="227" w:hanging="170"/>
              <w:rPr>
                <w:rFonts w:ascii="Arial" w:hAnsi="Arial" w:cs="Arial"/>
                <w:sz w:val="20"/>
                <w:szCs w:val="20"/>
              </w:rPr>
            </w:pPr>
          </w:p>
        </w:tc>
      </w:tr>
    </w:tbl>
    <w:p w:rsidR="00AD6665" w:rsidRPr="00723911" w:rsidRDefault="00AD6665" w:rsidP="00723911">
      <w:pPr>
        <w:rPr>
          <w:rFonts w:ascii="Arial" w:hAnsi="Arial" w:cs="Arial"/>
          <w:b/>
          <w:sz w:val="18"/>
          <w:szCs w:val="18"/>
        </w:rPr>
      </w:pPr>
      <w:bookmarkStart w:id="24" w:name="_Toc510528114"/>
      <w:bookmarkStart w:id="25" w:name="_Toc510528179"/>
      <w:r w:rsidRPr="00723911">
        <w:rPr>
          <w:rFonts w:ascii="Arial" w:hAnsi="Arial" w:cs="Arial"/>
          <w:sz w:val="18"/>
          <w:szCs w:val="18"/>
        </w:rPr>
        <w:t>Abbreviations:</w:t>
      </w:r>
      <w:r w:rsidR="00A60C98">
        <w:rPr>
          <w:rFonts w:ascii="Arial" w:hAnsi="Arial" w:cs="Arial"/>
          <w:sz w:val="18"/>
          <w:szCs w:val="18"/>
        </w:rPr>
        <w:t xml:space="preserve"> </w:t>
      </w:r>
      <w:r w:rsidRPr="00723911">
        <w:rPr>
          <w:rFonts w:ascii="Arial" w:hAnsi="Arial" w:cs="Arial"/>
          <w:sz w:val="18"/>
          <w:szCs w:val="18"/>
        </w:rPr>
        <w:t xml:space="preserve">6MWD=six minute walk distance, </w:t>
      </w:r>
      <w:r w:rsidR="00462CF6">
        <w:rPr>
          <w:rFonts w:ascii="Arial" w:hAnsi="Arial" w:cs="Arial"/>
          <w:sz w:val="18"/>
          <w:szCs w:val="18"/>
        </w:rPr>
        <w:t xml:space="preserve">PSD=Public Summary Document, </w:t>
      </w:r>
      <w:r w:rsidRPr="00723911">
        <w:rPr>
          <w:rFonts w:ascii="Arial" w:hAnsi="Arial" w:cs="Arial"/>
          <w:sz w:val="18"/>
          <w:szCs w:val="18"/>
        </w:rPr>
        <w:t>WHO FC=World Health Organization Functional Class</w:t>
      </w:r>
      <w:bookmarkEnd w:id="24"/>
      <w:bookmarkEnd w:id="25"/>
    </w:p>
    <w:p w:rsidR="00AD6665" w:rsidRPr="008D4204" w:rsidRDefault="00AD6665" w:rsidP="00AD6665">
      <w:pPr>
        <w:rPr>
          <w:rFonts w:asciiTheme="minorHAnsi" w:hAnsiTheme="minorHAnsi"/>
        </w:rPr>
      </w:pPr>
    </w:p>
    <w:p w:rsidR="00AD6665" w:rsidRPr="008D4204" w:rsidRDefault="00AD6665" w:rsidP="00AD6665">
      <w:pPr>
        <w:rPr>
          <w:rFonts w:asciiTheme="minorHAnsi" w:hAnsiTheme="minorHAnsi"/>
        </w:rPr>
        <w:sectPr w:rsidR="00AD6665" w:rsidRPr="008D4204" w:rsidSect="008F4419">
          <w:endnotePr>
            <w:numFmt w:val="decimal"/>
          </w:endnotePr>
          <w:pgSz w:w="16838" w:h="11906" w:orient="landscape"/>
          <w:pgMar w:top="1440" w:right="1440" w:bottom="1440" w:left="1440" w:header="708" w:footer="708" w:gutter="0"/>
          <w:cols w:space="708"/>
          <w:titlePg/>
          <w:docGrid w:linePitch="360"/>
        </w:sectPr>
      </w:pPr>
    </w:p>
    <w:p w:rsidR="00AD6665" w:rsidRPr="008D4204" w:rsidRDefault="00AD6665" w:rsidP="00AD6665">
      <w:pPr>
        <w:pStyle w:val="Heading2"/>
        <w:rPr>
          <w:specVanish/>
        </w:rPr>
      </w:pPr>
      <w:bookmarkStart w:id="26" w:name="_Toc38439372"/>
      <w:r w:rsidRPr="008D4204">
        <w:lastRenderedPageBreak/>
        <w:t>3.4</w:t>
      </w:r>
      <w:r w:rsidRPr="008D4204">
        <w:tab/>
        <w:t>Discussion</w:t>
      </w:r>
      <w:bookmarkEnd w:id="26"/>
    </w:p>
    <w:p w:rsidR="00AD6665" w:rsidRPr="008D4204" w:rsidRDefault="00AD6665" w:rsidP="00AD6665">
      <w:pPr>
        <w:jc w:val="left"/>
        <w:rPr>
          <w:rFonts w:asciiTheme="minorHAnsi" w:hAnsiTheme="minorHAnsi"/>
        </w:rPr>
      </w:pPr>
      <w:r w:rsidRPr="008D4204">
        <w:rPr>
          <w:rFonts w:asciiTheme="minorHAnsi" w:hAnsiTheme="minorHAnsi"/>
        </w:rPr>
        <w:t>Historically, as evidenced in table 3.1, the outcomes reported in clinical trials and those presented in submissions to the PBAC are dominated by the 6MWD, which is reported in all of the submissions except the recent selexipag submissions, and has remained the common outcome relied on in each of the PBAC’s deci</w:t>
      </w:r>
      <w:r w:rsidR="00FC1BC7">
        <w:rPr>
          <w:rFonts w:asciiTheme="minorHAnsi" w:hAnsiTheme="minorHAnsi"/>
        </w:rPr>
        <w:t>sions related to PAH medicines.</w:t>
      </w:r>
    </w:p>
    <w:p w:rsidR="00AD6665" w:rsidRPr="008D4204" w:rsidRDefault="00AD6665" w:rsidP="00AD6665">
      <w:pPr>
        <w:jc w:val="left"/>
        <w:rPr>
          <w:rFonts w:asciiTheme="minorHAnsi" w:hAnsiTheme="minorHAnsi"/>
        </w:rPr>
      </w:pPr>
      <w:r w:rsidRPr="008D4204">
        <w:rPr>
          <w:rFonts w:asciiTheme="minorHAnsi" w:hAnsiTheme="minorHAnsi"/>
        </w:rPr>
        <w:t xml:space="preserve">The 6MWD is a simple, inexpensive, reproducible tool that is a validated measure of exercise capacity and has been widely accepted by other international regulatory authorities for the registration of PAH drugs, as well as the PBAC. By measuring the distance a patient can walk, the 6MWD test can indirectly quantify shortness of breath and fatigue, two of the most common and debilitating symptoms of PAH. Therefore, the change in 6MWD from baseline following an intervention indicates symptomatic improvement over a time period. It can be assumed that this change manifests in improvements in a patient's ability to perform daily activities, and is therefore correlated with improvements in their </w:t>
      </w:r>
      <w:r w:rsidR="008E5AE3">
        <w:rPr>
          <w:rFonts w:asciiTheme="minorHAnsi" w:hAnsiTheme="minorHAnsi"/>
        </w:rPr>
        <w:t>QoL</w:t>
      </w:r>
      <w:r w:rsidRPr="008D4204">
        <w:rPr>
          <w:rFonts w:asciiTheme="minorHAnsi" w:hAnsiTheme="minorHAnsi"/>
        </w:rPr>
        <w:t>.</w:t>
      </w:r>
    </w:p>
    <w:p w:rsidR="00AD6665" w:rsidRPr="008D4204" w:rsidRDefault="00B43DE9" w:rsidP="00B43DE9">
      <w:pPr>
        <w:jc w:val="left"/>
        <w:rPr>
          <w:rFonts w:asciiTheme="minorHAnsi" w:hAnsiTheme="minorHAnsi"/>
        </w:rPr>
      </w:pPr>
      <w:r w:rsidRPr="008D4204">
        <w:rPr>
          <w:rFonts w:asciiTheme="minorHAnsi" w:hAnsiTheme="minorHAnsi"/>
        </w:rPr>
        <w:t>However, PAH is a chronic, progressive, functionally debilitating disease, and the prognostic relevance of 6MWD to long-term outcomes has been questioned more recently.</w:t>
      </w:r>
      <w:r w:rsidR="00021275" w:rsidRPr="008D4204">
        <w:rPr>
          <w:rFonts w:asciiTheme="minorHAnsi" w:hAnsiTheme="minorHAnsi"/>
        </w:rPr>
        <w:t xml:space="preserve"> </w:t>
      </w:r>
      <w:r w:rsidR="00AD6665" w:rsidRPr="008D4204">
        <w:rPr>
          <w:rFonts w:asciiTheme="minorHAnsi" w:hAnsiTheme="minorHAnsi"/>
        </w:rPr>
        <w:t xml:space="preserve">While 6MWD was a useful primary end-point when the study and assessment of drugs for PAH was relatively new, in today's more advanced setting, disadvantages are emerging. For example, a </w:t>
      </w:r>
      <w:r w:rsidRPr="008D4204">
        <w:rPr>
          <w:rFonts w:asciiTheme="minorHAnsi" w:hAnsiTheme="minorHAnsi"/>
        </w:rPr>
        <w:t>‘</w:t>
      </w:r>
      <w:r w:rsidR="00AD6665" w:rsidRPr="008D4204">
        <w:rPr>
          <w:rFonts w:asciiTheme="minorHAnsi" w:hAnsiTheme="minorHAnsi"/>
        </w:rPr>
        <w:t>ceiling effect</w:t>
      </w:r>
      <w:r w:rsidRPr="008D4204">
        <w:rPr>
          <w:rFonts w:asciiTheme="minorHAnsi" w:hAnsiTheme="minorHAnsi"/>
        </w:rPr>
        <w:t>’</w:t>
      </w:r>
      <w:r w:rsidR="00AD6665" w:rsidRPr="008D4204">
        <w:rPr>
          <w:rFonts w:asciiTheme="minorHAnsi" w:hAnsiTheme="minorHAnsi"/>
        </w:rPr>
        <w:t xml:space="preserve"> in 6MWD may mask efficacy in patients with less severe symptomatic disease who have high baseline walk distances but, nevertheless, may have substantial pathology. The specificity of 6MWD as a measure of exercise capacity can also be confounded, especially at low walk distances </w:t>
      </w:r>
      <w:r w:rsidRPr="008D4204">
        <w:rPr>
          <w:rFonts w:asciiTheme="minorHAnsi" w:hAnsiTheme="minorHAnsi"/>
        </w:rPr>
        <w:t xml:space="preserve">or </w:t>
      </w:r>
      <w:r w:rsidR="00AD6665" w:rsidRPr="008D4204">
        <w:rPr>
          <w:rFonts w:asciiTheme="minorHAnsi" w:hAnsiTheme="minorHAnsi"/>
        </w:rPr>
        <w:t>for reasons not related to PAH. For example, in a patient with scleroderma, walk distance might be compromised as a result of frailty and other mobility problems. Deconditioning, or loss of muscle tone and endurance, can also occur in chronically ill patients and affect the distance a patient is able to walk. Further, 6MWD results cannot be fully reliable if patients are already on a background therapy that may have improved their exercise capacity to the point at which additional treatment may not provide further gains</w:t>
      </w:r>
      <w:r w:rsidRPr="008D4204">
        <w:rPr>
          <w:rFonts w:asciiTheme="minorHAnsi" w:hAnsiTheme="minorHAnsi"/>
          <w:vertAlign w:val="superscript"/>
        </w:rPr>
        <w:endnoteReference w:id="15"/>
      </w:r>
      <w:r w:rsidR="007C4908">
        <w:rPr>
          <w:rFonts w:asciiTheme="minorHAnsi" w:hAnsiTheme="minorHAnsi"/>
        </w:rPr>
        <w:t>.</w:t>
      </w:r>
    </w:p>
    <w:p w:rsidR="00AD6665" w:rsidRPr="008D4204" w:rsidRDefault="001E56D6" w:rsidP="009E1FAA">
      <w:pPr>
        <w:jc w:val="left"/>
        <w:rPr>
          <w:rFonts w:asciiTheme="minorHAnsi" w:hAnsiTheme="minorHAnsi"/>
        </w:rPr>
      </w:pPr>
      <w:r w:rsidRPr="00EF4481">
        <w:rPr>
          <w:rFonts w:asciiTheme="minorHAnsi" w:hAnsiTheme="minorHAnsi"/>
          <w:noProof/>
          <w:color w:val="000000"/>
          <w:sz w:val="22"/>
          <w:highlight w:val="black"/>
        </w:rPr>
        <w:t>'''''''''''' '''''''''''''''''''' ''''''' '''''''''''''' ''''''''''''''''''''''' '''''' '''''' '''''''''''' ''''' '''''''''''''''''''' ''''''' ''''''''''' '''''''''''' ''''''' '''''''''''''''' '''''''''''''''''' ''''''''''''''''' '''' ''''''''''''''''''' '''''''''''''''' ''''''''''''''''' '''''''''' ''' ''''''''' '''''''''''''''''''''''''' '''''''''''''''''''''''''' '' ''''''''''''''''' ''''''''''''''''''' ''''''''''''''''''''''''' ''''''' '''' ''''''''''''''''''' ''''''''''''''''''' '''''''''' '''''''''' '''''''' ''''' '''''''''''''''''''' '''' '''''''''''''''' ''''''''''''''''' ''''' ''''''''''''''''''' ''''' '' '''''''''''''' '''' ''''''' ''''''''''''''''''''''' '''' ''''''''''''''' ''''''' ''''''''' '''''''''''' '''''''' ''''''''''''''''' ''''''''''' '''''''''''''''''''' ''''''''''''''''''' ''''''''' ''''''''' ''''''''''''''''''''' ''''''''''' '''''' '''''''''''''' '''''' ''''''''''''''''''''''' '''''''''' ''''' ''''''''''''''''' '''''''''''''''' '''' '''''' '''''''''''''''''''''' '''''''''''''''''''''''' ''''''''''''''''' '''''''''''''''''''' '''' '''''' ''''''' '''' '''''' ''''''''''''''''''' '''''''''''' '''''''''''''''' '''''''' ''''''''''''''''''''''''''''' ''''''''''' ''''''''''' ''''''''''''''''''''' ''''' ''' '''''''''''''''''' '''''''''''' ''''''''''''''''''' '''''''''' '''''''' ''''' ''''''''''''''' ''''' '''''''''''''''''''''''''''''' '''''''' '''''''''''''''''''''''' ''''''''' '''''''''' '''''''' '''''''''''' '''''''''' ''''' ''''''''''''''''' '''''''''' ''''''' '''''''''' ''''''''''''''''''</w:t>
      </w:r>
      <w:r w:rsidR="00AD6665" w:rsidRPr="00EF4481">
        <w:rPr>
          <w:rFonts w:asciiTheme="minorHAnsi" w:hAnsiTheme="minorHAnsi"/>
          <w:sz w:val="22"/>
        </w:rPr>
        <w:t xml:space="preserve"> </w:t>
      </w:r>
      <w:r w:rsidRPr="00EF4481">
        <w:rPr>
          <w:rFonts w:asciiTheme="minorHAnsi" w:hAnsiTheme="minorHAnsi"/>
          <w:noProof/>
          <w:color w:val="000000"/>
          <w:sz w:val="22"/>
          <w:highlight w:val="black"/>
        </w:rPr>
        <w:t xml:space="preserve">''''''''' '''' ''''''' ''''''''' ''''''''''''''''''' ''''''''''' '''''''' ''''''''' '''''''''''' '''''''' ''''''' ''''''''' ''''''''''' '''''''''' '''''''''' '''''''''''' '''' ''''''' '''''''''''' '''''''''' '''''' </w:t>
      </w:r>
      <w:r w:rsidRPr="00EF4481">
        <w:rPr>
          <w:rFonts w:asciiTheme="minorHAnsi" w:hAnsiTheme="minorHAnsi"/>
          <w:noProof/>
          <w:color w:val="000000"/>
          <w:sz w:val="20"/>
          <w:szCs w:val="20"/>
          <w:highlight w:val="black"/>
        </w:rPr>
        <w:t xml:space="preserve">'''''''''''''' '''' '' ''''''''''''''''''''''''''' '''''''''''''' ''''''''''''''''''' </w:t>
      </w:r>
    </w:p>
    <w:p w:rsidR="00AD6665" w:rsidRPr="007C4908" w:rsidRDefault="00AD6665" w:rsidP="00AD6665">
      <w:pPr>
        <w:jc w:val="left"/>
        <w:rPr>
          <w:rFonts w:asciiTheme="minorHAnsi" w:hAnsiTheme="minorHAnsi"/>
        </w:rPr>
      </w:pPr>
      <w:r w:rsidRPr="00194614">
        <w:rPr>
          <w:rFonts w:asciiTheme="minorHAnsi" w:hAnsiTheme="minorHAnsi"/>
        </w:rPr>
        <w:lastRenderedPageBreak/>
        <w:t>The PBAC has</w:t>
      </w:r>
      <w:r w:rsidR="009E1FAA" w:rsidRPr="00194614">
        <w:rPr>
          <w:rFonts w:asciiTheme="minorHAnsi" w:hAnsiTheme="minorHAnsi"/>
        </w:rPr>
        <w:t xml:space="preserve"> reinforced that view since,</w:t>
      </w:r>
      <w:r w:rsidRPr="00194614">
        <w:rPr>
          <w:rFonts w:asciiTheme="minorHAnsi" w:hAnsiTheme="minorHAnsi"/>
        </w:rPr>
        <w:t xml:space="preserve"> comment</w:t>
      </w:r>
      <w:r w:rsidR="009E1FAA" w:rsidRPr="00194614">
        <w:rPr>
          <w:rFonts w:asciiTheme="minorHAnsi" w:hAnsiTheme="minorHAnsi"/>
        </w:rPr>
        <w:t>ing</w:t>
      </w:r>
      <w:r w:rsidRPr="00194614">
        <w:rPr>
          <w:rFonts w:asciiTheme="minorHAnsi" w:hAnsiTheme="minorHAnsi"/>
        </w:rPr>
        <w:t xml:space="preserve"> that haemodynamic parameters may provide some basis for predicting survival in patients with PAH, although noting this has not been conclusively demonstrated </w:t>
      </w:r>
      <w:r w:rsidR="005A3A68" w:rsidRPr="00194614">
        <w:rPr>
          <w:rFonts w:asciiTheme="minorHAnsi" w:hAnsiTheme="minorHAnsi"/>
        </w:rPr>
        <w:t>by appropriate clinical trials</w:t>
      </w:r>
      <w:r w:rsidR="005A3A68" w:rsidRPr="00194614">
        <w:rPr>
          <w:rStyle w:val="EndnoteReference"/>
          <w:rFonts w:asciiTheme="minorHAnsi" w:hAnsiTheme="minorHAnsi"/>
        </w:rPr>
        <w:endnoteReference w:id="16"/>
      </w:r>
      <w:r w:rsidR="007C4908">
        <w:rPr>
          <w:rFonts w:asciiTheme="minorHAnsi" w:hAnsiTheme="minorHAnsi"/>
        </w:rPr>
        <w:t>.</w:t>
      </w:r>
      <w:r w:rsidRPr="008D4204">
        <w:rPr>
          <w:rFonts w:asciiTheme="minorHAnsi" w:hAnsiTheme="minorHAnsi"/>
        </w:rPr>
        <w:t xml:space="preserve"> The PBAC has considered that haemodynamic parameters correlate with clinical state, functional class, exercise capacity, and prognosis in patients with PAH</w:t>
      </w:r>
      <w:r w:rsidR="00E1306D" w:rsidRPr="008D4204">
        <w:rPr>
          <w:rStyle w:val="EndnoteReference"/>
          <w:rFonts w:asciiTheme="minorHAnsi" w:hAnsiTheme="minorHAnsi"/>
        </w:rPr>
        <w:t xml:space="preserve"> </w:t>
      </w:r>
      <w:r w:rsidR="00E1306D" w:rsidRPr="008D4204">
        <w:rPr>
          <w:rStyle w:val="EndnoteReference"/>
          <w:rFonts w:asciiTheme="minorHAnsi" w:hAnsiTheme="minorHAnsi"/>
        </w:rPr>
        <w:endnoteReference w:id="17"/>
      </w:r>
      <w:r w:rsidR="007C4908">
        <w:rPr>
          <w:rFonts w:asciiTheme="minorHAnsi" w:hAnsiTheme="minorHAnsi"/>
        </w:rPr>
        <w:t>.</w:t>
      </w:r>
    </w:p>
    <w:p w:rsidR="00AD6665" w:rsidRPr="008D4204" w:rsidRDefault="00AD6665" w:rsidP="00AD6665">
      <w:pPr>
        <w:jc w:val="left"/>
        <w:rPr>
          <w:rFonts w:asciiTheme="minorHAnsi" w:hAnsiTheme="minorHAnsi"/>
        </w:rPr>
      </w:pPr>
      <w:r w:rsidRPr="008D4204">
        <w:rPr>
          <w:rFonts w:asciiTheme="minorHAnsi" w:hAnsiTheme="minorHAnsi"/>
        </w:rPr>
        <w:t>Further, the PBAC has also noted that while the 6MWD is an established outcome measure, it should not be considered in isolation. In March 2014 the PBAC considered that the time to first mortality/morbidity event were the more patient relevant outcome</w:t>
      </w:r>
      <w:r w:rsidR="00E1306D" w:rsidRPr="008D4204">
        <w:rPr>
          <w:rFonts w:asciiTheme="minorHAnsi" w:hAnsiTheme="minorHAnsi"/>
        </w:rPr>
        <w:t>s</w:t>
      </w:r>
      <w:r w:rsidR="00E1306D" w:rsidRPr="008D4204">
        <w:rPr>
          <w:rStyle w:val="EndnoteReference"/>
          <w:rFonts w:asciiTheme="minorHAnsi" w:hAnsiTheme="minorHAnsi"/>
        </w:rPr>
        <w:endnoteReference w:id="18"/>
      </w:r>
      <w:r w:rsidR="007C4908">
        <w:rPr>
          <w:rFonts w:asciiTheme="minorHAnsi" w:hAnsiTheme="minorHAnsi"/>
        </w:rPr>
        <w:t>.</w:t>
      </w:r>
    </w:p>
    <w:p w:rsidR="00971733" w:rsidRPr="008D4204" w:rsidRDefault="00AD6665" w:rsidP="00AD6665">
      <w:pPr>
        <w:jc w:val="left"/>
        <w:rPr>
          <w:rFonts w:asciiTheme="minorHAnsi" w:hAnsiTheme="minorHAnsi"/>
        </w:rPr>
      </w:pPr>
      <w:r w:rsidRPr="008D4204">
        <w:rPr>
          <w:rFonts w:asciiTheme="minorHAnsi" w:hAnsiTheme="minorHAnsi"/>
        </w:rPr>
        <w:t>Following this advice, the 2016 and 2017 submissions to the PBAC for an oral prostacyclin, selexipag, did not present 6MWD results as the primary outcome measure, but rather presented a trial-based cost-effectiveness analysis, in which the incremental effectiveness was measured in terms of the reduction in the number of first mortality/morbidity (MM) events per person-year over the duration of the trial.</w:t>
      </w:r>
      <w:r w:rsidR="00A60C98">
        <w:rPr>
          <w:rFonts w:asciiTheme="minorHAnsi" w:hAnsiTheme="minorHAnsi"/>
        </w:rPr>
        <w:t xml:space="preserve"> </w:t>
      </w:r>
      <w:r w:rsidRPr="008D4204">
        <w:rPr>
          <w:rFonts w:asciiTheme="minorHAnsi" w:hAnsiTheme="minorHAnsi"/>
        </w:rPr>
        <w:t xml:space="preserve">Although the submissions were rejected, the PBAC noted that the translation of first MM events prevented to life-years gained or </w:t>
      </w:r>
      <w:r w:rsidR="005C198A">
        <w:rPr>
          <w:rFonts w:asciiTheme="minorHAnsi" w:hAnsiTheme="minorHAnsi"/>
        </w:rPr>
        <w:t>quality-adjusted life years (</w:t>
      </w:r>
      <w:r w:rsidRPr="008D4204">
        <w:rPr>
          <w:rFonts w:asciiTheme="minorHAnsi" w:hAnsiTheme="minorHAnsi"/>
        </w:rPr>
        <w:t>QALYs</w:t>
      </w:r>
      <w:r w:rsidR="005C198A">
        <w:rPr>
          <w:rFonts w:asciiTheme="minorHAnsi" w:hAnsiTheme="minorHAnsi"/>
        </w:rPr>
        <w:t>)</w:t>
      </w:r>
      <w:r w:rsidRPr="008D4204">
        <w:rPr>
          <w:rFonts w:asciiTheme="minorHAnsi" w:hAnsiTheme="minorHAnsi"/>
        </w:rPr>
        <w:t xml:space="preserve"> gained would be informative for the PBAC in comparing </w:t>
      </w:r>
      <w:r w:rsidR="00BD511B">
        <w:rPr>
          <w:rFonts w:asciiTheme="minorHAnsi" w:hAnsiTheme="minorHAnsi"/>
        </w:rPr>
        <w:t>the incremental cost effectiveness ratios (</w:t>
      </w:r>
      <w:r w:rsidRPr="008D4204">
        <w:rPr>
          <w:rFonts w:asciiTheme="minorHAnsi" w:hAnsiTheme="minorHAnsi"/>
        </w:rPr>
        <w:t>ICERs</w:t>
      </w:r>
      <w:r w:rsidR="00BD511B">
        <w:rPr>
          <w:rFonts w:asciiTheme="minorHAnsi" w:hAnsiTheme="minorHAnsi"/>
        </w:rPr>
        <w:t>)</w:t>
      </w:r>
      <w:r w:rsidRPr="008D4204">
        <w:rPr>
          <w:rFonts w:asciiTheme="minorHAnsi" w:hAnsiTheme="minorHAnsi"/>
        </w:rPr>
        <w:t xml:space="preserve"> across drugs for the same disease, and agreed with the </w:t>
      </w:r>
      <w:r w:rsidR="00BD511B">
        <w:rPr>
          <w:rFonts w:asciiTheme="minorHAnsi" w:hAnsiTheme="minorHAnsi"/>
        </w:rPr>
        <w:t>Economics Sub Committee (</w:t>
      </w:r>
      <w:r w:rsidRPr="008D4204">
        <w:rPr>
          <w:rFonts w:asciiTheme="minorHAnsi" w:hAnsiTheme="minorHAnsi"/>
        </w:rPr>
        <w:t>ESC</w:t>
      </w:r>
      <w:r w:rsidR="00BD511B">
        <w:rPr>
          <w:rFonts w:asciiTheme="minorHAnsi" w:hAnsiTheme="minorHAnsi"/>
        </w:rPr>
        <w:t>) of the PBAC</w:t>
      </w:r>
      <w:r w:rsidRPr="008D4204">
        <w:rPr>
          <w:rFonts w:asciiTheme="minorHAnsi" w:hAnsiTheme="minorHAnsi"/>
        </w:rPr>
        <w:t xml:space="preserve"> that the use of a composite outcome where death has the same clinical relevance as hospitalisation made the results difficult to interpret. The PBAC noted that the results for selexipag appeared to be largely driven by the hospitalisation and escalation of treatment, and that the relationship between these outcomes and disease progression remains unclear</w:t>
      </w:r>
      <w:r w:rsidR="00E1306D" w:rsidRPr="008D4204">
        <w:rPr>
          <w:rStyle w:val="EndnoteReference"/>
          <w:rFonts w:asciiTheme="minorHAnsi" w:hAnsiTheme="minorHAnsi"/>
        </w:rPr>
        <w:endnoteReference w:id="19"/>
      </w:r>
      <w:r w:rsidR="007C4908">
        <w:rPr>
          <w:rFonts w:asciiTheme="minorHAnsi" w:hAnsiTheme="minorHAnsi"/>
        </w:rPr>
        <w:t>.</w:t>
      </w:r>
    </w:p>
    <w:p w:rsidR="00AD6665" w:rsidRPr="008D4204" w:rsidRDefault="00AD6665" w:rsidP="00AD6665">
      <w:pPr>
        <w:pStyle w:val="Heading2"/>
      </w:pPr>
      <w:bookmarkStart w:id="27" w:name="_Toc38439373"/>
      <w:r w:rsidRPr="008D4204">
        <w:t>3.5</w:t>
      </w:r>
      <w:r w:rsidRPr="008D4204">
        <w:tab/>
        <w:t>Summary</w:t>
      </w:r>
      <w:bookmarkEnd w:id="27"/>
    </w:p>
    <w:p w:rsidR="00AD6665" w:rsidRPr="008D4204" w:rsidRDefault="00AD6665" w:rsidP="00AD6665">
      <w:pPr>
        <w:jc w:val="left"/>
        <w:rPr>
          <w:rFonts w:asciiTheme="minorHAnsi" w:hAnsiTheme="minorHAnsi"/>
        </w:rPr>
      </w:pPr>
      <w:r w:rsidRPr="008D4204">
        <w:rPr>
          <w:rFonts w:asciiTheme="minorHAnsi" w:hAnsiTheme="minorHAnsi"/>
        </w:rPr>
        <w:t xml:space="preserve">There is some disparity between the clinical outcomes which are most relevant to patients with PAH and the extent to which these have been measured in clinical trials and included in the evidence considered by the PBAC. Patients have a strong view that the most relevant outcomes to them are reflected in their everyday functional ability and associated </w:t>
      </w:r>
      <w:r w:rsidR="008E5AE3">
        <w:rPr>
          <w:rFonts w:asciiTheme="minorHAnsi" w:hAnsiTheme="minorHAnsi"/>
        </w:rPr>
        <w:t>QoL</w:t>
      </w:r>
      <w:r w:rsidRPr="008D4204">
        <w:rPr>
          <w:rFonts w:asciiTheme="minorHAnsi" w:hAnsiTheme="minorHAnsi"/>
        </w:rPr>
        <w:t>, while the evidence considered by the PBAC has been dominated by</w:t>
      </w:r>
      <w:r w:rsidR="00A60C98">
        <w:rPr>
          <w:rFonts w:asciiTheme="minorHAnsi" w:hAnsiTheme="minorHAnsi"/>
        </w:rPr>
        <w:t xml:space="preserve"> </w:t>
      </w:r>
      <w:r w:rsidRPr="008D4204">
        <w:rPr>
          <w:rFonts w:asciiTheme="minorHAnsi" w:hAnsiTheme="minorHAnsi"/>
        </w:rPr>
        <w:t>assessment of change in exercise capacity using the 6MWD, which is the established primary end-point for PAH clinical trials. The disparity is exacerbated by the difficulty collecting strong evidence for PAH medicines given the small patient numbers, short term studies and natural history of the disease. However, the PBAC has acknowledged that the 6MWD alone is not fully reflective of clinically relevant outcomes and that composite outcomes may be considered when assessing the clinical and cost effectiveness of PAH me</w:t>
      </w:r>
      <w:r w:rsidR="00FC1BC7">
        <w:rPr>
          <w:rFonts w:asciiTheme="minorHAnsi" w:hAnsiTheme="minorHAnsi"/>
        </w:rPr>
        <w:t>dicines.</w:t>
      </w:r>
    </w:p>
    <w:p w:rsidR="00AD6665" w:rsidRPr="008D4204" w:rsidRDefault="00AD6665" w:rsidP="00AD6665">
      <w:pPr>
        <w:jc w:val="left"/>
        <w:rPr>
          <w:rFonts w:asciiTheme="minorHAnsi" w:eastAsiaTheme="majorEastAsia" w:hAnsiTheme="minorHAnsi" w:cstheme="majorBidi"/>
          <w:b/>
          <w:bCs/>
          <w:color w:val="4F81BD" w:themeColor="accent1"/>
          <w:sz w:val="32"/>
          <w:szCs w:val="26"/>
        </w:rPr>
      </w:pPr>
      <w:r w:rsidRPr="008D4204">
        <w:rPr>
          <w:rFonts w:asciiTheme="minorHAnsi" w:hAnsiTheme="minorHAnsi"/>
        </w:rPr>
        <w:br w:type="page"/>
      </w:r>
    </w:p>
    <w:bookmarkEnd w:id="16"/>
    <w:p w:rsidR="00AD6665" w:rsidRPr="008D4204" w:rsidRDefault="00AD6665" w:rsidP="00AD6665">
      <w:pPr>
        <w:jc w:val="left"/>
        <w:rPr>
          <w:rFonts w:asciiTheme="minorHAnsi" w:hAnsiTheme="minorHAnsi"/>
        </w:rPr>
        <w:sectPr w:rsidR="00AD6665" w:rsidRPr="008D4204" w:rsidSect="00E607DE">
          <w:endnotePr>
            <w:numFmt w:val="decimal"/>
          </w:endnotePr>
          <w:pgSz w:w="11906" w:h="16838"/>
          <w:pgMar w:top="1440" w:right="1440" w:bottom="1440" w:left="1440" w:header="708" w:footer="708" w:gutter="0"/>
          <w:cols w:space="708"/>
          <w:titlePg/>
          <w:docGrid w:linePitch="360"/>
        </w:sectPr>
      </w:pPr>
    </w:p>
    <w:p w:rsidR="00AD6665" w:rsidRPr="00723911" w:rsidRDefault="00AD6665" w:rsidP="00723911">
      <w:pPr>
        <w:pStyle w:val="Heading1"/>
      </w:pPr>
      <w:bookmarkStart w:id="28" w:name="_Appendix_A_-"/>
      <w:bookmarkStart w:id="29" w:name="_Appendix_A_–"/>
      <w:bookmarkStart w:id="30" w:name="_Appendix_B_–"/>
      <w:bookmarkStart w:id="31" w:name="_Appendix_C_–"/>
      <w:bookmarkStart w:id="32" w:name="_Toc492911783"/>
      <w:bookmarkStart w:id="33" w:name="_Toc38439374"/>
      <w:bookmarkEnd w:id="28"/>
      <w:bookmarkEnd w:id="29"/>
      <w:bookmarkEnd w:id="30"/>
      <w:bookmarkEnd w:id="31"/>
      <w:r w:rsidRPr="00723911">
        <w:lastRenderedPageBreak/>
        <w:t>References</w:t>
      </w:r>
      <w:bookmarkEnd w:id="32"/>
      <w:bookmarkEnd w:id="33"/>
    </w:p>
    <w:sectPr w:rsidR="00AD6665" w:rsidRPr="00723911" w:rsidSect="00864DBF">
      <w:headerReference w:type="even" r:id="rId13"/>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6D6" w:rsidRDefault="001E56D6" w:rsidP="00131A64">
      <w:pPr>
        <w:spacing w:after="0" w:line="240" w:lineRule="auto"/>
      </w:pPr>
      <w:r>
        <w:separator/>
      </w:r>
    </w:p>
  </w:endnote>
  <w:endnote w:type="continuationSeparator" w:id="0">
    <w:p w:rsidR="001E56D6" w:rsidRDefault="001E56D6" w:rsidP="00131A64">
      <w:pPr>
        <w:spacing w:after="0" w:line="240" w:lineRule="auto"/>
      </w:pPr>
      <w:r>
        <w:continuationSeparator/>
      </w:r>
    </w:p>
  </w:endnote>
  <w:endnote w:id="1">
    <w:p w:rsidR="008E5AE3" w:rsidRPr="001E56D6" w:rsidRDefault="001E56D6" w:rsidP="00C1432F">
      <w:pPr>
        <w:pStyle w:val="EndnoteText"/>
        <w:spacing w:beforeLines="40" w:before="96" w:after="40"/>
        <w:jc w:val="left"/>
        <w:rPr>
          <w:rFonts w:asciiTheme="minorHAnsi" w:hAnsiTheme="minorHAnsi"/>
          <w:sz w:val="24"/>
          <w:szCs w:val="24"/>
          <w:highlight w:val="black"/>
        </w:rPr>
      </w:pPr>
      <w:r>
        <w:rPr>
          <w:rFonts w:asciiTheme="minorHAnsi" w:hAnsiTheme="minorHAnsi"/>
          <w:noProof/>
          <w:color w:val="000000"/>
          <w:sz w:val="24"/>
          <w:szCs w:val="24"/>
          <w:highlight w:val="black"/>
        </w:rPr>
        <w:t>''' ''''''''' '''''''' ''''''''''''' '''''''''''''''' '''''''''''''''''''' '''''''''''' '''''''''' '''''''''''''''</w:t>
      </w:r>
    </w:p>
  </w:endnote>
  <w:endnote w:id="2">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July 2007, </w:t>
      </w:r>
      <w:hyperlink r:id="rId1" w:history="1">
        <w:r w:rsidRPr="00C1432F">
          <w:rPr>
            <w:rStyle w:val="Hyperlink"/>
            <w:rFonts w:asciiTheme="minorHAnsi" w:hAnsiTheme="minorHAnsi"/>
            <w:sz w:val="24"/>
            <w:szCs w:val="24"/>
          </w:rPr>
          <w:t>http://www.pbs.gov.au/industry/listing/elements/pbac-meetings/psd/2007-07/Sitaxentan%20Thelin%20PSD%205.10%20Encysive%20FINAL.pdf</w:t>
        </w:r>
      </w:hyperlink>
      <w:r w:rsidRPr="00C1432F">
        <w:rPr>
          <w:rStyle w:val="Hyperlink"/>
          <w:rFonts w:asciiTheme="minorHAnsi" w:hAnsiTheme="minorHAnsi"/>
          <w:sz w:val="24"/>
          <w:szCs w:val="24"/>
        </w:rPr>
        <w:t xml:space="preserve"> [accessed 23 March 2018]</w:t>
      </w:r>
      <w:r w:rsidRPr="00C1432F">
        <w:rPr>
          <w:rFonts w:asciiTheme="minorHAnsi" w:hAnsiTheme="minorHAnsi"/>
          <w:sz w:val="24"/>
          <w:szCs w:val="24"/>
        </w:rPr>
        <w:t xml:space="preserve"> </w:t>
      </w:r>
    </w:p>
  </w:endnote>
  <w:endnote w:id="3">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March 2008, </w:t>
      </w:r>
      <w:hyperlink r:id="rId2" w:history="1">
        <w:r w:rsidRPr="00C1432F">
          <w:rPr>
            <w:rStyle w:val="Hyperlink"/>
            <w:rFonts w:asciiTheme="minorHAnsi" w:hAnsiTheme="minorHAnsi"/>
            <w:sz w:val="24"/>
            <w:szCs w:val="24"/>
          </w:rPr>
          <w:t>http://www.pbs.gov.au/industry/listing/elements/pbac-meetings/psd/2008-03/pbac-psd-bosentan-mar08.pdf</w:t>
        </w:r>
      </w:hyperlink>
      <w:r w:rsidRPr="00C1432F">
        <w:rPr>
          <w:rStyle w:val="Hyperlink"/>
          <w:rFonts w:asciiTheme="minorHAnsi" w:hAnsiTheme="minorHAnsi"/>
          <w:sz w:val="24"/>
          <w:szCs w:val="24"/>
        </w:rPr>
        <w:t xml:space="preserve"> [accessed 23 March 2018]</w:t>
      </w:r>
      <w:r w:rsidRPr="00C1432F">
        <w:rPr>
          <w:rFonts w:asciiTheme="minorHAnsi" w:hAnsiTheme="minorHAnsi"/>
          <w:sz w:val="24"/>
          <w:szCs w:val="24"/>
        </w:rPr>
        <w:t xml:space="preserve"> </w:t>
      </w:r>
    </w:p>
  </w:endnote>
  <w:endnote w:id="4">
    <w:p w:rsidR="008E5AE3" w:rsidRPr="001E56D6" w:rsidRDefault="001E56D6" w:rsidP="00C1432F">
      <w:pPr>
        <w:pStyle w:val="EndnoteText"/>
        <w:spacing w:beforeLines="40" w:before="96" w:after="40"/>
        <w:jc w:val="left"/>
        <w:rPr>
          <w:rFonts w:asciiTheme="minorHAnsi" w:hAnsiTheme="minorHAnsi"/>
          <w:sz w:val="24"/>
          <w:szCs w:val="24"/>
          <w:highlight w:val="black"/>
        </w:rPr>
      </w:pPr>
      <w:r>
        <w:rPr>
          <w:rFonts w:asciiTheme="minorHAnsi" w:hAnsiTheme="minorHAnsi"/>
          <w:noProof/>
          <w:color w:val="000000"/>
          <w:sz w:val="24"/>
          <w:szCs w:val="24"/>
          <w:highlight w:val="black"/>
        </w:rPr>
        <w:t>''' '''''''''' '''''''' ''''''''''''''' ''''''''''''''''' ''''''''''''' ''''''''''' ''''''''''' '''''''''''''''</w:t>
      </w:r>
    </w:p>
  </w:endnote>
  <w:endnote w:id="5">
    <w:p w:rsidR="008E5AE3" w:rsidRPr="00C1432F" w:rsidRDefault="008E5AE3" w:rsidP="00C1432F">
      <w:pPr>
        <w:pStyle w:val="05Tabletext"/>
        <w:spacing w:beforeLines="40" w:before="96" w:after="40"/>
        <w:ind w:left="0"/>
        <w:rPr>
          <w:rFonts w:asciiTheme="minorHAnsi" w:hAnsiTheme="minorHAnsi"/>
          <w:sz w:val="24"/>
        </w:rPr>
      </w:pPr>
      <w:r w:rsidRPr="00C1432F">
        <w:rPr>
          <w:rStyle w:val="EndnoteReference"/>
          <w:rFonts w:asciiTheme="minorHAnsi" w:hAnsiTheme="minorHAnsi"/>
          <w:sz w:val="24"/>
        </w:rPr>
        <w:endnoteRef/>
      </w:r>
      <w:r w:rsidRPr="00C1432F">
        <w:rPr>
          <w:rFonts w:asciiTheme="minorHAnsi" w:hAnsiTheme="minorHAnsi"/>
          <w:sz w:val="24"/>
        </w:rPr>
        <w:t xml:space="preserve"> PBAC, July 2009, </w:t>
      </w:r>
      <w:hyperlink r:id="rId3" w:history="1">
        <w:r w:rsidRPr="00C1432F">
          <w:rPr>
            <w:rStyle w:val="Hyperlink"/>
            <w:rFonts w:asciiTheme="minorHAnsi" w:hAnsiTheme="minorHAnsi"/>
            <w:sz w:val="24"/>
          </w:rPr>
          <w:t>http://www.pbs.gov.au/info/industry/listing/elements/pbac-meetings/psd/2009-07/pbac-psd-ambrisentan-jul09</w:t>
        </w:r>
      </w:hyperlink>
      <w:r w:rsidRPr="00C1432F">
        <w:rPr>
          <w:rStyle w:val="Hyperlink"/>
          <w:rFonts w:asciiTheme="minorHAnsi" w:hAnsiTheme="minorHAnsi"/>
          <w:sz w:val="24"/>
        </w:rPr>
        <w:t xml:space="preserve"> [accessed 23 March 2018]</w:t>
      </w:r>
    </w:p>
  </w:endnote>
  <w:endnote w:id="6">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March 2014, </w:t>
      </w:r>
      <w:hyperlink r:id="rId4" w:history="1">
        <w:r w:rsidRPr="00C1432F">
          <w:rPr>
            <w:rStyle w:val="Hyperlink"/>
            <w:rFonts w:asciiTheme="minorHAnsi" w:hAnsiTheme="minorHAnsi"/>
            <w:sz w:val="24"/>
            <w:szCs w:val="24"/>
          </w:rPr>
          <w:t>http://www.pbs.gov.au/industry/listing/elements/pbac-meetings/psd/2014-03/macitentan-psd-03-2014.pdf</w:t>
        </w:r>
      </w:hyperlink>
      <w:r w:rsidRPr="00C1432F">
        <w:rPr>
          <w:rStyle w:val="Hyperlink"/>
          <w:rFonts w:asciiTheme="minorHAnsi" w:hAnsiTheme="minorHAnsi"/>
          <w:sz w:val="24"/>
          <w:szCs w:val="24"/>
        </w:rPr>
        <w:t xml:space="preserve"> [accessed 23 March 2018]</w:t>
      </w:r>
      <w:r w:rsidRPr="00C1432F">
        <w:rPr>
          <w:rFonts w:asciiTheme="minorHAnsi" w:hAnsiTheme="minorHAnsi"/>
          <w:sz w:val="24"/>
          <w:szCs w:val="24"/>
        </w:rPr>
        <w:t xml:space="preserve"> </w:t>
      </w:r>
    </w:p>
  </w:endnote>
  <w:endnote w:id="7">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November 2006, </w:t>
      </w:r>
      <w:hyperlink r:id="rId5" w:history="1">
        <w:r w:rsidRPr="00C1432F">
          <w:rPr>
            <w:rStyle w:val="Hyperlink"/>
            <w:rFonts w:asciiTheme="minorHAnsi" w:hAnsiTheme="minorHAnsi"/>
            <w:sz w:val="24"/>
            <w:szCs w:val="24"/>
          </w:rPr>
          <w:t>http://www.pbs.gov.au/industry/listing/elements/pbac-meetings/psd/2006-11/SildenafilNov06.pdf</w:t>
        </w:r>
      </w:hyperlink>
      <w:r w:rsidRPr="00C1432F">
        <w:rPr>
          <w:rFonts w:asciiTheme="minorHAnsi" w:hAnsiTheme="minorHAnsi"/>
          <w:sz w:val="24"/>
          <w:szCs w:val="24"/>
        </w:rPr>
        <w:t xml:space="preserve"> </w:t>
      </w:r>
      <w:r w:rsidRPr="00C1432F">
        <w:rPr>
          <w:rStyle w:val="Hyperlink"/>
          <w:rFonts w:asciiTheme="minorHAnsi" w:hAnsiTheme="minorHAnsi"/>
          <w:sz w:val="24"/>
          <w:szCs w:val="24"/>
        </w:rPr>
        <w:t>[accessed 23 March 2018]</w:t>
      </w:r>
      <w:r w:rsidRPr="00C1432F">
        <w:rPr>
          <w:rFonts w:asciiTheme="minorHAnsi" w:hAnsiTheme="minorHAnsi"/>
          <w:sz w:val="24"/>
          <w:szCs w:val="24"/>
        </w:rPr>
        <w:t xml:space="preserve"> </w:t>
      </w:r>
    </w:p>
  </w:endnote>
  <w:endnote w:id="8">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November 2011</w:t>
      </w:r>
      <w:hyperlink r:id="rId6" w:history="1">
        <w:r w:rsidRPr="00C1432F">
          <w:rPr>
            <w:rStyle w:val="Hyperlink"/>
            <w:rFonts w:asciiTheme="minorHAnsi" w:hAnsiTheme="minorHAnsi"/>
            <w:sz w:val="24"/>
            <w:szCs w:val="24"/>
          </w:rPr>
          <w:t>http://www.pbs.gov.au/industry/listing/elements/pbac-meetings/psd/2011-11/Tadalafil_ADCIRCA.pdf</w:t>
        </w:r>
      </w:hyperlink>
      <w:r w:rsidRPr="00C1432F">
        <w:rPr>
          <w:rStyle w:val="Hyperlink"/>
          <w:rFonts w:asciiTheme="minorHAnsi" w:hAnsiTheme="minorHAnsi"/>
          <w:sz w:val="24"/>
          <w:szCs w:val="24"/>
        </w:rPr>
        <w:t xml:space="preserve"> [accessed 23 March 2018]</w:t>
      </w:r>
      <w:r w:rsidRPr="00C1432F">
        <w:rPr>
          <w:rFonts w:asciiTheme="minorHAnsi" w:hAnsiTheme="minorHAnsi"/>
          <w:sz w:val="24"/>
          <w:szCs w:val="24"/>
        </w:rPr>
        <w:t xml:space="preserve"> </w:t>
      </w:r>
    </w:p>
  </w:endnote>
  <w:endnote w:id="9">
    <w:p w:rsidR="008E5AE3" w:rsidRPr="001E56D6" w:rsidRDefault="001E56D6" w:rsidP="00C1432F">
      <w:pPr>
        <w:pStyle w:val="05Tabletext"/>
        <w:spacing w:beforeLines="40" w:before="96" w:after="40"/>
        <w:ind w:left="0"/>
        <w:rPr>
          <w:rFonts w:asciiTheme="minorHAnsi" w:hAnsiTheme="minorHAnsi"/>
          <w:sz w:val="24"/>
          <w:highlight w:val="black"/>
        </w:rPr>
      </w:pPr>
      <w:r>
        <w:rPr>
          <w:rFonts w:asciiTheme="minorHAnsi" w:hAnsiTheme="minorHAnsi"/>
          <w:noProof/>
          <w:color w:val="000000"/>
          <w:sz w:val="24"/>
          <w:highlight w:val="black"/>
        </w:rPr>
        <w:t>''' '''''''''' '''''''' '''''''''''''' ''''''''''''''' '''''''''''''''''' ''''''''''' ''''''''''' '''''''''''''''''</w:t>
      </w:r>
    </w:p>
  </w:endnote>
  <w:endnote w:id="10">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March 2006, </w:t>
      </w:r>
      <w:hyperlink r:id="rId7" w:history="1">
        <w:r w:rsidRPr="00C1432F">
          <w:rPr>
            <w:rStyle w:val="Hyperlink"/>
            <w:rFonts w:asciiTheme="minorHAnsi" w:hAnsiTheme="minorHAnsi"/>
            <w:sz w:val="24"/>
            <w:szCs w:val="24"/>
          </w:rPr>
          <w:t>http://www.pbs.gov.au/industry/listing/elements/pbac-meetings/psd/2006-03/epoprostenol.pdf</w:t>
        </w:r>
      </w:hyperlink>
      <w:r w:rsidRPr="00C1432F">
        <w:rPr>
          <w:rStyle w:val="Hyperlink"/>
          <w:rFonts w:asciiTheme="minorHAnsi" w:hAnsiTheme="minorHAnsi"/>
          <w:sz w:val="24"/>
          <w:szCs w:val="24"/>
        </w:rPr>
        <w:t xml:space="preserve"> [accessed 23 March 2018]</w:t>
      </w:r>
      <w:r w:rsidRPr="00C1432F">
        <w:rPr>
          <w:rFonts w:asciiTheme="minorHAnsi" w:hAnsiTheme="minorHAnsi"/>
          <w:sz w:val="24"/>
          <w:szCs w:val="24"/>
        </w:rPr>
        <w:t xml:space="preserve"> </w:t>
      </w:r>
    </w:p>
  </w:endnote>
  <w:endnote w:id="11">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November 2011, </w:t>
      </w:r>
      <w:hyperlink r:id="rId8" w:history="1">
        <w:r w:rsidRPr="00C1432F">
          <w:rPr>
            <w:rStyle w:val="Hyperlink"/>
            <w:rFonts w:asciiTheme="minorHAnsi" w:hAnsiTheme="minorHAnsi"/>
            <w:sz w:val="24"/>
            <w:szCs w:val="24"/>
          </w:rPr>
          <w:t>http://www.pbs.gov.au/industry/listing/elements/pbac-meetings/psd/2011-11/Epoprostenol_sodium.pdf</w:t>
        </w:r>
      </w:hyperlink>
      <w:r w:rsidRPr="00C1432F">
        <w:rPr>
          <w:rStyle w:val="Hyperlink"/>
          <w:rFonts w:asciiTheme="minorHAnsi" w:hAnsiTheme="minorHAnsi"/>
          <w:sz w:val="24"/>
          <w:szCs w:val="24"/>
        </w:rPr>
        <w:t xml:space="preserve"> [accessed 23 March 2018]</w:t>
      </w:r>
      <w:r w:rsidRPr="00C1432F">
        <w:rPr>
          <w:rFonts w:asciiTheme="minorHAnsi" w:hAnsiTheme="minorHAnsi"/>
          <w:sz w:val="24"/>
          <w:szCs w:val="24"/>
        </w:rPr>
        <w:t xml:space="preserve"> </w:t>
      </w:r>
    </w:p>
  </w:endnote>
  <w:endnote w:id="12">
    <w:p w:rsidR="008E5AE3" w:rsidRPr="00C1432F" w:rsidRDefault="008E5AE3" w:rsidP="00C1432F">
      <w:pPr>
        <w:pStyle w:val="05Tabletext"/>
        <w:spacing w:beforeLines="40" w:before="96" w:after="40"/>
        <w:ind w:left="0"/>
        <w:rPr>
          <w:rStyle w:val="Hyperlink"/>
          <w:rFonts w:asciiTheme="minorHAnsi" w:eastAsia="Times New Roman" w:hAnsiTheme="minorHAnsi"/>
          <w:sz w:val="24"/>
          <w:lang w:eastAsia="en-AU"/>
        </w:rPr>
      </w:pPr>
      <w:r w:rsidRPr="00C1432F">
        <w:rPr>
          <w:rStyle w:val="EndnoteReference"/>
          <w:rFonts w:asciiTheme="minorHAnsi" w:eastAsia="Times New Roman" w:hAnsiTheme="minorHAnsi"/>
          <w:sz w:val="24"/>
          <w:lang w:eastAsia="en-AU"/>
        </w:rPr>
        <w:endnoteRef/>
      </w:r>
      <w:r w:rsidRPr="00C1432F">
        <w:rPr>
          <w:rFonts w:asciiTheme="minorHAnsi" w:hAnsiTheme="minorHAnsi"/>
          <w:sz w:val="24"/>
        </w:rPr>
        <w:t xml:space="preserve"> PBAC, March 2016, </w:t>
      </w:r>
      <w:hyperlink r:id="rId9" w:history="1">
        <w:r w:rsidRPr="00C1432F">
          <w:rPr>
            <w:rStyle w:val="Hyperlink"/>
            <w:rFonts w:asciiTheme="minorHAnsi" w:eastAsia="Times New Roman" w:hAnsiTheme="minorHAnsi"/>
            <w:sz w:val="24"/>
            <w:lang w:eastAsia="en-AU"/>
          </w:rPr>
          <w:t>http://www.pbs.gov.au/industry/listing/elements/pbac-meetings/psd/2016-03/files/selexipag-psd-march-2016.pdf</w:t>
        </w:r>
      </w:hyperlink>
      <w:r w:rsidRPr="00C1432F">
        <w:rPr>
          <w:rStyle w:val="Hyperlink"/>
          <w:rFonts w:asciiTheme="minorHAnsi" w:eastAsia="Times New Roman" w:hAnsiTheme="minorHAnsi"/>
          <w:sz w:val="24"/>
          <w:lang w:eastAsia="en-AU"/>
        </w:rPr>
        <w:t xml:space="preserve"> [accessed 23 March 2018]</w:t>
      </w:r>
    </w:p>
  </w:endnote>
  <w:endnote w:id="13">
    <w:p w:rsidR="008E5AE3" w:rsidRPr="00C1432F" w:rsidRDefault="008E5AE3" w:rsidP="00C1432F">
      <w:pPr>
        <w:pStyle w:val="06Tabletextspacebefore"/>
        <w:spacing w:beforeLines="40" w:before="96" w:after="40"/>
        <w:ind w:left="0"/>
        <w:rPr>
          <w:rFonts w:asciiTheme="minorHAnsi" w:hAnsiTheme="minorHAnsi"/>
          <w:sz w:val="24"/>
        </w:rPr>
      </w:pPr>
      <w:r w:rsidRPr="00C1432F">
        <w:rPr>
          <w:rStyle w:val="EndnoteReference"/>
          <w:rFonts w:asciiTheme="minorHAnsi" w:hAnsiTheme="minorHAnsi"/>
          <w:sz w:val="24"/>
        </w:rPr>
        <w:endnoteRef/>
      </w:r>
      <w:r w:rsidRPr="00C1432F">
        <w:rPr>
          <w:rFonts w:asciiTheme="minorHAnsi" w:hAnsiTheme="minorHAnsi"/>
          <w:sz w:val="24"/>
        </w:rPr>
        <w:t xml:space="preserve"> PBAC, March 2017, </w:t>
      </w:r>
      <w:hyperlink r:id="rId10" w:history="1">
        <w:r w:rsidRPr="00C1432F">
          <w:rPr>
            <w:rStyle w:val="Hyperlink"/>
            <w:rFonts w:asciiTheme="minorHAnsi" w:hAnsiTheme="minorHAnsi"/>
            <w:sz w:val="24"/>
          </w:rPr>
          <w:t>http://www.pbs.gov.au/industry/listing/elements/pbac-meetings/psd/2017-03/files/selexipag-psd-march-2017.pdf</w:t>
        </w:r>
      </w:hyperlink>
      <w:r w:rsidRPr="00C1432F">
        <w:rPr>
          <w:rStyle w:val="Hyperlink"/>
          <w:rFonts w:asciiTheme="minorHAnsi" w:hAnsiTheme="minorHAnsi"/>
          <w:sz w:val="24"/>
        </w:rPr>
        <w:t xml:space="preserve"> [accessed 23 March 2018]</w:t>
      </w:r>
    </w:p>
  </w:endnote>
  <w:endnote w:id="14">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March 2014, </w:t>
      </w:r>
      <w:hyperlink r:id="rId11" w:history="1">
        <w:r w:rsidRPr="00C1432F">
          <w:rPr>
            <w:rStyle w:val="Hyperlink"/>
            <w:rFonts w:asciiTheme="minorHAnsi" w:hAnsiTheme="minorHAnsi"/>
            <w:sz w:val="24"/>
            <w:szCs w:val="24"/>
          </w:rPr>
          <w:t>http://www.pbs.gov.au/industry/listing/elements/pbac-meetings/psd/2014-03/riociguat-psd-03-2014.pdf</w:t>
        </w:r>
      </w:hyperlink>
      <w:r w:rsidRPr="00C1432F">
        <w:rPr>
          <w:rStyle w:val="Hyperlink"/>
          <w:rFonts w:asciiTheme="minorHAnsi" w:hAnsiTheme="minorHAnsi"/>
          <w:sz w:val="24"/>
          <w:szCs w:val="24"/>
        </w:rPr>
        <w:t xml:space="preserve"> [accessed 23 March 2018]</w:t>
      </w:r>
      <w:r w:rsidRPr="00C1432F">
        <w:rPr>
          <w:rFonts w:asciiTheme="minorHAnsi" w:hAnsiTheme="minorHAnsi"/>
          <w:sz w:val="24"/>
          <w:szCs w:val="24"/>
        </w:rPr>
        <w:t xml:space="preserve"> </w:t>
      </w:r>
    </w:p>
  </w:endnote>
  <w:endnote w:id="15">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Gaine, S, Simonneau, G. The need to move on from 6-minute walk distance to outcome trials in pulmonary arterial hypertension, European Respiratory Review. 2013, 22:487-494</w:t>
      </w:r>
    </w:p>
  </w:endnote>
  <w:endnote w:id="16">
    <w:p w:rsidR="008E5AE3" w:rsidRPr="001E56D6" w:rsidRDefault="001E56D6" w:rsidP="00C1432F">
      <w:pPr>
        <w:pStyle w:val="EndnoteText"/>
        <w:spacing w:beforeLines="40" w:before="96" w:after="40"/>
        <w:rPr>
          <w:rFonts w:asciiTheme="minorHAnsi" w:hAnsiTheme="minorHAnsi"/>
          <w:sz w:val="24"/>
          <w:szCs w:val="24"/>
          <w:highlight w:val="black"/>
        </w:rPr>
      </w:pPr>
      <w:r>
        <w:rPr>
          <w:rFonts w:asciiTheme="minorHAnsi" w:hAnsiTheme="minorHAnsi"/>
          <w:noProof/>
          <w:color w:val="000000"/>
          <w:sz w:val="24"/>
          <w:szCs w:val="24"/>
          <w:highlight w:val="black"/>
        </w:rPr>
        <w:t>''' ''''''''' '''''''' '''''''''''''''' '''''''''''''''' ''''''''''' ''''''''''' ''''''''''' ''''''''''''''''</w:t>
      </w:r>
    </w:p>
  </w:endnote>
  <w:endnote w:id="17">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July 2009, </w:t>
      </w:r>
      <w:hyperlink r:id="rId12" w:history="1">
        <w:r w:rsidRPr="00C1432F">
          <w:rPr>
            <w:rStyle w:val="Hyperlink"/>
            <w:rFonts w:asciiTheme="minorHAnsi" w:hAnsiTheme="minorHAnsi"/>
            <w:sz w:val="24"/>
            <w:szCs w:val="24"/>
          </w:rPr>
          <w:t>http://www.pbs.gov.au/info/industry/listing/elements/pbac-meetings/psd/2009-07/pbac-psd-ambrisentan-jul09</w:t>
        </w:r>
      </w:hyperlink>
      <w:r w:rsidRPr="00C1432F">
        <w:rPr>
          <w:rStyle w:val="Hyperlink"/>
          <w:rFonts w:asciiTheme="minorHAnsi" w:hAnsiTheme="minorHAnsi"/>
          <w:sz w:val="24"/>
          <w:szCs w:val="24"/>
        </w:rPr>
        <w:t xml:space="preserve"> [accessed 23 March 2018]</w:t>
      </w:r>
    </w:p>
  </w:endnote>
  <w:endnote w:id="18">
    <w:p w:rsidR="008E5AE3" w:rsidRPr="00C1432F" w:rsidRDefault="008E5AE3" w:rsidP="00C1432F">
      <w:pPr>
        <w:pStyle w:val="EndnoteText"/>
        <w:spacing w:beforeLines="40" w:before="96" w:after="40"/>
        <w:jc w:val="left"/>
        <w:rPr>
          <w:rFonts w:asciiTheme="minorHAnsi" w:hAnsiTheme="minorHAnsi"/>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March 2014, </w:t>
      </w:r>
      <w:hyperlink r:id="rId13" w:history="1">
        <w:r w:rsidRPr="00C1432F">
          <w:rPr>
            <w:rStyle w:val="Hyperlink"/>
            <w:rFonts w:asciiTheme="minorHAnsi" w:hAnsiTheme="minorHAnsi"/>
            <w:sz w:val="24"/>
            <w:szCs w:val="24"/>
          </w:rPr>
          <w:t>http://www.pbs.gov.au/industry/listing/elements/pbac-meetings/psd/2014-03/macitentan-psd-03-2014.pdf</w:t>
        </w:r>
      </w:hyperlink>
      <w:r w:rsidRPr="00C1432F">
        <w:rPr>
          <w:rStyle w:val="Hyperlink"/>
          <w:rFonts w:asciiTheme="minorHAnsi" w:hAnsiTheme="minorHAnsi"/>
          <w:sz w:val="24"/>
          <w:szCs w:val="24"/>
        </w:rPr>
        <w:t xml:space="preserve"> [accessed 23 March 2018]</w:t>
      </w:r>
    </w:p>
  </w:endnote>
  <w:endnote w:id="19">
    <w:p w:rsidR="004F5FC6" w:rsidRDefault="008E5AE3" w:rsidP="00C1432F">
      <w:pPr>
        <w:pStyle w:val="EndnoteText"/>
        <w:spacing w:beforeLines="40" w:before="96" w:after="40"/>
        <w:jc w:val="left"/>
        <w:rPr>
          <w:rStyle w:val="Hyperlink"/>
          <w:sz w:val="24"/>
          <w:szCs w:val="24"/>
        </w:rPr>
      </w:pPr>
      <w:r w:rsidRPr="00C1432F">
        <w:rPr>
          <w:rStyle w:val="EndnoteReference"/>
          <w:rFonts w:asciiTheme="minorHAnsi" w:hAnsiTheme="minorHAnsi"/>
          <w:sz w:val="24"/>
          <w:szCs w:val="24"/>
        </w:rPr>
        <w:endnoteRef/>
      </w:r>
      <w:r w:rsidRPr="00C1432F">
        <w:rPr>
          <w:rFonts w:asciiTheme="minorHAnsi" w:hAnsiTheme="minorHAnsi"/>
          <w:sz w:val="24"/>
          <w:szCs w:val="24"/>
        </w:rPr>
        <w:t xml:space="preserve"> PBAC, March 2016, </w:t>
      </w:r>
      <w:hyperlink r:id="rId14" w:history="1">
        <w:r w:rsidRPr="003731D5">
          <w:rPr>
            <w:rStyle w:val="Hyperlink"/>
            <w:rFonts w:asciiTheme="minorHAnsi" w:hAnsiTheme="minorHAnsi"/>
            <w:sz w:val="24"/>
            <w:szCs w:val="24"/>
          </w:rPr>
          <w:t>http://www.pbs.gov.au/industry/listing/elements/pbac-meetings/psd/2016-03/files/selexipag-psd-march-2016.pdf</w:t>
        </w:r>
      </w:hyperlink>
      <w:r w:rsidRPr="003731D5">
        <w:rPr>
          <w:rStyle w:val="Hyperlink"/>
          <w:sz w:val="24"/>
          <w:szCs w:val="24"/>
        </w:rPr>
        <w:t xml:space="preserve"> [accessed 23 March 2018]</w:t>
      </w:r>
    </w:p>
    <w:p w:rsidR="004F5FC6" w:rsidRDefault="004F5FC6" w:rsidP="00C1432F">
      <w:pPr>
        <w:pStyle w:val="EndnoteText"/>
        <w:spacing w:beforeLines="40" w:before="96" w:after="40"/>
        <w:jc w:val="lef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F9" w:rsidRDefault="00E92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118771"/>
      <w:docPartObj>
        <w:docPartGallery w:val="Page Numbers (Bottom of Page)"/>
        <w:docPartUnique/>
      </w:docPartObj>
    </w:sdtPr>
    <w:sdtEndPr>
      <w:rPr>
        <w:rFonts w:asciiTheme="minorHAnsi" w:hAnsiTheme="minorHAnsi"/>
        <w:noProof/>
      </w:rPr>
    </w:sdtEndPr>
    <w:sdtContent>
      <w:p w:rsidR="008E5AE3" w:rsidRPr="00A013C4" w:rsidRDefault="008E5AE3" w:rsidP="00E84C29">
        <w:pPr>
          <w:pStyle w:val="Footer"/>
          <w:jc w:val="center"/>
          <w:rPr>
            <w:b/>
            <w:sz w:val="20"/>
          </w:rPr>
        </w:pPr>
      </w:p>
      <w:p w:rsidR="008E5AE3" w:rsidRPr="00212FCE" w:rsidRDefault="008E5AE3">
        <w:pPr>
          <w:pStyle w:val="Footer"/>
          <w:jc w:val="right"/>
          <w:rPr>
            <w:rFonts w:asciiTheme="minorHAnsi" w:hAnsiTheme="minorHAnsi"/>
          </w:rPr>
        </w:pPr>
        <w:r w:rsidRPr="00212FCE">
          <w:rPr>
            <w:rFonts w:asciiTheme="minorHAnsi" w:hAnsiTheme="minorHAnsi"/>
          </w:rPr>
          <w:fldChar w:fldCharType="begin"/>
        </w:r>
        <w:r w:rsidRPr="00212FCE">
          <w:rPr>
            <w:rFonts w:asciiTheme="minorHAnsi" w:hAnsiTheme="minorHAnsi"/>
          </w:rPr>
          <w:instrText xml:space="preserve"> PAGE   \* MERGEFORMAT </w:instrText>
        </w:r>
        <w:r w:rsidRPr="00212FCE">
          <w:rPr>
            <w:rFonts w:asciiTheme="minorHAnsi" w:hAnsiTheme="minorHAnsi"/>
          </w:rPr>
          <w:fldChar w:fldCharType="separate"/>
        </w:r>
        <w:r w:rsidR="00E5124A">
          <w:rPr>
            <w:rFonts w:asciiTheme="minorHAnsi" w:hAnsiTheme="minorHAnsi"/>
            <w:noProof/>
          </w:rPr>
          <w:t>14</w:t>
        </w:r>
        <w:r w:rsidRPr="00212FCE">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859061"/>
      <w:docPartObj>
        <w:docPartGallery w:val="Page Numbers (Bottom of Page)"/>
        <w:docPartUnique/>
      </w:docPartObj>
    </w:sdtPr>
    <w:sdtEndPr>
      <w:rPr>
        <w:noProof/>
      </w:rPr>
    </w:sdtEndPr>
    <w:sdtContent>
      <w:p w:rsidR="00E92BF9" w:rsidRDefault="00E5124A">
        <w:pPr>
          <w:pStyle w:val="Footer"/>
          <w:jc w:val="right"/>
        </w:pPr>
      </w:p>
    </w:sdtContent>
  </w:sdt>
  <w:p w:rsidR="001E56D6" w:rsidRDefault="001E56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51476"/>
      <w:docPartObj>
        <w:docPartGallery w:val="Page Numbers (Bottom of Page)"/>
        <w:docPartUnique/>
      </w:docPartObj>
    </w:sdtPr>
    <w:sdtEndPr>
      <w:rPr>
        <w:noProof/>
      </w:rPr>
    </w:sdtEndPr>
    <w:sdtContent>
      <w:p w:rsidR="008E5AE3" w:rsidRDefault="008E5AE3">
        <w:pPr>
          <w:pStyle w:val="Footer"/>
          <w:jc w:val="right"/>
        </w:pPr>
        <w:r>
          <w:fldChar w:fldCharType="begin"/>
        </w:r>
        <w:r>
          <w:instrText xml:space="preserve"> PAGE   \* MERGEFORMAT </w:instrText>
        </w:r>
        <w:r>
          <w:fldChar w:fldCharType="separate"/>
        </w:r>
        <w:r w:rsidR="004F5FC6">
          <w:rPr>
            <w:noProof/>
          </w:rPr>
          <w:t>16</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969927"/>
      <w:docPartObj>
        <w:docPartGallery w:val="Page Numbers (Bottom of Page)"/>
        <w:docPartUnique/>
      </w:docPartObj>
    </w:sdtPr>
    <w:sdtEndPr>
      <w:rPr>
        <w:noProof/>
      </w:rPr>
    </w:sdtEndPr>
    <w:sdtContent>
      <w:p w:rsidR="00E92BF9" w:rsidRDefault="00E92BF9">
        <w:pPr>
          <w:pStyle w:val="Footer"/>
          <w:jc w:val="right"/>
        </w:pPr>
        <w:r>
          <w:fldChar w:fldCharType="begin"/>
        </w:r>
        <w:r>
          <w:instrText xml:space="preserve"> PAGE   \* MERGEFORMAT </w:instrText>
        </w:r>
        <w:r>
          <w:fldChar w:fldCharType="separate"/>
        </w:r>
        <w:r w:rsidR="00E5124A">
          <w:rPr>
            <w:noProof/>
          </w:rPr>
          <w:t>15</w:t>
        </w:r>
        <w:r>
          <w:rPr>
            <w:noProof/>
          </w:rPr>
          <w:fldChar w:fldCharType="end"/>
        </w:r>
      </w:p>
    </w:sdtContent>
  </w:sdt>
  <w:p w:rsidR="00E92BF9" w:rsidRDefault="00E9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6D6" w:rsidRDefault="001E56D6" w:rsidP="00131A64">
      <w:pPr>
        <w:spacing w:after="0" w:line="240" w:lineRule="auto"/>
      </w:pPr>
      <w:r>
        <w:separator/>
      </w:r>
    </w:p>
  </w:footnote>
  <w:footnote w:type="continuationSeparator" w:id="0">
    <w:p w:rsidR="001E56D6" w:rsidRDefault="001E56D6" w:rsidP="00131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F9" w:rsidRDefault="00E9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E3" w:rsidRPr="00F26F91" w:rsidRDefault="008E5AE3" w:rsidP="006B426A">
    <w:pPr>
      <w:pStyle w:val="Header"/>
      <w:pBdr>
        <w:bottom w:val="single" w:sz="4" w:space="1" w:color="auto"/>
      </w:pBdr>
      <w:rPr>
        <w:rFonts w:ascii="Calibri" w:hAnsi="Calibri" w:cs="Calibri"/>
        <w:sz w:val="20"/>
        <w:szCs w:val="20"/>
      </w:rPr>
    </w:pPr>
    <w:r w:rsidRPr="00F26F91">
      <w:rPr>
        <w:rFonts w:ascii="Calibri" w:hAnsi="Calibri" w:cs="Calibri"/>
        <w:sz w:val="20"/>
        <w:szCs w:val="20"/>
      </w:rPr>
      <w:t>Post-market review of PAH medicines</w:t>
    </w:r>
  </w:p>
  <w:p w:rsidR="008E5AE3" w:rsidRPr="006B426A" w:rsidRDefault="008E5AE3" w:rsidP="006B4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BF9" w:rsidRDefault="00E92B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E3" w:rsidRDefault="008E5A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E3" w:rsidRDefault="008E5A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AE3" w:rsidRPr="00F26F91" w:rsidRDefault="008E5AE3" w:rsidP="009543B4">
    <w:pPr>
      <w:pStyle w:val="Header"/>
      <w:pBdr>
        <w:bottom w:val="single" w:sz="4" w:space="1" w:color="auto"/>
      </w:pBdr>
      <w:rPr>
        <w:rFonts w:ascii="Calibri" w:hAnsi="Calibri" w:cs="Calibri"/>
        <w:sz w:val="20"/>
        <w:szCs w:val="20"/>
      </w:rPr>
    </w:pPr>
    <w:r w:rsidRPr="00F26F91">
      <w:rPr>
        <w:rFonts w:ascii="Calibri" w:hAnsi="Calibri" w:cs="Calibri"/>
        <w:sz w:val="20"/>
        <w:szCs w:val="20"/>
      </w:rPr>
      <w:t>Post-market review of PAH medicines</w:t>
    </w:r>
  </w:p>
  <w:p w:rsidR="008E5AE3" w:rsidRDefault="008E5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4C65BB0"/>
    <w:multiLevelType w:val="hybridMultilevel"/>
    <w:tmpl w:val="7F4ABDB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FA0F2B"/>
    <w:multiLevelType w:val="hybridMultilevel"/>
    <w:tmpl w:val="E396A9CC"/>
    <w:lvl w:ilvl="0" w:tplc="ECE0CFFE">
      <w:start w:val="1"/>
      <w:numFmt w:val="bullet"/>
      <w:pStyle w:val="07Table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5F1F72"/>
    <w:multiLevelType w:val="hybridMultilevel"/>
    <w:tmpl w:val="4266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5A40D7"/>
    <w:multiLevelType w:val="hybridMultilevel"/>
    <w:tmpl w:val="88B89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B142AD"/>
    <w:multiLevelType w:val="hybridMultilevel"/>
    <w:tmpl w:val="BE72D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
  </w:num>
  <w:num w:numId="5">
    <w:abstractNumId w:val="4"/>
  </w:num>
  <w:num w:numId="6">
    <w:abstractNumId w:val="6"/>
  </w:num>
  <w:num w:numId="7">
    <w:abstractNumId w:val="3"/>
  </w:num>
  <w:num w:numId="8">
    <w:abstractNumId w:val="8"/>
  </w:num>
  <w:num w:numId="9">
    <w:abstractNumId w:val="2"/>
  </w:num>
  <w:num w:numId="10">
    <w:abstractNumId w:val="7"/>
  </w:num>
  <w:num w:numId="11">
    <w:abstractNumId w:val="3"/>
  </w:num>
  <w:num w:numId="12">
    <w:abstractNumId w:val="3"/>
  </w:num>
  <w:num w:numId="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d559px9awvxvyeprsvpw50k9p0x002z2wf0&quot;&gt;Asthma EndNote Library&lt;record-ids&gt;&lt;item&gt;764&lt;/item&gt;&lt;item&gt;766&lt;/item&gt;&lt;item&gt;768&lt;/item&gt;&lt;item&gt;769&lt;/item&gt;&lt;item&gt;770&lt;/item&gt;&lt;item&gt;771&lt;/item&gt;&lt;item&gt;772&lt;/item&gt;&lt;item&gt;777&lt;/item&gt;&lt;item&gt;782&lt;/item&gt;&lt;item&gt;783&lt;/item&gt;&lt;item&gt;784&lt;/item&gt;&lt;item&gt;786&lt;/item&gt;&lt;item&gt;789&lt;/item&gt;&lt;item&gt;796&lt;/item&gt;&lt;item&gt;800&lt;/item&gt;&lt;item&gt;801&lt;/item&gt;&lt;item&gt;802&lt;/item&gt;&lt;item&gt;805&lt;/item&gt;&lt;item&gt;806&lt;/item&gt;&lt;item&gt;807&lt;/item&gt;&lt;item&gt;810&lt;/item&gt;&lt;item&gt;814&lt;/item&gt;&lt;item&gt;815&lt;/item&gt;&lt;item&gt;816&lt;/item&gt;&lt;item&gt;817&lt;/item&gt;&lt;item&gt;822&lt;/item&gt;&lt;item&gt;824&lt;/item&gt;&lt;item&gt;825&lt;/item&gt;&lt;item&gt;826&lt;/item&gt;&lt;item&gt;827&lt;/item&gt;&lt;item&gt;829&lt;/item&gt;&lt;item&gt;832&lt;/item&gt;&lt;item&gt;835&lt;/item&gt;&lt;item&gt;836&lt;/item&gt;&lt;item&gt;838&lt;/item&gt;&lt;item&gt;845&lt;/item&gt;&lt;item&gt;848&lt;/item&gt;&lt;item&gt;850&lt;/item&gt;&lt;item&gt;852&lt;/item&gt;&lt;item&gt;855&lt;/item&gt;&lt;item&gt;857&lt;/item&gt;&lt;item&gt;860&lt;/item&gt;&lt;item&gt;861&lt;/item&gt;&lt;item&gt;869&lt;/item&gt;&lt;item&gt;870&lt;/item&gt;&lt;item&gt;878&lt;/item&gt;&lt;item&gt;879&lt;/item&gt;&lt;item&gt;880&lt;/item&gt;&lt;item&gt;886&lt;/item&gt;&lt;item&gt;904&lt;/item&gt;&lt;item&gt;905&lt;/item&gt;&lt;item&gt;918&lt;/item&gt;&lt;item&gt;921&lt;/item&gt;&lt;item&gt;926&lt;/item&gt;&lt;item&gt;929&lt;/item&gt;&lt;item&gt;934&lt;/item&gt;&lt;item&gt;936&lt;/item&gt;&lt;item&gt;941&lt;/item&gt;&lt;item&gt;947&lt;/item&gt;&lt;item&gt;955&lt;/item&gt;&lt;item&gt;961&lt;/item&gt;&lt;item&gt;962&lt;/item&gt;&lt;item&gt;964&lt;/item&gt;&lt;item&gt;969&lt;/item&gt;&lt;item&gt;977&lt;/item&gt;&lt;item&gt;988&lt;/item&gt;&lt;item&gt;989&lt;/item&gt;&lt;item&gt;990&lt;/item&gt;&lt;item&gt;996&lt;/item&gt;&lt;item&gt;997&lt;/item&gt;&lt;item&gt;998&lt;/item&gt;&lt;item&gt;999&lt;/item&gt;&lt;item&gt;1001&lt;/item&gt;&lt;item&gt;1003&lt;/item&gt;&lt;item&gt;1004&lt;/item&gt;&lt;item&gt;1007&lt;/item&gt;&lt;item&gt;1008&lt;/item&gt;&lt;item&gt;1009&lt;/item&gt;&lt;item&gt;1010&lt;/item&gt;&lt;item&gt;1012&lt;/item&gt;&lt;item&gt;1013&lt;/item&gt;&lt;item&gt;1015&lt;/item&gt;&lt;item&gt;1016&lt;/item&gt;&lt;item&gt;1017&lt;/item&gt;&lt;item&gt;1019&lt;/item&gt;&lt;item&gt;1020&lt;/item&gt;&lt;item&gt;1021&lt;/item&gt;&lt;item&gt;1024&lt;/item&gt;&lt;item&gt;1025&lt;/item&gt;&lt;item&gt;1026&lt;/item&gt;&lt;item&gt;1027&lt;/item&gt;&lt;item&gt;1028&lt;/item&gt;&lt;item&gt;1029&lt;/item&gt;&lt;item&gt;1030&lt;/item&gt;&lt;item&gt;1031&lt;/item&gt;&lt;item&gt;1032&lt;/item&gt;&lt;item&gt;1036&lt;/item&gt;&lt;item&gt;1037&lt;/item&gt;&lt;item&gt;1039&lt;/item&gt;&lt;item&gt;1040&lt;/item&gt;&lt;item&gt;1042&lt;/item&gt;&lt;item&gt;1046&lt;/item&gt;&lt;item&gt;1047&lt;/item&gt;&lt;item&gt;1048&lt;/item&gt;&lt;item&gt;1049&lt;/item&gt;&lt;item&gt;1051&lt;/item&gt;&lt;item&gt;1052&lt;/item&gt;&lt;item&gt;1053&lt;/item&gt;&lt;item&gt;1055&lt;/item&gt;&lt;item&gt;1060&lt;/item&gt;&lt;item&gt;1068&lt;/item&gt;&lt;item&gt;1069&lt;/item&gt;&lt;item&gt;1070&lt;/item&gt;&lt;item&gt;1071&lt;/item&gt;&lt;item&gt;1072&lt;/item&gt;&lt;item&gt;1073&lt;/item&gt;&lt;item&gt;1074&lt;/item&gt;&lt;item&gt;1075&lt;/item&gt;&lt;item&gt;1076&lt;/item&gt;&lt;item&gt;1077&lt;/item&gt;&lt;item&gt;1078&lt;/item&gt;&lt;item&gt;1079&lt;/item&gt;&lt;item&gt;1080&lt;/item&gt;&lt;item&gt;1084&lt;/item&gt;&lt;item&gt;1085&lt;/item&gt;&lt;item&gt;1086&lt;/item&gt;&lt;item&gt;1087&lt;/item&gt;&lt;item&gt;1088&lt;/item&gt;&lt;item&gt;1091&lt;/item&gt;&lt;item&gt;1095&lt;/item&gt;&lt;item&gt;1106&lt;/item&gt;&lt;item&gt;1110&lt;/item&gt;&lt;item&gt;1121&lt;/item&gt;&lt;item&gt;1124&lt;/item&gt;&lt;item&gt;1125&lt;/item&gt;&lt;item&gt;1126&lt;/item&gt;&lt;item&gt;1127&lt;/item&gt;&lt;item&gt;1128&lt;/item&gt;&lt;item&gt;1129&lt;/item&gt;&lt;item&gt;1130&lt;/item&gt;&lt;item&gt;1132&lt;/item&gt;&lt;item&gt;1133&lt;/item&gt;&lt;item&gt;1134&lt;/item&gt;&lt;item&gt;1135&lt;/item&gt;&lt;item&gt;1136&lt;/item&gt;&lt;item&gt;1159&lt;/item&gt;&lt;item&gt;1166&lt;/item&gt;&lt;/record-ids&gt;&lt;/item&gt;&lt;/Libraries&gt;"/>
  </w:docVars>
  <w:rsids>
    <w:rsidRoot w:val="008D0D0C"/>
    <w:rsid w:val="00000E81"/>
    <w:rsid w:val="0000568D"/>
    <w:rsid w:val="000064E0"/>
    <w:rsid w:val="000122DB"/>
    <w:rsid w:val="00015414"/>
    <w:rsid w:val="00021275"/>
    <w:rsid w:val="0002154C"/>
    <w:rsid w:val="0002201F"/>
    <w:rsid w:val="000223C1"/>
    <w:rsid w:val="000223D2"/>
    <w:rsid w:val="00022ED8"/>
    <w:rsid w:val="000230A6"/>
    <w:rsid w:val="000235A6"/>
    <w:rsid w:val="000265EC"/>
    <w:rsid w:val="000273CD"/>
    <w:rsid w:val="000276EC"/>
    <w:rsid w:val="00027CA6"/>
    <w:rsid w:val="00027E8D"/>
    <w:rsid w:val="00030D5A"/>
    <w:rsid w:val="00031935"/>
    <w:rsid w:val="00031F5D"/>
    <w:rsid w:val="000328B5"/>
    <w:rsid w:val="00033B67"/>
    <w:rsid w:val="00034B71"/>
    <w:rsid w:val="000358F7"/>
    <w:rsid w:val="00041577"/>
    <w:rsid w:val="00041E94"/>
    <w:rsid w:val="0004288C"/>
    <w:rsid w:val="00045E05"/>
    <w:rsid w:val="00046E01"/>
    <w:rsid w:val="000506CB"/>
    <w:rsid w:val="0005072C"/>
    <w:rsid w:val="00051E89"/>
    <w:rsid w:val="000523FD"/>
    <w:rsid w:val="00054219"/>
    <w:rsid w:val="00055439"/>
    <w:rsid w:val="00057CC1"/>
    <w:rsid w:val="000603FB"/>
    <w:rsid w:val="0006484D"/>
    <w:rsid w:val="0006497A"/>
    <w:rsid w:val="0006501B"/>
    <w:rsid w:val="00065764"/>
    <w:rsid w:val="00065C00"/>
    <w:rsid w:val="00067C30"/>
    <w:rsid w:val="0007148C"/>
    <w:rsid w:val="00071984"/>
    <w:rsid w:val="00072409"/>
    <w:rsid w:val="00073BF6"/>
    <w:rsid w:val="000755B3"/>
    <w:rsid w:val="0007635D"/>
    <w:rsid w:val="00080BEA"/>
    <w:rsid w:val="00081DCB"/>
    <w:rsid w:val="00082A22"/>
    <w:rsid w:val="00083616"/>
    <w:rsid w:val="00087D22"/>
    <w:rsid w:val="00091FDD"/>
    <w:rsid w:val="00092CFD"/>
    <w:rsid w:val="000935DE"/>
    <w:rsid w:val="000944DB"/>
    <w:rsid w:val="00094B05"/>
    <w:rsid w:val="00094B19"/>
    <w:rsid w:val="00095EFB"/>
    <w:rsid w:val="0009621D"/>
    <w:rsid w:val="000963F0"/>
    <w:rsid w:val="000A1734"/>
    <w:rsid w:val="000A2E84"/>
    <w:rsid w:val="000A4B4F"/>
    <w:rsid w:val="000A4BF1"/>
    <w:rsid w:val="000A4FA9"/>
    <w:rsid w:val="000A5656"/>
    <w:rsid w:val="000A5AD0"/>
    <w:rsid w:val="000A7005"/>
    <w:rsid w:val="000A7382"/>
    <w:rsid w:val="000A74CF"/>
    <w:rsid w:val="000B08B7"/>
    <w:rsid w:val="000B1445"/>
    <w:rsid w:val="000B1785"/>
    <w:rsid w:val="000B320D"/>
    <w:rsid w:val="000B3355"/>
    <w:rsid w:val="000B397E"/>
    <w:rsid w:val="000B4D83"/>
    <w:rsid w:val="000B59A9"/>
    <w:rsid w:val="000B612B"/>
    <w:rsid w:val="000C0B54"/>
    <w:rsid w:val="000C2807"/>
    <w:rsid w:val="000C3409"/>
    <w:rsid w:val="000C3907"/>
    <w:rsid w:val="000C5294"/>
    <w:rsid w:val="000C7B1E"/>
    <w:rsid w:val="000D21FC"/>
    <w:rsid w:val="000D568E"/>
    <w:rsid w:val="000D6085"/>
    <w:rsid w:val="000E2AB4"/>
    <w:rsid w:val="000E524B"/>
    <w:rsid w:val="000E5495"/>
    <w:rsid w:val="000E700F"/>
    <w:rsid w:val="000E7E6A"/>
    <w:rsid w:val="000F1D60"/>
    <w:rsid w:val="000F2556"/>
    <w:rsid w:val="000F3BC0"/>
    <w:rsid w:val="000F72BC"/>
    <w:rsid w:val="001021C8"/>
    <w:rsid w:val="00105D06"/>
    <w:rsid w:val="001101C2"/>
    <w:rsid w:val="00110BAF"/>
    <w:rsid w:val="00110C23"/>
    <w:rsid w:val="00113BBC"/>
    <w:rsid w:val="00115A41"/>
    <w:rsid w:val="00117B58"/>
    <w:rsid w:val="00121BD5"/>
    <w:rsid w:val="00122F2C"/>
    <w:rsid w:val="0012304D"/>
    <w:rsid w:val="001234CB"/>
    <w:rsid w:val="001259DE"/>
    <w:rsid w:val="001268FF"/>
    <w:rsid w:val="001278F8"/>
    <w:rsid w:val="00131A64"/>
    <w:rsid w:val="00131C7E"/>
    <w:rsid w:val="00133745"/>
    <w:rsid w:val="00134E08"/>
    <w:rsid w:val="001351AC"/>
    <w:rsid w:val="00137765"/>
    <w:rsid w:val="001379D4"/>
    <w:rsid w:val="00137D8F"/>
    <w:rsid w:val="00140616"/>
    <w:rsid w:val="0014080B"/>
    <w:rsid w:val="00140A2B"/>
    <w:rsid w:val="0014316A"/>
    <w:rsid w:val="00143204"/>
    <w:rsid w:val="001437B9"/>
    <w:rsid w:val="001443F2"/>
    <w:rsid w:val="00145F88"/>
    <w:rsid w:val="00152166"/>
    <w:rsid w:val="00152289"/>
    <w:rsid w:val="00152D47"/>
    <w:rsid w:val="00153744"/>
    <w:rsid w:val="00153E2A"/>
    <w:rsid w:val="00157DCB"/>
    <w:rsid w:val="00163F63"/>
    <w:rsid w:val="00165056"/>
    <w:rsid w:val="00165D31"/>
    <w:rsid w:val="00165EF0"/>
    <w:rsid w:val="0016740F"/>
    <w:rsid w:val="00170585"/>
    <w:rsid w:val="00172E4C"/>
    <w:rsid w:val="001735E0"/>
    <w:rsid w:val="00177619"/>
    <w:rsid w:val="001809AC"/>
    <w:rsid w:val="00183A07"/>
    <w:rsid w:val="00184491"/>
    <w:rsid w:val="0018489E"/>
    <w:rsid w:val="001869BF"/>
    <w:rsid w:val="001875B5"/>
    <w:rsid w:val="00187AB4"/>
    <w:rsid w:val="00187F47"/>
    <w:rsid w:val="001939EA"/>
    <w:rsid w:val="00193CE6"/>
    <w:rsid w:val="00194614"/>
    <w:rsid w:val="00196629"/>
    <w:rsid w:val="00197098"/>
    <w:rsid w:val="001A1AD7"/>
    <w:rsid w:val="001A1E58"/>
    <w:rsid w:val="001A2F37"/>
    <w:rsid w:val="001A35B9"/>
    <w:rsid w:val="001A384F"/>
    <w:rsid w:val="001A491F"/>
    <w:rsid w:val="001A4F17"/>
    <w:rsid w:val="001A63CD"/>
    <w:rsid w:val="001A7729"/>
    <w:rsid w:val="001B1577"/>
    <w:rsid w:val="001B2868"/>
    <w:rsid w:val="001B48DC"/>
    <w:rsid w:val="001C0085"/>
    <w:rsid w:val="001C0980"/>
    <w:rsid w:val="001C1C3E"/>
    <w:rsid w:val="001C35C9"/>
    <w:rsid w:val="001C4051"/>
    <w:rsid w:val="001C4EE1"/>
    <w:rsid w:val="001D0E78"/>
    <w:rsid w:val="001D255D"/>
    <w:rsid w:val="001D2DF0"/>
    <w:rsid w:val="001D320C"/>
    <w:rsid w:val="001D3573"/>
    <w:rsid w:val="001D687C"/>
    <w:rsid w:val="001E04F1"/>
    <w:rsid w:val="001E19BF"/>
    <w:rsid w:val="001E4A4C"/>
    <w:rsid w:val="001E5510"/>
    <w:rsid w:val="001E56D6"/>
    <w:rsid w:val="001E63E5"/>
    <w:rsid w:val="001F1CD5"/>
    <w:rsid w:val="001F27B0"/>
    <w:rsid w:val="001F326A"/>
    <w:rsid w:val="001F39F6"/>
    <w:rsid w:val="001F4BBA"/>
    <w:rsid w:val="001F750F"/>
    <w:rsid w:val="002001E6"/>
    <w:rsid w:val="00200248"/>
    <w:rsid w:val="002012C2"/>
    <w:rsid w:val="00203BFB"/>
    <w:rsid w:val="00204D93"/>
    <w:rsid w:val="00205C1C"/>
    <w:rsid w:val="0021091E"/>
    <w:rsid w:val="00211130"/>
    <w:rsid w:val="00211CB4"/>
    <w:rsid w:val="002128D6"/>
    <w:rsid w:val="00212FCE"/>
    <w:rsid w:val="00213139"/>
    <w:rsid w:val="00213F09"/>
    <w:rsid w:val="00216527"/>
    <w:rsid w:val="00220104"/>
    <w:rsid w:val="00221118"/>
    <w:rsid w:val="00224A73"/>
    <w:rsid w:val="002256C3"/>
    <w:rsid w:val="00227614"/>
    <w:rsid w:val="00227620"/>
    <w:rsid w:val="00230B8A"/>
    <w:rsid w:val="002317FC"/>
    <w:rsid w:val="00231C65"/>
    <w:rsid w:val="00232251"/>
    <w:rsid w:val="002327D9"/>
    <w:rsid w:val="0023483F"/>
    <w:rsid w:val="00235E0A"/>
    <w:rsid w:val="00236763"/>
    <w:rsid w:val="002415C6"/>
    <w:rsid w:val="00241B75"/>
    <w:rsid w:val="00242062"/>
    <w:rsid w:val="002428A6"/>
    <w:rsid w:val="00243AD5"/>
    <w:rsid w:val="00243F48"/>
    <w:rsid w:val="00243FA1"/>
    <w:rsid w:val="00243FBF"/>
    <w:rsid w:val="00246CDF"/>
    <w:rsid w:val="00247F11"/>
    <w:rsid w:val="002500A6"/>
    <w:rsid w:val="00251678"/>
    <w:rsid w:val="00251832"/>
    <w:rsid w:val="00253ABB"/>
    <w:rsid w:val="00257D4E"/>
    <w:rsid w:val="00261A56"/>
    <w:rsid w:val="00261A7D"/>
    <w:rsid w:val="002629CB"/>
    <w:rsid w:val="002637B8"/>
    <w:rsid w:val="00263FE1"/>
    <w:rsid w:val="0026530E"/>
    <w:rsid w:val="00266830"/>
    <w:rsid w:val="00266E02"/>
    <w:rsid w:val="00267C57"/>
    <w:rsid w:val="00267F14"/>
    <w:rsid w:val="00270470"/>
    <w:rsid w:val="00270D86"/>
    <w:rsid w:val="002717D1"/>
    <w:rsid w:val="00271DE2"/>
    <w:rsid w:val="00271EEF"/>
    <w:rsid w:val="00272185"/>
    <w:rsid w:val="00272E9D"/>
    <w:rsid w:val="00275FBC"/>
    <w:rsid w:val="00277BAE"/>
    <w:rsid w:val="00283857"/>
    <w:rsid w:val="00284512"/>
    <w:rsid w:val="00285854"/>
    <w:rsid w:val="00285C95"/>
    <w:rsid w:val="002868EB"/>
    <w:rsid w:val="00287013"/>
    <w:rsid w:val="002873B8"/>
    <w:rsid w:val="00287BED"/>
    <w:rsid w:val="002911FD"/>
    <w:rsid w:val="00291605"/>
    <w:rsid w:val="00291DFF"/>
    <w:rsid w:val="00293E81"/>
    <w:rsid w:val="00294174"/>
    <w:rsid w:val="002941E4"/>
    <w:rsid w:val="002971B9"/>
    <w:rsid w:val="00297B37"/>
    <w:rsid w:val="002A0772"/>
    <w:rsid w:val="002A07AF"/>
    <w:rsid w:val="002A0833"/>
    <w:rsid w:val="002A25CD"/>
    <w:rsid w:val="002A470A"/>
    <w:rsid w:val="002A49C0"/>
    <w:rsid w:val="002B1CA8"/>
    <w:rsid w:val="002B299E"/>
    <w:rsid w:val="002B2C1A"/>
    <w:rsid w:val="002B453F"/>
    <w:rsid w:val="002B4E50"/>
    <w:rsid w:val="002B621A"/>
    <w:rsid w:val="002B649F"/>
    <w:rsid w:val="002B6569"/>
    <w:rsid w:val="002C082C"/>
    <w:rsid w:val="002C1299"/>
    <w:rsid w:val="002C149C"/>
    <w:rsid w:val="002C27E0"/>
    <w:rsid w:val="002C3109"/>
    <w:rsid w:val="002C4D7E"/>
    <w:rsid w:val="002C6ED2"/>
    <w:rsid w:val="002C7876"/>
    <w:rsid w:val="002C7ABB"/>
    <w:rsid w:val="002D2CBD"/>
    <w:rsid w:val="002D3EA5"/>
    <w:rsid w:val="002D48E6"/>
    <w:rsid w:val="002D4C49"/>
    <w:rsid w:val="002D5645"/>
    <w:rsid w:val="002D7187"/>
    <w:rsid w:val="002E1D76"/>
    <w:rsid w:val="002E28EC"/>
    <w:rsid w:val="002E3FA3"/>
    <w:rsid w:val="002E41E6"/>
    <w:rsid w:val="002E45EE"/>
    <w:rsid w:val="002E47C6"/>
    <w:rsid w:val="002E57C2"/>
    <w:rsid w:val="002F13BF"/>
    <w:rsid w:val="002F19C2"/>
    <w:rsid w:val="002F1CBE"/>
    <w:rsid w:val="002F3DA1"/>
    <w:rsid w:val="002F40FE"/>
    <w:rsid w:val="003013BC"/>
    <w:rsid w:val="00301A17"/>
    <w:rsid w:val="00302DF8"/>
    <w:rsid w:val="0030305C"/>
    <w:rsid w:val="00304DFF"/>
    <w:rsid w:val="00304F8D"/>
    <w:rsid w:val="00305FED"/>
    <w:rsid w:val="003060AD"/>
    <w:rsid w:val="0030695F"/>
    <w:rsid w:val="003072C9"/>
    <w:rsid w:val="0030771F"/>
    <w:rsid w:val="00310196"/>
    <w:rsid w:val="00311566"/>
    <w:rsid w:val="00314958"/>
    <w:rsid w:val="00316A02"/>
    <w:rsid w:val="00317D31"/>
    <w:rsid w:val="00317D8F"/>
    <w:rsid w:val="003218AB"/>
    <w:rsid w:val="00322155"/>
    <w:rsid w:val="00323A47"/>
    <w:rsid w:val="0032418B"/>
    <w:rsid w:val="00324EEC"/>
    <w:rsid w:val="00325490"/>
    <w:rsid w:val="00325CA6"/>
    <w:rsid w:val="00327DB0"/>
    <w:rsid w:val="00330D1C"/>
    <w:rsid w:val="0033250D"/>
    <w:rsid w:val="003326B2"/>
    <w:rsid w:val="003340FB"/>
    <w:rsid w:val="00343A91"/>
    <w:rsid w:val="00343E8B"/>
    <w:rsid w:val="003445DF"/>
    <w:rsid w:val="00344C9B"/>
    <w:rsid w:val="00346BA3"/>
    <w:rsid w:val="00346DC8"/>
    <w:rsid w:val="00351C05"/>
    <w:rsid w:val="00352D4A"/>
    <w:rsid w:val="00353B9F"/>
    <w:rsid w:val="00353C80"/>
    <w:rsid w:val="00354AEA"/>
    <w:rsid w:val="00355E49"/>
    <w:rsid w:val="003600D5"/>
    <w:rsid w:val="00360774"/>
    <w:rsid w:val="00361602"/>
    <w:rsid w:val="00361C0B"/>
    <w:rsid w:val="00364192"/>
    <w:rsid w:val="00365072"/>
    <w:rsid w:val="003656BB"/>
    <w:rsid w:val="00366226"/>
    <w:rsid w:val="0036779C"/>
    <w:rsid w:val="003711D4"/>
    <w:rsid w:val="003714D0"/>
    <w:rsid w:val="003731D5"/>
    <w:rsid w:val="00373FE0"/>
    <w:rsid w:val="0037685D"/>
    <w:rsid w:val="00376FDE"/>
    <w:rsid w:val="0037787F"/>
    <w:rsid w:val="00382266"/>
    <w:rsid w:val="00383388"/>
    <w:rsid w:val="00383786"/>
    <w:rsid w:val="00386E0E"/>
    <w:rsid w:val="00394233"/>
    <w:rsid w:val="003A1768"/>
    <w:rsid w:val="003B2C19"/>
    <w:rsid w:val="003B4C11"/>
    <w:rsid w:val="003B69D9"/>
    <w:rsid w:val="003B773A"/>
    <w:rsid w:val="003C2D08"/>
    <w:rsid w:val="003C329C"/>
    <w:rsid w:val="003C4AFD"/>
    <w:rsid w:val="003C4B35"/>
    <w:rsid w:val="003C54DB"/>
    <w:rsid w:val="003D0BBD"/>
    <w:rsid w:val="003D1F1C"/>
    <w:rsid w:val="003D2261"/>
    <w:rsid w:val="003D4B4D"/>
    <w:rsid w:val="003E2602"/>
    <w:rsid w:val="003E338B"/>
    <w:rsid w:val="003E3641"/>
    <w:rsid w:val="003E46B3"/>
    <w:rsid w:val="003E63A3"/>
    <w:rsid w:val="003E6E50"/>
    <w:rsid w:val="003E716F"/>
    <w:rsid w:val="003F0123"/>
    <w:rsid w:val="003F2EB2"/>
    <w:rsid w:val="003F49EF"/>
    <w:rsid w:val="00402B39"/>
    <w:rsid w:val="00402EDF"/>
    <w:rsid w:val="00406B68"/>
    <w:rsid w:val="004079FE"/>
    <w:rsid w:val="004112F3"/>
    <w:rsid w:val="0041360B"/>
    <w:rsid w:val="0041405D"/>
    <w:rsid w:val="00414537"/>
    <w:rsid w:val="00414DBB"/>
    <w:rsid w:val="00417E4C"/>
    <w:rsid w:val="00421BA6"/>
    <w:rsid w:val="00422086"/>
    <w:rsid w:val="00423A6F"/>
    <w:rsid w:val="004249B8"/>
    <w:rsid w:val="00427FF4"/>
    <w:rsid w:val="0043006E"/>
    <w:rsid w:val="00430AA7"/>
    <w:rsid w:val="0043146C"/>
    <w:rsid w:val="0043400B"/>
    <w:rsid w:val="00435612"/>
    <w:rsid w:val="00435C7C"/>
    <w:rsid w:val="00436FE7"/>
    <w:rsid w:val="00441F01"/>
    <w:rsid w:val="00442CB3"/>
    <w:rsid w:val="00444DF2"/>
    <w:rsid w:val="00451306"/>
    <w:rsid w:val="00451F0E"/>
    <w:rsid w:val="004526CB"/>
    <w:rsid w:val="00454E5A"/>
    <w:rsid w:val="00455F4A"/>
    <w:rsid w:val="00457E7E"/>
    <w:rsid w:val="00461BC4"/>
    <w:rsid w:val="00462CF6"/>
    <w:rsid w:val="00463760"/>
    <w:rsid w:val="0046458B"/>
    <w:rsid w:val="00464857"/>
    <w:rsid w:val="004652A1"/>
    <w:rsid w:val="00466C51"/>
    <w:rsid w:val="004703C0"/>
    <w:rsid w:val="00470DD3"/>
    <w:rsid w:val="004733E1"/>
    <w:rsid w:val="0047342A"/>
    <w:rsid w:val="0047458A"/>
    <w:rsid w:val="00475058"/>
    <w:rsid w:val="004755F1"/>
    <w:rsid w:val="00475FAF"/>
    <w:rsid w:val="00476E22"/>
    <w:rsid w:val="00477C4F"/>
    <w:rsid w:val="00480124"/>
    <w:rsid w:val="00480450"/>
    <w:rsid w:val="00485A1B"/>
    <w:rsid w:val="0048707C"/>
    <w:rsid w:val="0048720C"/>
    <w:rsid w:val="004878EA"/>
    <w:rsid w:val="00490FBE"/>
    <w:rsid w:val="0049125A"/>
    <w:rsid w:val="0049591C"/>
    <w:rsid w:val="00496BE4"/>
    <w:rsid w:val="004A0228"/>
    <w:rsid w:val="004A141D"/>
    <w:rsid w:val="004A2446"/>
    <w:rsid w:val="004A27D0"/>
    <w:rsid w:val="004A3239"/>
    <w:rsid w:val="004A36FF"/>
    <w:rsid w:val="004A42B5"/>
    <w:rsid w:val="004A4A37"/>
    <w:rsid w:val="004A4D62"/>
    <w:rsid w:val="004B11B2"/>
    <w:rsid w:val="004B35EB"/>
    <w:rsid w:val="004B43EC"/>
    <w:rsid w:val="004B4E2E"/>
    <w:rsid w:val="004B5553"/>
    <w:rsid w:val="004B6997"/>
    <w:rsid w:val="004B6F8E"/>
    <w:rsid w:val="004C0069"/>
    <w:rsid w:val="004C215E"/>
    <w:rsid w:val="004C28F7"/>
    <w:rsid w:val="004C2C8F"/>
    <w:rsid w:val="004C3737"/>
    <w:rsid w:val="004C3F6A"/>
    <w:rsid w:val="004C5556"/>
    <w:rsid w:val="004D11B7"/>
    <w:rsid w:val="004D1978"/>
    <w:rsid w:val="004D263E"/>
    <w:rsid w:val="004D4765"/>
    <w:rsid w:val="004D548D"/>
    <w:rsid w:val="004D5E71"/>
    <w:rsid w:val="004D61D9"/>
    <w:rsid w:val="004D6B71"/>
    <w:rsid w:val="004E064D"/>
    <w:rsid w:val="004E1B15"/>
    <w:rsid w:val="004E2E82"/>
    <w:rsid w:val="004E33B9"/>
    <w:rsid w:val="004E6FB0"/>
    <w:rsid w:val="004F2DFA"/>
    <w:rsid w:val="004F48FB"/>
    <w:rsid w:val="004F4DAC"/>
    <w:rsid w:val="004F5DAB"/>
    <w:rsid w:val="004F5FC6"/>
    <w:rsid w:val="004F6747"/>
    <w:rsid w:val="004F722E"/>
    <w:rsid w:val="00501D43"/>
    <w:rsid w:val="00502DD7"/>
    <w:rsid w:val="005113A5"/>
    <w:rsid w:val="00512841"/>
    <w:rsid w:val="00512FB7"/>
    <w:rsid w:val="00513518"/>
    <w:rsid w:val="00513966"/>
    <w:rsid w:val="00514529"/>
    <w:rsid w:val="00516017"/>
    <w:rsid w:val="00516142"/>
    <w:rsid w:val="00516647"/>
    <w:rsid w:val="00516893"/>
    <w:rsid w:val="00521A74"/>
    <w:rsid w:val="00522795"/>
    <w:rsid w:val="00524821"/>
    <w:rsid w:val="00525DC1"/>
    <w:rsid w:val="00530EE8"/>
    <w:rsid w:val="00534537"/>
    <w:rsid w:val="00534A78"/>
    <w:rsid w:val="00536057"/>
    <w:rsid w:val="00536BAA"/>
    <w:rsid w:val="005370E4"/>
    <w:rsid w:val="00540A51"/>
    <w:rsid w:val="00540D49"/>
    <w:rsid w:val="005413D8"/>
    <w:rsid w:val="00542003"/>
    <w:rsid w:val="00543A01"/>
    <w:rsid w:val="00543DA7"/>
    <w:rsid w:val="00544FEB"/>
    <w:rsid w:val="0054650B"/>
    <w:rsid w:val="00550D93"/>
    <w:rsid w:val="005513B7"/>
    <w:rsid w:val="00552910"/>
    <w:rsid w:val="00552D07"/>
    <w:rsid w:val="005538AB"/>
    <w:rsid w:val="00553ED8"/>
    <w:rsid w:val="00554736"/>
    <w:rsid w:val="005552B7"/>
    <w:rsid w:val="00556E9A"/>
    <w:rsid w:val="00557604"/>
    <w:rsid w:val="00560032"/>
    <w:rsid w:val="005616D3"/>
    <w:rsid w:val="005626A2"/>
    <w:rsid w:val="005629ED"/>
    <w:rsid w:val="00563758"/>
    <w:rsid w:val="00566544"/>
    <w:rsid w:val="005670D9"/>
    <w:rsid w:val="00567E71"/>
    <w:rsid w:val="00567FF4"/>
    <w:rsid w:val="00570836"/>
    <w:rsid w:val="00570E82"/>
    <w:rsid w:val="005718EB"/>
    <w:rsid w:val="0057325D"/>
    <w:rsid w:val="005735CE"/>
    <w:rsid w:val="005743AF"/>
    <w:rsid w:val="005743E3"/>
    <w:rsid w:val="00582341"/>
    <w:rsid w:val="00583CEA"/>
    <w:rsid w:val="0058420A"/>
    <w:rsid w:val="00585484"/>
    <w:rsid w:val="0058687C"/>
    <w:rsid w:val="0059122B"/>
    <w:rsid w:val="00592BA4"/>
    <w:rsid w:val="0059639B"/>
    <w:rsid w:val="00596630"/>
    <w:rsid w:val="005A1799"/>
    <w:rsid w:val="005A179F"/>
    <w:rsid w:val="005A3035"/>
    <w:rsid w:val="005A3A68"/>
    <w:rsid w:val="005A4EE4"/>
    <w:rsid w:val="005A708C"/>
    <w:rsid w:val="005A76ED"/>
    <w:rsid w:val="005A7BB7"/>
    <w:rsid w:val="005B122A"/>
    <w:rsid w:val="005B1FB7"/>
    <w:rsid w:val="005B2EA3"/>
    <w:rsid w:val="005B3C03"/>
    <w:rsid w:val="005B7347"/>
    <w:rsid w:val="005C0A8C"/>
    <w:rsid w:val="005C198A"/>
    <w:rsid w:val="005C55C2"/>
    <w:rsid w:val="005D008B"/>
    <w:rsid w:val="005D22B6"/>
    <w:rsid w:val="005D3592"/>
    <w:rsid w:val="005D6165"/>
    <w:rsid w:val="005E0C7B"/>
    <w:rsid w:val="005E2478"/>
    <w:rsid w:val="005E27BC"/>
    <w:rsid w:val="005E2F13"/>
    <w:rsid w:val="005E4BE5"/>
    <w:rsid w:val="005E5658"/>
    <w:rsid w:val="005E5933"/>
    <w:rsid w:val="005E661E"/>
    <w:rsid w:val="005E7771"/>
    <w:rsid w:val="005F0672"/>
    <w:rsid w:val="005F7E69"/>
    <w:rsid w:val="00601F48"/>
    <w:rsid w:val="006025F0"/>
    <w:rsid w:val="00602D43"/>
    <w:rsid w:val="00602FE0"/>
    <w:rsid w:val="006049D3"/>
    <w:rsid w:val="00610233"/>
    <w:rsid w:val="00610555"/>
    <w:rsid w:val="006127CC"/>
    <w:rsid w:val="00613AE4"/>
    <w:rsid w:val="00613C16"/>
    <w:rsid w:val="00614D7D"/>
    <w:rsid w:val="00614DF8"/>
    <w:rsid w:val="00615320"/>
    <w:rsid w:val="006218F0"/>
    <w:rsid w:val="006228E6"/>
    <w:rsid w:val="00624C49"/>
    <w:rsid w:val="006250FB"/>
    <w:rsid w:val="006253FA"/>
    <w:rsid w:val="006263CD"/>
    <w:rsid w:val="00631602"/>
    <w:rsid w:val="00633BEC"/>
    <w:rsid w:val="00633C6D"/>
    <w:rsid w:val="00634F2D"/>
    <w:rsid w:val="006356D2"/>
    <w:rsid w:val="0063760E"/>
    <w:rsid w:val="00637ED7"/>
    <w:rsid w:val="00643B2A"/>
    <w:rsid w:val="00644FE8"/>
    <w:rsid w:val="0064535D"/>
    <w:rsid w:val="00646E12"/>
    <w:rsid w:val="006505A7"/>
    <w:rsid w:val="006521F6"/>
    <w:rsid w:val="006531FE"/>
    <w:rsid w:val="00653AF4"/>
    <w:rsid w:val="00654D25"/>
    <w:rsid w:val="006570C4"/>
    <w:rsid w:val="006571DB"/>
    <w:rsid w:val="00657AD1"/>
    <w:rsid w:val="0066141C"/>
    <w:rsid w:val="006614B8"/>
    <w:rsid w:val="006632BE"/>
    <w:rsid w:val="00664B01"/>
    <w:rsid w:val="006651FC"/>
    <w:rsid w:val="00667C30"/>
    <w:rsid w:val="00673DEF"/>
    <w:rsid w:val="006749D7"/>
    <w:rsid w:val="006750D0"/>
    <w:rsid w:val="00675614"/>
    <w:rsid w:val="006778C1"/>
    <w:rsid w:val="00677E52"/>
    <w:rsid w:val="0068307C"/>
    <w:rsid w:val="006836E2"/>
    <w:rsid w:val="006856E8"/>
    <w:rsid w:val="00695CA8"/>
    <w:rsid w:val="00697213"/>
    <w:rsid w:val="00697D76"/>
    <w:rsid w:val="006A1E3E"/>
    <w:rsid w:val="006A351B"/>
    <w:rsid w:val="006A44B7"/>
    <w:rsid w:val="006A4973"/>
    <w:rsid w:val="006A7BA6"/>
    <w:rsid w:val="006A7FF3"/>
    <w:rsid w:val="006B04FE"/>
    <w:rsid w:val="006B32B9"/>
    <w:rsid w:val="006B3B35"/>
    <w:rsid w:val="006B426A"/>
    <w:rsid w:val="006B4531"/>
    <w:rsid w:val="006B59AF"/>
    <w:rsid w:val="006B67E2"/>
    <w:rsid w:val="006B6C2B"/>
    <w:rsid w:val="006C14D5"/>
    <w:rsid w:val="006C223D"/>
    <w:rsid w:val="006C480E"/>
    <w:rsid w:val="006C5BB9"/>
    <w:rsid w:val="006C66D1"/>
    <w:rsid w:val="006D0740"/>
    <w:rsid w:val="006D0DD7"/>
    <w:rsid w:val="006D1E73"/>
    <w:rsid w:val="006D200B"/>
    <w:rsid w:val="006D4837"/>
    <w:rsid w:val="006D6E84"/>
    <w:rsid w:val="006E0C88"/>
    <w:rsid w:val="006E16D9"/>
    <w:rsid w:val="006E25F4"/>
    <w:rsid w:val="006E4B79"/>
    <w:rsid w:val="006E5079"/>
    <w:rsid w:val="006E5E5B"/>
    <w:rsid w:val="006E6626"/>
    <w:rsid w:val="006E6F1B"/>
    <w:rsid w:val="006F01BA"/>
    <w:rsid w:val="006F115F"/>
    <w:rsid w:val="006F2F6A"/>
    <w:rsid w:val="006F74BB"/>
    <w:rsid w:val="007026C5"/>
    <w:rsid w:val="007042EC"/>
    <w:rsid w:val="007048F9"/>
    <w:rsid w:val="0070495F"/>
    <w:rsid w:val="00705FAF"/>
    <w:rsid w:val="00710DD3"/>
    <w:rsid w:val="0071128F"/>
    <w:rsid w:val="0071163E"/>
    <w:rsid w:val="00713895"/>
    <w:rsid w:val="007141EB"/>
    <w:rsid w:val="00714DEB"/>
    <w:rsid w:val="00720F68"/>
    <w:rsid w:val="007210D1"/>
    <w:rsid w:val="00721C7A"/>
    <w:rsid w:val="007238B8"/>
    <w:rsid w:val="00723911"/>
    <w:rsid w:val="0072460E"/>
    <w:rsid w:val="0072506F"/>
    <w:rsid w:val="00727D0D"/>
    <w:rsid w:val="00727F87"/>
    <w:rsid w:val="007304DD"/>
    <w:rsid w:val="0073538D"/>
    <w:rsid w:val="00737C4B"/>
    <w:rsid w:val="00741407"/>
    <w:rsid w:val="0074192E"/>
    <w:rsid w:val="0074603A"/>
    <w:rsid w:val="0075069C"/>
    <w:rsid w:val="00750CFE"/>
    <w:rsid w:val="007519FD"/>
    <w:rsid w:val="00751E0E"/>
    <w:rsid w:val="00756CF0"/>
    <w:rsid w:val="00756DAD"/>
    <w:rsid w:val="00761231"/>
    <w:rsid w:val="00761639"/>
    <w:rsid w:val="007624B1"/>
    <w:rsid w:val="00763CE3"/>
    <w:rsid w:val="00763D40"/>
    <w:rsid w:val="00766AC8"/>
    <w:rsid w:val="00766BD8"/>
    <w:rsid w:val="00766E47"/>
    <w:rsid w:val="00767A96"/>
    <w:rsid w:val="007731BE"/>
    <w:rsid w:val="00774D4F"/>
    <w:rsid w:val="00776CFE"/>
    <w:rsid w:val="00777386"/>
    <w:rsid w:val="00780583"/>
    <w:rsid w:val="00782661"/>
    <w:rsid w:val="00782D15"/>
    <w:rsid w:val="00783172"/>
    <w:rsid w:val="00783BF7"/>
    <w:rsid w:val="00784291"/>
    <w:rsid w:val="00785EAF"/>
    <w:rsid w:val="00786A01"/>
    <w:rsid w:val="00787960"/>
    <w:rsid w:val="00790FD4"/>
    <w:rsid w:val="00791CED"/>
    <w:rsid w:val="00793D4E"/>
    <w:rsid w:val="00794D79"/>
    <w:rsid w:val="00796197"/>
    <w:rsid w:val="007A38D4"/>
    <w:rsid w:val="007A57E0"/>
    <w:rsid w:val="007B143F"/>
    <w:rsid w:val="007B2AA4"/>
    <w:rsid w:val="007B4F23"/>
    <w:rsid w:val="007B54FD"/>
    <w:rsid w:val="007B7EE5"/>
    <w:rsid w:val="007C209D"/>
    <w:rsid w:val="007C3257"/>
    <w:rsid w:val="007C3363"/>
    <w:rsid w:val="007C4908"/>
    <w:rsid w:val="007C5F8B"/>
    <w:rsid w:val="007C6664"/>
    <w:rsid w:val="007C6C91"/>
    <w:rsid w:val="007D170B"/>
    <w:rsid w:val="007D1934"/>
    <w:rsid w:val="007D30C5"/>
    <w:rsid w:val="007D4961"/>
    <w:rsid w:val="007D4AC4"/>
    <w:rsid w:val="007D6E70"/>
    <w:rsid w:val="007D7B36"/>
    <w:rsid w:val="007E04EC"/>
    <w:rsid w:val="007E0732"/>
    <w:rsid w:val="007E1871"/>
    <w:rsid w:val="007E1C8A"/>
    <w:rsid w:val="007E5938"/>
    <w:rsid w:val="007E63DF"/>
    <w:rsid w:val="007E7937"/>
    <w:rsid w:val="007F2C49"/>
    <w:rsid w:val="007F2CE4"/>
    <w:rsid w:val="007F4E20"/>
    <w:rsid w:val="007F5423"/>
    <w:rsid w:val="007F73C7"/>
    <w:rsid w:val="00800984"/>
    <w:rsid w:val="00804405"/>
    <w:rsid w:val="00806DA1"/>
    <w:rsid w:val="00807AB5"/>
    <w:rsid w:val="008101C8"/>
    <w:rsid w:val="00811484"/>
    <w:rsid w:val="0081166E"/>
    <w:rsid w:val="00812A99"/>
    <w:rsid w:val="0081311E"/>
    <w:rsid w:val="00813452"/>
    <w:rsid w:val="00815B96"/>
    <w:rsid w:val="008166C2"/>
    <w:rsid w:val="00817892"/>
    <w:rsid w:val="00817899"/>
    <w:rsid w:val="00820063"/>
    <w:rsid w:val="008204BC"/>
    <w:rsid w:val="00822099"/>
    <w:rsid w:val="00825845"/>
    <w:rsid w:val="00825D96"/>
    <w:rsid w:val="0083256E"/>
    <w:rsid w:val="00836F4E"/>
    <w:rsid w:val="008370B4"/>
    <w:rsid w:val="0083794D"/>
    <w:rsid w:val="008421D5"/>
    <w:rsid w:val="00843965"/>
    <w:rsid w:val="00850585"/>
    <w:rsid w:val="00850A5B"/>
    <w:rsid w:val="00851105"/>
    <w:rsid w:val="00851CF3"/>
    <w:rsid w:val="00852208"/>
    <w:rsid w:val="00852488"/>
    <w:rsid w:val="00856773"/>
    <w:rsid w:val="008567AC"/>
    <w:rsid w:val="0086324F"/>
    <w:rsid w:val="00864DBF"/>
    <w:rsid w:val="00865713"/>
    <w:rsid w:val="008663C1"/>
    <w:rsid w:val="008715B5"/>
    <w:rsid w:val="0087339D"/>
    <w:rsid w:val="0087438E"/>
    <w:rsid w:val="00876B6E"/>
    <w:rsid w:val="008804D4"/>
    <w:rsid w:val="00892191"/>
    <w:rsid w:val="00892EB8"/>
    <w:rsid w:val="00894F2A"/>
    <w:rsid w:val="008A0533"/>
    <w:rsid w:val="008A51B4"/>
    <w:rsid w:val="008A6F9C"/>
    <w:rsid w:val="008B0C33"/>
    <w:rsid w:val="008B1C5E"/>
    <w:rsid w:val="008B4058"/>
    <w:rsid w:val="008B4E13"/>
    <w:rsid w:val="008B687F"/>
    <w:rsid w:val="008B7DBF"/>
    <w:rsid w:val="008C0597"/>
    <w:rsid w:val="008C20D1"/>
    <w:rsid w:val="008C5503"/>
    <w:rsid w:val="008D0D0C"/>
    <w:rsid w:val="008D3A74"/>
    <w:rsid w:val="008D4204"/>
    <w:rsid w:val="008D5BD1"/>
    <w:rsid w:val="008D64DD"/>
    <w:rsid w:val="008E0677"/>
    <w:rsid w:val="008E2196"/>
    <w:rsid w:val="008E5939"/>
    <w:rsid w:val="008E5952"/>
    <w:rsid w:val="008E5AE3"/>
    <w:rsid w:val="008E7ED3"/>
    <w:rsid w:val="008F4419"/>
    <w:rsid w:val="008F5D2C"/>
    <w:rsid w:val="0090072F"/>
    <w:rsid w:val="00900BA5"/>
    <w:rsid w:val="009020A4"/>
    <w:rsid w:val="00902CB7"/>
    <w:rsid w:val="00902FF4"/>
    <w:rsid w:val="00903B03"/>
    <w:rsid w:val="00904208"/>
    <w:rsid w:val="00904D22"/>
    <w:rsid w:val="00904FDA"/>
    <w:rsid w:val="00905CE9"/>
    <w:rsid w:val="00906A22"/>
    <w:rsid w:val="00911EC6"/>
    <w:rsid w:val="00914776"/>
    <w:rsid w:val="009152D4"/>
    <w:rsid w:val="00915F0A"/>
    <w:rsid w:val="00917C06"/>
    <w:rsid w:val="0092287C"/>
    <w:rsid w:val="00922FA9"/>
    <w:rsid w:val="00923556"/>
    <w:rsid w:val="0092417E"/>
    <w:rsid w:val="00925FEC"/>
    <w:rsid w:val="00927C5B"/>
    <w:rsid w:val="00930C4A"/>
    <w:rsid w:val="00931B5A"/>
    <w:rsid w:val="00931F14"/>
    <w:rsid w:val="00932CB4"/>
    <w:rsid w:val="00933218"/>
    <w:rsid w:val="0093379B"/>
    <w:rsid w:val="00933BCB"/>
    <w:rsid w:val="00940373"/>
    <w:rsid w:val="00940AA8"/>
    <w:rsid w:val="00943F49"/>
    <w:rsid w:val="00944DAB"/>
    <w:rsid w:val="00950B3E"/>
    <w:rsid w:val="00950F99"/>
    <w:rsid w:val="00951466"/>
    <w:rsid w:val="009522D7"/>
    <w:rsid w:val="009543B4"/>
    <w:rsid w:val="009549E5"/>
    <w:rsid w:val="0095566B"/>
    <w:rsid w:val="009621F1"/>
    <w:rsid w:val="00963A89"/>
    <w:rsid w:val="00963B62"/>
    <w:rsid w:val="009650E0"/>
    <w:rsid w:val="00965260"/>
    <w:rsid w:val="00966CD3"/>
    <w:rsid w:val="00967644"/>
    <w:rsid w:val="00970E95"/>
    <w:rsid w:val="0097161D"/>
    <w:rsid w:val="00971733"/>
    <w:rsid w:val="00971BFC"/>
    <w:rsid w:val="0098022D"/>
    <w:rsid w:val="0098064D"/>
    <w:rsid w:val="00980710"/>
    <w:rsid w:val="00980775"/>
    <w:rsid w:val="00981C16"/>
    <w:rsid w:val="00983F56"/>
    <w:rsid w:val="00984028"/>
    <w:rsid w:val="009840CB"/>
    <w:rsid w:val="00984AB6"/>
    <w:rsid w:val="00985439"/>
    <w:rsid w:val="00986399"/>
    <w:rsid w:val="00986BE2"/>
    <w:rsid w:val="00987D6D"/>
    <w:rsid w:val="009915C5"/>
    <w:rsid w:val="00991918"/>
    <w:rsid w:val="009920DF"/>
    <w:rsid w:val="009924D6"/>
    <w:rsid w:val="00994FAF"/>
    <w:rsid w:val="009977A6"/>
    <w:rsid w:val="00997F3E"/>
    <w:rsid w:val="009A0599"/>
    <w:rsid w:val="009A1E28"/>
    <w:rsid w:val="009A1FDE"/>
    <w:rsid w:val="009A2210"/>
    <w:rsid w:val="009A2D56"/>
    <w:rsid w:val="009A439E"/>
    <w:rsid w:val="009A52BE"/>
    <w:rsid w:val="009A595F"/>
    <w:rsid w:val="009A5E20"/>
    <w:rsid w:val="009A7307"/>
    <w:rsid w:val="009B206D"/>
    <w:rsid w:val="009B27AC"/>
    <w:rsid w:val="009B2F8C"/>
    <w:rsid w:val="009B346E"/>
    <w:rsid w:val="009B404A"/>
    <w:rsid w:val="009B56EE"/>
    <w:rsid w:val="009B58B2"/>
    <w:rsid w:val="009C002E"/>
    <w:rsid w:val="009C311A"/>
    <w:rsid w:val="009C392A"/>
    <w:rsid w:val="009C7563"/>
    <w:rsid w:val="009C77C1"/>
    <w:rsid w:val="009C7E9D"/>
    <w:rsid w:val="009D0B97"/>
    <w:rsid w:val="009D69FF"/>
    <w:rsid w:val="009D6BFE"/>
    <w:rsid w:val="009E0923"/>
    <w:rsid w:val="009E1FAA"/>
    <w:rsid w:val="009E202F"/>
    <w:rsid w:val="009E2F0F"/>
    <w:rsid w:val="009E3EBD"/>
    <w:rsid w:val="009E413A"/>
    <w:rsid w:val="009E44E8"/>
    <w:rsid w:val="009E4AD9"/>
    <w:rsid w:val="009E543A"/>
    <w:rsid w:val="009E5BC9"/>
    <w:rsid w:val="009E61C2"/>
    <w:rsid w:val="009E6459"/>
    <w:rsid w:val="009E7818"/>
    <w:rsid w:val="009F459F"/>
    <w:rsid w:val="00A01918"/>
    <w:rsid w:val="00A03A49"/>
    <w:rsid w:val="00A04A60"/>
    <w:rsid w:val="00A05AEE"/>
    <w:rsid w:val="00A1231E"/>
    <w:rsid w:val="00A1339D"/>
    <w:rsid w:val="00A15C57"/>
    <w:rsid w:val="00A20F3A"/>
    <w:rsid w:val="00A22B8D"/>
    <w:rsid w:val="00A24754"/>
    <w:rsid w:val="00A24CD3"/>
    <w:rsid w:val="00A25A93"/>
    <w:rsid w:val="00A3085A"/>
    <w:rsid w:val="00A31B33"/>
    <w:rsid w:val="00A32555"/>
    <w:rsid w:val="00A3327B"/>
    <w:rsid w:val="00A35925"/>
    <w:rsid w:val="00A40021"/>
    <w:rsid w:val="00A41970"/>
    <w:rsid w:val="00A43797"/>
    <w:rsid w:val="00A43C34"/>
    <w:rsid w:val="00A507AE"/>
    <w:rsid w:val="00A50EFF"/>
    <w:rsid w:val="00A520CD"/>
    <w:rsid w:val="00A523E3"/>
    <w:rsid w:val="00A529F2"/>
    <w:rsid w:val="00A53D2E"/>
    <w:rsid w:val="00A54308"/>
    <w:rsid w:val="00A56281"/>
    <w:rsid w:val="00A601FC"/>
    <w:rsid w:val="00A60C98"/>
    <w:rsid w:val="00A6202F"/>
    <w:rsid w:val="00A63A95"/>
    <w:rsid w:val="00A65365"/>
    <w:rsid w:val="00A66C9D"/>
    <w:rsid w:val="00A7144F"/>
    <w:rsid w:val="00A72F8D"/>
    <w:rsid w:val="00A73033"/>
    <w:rsid w:val="00A7323A"/>
    <w:rsid w:val="00A73804"/>
    <w:rsid w:val="00A73C6F"/>
    <w:rsid w:val="00A8016D"/>
    <w:rsid w:val="00A80560"/>
    <w:rsid w:val="00A80ACF"/>
    <w:rsid w:val="00A83EC5"/>
    <w:rsid w:val="00A861FE"/>
    <w:rsid w:val="00A90D85"/>
    <w:rsid w:val="00A91AF5"/>
    <w:rsid w:val="00A928C9"/>
    <w:rsid w:val="00A930EC"/>
    <w:rsid w:val="00A959D5"/>
    <w:rsid w:val="00A95E28"/>
    <w:rsid w:val="00A95FA7"/>
    <w:rsid w:val="00A961BF"/>
    <w:rsid w:val="00A97D8D"/>
    <w:rsid w:val="00AA4EDC"/>
    <w:rsid w:val="00AA5086"/>
    <w:rsid w:val="00AA61D7"/>
    <w:rsid w:val="00AA7A1C"/>
    <w:rsid w:val="00AB0E5F"/>
    <w:rsid w:val="00AB2499"/>
    <w:rsid w:val="00AB25E0"/>
    <w:rsid w:val="00AB620D"/>
    <w:rsid w:val="00AB766A"/>
    <w:rsid w:val="00AC15E3"/>
    <w:rsid w:val="00AC3BE3"/>
    <w:rsid w:val="00AC44AE"/>
    <w:rsid w:val="00AC4A52"/>
    <w:rsid w:val="00AD0BF8"/>
    <w:rsid w:val="00AD0CC4"/>
    <w:rsid w:val="00AD0F78"/>
    <w:rsid w:val="00AD187B"/>
    <w:rsid w:val="00AD1E80"/>
    <w:rsid w:val="00AD3C30"/>
    <w:rsid w:val="00AD6665"/>
    <w:rsid w:val="00AD6E28"/>
    <w:rsid w:val="00AD7B43"/>
    <w:rsid w:val="00AE0045"/>
    <w:rsid w:val="00AE0EF3"/>
    <w:rsid w:val="00AE1036"/>
    <w:rsid w:val="00AE34A3"/>
    <w:rsid w:val="00AE4E0C"/>
    <w:rsid w:val="00AE5728"/>
    <w:rsid w:val="00AE5E84"/>
    <w:rsid w:val="00AE6E77"/>
    <w:rsid w:val="00AE72B7"/>
    <w:rsid w:val="00AE7563"/>
    <w:rsid w:val="00AE7D00"/>
    <w:rsid w:val="00AF0471"/>
    <w:rsid w:val="00AF13DB"/>
    <w:rsid w:val="00AF2DF6"/>
    <w:rsid w:val="00AF5FFC"/>
    <w:rsid w:val="00AF6714"/>
    <w:rsid w:val="00B01A20"/>
    <w:rsid w:val="00B031BD"/>
    <w:rsid w:val="00B03487"/>
    <w:rsid w:val="00B050AB"/>
    <w:rsid w:val="00B06F17"/>
    <w:rsid w:val="00B10510"/>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306D6"/>
    <w:rsid w:val="00B33812"/>
    <w:rsid w:val="00B359C5"/>
    <w:rsid w:val="00B36D30"/>
    <w:rsid w:val="00B37295"/>
    <w:rsid w:val="00B409CF"/>
    <w:rsid w:val="00B40EFC"/>
    <w:rsid w:val="00B42F00"/>
    <w:rsid w:val="00B432D8"/>
    <w:rsid w:val="00B43983"/>
    <w:rsid w:val="00B43DE9"/>
    <w:rsid w:val="00B454DD"/>
    <w:rsid w:val="00B46D8F"/>
    <w:rsid w:val="00B474EA"/>
    <w:rsid w:val="00B47A53"/>
    <w:rsid w:val="00B51625"/>
    <w:rsid w:val="00B517A6"/>
    <w:rsid w:val="00B529E2"/>
    <w:rsid w:val="00B52BE6"/>
    <w:rsid w:val="00B55BBD"/>
    <w:rsid w:val="00B600BA"/>
    <w:rsid w:val="00B6014A"/>
    <w:rsid w:val="00B6064E"/>
    <w:rsid w:val="00B61A69"/>
    <w:rsid w:val="00B61DAE"/>
    <w:rsid w:val="00B63B31"/>
    <w:rsid w:val="00B65026"/>
    <w:rsid w:val="00B70458"/>
    <w:rsid w:val="00B7096A"/>
    <w:rsid w:val="00B71AE0"/>
    <w:rsid w:val="00B72A70"/>
    <w:rsid w:val="00B72C7B"/>
    <w:rsid w:val="00B7378C"/>
    <w:rsid w:val="00B7653F"/>
    <w:rsid w:val="00B7655C"/>
    <w:rsid w:val="00B7672C"/>
    <w:rsid w:val="00B82831"/>
    <w:rsid w:val="00B82B2A"/>
    <w:rsid w:val="00B8308F"/>
    <w:rsid w:val="00B8309D"/>
    <w:rsid w:val="00B85A1C"/>
    <w:rsid w:val="00B86E2A"/>
    <w:rsid w:val="00B90361"/>
    <w:rsid w:val="00B930C9"/>
    <w:rsid w:val="00B95164"/>
    <w:rsid w:val="00B96E4E"/>
    <w:rsid w:val="00BA2A85"/>
    <w:rsid w:val="00BA54EE"/>
    <w:rsid w:val="00BB08E4"/>
    <w:rsid w:val="00BB16D6"/>
    <w:rsid w:val="00BB1BFF"/>
    <w:rsid w:val="00BB2461"/>
    <w:rsid w:val="00BB4272"/>
    <w:rsid w:val="00BB7B7F"/>
    <w:rsid w:val="00BB7FE6"/>
    <w:rsid w:val="00BC2CE9"/>
    <w:rsid w:val="00BC36B3"/>
    <w:rsid w:val="00BC6607"/>
    <w:rsid w:val="00BD035F"/>
    <w:rsid w:val="00BD511B"/>
    <w:rsid w:val="00BD67FA"/>
    <w:rsid w:val="00BD7DE4"/>
    <w:rsid w:val="00BE0AFE"/>
    <w:rsid w:val="00BE1A98"/>
    <w:rsid w:val="00BE346F"/>
    <w:rsid w:val="00BE6BBA"/>
    <w:rsid w:val="00BE6E19"/>
    <w:rsid w:val="00BF26C1"/>
    <w:rsid w:val="00BF2E3D"/>
    <w:rsid w:val="00BF423F"/>
    <w:rsid w:val="00BF521D"/>
    <w:rsid w:val="00C0136B"/>
    <w:rsid w:val="00C02806"/>
    <w:rsid w:val="00C02A2A"/>
    <w:rsid w:val="00C075E2"/>
    <w:rsid w:val="00C1009F"/>
    <w:rsid w:val="00C101BF"/>
    <w:rsid w:val="00C11EF2"/>
    <w:rsid w:val="00C11F3B"/>
    <w:rsid w:val="00C1432F"/>
    <w:rsid w:val="00C149B6"/>
    <w:rsid w:val="00C154C0"/>
    <w:rsid w:val="00C20669"/>
    <w:rsid w:val="00C20810"/>
    <w:rsid w:val="00C212D4"/>
    <w:rsid w:val="00C21E8F"/>
    <w:rsid w:val="00C21EEB"/>
    <w:rsid w:val="00C22237"/>
    <w:rsid w:val="00C2346E"/>
    <w:rsid w:val="00C243D2"/>
    <w:rsid w:val="00C24C6B"/>
    <w:rsid w:val="00C25AD7"/>
    <w:rsid w:val="00C25EA7"/>
    <w:rsid w:val="00C30CB1"/>
    <w:rsid w:val="00C316EB"/>
    <w:rsid w:val="00C323FE"/>
    <w:rsid w:val="00C32759"/>
    <w:rsid w:val="00C34BB5"/>
    <w:rsid w:val="00C34CDD"/>
    <w:rsid w:val="00C35089"/>
    <w:rsid w:val="00C355D1"/>
    <w:rsid w:val="00C36C49"/>
    <w:rsid w:val="00C376CC"/>
    <w:rsid w:val="00C43F41"/>
    <w:rsid w:val="00C4672E"/>
    <w:rsid w:val="00C51DC9"/>
    <w:rsid w:val="00C5246F"/>
    <w:rsid w:val="00C52843"/>
    <w:rsid w:val="00C52A1B"/>
    <w:rsid w:val="00C52D5D"/>
    <w:rsid w:val="00C605C9"/>
    <w:rsid w:val="00C63CAA"/>
    <w:rsid w:val="00C71EB3"/>
    <w:rsid w:val="00C73E61"/>
    <w:rsid w:val="00C7642B"/>
    <w:rsid w:val="00C812F7"/>
    <w:rsid w:val="00C8182C"/>
    <w:rsid w:val="00C82CD7"/>
    <w:rsid w:val="00C8345F"/>
    <w:rsid w:val="00C85263"/>
    <w:rsid w:val="00C8633D"/>
    <w:rsid w:val="00C87130"/>
    <w:rsid w:val="00C90EEA"/>
    <w:rsid w:val="00C917E8"/>
    <w:rsid w:val="00C928C1"/>
    <w:rsid w:val="00C95EC9"/>
    <w:rsid w:val="00CA142D"/>
    <w:rsid w:val="00CA165A"/>
    <w:rsid w:val="00CA2E2A"/>
    <w:rsid w:val="00CA46D8"/>
    <w:rsid w:val="00CA6275"/>
    <w:rsid w:val="00CB13F3"/>
    <w:rsid w:val="00CB21D2"/>
    <w:rsid w:val="00CB3E2B"/>
    <w:rsid w:val="00CB4607"/>
    <w:rsid w:val="00CB523C"/>
    <w:rsid w:val="00CB6352"/>
    <w:rsid w:val="00CB66A1"/>
    <w:rsid w:val="00CB6861"/>
    <w:rsid w:val="00CB6DDD"/>
    <w:rsid w:val="00CC1191"/>
    <w:rsid w:val="00CC1DEE"/>
    <w:rsid w:val="00CC2777"/>
    <w:rsid w:val="00CC2978"/>
    <w:rsid w:val="00CC4194"/>
    <w:rsid w:val="00CC4D4B"/>
    <w:rsid w:val="00CC4ED4"/>
    <w:rsid w:val="00CC569D"/>
    <w:rsid w:val="00CC56C8"/>
    <w:rsid w:val="00CC58FA"/>
    <w:rsid w:val="00CC6167"/>
    <w:rsid w:val="00CC7D2E"/>
    <w:rsid w:val="00CD0DAF"/>
    <w:rsid w:val="00CD1C39"/>
    <w:rsid w:val="00CD35CE"/>
    <w:rsid w:val="00CD42C3"/>
    <w:rsid w:val="00CD4763"/>
    <w:rsid w:val="00CD5AE4"/>
    <w:rsid w:val="00CD6B55"/>
    <w:rsid w:val="00CD6DEA"/>
    <w:rsid w:val="00CD7278"/>
    <w:rsid w:val="00CE1578"/>
    <w:rsid w:val="00CE1AF8"/>
    <w:rsid w:val="00CE2C4B"/>
    <w:rsid w:val="00CE36D9"/>
    <w:rsid w:val="00CE4BFC"/>
    <w:rsid w:val="00CE4D20"/>
    <w:rsid w:val="00CE4EDA"/>
    <w:rsid w:val="00CF12B3"/>
    <w:rsid w:val="00CF1593"/>
    <w:rsid w:val="00CF259C"/>
    <w:rsid w:val="00CF37E8"/>
    <w:rsid w:val="00CF495D"/>
    <w:rsid w:val="00CF4A32"/>
    <w:rsid w:val="00CF4D5C"/>
    <w:rsid w:val="00D00AAD"/>
    <w:rsid w:val="00D00DFF"/>
    <w:rsid w:val="00D01832"/>
    <w:rsid w:val="00D02026"/>
    <w:rsid w:val="00D0274E"/>
    <w:rsid w:val="00D03F65"/>
    <w:rsid w:val="00D05066"/>
    <w:rsid w:val="00D051C5"/>
    <w:rsid w:val="00D05469"/>
    <w:rsid w:val="00D05817"/>
    <w:rsid w:val="00D06B99"/>
    <w:rsid w:val="00D10412"/>
    <w:rsid w:val="00D10573"/>
    <w:rsid w:val="00D13DE4"/>
    <w:rsid w:val="00D146BD"/>
    <w:rsid w:val="00D14BC8"/>
    <w:rsid w:val="00D14FDD"/>
    <w:rsid w:val="00D15041"/>
    <w:rsid w:val="00D15EB5"/>
    <w:rsid w:val="00D20C22"/>
    <w:rsid w:val="00D21D4C"/>
    <w:rsid w:val="00D2344A"/>
    <w:rsid w:val="00D2461A"/>
    <w:rsid w:val="00D24C21"/>
    <w:rsid w:val="00D27F3A"/>
    <w:rsid w:val="00D31792"/>
    <w:rsid w:val="00D3254D"/>
    <w:rsid w:val="00D32A7C"/>
    <w:rsid w:val="00D34163"/>
    <w:rsid w:val="00D35D87"/>
    <w:rsid w:val="00D35E40"/>
    <w:rsid w:val="00D35E60"/>
    <w:rsid w:val="00D35EC1"/>
    <w:rsid w:val="00D361A3"/>
    <w:rsid w:val="00D41B75"/>
    <w:rsid w:val="00D41BC9"/>
    <w:rsid w:val="00D42777"/>
    <w:rsid w:val="00D42ADA"/>
    <w:rsid w:val="00D4407C"/>
    <w:rsid w:val="00D46A1F"/>
    <w:rsid w:val="00D502E8"/>
    <w:rsid w:val="00D50564"/>
    <w:rsid w:val="00D507D6"/>
    <w:rsid w:val="00D509E7"/>
    <w:rsid w:val="00D50D4F"/>
    <w:rsid w:val="00D5482D"/>
    <w:rsid w:val="00D54E31"/>
    <w:rsid w:val="00D56831"/>
    <w:rsid w:val="00D60513"/>
    <w:rsid w:val="00D61117"/>
    <w:rsid w:val="00D61DF2"/>
    <w:rsid w:val="00D623C2"/>
    <w:rsid w:val="00D62887"/>
    <w:rsid w:val="00D6348C"/>
    <w:rsid w:val="00D63758"/>
    <w:rsid w:val="00D63A5E"/>
    <w:rsid w:val="00D64639"/>
    <w:rsid w:val="00D64E57"/>
    <w:rsid w:val="00D65931"/>
    <w:rsid w:val="00D661C8"/>
    <w:rsid w:val="00D67843"/>
    <w:rsid w:val="00D73298"/>
    <w:rsid w:val="00D73E11"/>
    <w:rsid w:val="00D76663"/>
    <w:rsid w:val="00D8109B"/>
    <w:rsid w:val="00D810E0"/>
    <w:rsid w:val="00D81199"/>
    <w:rsid w:val="00D816C0"/>
    <w:rsid w:val="00D8361B"/>
    <w:rsid w:val="00D854A2"/>
    <w:rsid w:val="00D85949"/>
    <w:rsid w:val="00D86D1A"/>
    <w:rsid w:val="00D90396"/>
    <w:rsid w:val="00D94DE8"/>
    <w:rsid w:val="00D96B97"/>
    <w:rsid w:val="00D96D26"/>
    <w:rsid w:val="00D973DB"/>
    <w:rsid w:val="00DA151A"/>
    <w:rsid w:val="00DA5D18"/>
    <w:rsid w:val="00DA695A"/>
    <w:rsid w:val="00DA6DDC"/>
    <w:rsid w:val="00DA71E4"/>
    <w:rsid w:val="00DA764C"/>
    <w:rsid w:val="00DB2BB6"/>
    <w:rsid w:val="00DB3E79"/>
    <w:rsid w:val="00DB4B2B"/>
    <w:rsid w:val="00DB7261"/>
    <w:rsid w:val="00DC1289"/>
    <w:rsid w:val="00DC1A25"/>
    <w:rsid w:val="00DC42CD"/>
    <w:rsid w:val="00DC49E6"/>
    <w:rsid w:val="00DC75BD"/>
    <w:rsid w:val="00DD2C33"/>
    <w:rsid w:val="00DD35EC"/>
    <w:rsid w:val="00DD714F"/>
    <w:rsid w:val="00DD762D"/>
    <w:rsid w:val="00DE0BC8"/>
    <w:rsid w:val="00DE3777"/>
    <w:rsid w:val="00DE539F"/>
    <w:rsid w:val="00DE5A7D"/>
    <w:rsid w:val="00DE5D23"/>
    <w:rsid w:val="00DE7A92"/>
    <w:rsid w:val="00DF01DE"/>
    <w:rsid w:val="00DF108A"/>
    <w:rsid w:val="00DF41E8"/>
    <w:rsid w:val="00DF4F1C"/>
    <w:rsid w:val="00DF525A"/>
    <w:rsid w:val="00DF594B"/>
    <w:rsid w:val="00DF6812"/>
    <w:rsid w:val="00E00FAA"/>
    <w:rsid w:val="00E01DDB"/>
    <w:rsid w:val="00E042B5"/>
    <w:rsid w:val="00E05033"/>
    <w:rsid w:val="00E0592A"/>
    <w:rsid w:val="00E065C3"/>
    <w:rsid w:val="00E0729C"/>
    <w:rsid w:val="00E10828"/>
    <w:rsid w:val="00E10B04"/>
    <w:rsid w:val="00E10B3E"/>
    <w:rsid w:val="00E1306D"/>
    <w:rsid w:val="00E13DA2"/>
    <w:rsid w:val="00E13F56"/>
    <w:rsid w:val="00E14ABF"/>
    <w:rsid w:val="00E14DD7"/>
    <w:rsid w:val="00E153B7"/>
    <w:rsid w:val="00E1556A"/>
    <w:rsid w:val="00E163DD"/>
    <w:rsid w:val="00E277BE"/>
    <w:rsid w:val="00E27EEE"/>
    <w:rsid w:val="00E30DDB"/>
    <w:rsid w:val="00E32265"/>
    <w:rsid w:val="00E3406E"/>
    <w:rsid w:val="00E3430C"/>
    <w:rsid w:val="00E34345"/>
    <w:rsid w:val="00E3503A"/>
    <w:rsid w:val="00E356E8"/>
    <w:rsid w:val="00E35976"/>
    <w:rsid w:val="00E35CF1"/>
    <w:rsid w:val="00E41269"/>
    <w:rsid w:val="00E4187D"/>
    <w:rsid w:val="00E43870"/>
    <w:rsid w:val="00E442AB"/>
    <w:rsid w:val="00E46BAB"/>
    <w:rsid w:val="00E46C7A"/>
    <w:rsid w:val="00E47B35"/>
    <w:rsid w:val="00E5124A"/>
    <w:rsid w:val="00E5176A"/>
    <w:rsid w:val="00E51A3B"/>
    <w:rsid w:val="00E5254C"/>
    <w:rsid w:val="00E525A8"/>
    <w:rsid w:val="00E537C1"/>
    <w:rsid w:val="00E55678"/>
    <w:rsid w:val="00E567F9"/>
    <w:rsid w:val="00E572BC"/>
    <w:rsid w:val="00E60221"/>
    <w:rsid w:val="00E605F1"/>
    <w:rsid w:val="00E607DE"/>
    <w:rsid w:val="00E6193B"/>
    <w:rsid w:val="00E61A31"/>
    <w:rsid w:val="00E6495C"/>
    <w:rsid w:val="00E65DB5"/>
    <w:rsid w:val="00E702F8"/>
    <w:rsid w:val="00E70B9F"/>
    <w:rsid w:val="00E73B57"/>
    <w:rsid w:val="00E73D0F"/>
    <w:rsid w:val="00E74843"/>
    <w:rsid w:val="00E750BB"/>
    <w:rsid w:val="00E8168D"/>
    <w:rsid w:val="00E816BC"/>
    <w:rsid w:val="00E82B09"/>
    <w:rsid w:val="00E84C29"/>
    <w:rsid w:val="00E85C53"/>
    <w:rsid w:val="00E86A20"/>
    <w:rsid w:val="00E900A9"/>
    <w:rsid w:val="00E92BF9"/>
    <w:rsid w:val="00E95CE8"/>
    <w:rsid w:val="00E96AE2"/>
    <w:rsid w:val="00E96EE0"/>
    <w:rsid w:val="00EA1649"/>
    <w:rsid w:val="00EA23E9"/>
    <w:rsid w:val="00EA37D5"/>
    <w:rsid w:val="00EA73E0"/>
    <w:rsid w:val="00EB0B0F"/>
    <w:rsid w:val="00EB1037"/>
    <w:rsid w:val="00EB15F0"/>
    <w:rsid w:val="00EB3551"/>
    <w:rsid w:val="00EB6F55"/>
    <w:rsid w:val="00EB71D4"/>
    <w:rsid w:val="00EB7429"/>
    <w:rsid w:val="00EB7F81"/>
    <w:rsid w:val="00EC0F1A"/>
    <w:rsid w:val="00EC1701"/>
    <w:rsid w:val="00EC4DC0"/>
    <w:rsid w:val="00EC5236"/>
    <w:rsid w:val="00EC64E0"/>
    <w:rsid w:val="00ED0974"/>
    <w:rsid w:val="00ED2320"/>
    <w:rsid w:val="00ED25C7"/>
    <w:rsid w:val="00ED3729"/>
    <w:rsid w:val="00ED5300"/>
    <w:rsid w:val="00ED5A71"/>
    <w:rsid w:val="00ED6978"/>
    <w:rsid w:val="00ED7569"/>
    <w:rsid w:val="00ED7DD3"/>
    <w:rsid w:val="00EE04DC"/>
    <w:rsid w:val="00EE0BFA"/>
    <w:rsid w:val="00EE0CC4"/>
    <w:rsid w:val="00EE3910"/>
    <w:rsid w:val="00EE3F8A"/>
    <w:rsid w:val="00EE43FE"/>
    <w:rsid w:val="00EE4CBC"/>
    <w:rsid w:val="00EE5784"/>
    <w:rsid w:val="00EE59D4"/>
    <w:rsid w:val="00EF0202"/>
    <w:rsid w:val="00EF0F8D"/>
    <w:rsid w:val="00EF153D"/>
    <w:rsid w:val="00EF3871"/>
    <w:rsid w:val="00EF3F72"/>
    <w:rsid w:val="00EF4481"/>
    <w:rsid w:val="00EF4B5D"/>
    <w:rsid w:val="00EF639B"/>
    <w:rsid w:val="00EF7177"/>
    <w:rsid w:val="00F0435A"/>
    <w:rsid w:val="00F0497E"/>
    <w:rsid w:val="00F0541B"/>
    <w:rsid w:val="00F10BC1"/>
    <w:rsid w:val="00F11B5C"/>
    <w:rsid w:val="00F12C84"/>
    <w:rsid w:val="00F161EF"/>
    <w:rsid w:val="00F163D2"/>
    <w:rsid w:val="00F16959"/>
    <w:rsid w:val="00F16C67"/>
    <w:rsid w:val="00F210FB"/>
    <w:rsid w:val="00F2180B"/>
    <w:rsid w:val="00F2219C"/>
    <w:rsid w:val="00F30045"/>
    <w:rsid w:val="00F30A1A"/>
    <w:rsid w:val="00F30C0A"/>
    <w:rsid w:val="00F33341"/>
    <w:rsid w:val="00F339C0"/>
    <w:rsid w:val="00F33D31"/>
    <w:rsid w:val="00F359C7"/>
    <w:rsid w:val="00F3687A"/>
    <w:rsid w:val="00F40C4A"/>
    <w:rsid w:val="00F40F41"/>
    <w:rsid w:val="00F42008"/>
    <w:rsid w:val="00F42484"/>
    <w:rsid w:val="00F45FF1"/>
    <w:rsid w:val="00F47137"/>
    <w:rsid w:val="00F537A3"/>
    <w:rsid w:val="00F53CC2"/>
    <w:rsid w:val="00F551E5"/>
    <w:rsid w:val="00F559DB"/>
    <w:rsid w:val="00F57406"/>
    <w:rsid w:val="00F60239"/>
    <w:rsid w:val="00F6164D"/>
    <w:rsid w:val="00F61B46"/>
    <w:rsid w:val="00F648BC"/>
    <w:rsid w:val="00F64FD1"/>
    <w:rsid w:val="00F65834"/>
    <w:rsid w:val="00F66D12"/>
    <w:rsid w:val="00F67DB0"/>
    <w:rsid w:val="00F70139"/>
    <w:rsid w:val="00F70509"/>
    <w:rsid w:val="00F707AF"/>
    <w:rsid w:val="00F72F9A"/>
    <w:rsid w:val="00F73F7C"/>
    <w:rsid w:val="00F74769"/>
    <w:rsid w:val="00F76347"/>
    <w:rsid w:val="00F80E94"/>
    <w:rsid w:val="00F82A75"/>
    <w:rsid w:val="00F8384D"/>
    <w:rsid w:val="00F848A7"/>
    <w:rsid w:val="00F86F94"/>
    <w:rsid w:val="00F87329"/>
    <w:rsid w:val="00F87510"/>
    <w:rsid w:val="00F91E26"/>
    <w:rsid w:val="00F92516"/>
    <w:rsid w:val="00F939EA"/>
    <w:rsid w:val="00F950CA"/>
    <w:rsid w:val="00F960CC"/>
    <w:rsid w:val="00FA3C2E"/>
    <w:rsid w:val="00FA4535"/>
    <w:rsid w:val="00FA542F"/>
    <w:rsid w:val="00FA6F70"/>
    <w:rsid w:val="00FB02F0"/>
    <w:rsid w:val="00FB0BCB"/>
    <w:rsid w:val="00FB1EFA"/>
    <w:rsid w:val="00FB4B72"/>
    <w:rsid w:val="00FB58FB"/>
    <w:rsid w:val="00FB780D"/>
    <w:rsid w:val="00FB7D62"/>
    <w:rsid w:val="00FC1BC7"/>
    <w:rsid w:val="00FC37EA"/>
    <w:rsid w:val="00FC456B"/>
    <w:rsid w:val="00FC614B"/>
    <w:rsid w:val="00FC6EEC"/>
    <w:rsid w:val="00FD24E7"/>
    <w:rsid w:val="00FD3078"/>
    <w:rsid w:val="00FD5D5C"/>
    <w:rsid w:val="00FD6033"/>
    <w:rsid w:val="00FE03DC"/>
    <w:rsid w:val="00FE056C"/>
    <w:rsid w:val="00FE3BDE"/>
    <w:rsid w:val="00FE53C4"/>
    <w:rsid w:val="00FE5CB7"/>
    <w:rsid w:val="00FF1B56"/>
    <w:rsid w:val="00FF1BA1"/>
    <w:rsid w:val="00FF32A4"/>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5E"/>
    <w:pPr>
      <w:jc w:val="both"/>
    </w:pPr>
    <w:rPr>
      <w:rFonts w:ascii="Cambria" w:hAnsi="Cambria"/>
    </w:rPr>
  </w:style>
  <w:style w:type="paragraph" w:styleId="Heading1">
    <w:name w:val="heading 1"/>
    <w:basedOn w:val="Heading2"/>
    <w:next w:val="Normal"/>
    <w:link w:val="Heading1Char"/>
    <w:qFormat/>
    <w:rsid w:val="00723911"/>
    <w:pPr>
      <w:jc w:val="center"/>
      <w:outlineLvl w:val="0"/>
    </w:pPr>
    <w:rPr>
      <w:sz w:val="40"/>
    </w:rPr>
  </w:style>
  <w:style w:type="paragraph" w:styleId="Heading2">
    <w:name w:val="heading 2"/>
    <w:basedOn w:val="Normal"/>
    <w:next w:val="Normal"/>
    <w:link w:val="Heading2Char"/>
    <w:unhideWhenUsed/>
    <w:qFormat/>
    <w:rsid w:val="008D4204"/>
    <w:pPr>
      <w:keepNext/>
      <w:keepLines/>
      <w:spacing w:before="200" w:after="240" w:line="240" w:lineRule="auto"/>
      <w:outlineLvl w:val="1"/>
    </w:pPr>
    <w:rPr>
      <w:rFonts w:asciiTheme="minorHAnsi" w:eastAsiaTheme="majorEastAsia" w:hAnsiTheme="minorHAnsi" w:cstheme="majorBidi"/>
      <w:b/>
      <w:bCs/>
      <w:color w:val="4F81BD" w:themeColor="accent1"/>
      <w:sz w:val="32"/>
      <w:szCs w:val="26"/>
    </w:rPr>
  </w:style>
  <w:style w:type="paragraph" w:styleId="Heading3">
    <w:name w:val="heading 3"/>
    <w:basedOn w:val="Normal"/>
    <w:next w:val="Normal"/>
    <w:link w:val="Heading3Char"/>
    <w:unhideWhenUsed/>
    <w:qFormat/>
    <w:rsid w:val="00D21D4C"/>
    <w:pPr>
      <w:keepNext/>
      <w:keepLines/>
      <w:spacing w:line="240" w:lineRule="auto"/>
      <w:outlineLvl w:val="2"/>
    </w:pPr>
    <w:rPr>
      <w:rFonts w:asciiTheme="minorHAnsi" w:eastAsiaTheme="majorEastAsia" w:hAnsiTheme="minorHAnsi" w:cstheme="majorBidi"/>
      <w:b/>
      <w:bCs/>
      <w:i/>
      <w:sz w:val="30"/>
    </w:rPr>
  </w:style>
  <w:style w:type="paragraph" w:styleId="Heading4">
    <w:name w:val="heading 4"/>
    <w:basedOn w:val="Normal"/>
    <w:next w:val="Normal"/>
    <w:link w:val="Heading4Char"/>
    <w:uiPriority w:val="9"/>
    <w:unhideWhenUsed/>
    <w:qFormat/>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911"/>
    <w:rPr>
      <w:rFonts w:asciiTheme="minorHAnsi" w:eastAsiaTheme="majorEastAsia" w:hAnsiTheme="minorHAnsi" w:cstheme="majorBidi"/>
      <w:b/>
      <w:bCs/>
      <w:color w:val="4F81BD" w:themeColor="accent1"/>
      <w:sz w:val="40"/>
      <w:szCs w:val="26"/>
    </w:rPr>
  </w:style>
  <w:style w:type="character" w:customStyle="1" w:styleId="Heading2Char">
    <w:name w:val="Heading 2 Char"/>
    <w:basedOn w:val="DefaultParagraphFont"/>
    <w:link w:val="Heading2"/>
    <w:rsid w:val="008D4204"/>
    <w:rPr>
      <w:rFonts w:asciiTheme="minorHAnsi" w:eastAsiaTheme="majorEastAsia" w:hAnsiTheme="minorHAnsi" w:cstheme="majorBidi"/>
      <w:b/>
      <w:bCs/>
      <w:color w:val="4F81BD" w:themeColor="accent1"/>
      <w:sz w:val="32"/>
      <w:szCs w:val="26"/>
    </w:rPr>
  </w:style>
  <w:style w:type="character" w:customStyle="1" w:styleId="Heading3Char">
    <w:name w:val="Heading 3 Char"/>
    <w:basedOn w:val="DefaultParagraphFont"/>
    <w:link w:val="Heading3"/>
    <w:rsid w:val="00D21D4C"/>
    <w:rPr>
      <w:rFonts w:asciiTheme="minorHAnsi" w:eastAsiaTheme="majorEastAsia" w:hAnsiTheme="minorHAnsi" w:cstheme="majorBidi"/>
      <w:b/>
      <w:bCs/>
      <w:i/>
      <w:sz w:val="30"/>
    </w:rPr>
  </w:style>
  <w:style w:type="paragraph" w:styleId="ListParagraph">
    <w:name w:val="List Paragraph"/>
    <w:aliases w:val="Footnote,BulletPoints,List Paragraph1,Recommendation,Paragraph"/>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pPr>
      <w:spacing w:line="240" w:lineRule="auto"/>
    </w:pPr>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C21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C21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C21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qFormat/>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line="240" w:lineRule="auto"/>
    </w:pPr>
    <w:rPr>
      <w:rFonts w:ascii="MuseeBold" w:eastAsia="Times New Roman" w:hAnsi="MuseeBold" w:cs="Times New Roman"/>
      <w:szCs w:val="24"/>
    </w:rPr>
  </w:style>
  <w:style w:type="paragraph" w:customStyle="1" w:styleId="Heading5new">
    <w:name w:val="Heading 5 new"/>
    <w:basedOn w:val="NormalWeb"/>
    <w:link w:val="Heading5newChar"/>
    <w:qFormat/>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qFormat/>
    <w:rsid w:val="008D4204"/>
    <w:pPr>
      <w:spacing w:after="200" w:line="240" w:lineRule="auto"/>
    </w:pPr>
    <w:rPr>
      <w:rFonts w:asciiTheme="minorHAnsi" w:hAnsiTheme="minorHAnsi"/>
      <w:i w:val="0"/>
      <w:u w:val="none"/>
    </w:rPr>
  </w:style>
  <w:style w:type="character" w:customStyle="1" w:styleId="Heading4newChar">
    <w:name w:val="Heading 4 new Char"/>
    <w:link w:val="Heading4new"/>
    <w:rsid w:val="008D4204"/>
    <w:rPr>
      <w:rFonts w:asciiTheme="minorHAnsi" w:eastAsia="Times New Roman" w:hAnsiTheme="minorHAnsi" w:cs="Times New Roman"/>
      <w:b/>
      <w:color w:val="000000"/>
      <w:szCs w:val="24"/>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semiHidden/>
    <w:unhideWhenUsed/>
    <w:rsid w:val="00082A2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line="240" w:lineRule="auto"/>
    </w:pPr>
    <w:rPr>
      <w:rFonts w:eastAsia="Times New Roman" w:cs="Times New Roman"/>
      <w:szCs w:val="24"/>
    </w:rPr>
  </w:style>
  <w:style w:type="paragraph" w:styleId="Caption">
    <w:name w:val="caption"/>
    <w:basedOn w:val="Normal"/>
    <w:next w:val="Normal"/>
    <w:uiPriority w:val="35"/>
    <w:unhideWhenUsed/>
    <w:qFormat/>
    <w:rsid w:val="004C215E"/>
    <w:pPr>
      <w:spacing w:line="240" w:lineRule="auto"/>
    </w:pPr>
    <w:rPr>
      <w:rFonts w:asciiTheme="minorHAnsi" w:eastAsia="Times New Roman" w:hAnsiTheme="minorHAnsi" w:cs="Times New Roman"/>
      <w:b/>
      <w:bCs/>
      <w:szCs w:val="18"/>
    </w:rPr>
  </w:style>
  <w:style w:type="paragraph" w:customStyle="1" w:styleId="ListBullet1">
    <w:name w:val="List Bullet1"/>
    <w:basedOn w:val="Normal"/>
    <w:uiPriority w:val="5"/>
    <w:qFormat/>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qFormat/>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qFormat/>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qFormat/>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D35EC1"/>
    <w:pPr>
      <w:spacing w:after="100"/>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D35EC1"/>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D35EC1"/>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D35EC1"/>
    <w:pPr>
      <w:spacing w:after="100"/>
      <w:ind w:left="1760"/>
      <w:jc w:val="left"/>
    </w:pPr>
    <w:rPr>
      <w:rFonts w:asciiTheme="minorHAnsi" w:eastAsiaTheme="minorEastAsia" w:hAnsiTheme="minorHAnsi"/>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4C215E"/>
    <w:rPr>
      <w:i/>
      <w:iCs/>
    </w:rPr>
  </w:style>
  <w:style w:type="paragraph" w:customStyle="1" w:styleId="Heading51">
    <w:name w:val="Heading 51"/>
    <w:basedOn w:val="Normal"/>
    <w:link w:val="heading5Char0"/>
    <w:qFormat/>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BodyText1">
    <w:name w:val="Body Text1"/>
    <w:basedOn w:val="Normal"/>
    <w:link w:val="BodytextChar"/>
    <w:uiPriority w:val="1"/>
    <w:qFormat/>
    <w:rsid w:val="004C215E"/>
    <w:pPr>
      <w:shd w:val="clear" w:color="auto" w:fill="FFFFFF" w:themeFill="background1"/>
      <w:spacing w:before="120" w:after="120" w:line="260" w:lineRule="exact"/>
      <w:jc w:val="lef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4C215E"/>
    <w:rPr>
      <w:rFonts w:ascii="Arial" w:eastAsia="Times New Roman" w:hAnsi="Arial" w:cs="Arial"/>
      <w:sz w:val="20"/>
      <w:szCs w:val="20"/>
      <w:shd w:val="clear" w:color="auto" w:fill="FFFFFF" w:themeFill="background1"/>
    </w:rPr>
  </w:style>
  <w:style w:type="paragraph" w:customStyle="1" w:styleId="Tablefootnote">
    <w:name w:val="Table footnote"/>
    <w:basedOn w:val="Normal"/>
    <w:next w:val="BodyText1"/>
    <w:link w:val="TablefootnoteCharChar"/>
    <w:uiPriority w:val="57"/>
    <w:rsid w:val="00ED25C7"/>
    <w:pPr>
      <w:spacing w:before="60" w:after="60" w:line="240" w:lineRule="auto"/>
      <w:ind w:left="426"/>
      <w:jc w:val="left"/>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BodyText1"/>
    <w:uiPriority w:val="99"/>
    <w:rsid w:val="00ED25C7"/>
    <w:pPr>
      <w:keepNext/>
      <w:numPr>
        <w:numId w:val="2"/>
      </w:numPr>
      <w:shd w:val="clear" w:color="auto" w:fill="FFFFFF" w:themeFill="background1"/>
      <w:spacing w:before="240" w:after="120" w:line="260" w:lineRule="exact"/>
      <w:jc w:val="lef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line="240" w:lineRule="auto"/>
      <w:jc w:val="left"/>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line="240" w:lineRule="auto"/>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Paragraph Char"/>
    <w:basedOn w:val="DefaultParagraphFont"/>
    <w:link w:val="ListParagraph"/>
    <w:uiPriority w:val="34"/>
    <w:locked/>
    <w:rsid w:val="004C215E"/>
    <w:rPr>
      <w:rFonts w:ascii="Cambria" w:hAnsi="Cambria"/>
    </w:rPr>
  </w:style>
  <w:style w:type="paragraph" w:customStyle="1" w:styleId="BodyTextnospacebefore">
    <w:name w:val="Body Text – no space before"/>
    <w:next w:val="BodyText"/>
    <w:qFormat/>
    <w:rsid w:val="002911FD"/>
    <w:pPr>
      <w:spacing w:line="240" w:lineRule="auto"/>
      <w:jc w:val="both"/>
    </w:pPr>
    <w:rPr>
      <w:rFonts w:asciiTheme="minorHAnsi" w:eastAsia="Calibri" w:hAnsiTheme="minorHAnsi" w:cs="Times New Roman"/>
      <w:szCs w:val="24"/>
      <w:lang w:eastAsia="en-US"/>
    </w:rPr>
  </w:style>
  <w:style w:type="paragraph" w:styleId="BodyText">
    <w:name w:val="Body Text"/>
    <w:basedOn w:val="Normal"/>
    <w:link w:val="BodyTextChar0"/>
    <w:uiPriority w:val="99"/>
    <w:semiHidden/>
    <w:unhideWhenUsed/>
    <w:rsid w:val="002911FD"/>
    <w:pPr>
      <w:spacing w:after="120"/>
    </w:pPr>
  </w:style>
  <w:style w:type="character" w:customStyle="1" w:styleId="BodyTextChar0">
    <w:name w:val="Body Text Char"/>
    <w:basedOn w:val="DefaultParagraphFont"/>
    <w:link w:val="BodyText"/>
    <w:uiPriority w:val="99"/>
    <w:semiHidden/>
    <w:rsid w:val="002911FD"/>
    <w:rPr>
      <w:rFonts w:ascii="Cambria" w:hAnsi="Cambria"/>
    </w:rPr>
  </w:style>
  <w:style w:type="paragraph" w:customStyle="1" w:styleId="05Tabletext">
    <w:name w:val="05 Table text"/>
    <w:next w:val="06Tabletextspacebefore"/>
    <w:qFormat/>
    <w:rsid w:val="00211CB4"/>
    <w:pPr>
      <w:spacing w:before="20" w:after="0" w:line="240" w:lineRule="auto"/>
      <w:ind w:left="57" w:right="57"/>
    </w:pPr>
    <w:rPr>
      <w:rFonts w:ascii="Arial Narrow" w:eastAsia="Calibri" w:hAnsi="Arial Narrow" w:cs="Times New Roman"/>
      <w:sz w:val="18"/>
      <w:szCs w:val="24"/>
      <w:lang w:eastAsia="en-US"/>
    </w:rPr>
  </w:style>
  <w:style w:type="paragraph" w:customStyle="1" w:styleId="06Tabletextspacebefore">
    <w:name w:val="06 Table text space before"/>
    <w:qFormat/>
    <w:rsid w:val="00211CB4"/>
    <w:pPr>
      <w:spacing w:before="80" w:after="0" w:line="240" w:lineRule="auto"/>
      <w:ind w:left="57" w:right="57"/>
    </w:pPr>
    <w:rPr>
      <w:rFonts w:ascii="Arial Narrow" w:eastAsia="Calibri" w:hAnsi="Arial Narrow" w:cs="Times New Roman"/>
      <w:sz w:val="18"/>
      <w:szCs w:val="24"/>
      <w:lang w:eastAsia="en-US"/>
    </w:rPr>
  </w:style>
  <w:style w:type="paragraph" w:customStyle="1" w:styleId="01TableHEADINGleftaligned">
    <w:name w:val="01 Table HEADING left aligned"/>
    <w:basedOn w:val="BodyText"/>
    <w:qFormat/>
    <w:rsid w:val="00211CB4"/>
    <w:pPr>
      <w:keepNext/>
      <w:spacing w:before="60" w:after="0" w:line="240" w:lineRule="auto"/>
      <w:ind w:left="57" w:right="57"/>
      <w:jc w:val="left"/>
    </w:pPr>
    <w:rPr>
      <w:rFonts w:ascii="Arial Narrow" w:eastAsia="Calibri" w:hAnsi="Arial Narrow" w:cs="Times New Roman"/>
      <w:b/>
      <w:sz w:val="18"/>
      <w:szCs w:val="24"/>
      <w:lang w:eastAsia="en-US"/>
    </w:rPr>
  </w:style>
  <w:style w:type="paragraph" w:customStyle="1" w:styleId="02TableHEADINGcentred">
    <w:name w:val="02 Table HEADING centred"/>
    <w:qFormat/>
    <w:rsid w:val="00211CB4"/>
    <w:pPr>
      <w:keepNext/>
      <w:spacing w:before="60" w:after="0" w:line="240" w:lineRule="auto"/>
      <w:ind w:left="57" w:right="57"/>
      <w:jc w:val="center"/>
    </w:pPr>
    <w:rPr>
      <w:rFonts w:ascii="Arial Narrow" w:eastAsia="Calibri" w:hAnsi="Arial Narrow" w:cs="Times New Roman"/>
      <w:b/>
      <w:sz w:val="18"/>
      <w:szCs w:val="24"/>
      <w:lang w:eastAsia="en-US"/>
    </w:rPr>
  </w:style>
  <w:style w:type="paragraph" w:customStyle="1" w:styleId="07Tablebullet">
    <w:name w:val="07 Table bullet"/>
    <w:qFormat/>
    <w:rsid w:val="00211CB4"/>
    <w:pPr>
      <w:numPr>
        <w:numId w:val="7"/>
      </w:numPr>
      <w:spacing w:after="0" w:line="240" w:lineRule="auto"/>
      <w:ind w:left="720" w:right="57"/>
    </w:pPr>
    <w:rPr>
      <w:rFonts w:ascii="Arial Narrow" w:eastAsia="Calibri" w:hAnsi="Arial Narrow" w:cs="Times New Roman"/>
      <w:sz w:val="18"/>
      <w:szCs w:val="24"/>
      <w:lang w:eastAsia="en-US"/>
    </w:rPr>
  </w:style>
  <w:style w:type="paragraph" w:customStyle="1" w:styleId="04Tablesubheading">
    <w:name w:val="04 Table subheading"/>
    <w:qFormat/>
    <w:rsid w:val="00211CB4"/>
    <w:pPr>
      <w:keepNext/>
      <w:spacing w:before="20" w:after="0" w:line="240" w:lineRule="auto"/>
      <w:ind w:left="57" w:right="57"/>
    </w:pPr>
    <w:rPr>
      <w:rFonts w:ascii="Arial Narrow" w:eastAsia="Calibri" w:hAnsi="Arial Narrow" w:cs="Times New Roman"/>
      <w:b/>
      <w:sz w:val="18"/>
      <w:szCs w:val="24"/>
      <w:lang w:eastAsia="en-US"/>
    </w:rPr>
  </w:style>
  <w:style w:type="paragraph" w:customStyle="1" w:styleId="Tabletext">
    <w:name w:val="Table text"/>
    <w:basedOn w:val="Normal"/>
    <w:link w:val="TabletextChar"/>
    <w:rsid w:val="00211CB4"/>
    <w:pPr>
      <w:spacing w:after="120" w:line="240" w:lineRule="auto"/>
      <w:jc w:val="left"/>
    </w:pPr>
    <w:rPr>
      <w:rFonts w:ascii="Arial" w:eastAsia="Times New Roman" w:hAnsi="Arial" w:cs="Times New Roman"/>
      <w:sz w:val="20"/>
      <w:szCs w:val="20"/>
      <w:lang w:eastAsia="en-US"/>
    </w:rPr>
  </w:style>
  <w:style w:type="character" w:customStyle="1" w:styleId="TabletextChar">
    <w:name w:val="Table text Char"/>
    <w:link w:val="Tabletext"/>
    <w:rsid w:val="00211CB4"/>
    <w:rPr>
      <w:rFonts w:ascii="Arial" w:eastAsia="Times New Roman" w:hAnsi="Arial" w:cs="Times New Roman"/>
      <w:sz w:val="20"/>
      <w:szCs w:val="20"/>
      <w:lang w:eastAsia="en-US"/>
    </w:rPr>
  </w:style>
  <w:style w:type="character" w:customStyle="1" w:styleId="highwire-citation-authors">
    <w:name w:val="highwire-citation-authors"/>
    <w:basedOn w:val="DefaultParagraphFont"/>
    <w:rsid w:val="00B43DE9"/>
    <w:rPr>
      <w:sz w:val="24"/>
      <w:szCs w:val="24"/>
      <w:bdr w:val="none" w:sz="0" w:space="0" w:color="auto" w:frame="1"/>
      <w:vertAlign w:val="baseline"/>
    </w:rPr>
  </w:style>
  <w:style w:type="character" w:customStyle="1" w:styleId="highwire-citation-author2">
    <w:name w:val="highwire-citation-author2"/>
    <w:basedOn w:val="DefaultParagraphFont"/>
    <w:rsid w:val="00B43DE9"/>
    <w:rPr>
      <w:sz w:val="24"/>
      <w:szCs w:val="24"/>
      <w:bdr w:val="none" w:sz="0" w:space="0" w:color="auto" w:frame="1"/>
      <w:vertAlign w:val="baseline"/>
    </w:rPr>
  </w:style>
  <w:style w:type="character" w:customStyle="1" w:styleId="nlm-given-names">
    <w:name w:val="nlm-given-names"/>
    <w:basedOn w:val="DefaultParagraphFont"/>
    <w:rsid w:val="00B43DE9"/>
    <w:rPr>
      <w:sz w:val="24"/>
      <w:szCs w:val="24"/>
      <w:bdr w:val="none" w:sz="0" w:space="0" w:color="auto" w:frame="1"/>
      <w:vertAlign w:val="baseline"/>
    </w:rPr>
  </w:style>
  <w:style w:type="character" w:customStyle="1" w:styleId="nlm-surname">
    <w:name w:val="nlm-surname"/>
    <w:basedOn w:val="DefaultParagraphFont"/>
    <w:rsid w:val="00B43DE9"/>
    <w:rPr>
      <w:sz w:val="24"/>
      <w:szCs w:val="24"/>
      <w:bdr w:val="none" w:sz="0" w:space="0" w:color="auto" w:frame="1"/>
      <w:vertAlign w:val="baseline"/>
    </w:rPr>
  </w:style>
  <w:style w:type="character" w:customStyle="1" w:styleId="highwire-cite-metadata-journal">
    <w:name w:val="highwire-cite-metadata-journal"/>
    <w:basedOn w:val="DefaultParagraphFont"/>
    <w:rsid w:val="00B43DE9"/>
    <w:rPr>
      <w:sz w:val="24"/>
      <w:szCs w:val="24"/>
      <w:bdr w:val="none" w:sz="0" w:space="0" w:color="auto" w:frame="1"/>
      <w:vertAlign w:val="baseline"/>
    </w:rPr>
  </w:style>
  <w:style w:type="character" w:customStyle="1" w:styleId="highwire-cite-metadata-date">
    <w:name w:val="highwire-cite-metadata-date"/>
    <w:basedOn w:val="DefaultParagraphFont"/>
    <w:rsid w:val="00B43DE9"/>
    <w:rPr>
      <w:sz w:val="24"/>
      <w:szCs w:val="24"/>
      <w:bdr w:val="none" w:sz="0" w:space="0" w:color="auto" w:frame="1"/>
      <w:vertAlign w:val="baseline"/>
    </w:rPr>
  </w:style>
  <w:style w:type="character" w:customStyle="1" w:styleId="highwire-cite-metadata-volume">
    <w:name w:val="highwire-cite-metadata-volume"/>
    <w:basedOn w:val="DefaultParagraphFont"/>
    <w:rsid w:val="00B43DE9"/>
    <w:rPr>
      <w:sz w:val="24"/>
      <w:szCs w:val="24"/>
      <w:bdr w:val="none" w:sz="0" w:space="0" w:color="auto" w:frame="1"/>
      <w:vertAlign w:val="baseline"/>
    </w:rPr>
  </w:style>
  <w:style w:type="character" w:customStyle="1" w:styleId="highwire-cite-metadata-pages">
    <w:name w:val="highwire-cite-metadata-pages"/>
    <w:basedOn w:val="DefaultParagraphFont"/>
    <w:rsid w:val="00B43DE9"/>
    <w:rPr>
      <w:sz w:val="24"/>
      <w:szCs w:val="24"/>
      <w:bdr w:val="none" w:sz="0" w:space="0" w:color="auto" w:frame="1"/>
      <w:vertAlign w:val="baseline"/>
    </w:rPr>
  </w:style>
  <w:style w:type="paragraph" w:styleId="TableofFigures">
    <w:name w:val="table of figures"/>
    <w:basedOn w:val="Normal"/>
    <w:next w:val="Normal"/>
    <w:uiPriority w:val="99"/>
    <w:unhideWhenUsed/>
    <w:rsid w:val="001437B9"/>
    <w:pPr>
      <w:spacing w:after="0"/>
    </w:pPr>
  </w:style>
  <w:style w:type="paragraph" w:customStyle="1" w:styleId="Titlepage">
    <w:name w:val="Title page"/>
    <w:qFormat/>
    <w:rsid w:val="006B426A"/>
    <w:pPr>
      <w:spacing w:before="120" w:after="0"/>
      <w:jc w:val="center"/>
    </w:pPr>
    <w:rPr>
      <w:rFonts w:ascii="Cambria" w:eastAsia="Calibri" w:hAnsi="Cambria" w:cs="Times New Roman"/>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2882">
      <w:bodyDiv w:val="1"/>
      <w:marLeft w:val="0"/>
      <w:marRight w:val="0"/>
      <w:marTop w:val="0"/>
      <w:marBottom w:val="0"/>
      <w:divBdr>
        <w:top w:val="none" w:sz="0" w:space="0" w:color="auto"/>
        <w:left w:val="none" w:sz="0" w:space="0" w:color="auto"/>
        <w:bottom w:val="none" w:sz="0" w:space="0" w:color="auto"/>
        <w:right w:val="none" w:sz="0" w:space="0" w:color="auto"/>
      </w:divBdr>
    </w:div>
    <w:div w:id="80489018">
      <w:bodyDiv w:val="1"/>
      <w:marLeft w:val="0"/>
      <w:marRight w:val="0"/>
      <w:marTop w:val="0"/>
      <w:marBottom w:val="0"/>
      <w:divBdr>
        <w:top w:val="none" w:sz="0" w:space="0" w:color="auto"/>
        <w:left w:val="none" w:sz="0" w:space="0" w:color="auto"/>
        <w:bottom w:val="none" w:sz="0" w:space="0" w:color="auto"/>
        <w:right w:val="none" w:sz="0" w:space="0" w:color="auto"/>
      </w:divBdr>
    </w:div>
    <w:div w:id="97145502">
      <w:bodyDiv w:val="1"/>
      <w:marLeft w:val="0"/>
      <w:marRight w:val="0"/>
      <w:marTop w:val="0"/>
      <w:marBottom w:val="0"/>
      <w:divBdr>
        <w:top w:val="none" w:sz="0" w:space="0" w:color="auto"/>
        <w:left w:val="none" w:sz="0" w:space="0" w:color="auto"/>
        <w:bottom w:val="none" w:sz="0" w:space="0" w:color="auto"/>
        <w:right w:val="none" w:sz="0" w:space="0" w:color="auto"/>
      </w:divBdr>
    </w:div>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60750">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71868023">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29730888">
      <w:bodyDiv w:val="1"/>
      <w:marLeft w:val="0"/>
      <w:marRight w:val="0"/>
      <w:marTop w:val="0"/>
      <w:marBottom w:val="0"/>
      <w:divBdr>
        <w:top w:val="none" w:sz="0" w:space="0" w:color="auto"/>
        <w:left w:val="none" w:sz="0" w:space="0" w:color="auto"/>
        <w:bottom w:val="none" w:sz="0" w:space="0" w:color="auto"/>
        <w:right w:val="none" w:sz="0" w:space="0" w:color="auto"/>
      </w:divBdr>
      <w:divsChild>
        <w:div w:id="397482520">
          <w:marLeft w:val="0"/>
          <w:marRight w:val="0"/>
          <w:marTop w:val="0"/>
          <w:marBottom w:val="0"/>
          <w:divBdr>
            <w:top w:val="none" w:sz="0" w:space="0" w:color="auto"/>
            <w:left w:val="none" w:sz="0" w:space="0" w:color="auto"/>
            <w:bottom w:val="none" w:sz="0" w:space="0" w:color="auto"/>
            <w:right w:val="none" w:sz="0" w:space="0" w:color="auto"/>
          </w:divBdr>
          <w:divsChild>
            <w:div w:id="1414470805">
              <w:marLeft w:val="0"/>
              <w:marRight w:val="0"/>
              <w:marTop w:val="0"/>
              <w:marBottom w:val="0"/>
              <w:divBdr>
                <w:top w:val="none" w:sz="0" w:space="0" w:color="auto"/>
                <w:left w:val="none" w:sz="0" w:space="0" w:color="auto"/>
                <w:bottom w:val="none" w:sz="0" w:space="0" w:color="auto"/>
                <w:right w:val="none" w:sz="0" w:space="0" w:color="auto"/>
              </w:divBdr>
              <w:divsChild>
                <w:div w:id="1844929218">
                  <w:marLeft w:val="150"/>
                  <w:marRight w:val="150"/>
                  <w:marTop w:val="0"/>
                  <w:marBottom w:val="0"/>
                  <w:divBdr>
                    <w:top w:val="none" w:sz="0" w:space="0" w:color="auto"/>
                    <w:left w:val="none" w:sz="0" w:space="0" w:color="auto"/>
                    <w:bottom w:val="none" w:sz="0" w:space="0" w:color="auto"/>
                    <w:right w:val="none" w:sz="0" w:space="0" w:color="auto"/>
                  </w:divBdr>
                  <w:divsChild>
                    <w:div w:id="118695745">
                      <w:marLeft w:val="0"/>
                      <w:marRight w:val="0"/>
                      <w:marTop w:val="0"/>
                      <w:marBottom w:val="0"/>
                      <w:divBdr>
                        <w:top w:val="none" w:sz="0" w:space="0" w:color="auto"/>
                        <w:left w:val="none" w:sz="0" w:space="0" w:color="auto"/>
                        <w:bottom w:val="none" w:sz="0" w:space="0" w:color="auto"/>
                        <w:right w:val="none" w:sz="0" w:space="0" w:color="auto"/>
                      </w:divBdr>
                      <w:divsChild>
                        <w:div w:id="904997080">
                          <w:marLeft w:val="0"/>
                          <w:marRight w:val="0"/>
                          <w:marTop w:val="0"/>
                          <w:marBottom w:val="0"/>
                          <w:divBdr>
                            <w:top w:val="none" w:sz="0" w:space="0" w:color="auto"/>
                            <w:left w:val="none" w:sz="0" w:space="0" w:color="auto"/>
                            <w:bottom w:val="none" w:sz="0" w:space="0" w:color="auto"/>
                            <w:right w:val="none" w:sz="0" w:space="0" w:color="auto"/>
                          </w:divBdr>
                          <w:divsChild>
                            <w:div w:id="586573222">
                              <w:marLeft w:val="0"/>
                              <w:marRight w:val="0"/>
                              <w:marTop w:val="0"/>
                              <w:marBottom w:val="0"/>
                              <w:divBdr>
                                <w:top w:val="none" w:sz="0" w:space="0" w:color="auto"/>
                                <w:left w:val="none" w:sz="0" w:space="0" w:color="auto"/>
                                <w:bottom w:val="none" w:sz="0" w:space="0" w:color="auto"/>
                                <w:right w:val="none" w:sz="0" w:space="0" w:color="auto"/>
                              </w:divBdr>
                              <w:divsChild>
                                <w:div w:id="820583991">
                                  <w:marLeft w:val="0"/>
                                  <w:marRight w:val="0"/>
                                  <w:marTop w:val="0"/>
                                  <w:marBottom w:val="0"/>
                                  <w:divBdr>
                                    <w:top w:val="none" w:sz="0" w:space="0" w:color="auto"/>
                                    <w:left w:val="none" w:sz="0" w:space="0" w:color="auto"/>
                                    <w:bottom w:val="none" w:sz="0" w:space="0" w:color="auto"/>
                                    <w:right w:val="none" w:sz="0" w:space="0" w:color="auto"/>
                                  </w:divBdr>
                                  <w:divsChild>
                                    <w:div w:id="2065253295">
                                      <w:marLeft w:val="0"/>
                                      <w:marRight w:val="0"/>
                                      <w:marTop w:val="0"/>
                                      <w:marBottom w:val="0"/>
                                      <w:divBdr>
                                        <w:top w:val="none" w:sz="0" w:space="0" w:color="auto"/>
                                        <w:left w:val="none" w:sz="0" w:space="0" w:color="auto"/>
                                        <w:bottom w:val="none" w:sz="0" w:space="0" w:color="auto"/>
                                        <w:right w:val="none" w:sz="0" w:space="0" w:color="auto"/>
                                      </w:divBdr>
                                      <w:divsChild>
                                        <w:div w:id="559244488">
                                          <w:marLeft w:val="0"/>
                                          <w:marRight w:val="0"/>
                                          <w:marTop w:val="0"/>
                                          <w:marBottom w:val="0"/>
                                          <w:divBdr>
                                            <w:top w:val="none" w:sz="0" w:space="0" w:color="auto"/>
                                            <w:left w:val="none" w:sz="0" w:space="0" w:color="auto"/>
                                            <w:bottom w:val="none" w:sz="0" w:space="0" w:color="auto"/>
                                            <w:right w:val="none" w:sz="0" w:space="0" w:color="auto"/>
                                          </w:divBdr>
                                          <w:divsChild>
                                            <w:div w:id="1800414975">
                                              <w:marLeft w:val="0"/>
                                              <w:marRight w:val="0"/>
                                              <w:marTop w:val="0"/>
                                              <w:marBottom w:val="0"/>
                                              <w:divBdr>
                                                <w:top w:val="none" w:sz="0" w:space="0" w:color="auto"/>
                                                <w:left w:val="none" w:sz="0" w:space="0" w:color="auto"/>
                                                <w:bottom w:val="none" w:sz="0" w:space="0" w:color="auto"/>
                                                <w:right w:val="none" w:sz="0" w:space="0" w:color="auto"/>
                                              </w:divBdr>
                                              <w:divsChild>
                                                <w:div w:id="2128497809">
                                                  <w:marLeft w:val="0"/>
                                                  <w:marRight w:val="0"/>
                                                  <w:marTop w:val="0"/>
                                                  <w:marBottom w:val="0"/>
                                                  <w:divBdr>
                                                    <w:top w:val="none" w:sz="0" w:space="0" w:color="auto"/>
                                                    <w:left w:val="none" w:sz="0" w:space="0" w:color="auto"/>
                                                    <w:bottom w:val="none" w:sz="0" w:space="0" w:color="auto"/>
                                                    <w:right w:val="none" w:sz="0" w:space="0" w:color="auto"/>
                                                  </w:divBdr>
                                                  <w:divsChild>
                                                    <w:div w:id="134839988">
                                                      <w:marLeft w:val="0"/>
                                                      <w:marRight w:val="0"/>
                                                      <w:marTop w:val="0"/>
                                                      <w:marBottom w:val="0"/>
                                                      <w:divBdr>
                                                        <w:top w:val="none" w:sz="0" w:space="0" w:color="auto"/>
                                                        <w:left w:val="none" w:sz="0" w:space="0" w:color="auto"/>
                                                        <w:bottom w:val="none" w:sz="0" w:space="0" w:color="auto"/>
                                                        <w:right w:val="none" w:sz="0" w:space="0" w:color="auto"/>
                                                      </w:divBdr>
                                                      <w:divsChild>
                                                        <w:div w:id="1078211918">
                                                          <w:marLeft w:val="0"/>
                                                          <w:marRight w:val="0"/>
                                                          <w:marTop w:val="0"/>
                                                          <w:marBottom w:val="150"/>
                                                          <w:divBdr>
                                                            <w:top w:val="none" w:sz="0" w:space="0" w:color="auto"/>
                                                            <w:left w:val="none" w:sz="0" w:space="0" w:color="auto"/>
                                                            <w:bottom w:val="none" w:sz="0" w:space="0" w:color="auto"/>
                                                            <w:right w:val="none" w:sz="0" w:space="0" w:color="auto"/>
                                                          </w:divBdr>
                                                          <w:divsChild>
                                                            <w:div w:id="1730107907">
                                                              <w:marLeft w:val="0"/>
                                                              <w:marRight w:val="0"/>
                                                              <w:marTop w:val="0"/>
                                                              <w:marBottom w:val="0"/>
                                                              <w:divBdr>
                                                                <w:top w:val="none" w:sz="0" w:space="0" w:color="auto"/>
                                                                <w:left w:val="none" w:sz="0" w:space="0" w:color="auto"/>
                                                                <w:bottom w:val="none" w:sz="0" w:space="0" w:color="auto"/>
                                                                <w:right w:val="none" w:sz="0" w:space="0" w:color="auto"/>
                                                              </w:divBdr>
                                                              <w:divsChild>
                                                                <w:div w:id="1022366497">
                                                                  <w:marLeft w:val="0"/>
                                                                  <w:marRight w:val="0"/>
                                                                  <w:marTop w:val="0"/>
                                                                  <w:marBottom w:val="0"/>
                                                                  <w:divBdr>
                                                                    <w:top w:val="none" w:sz="0" w:space="0" w:color="auto"/>
                                                                    <w:left w:val="none" w:sz="0" w:space="0" w:color="auto"/>
                                                                    <w:bottom w:val="none" w:sz="0" w:space="0" w:color="auto"/>
                                                                    <w:right w:val="none" w:sz="0" w:space="0" w:color="auto"/>
                                                                  </w:divBdr>
                                                                  <w:divsChild>
                                                                    <w:div w:id="1756322160">
                                                                      <w:marLeft w:val="0"/>
                                                                      <w:marRight w:val="0"/>
                                                                      <w:marTop w:val="0"/>
                                                                      <w:marBottom w:val="0"/>
                                                                      <w:divBdr>
                                                                        <w:top w:val="none" w:sz="0" w:space="0" w:color="auto"/>
                                                                        <w:left w:val="none" w:sz="0" w:space="0" w:color="auto"/>
                                                                        <w:bottom w:val="none" w:sz="0" w:space="0" w:color="auto"/>
                                                                        <w:right w:val="none" w:sz="0" w:space="0" w:color="auto"/>
                                                                      </w:divBdr>
                                                                      <w:divsChild>
                                                                        <w:div w:id="1779911801">
                                                                          <w:marLeft w:val="0"/>
                                                                          <w:marRight w:val="0"/>
                                                                          <w:marTop w:val="0"/>
                                                                          <w:marBottom w:val="0"/>
                                                                          <w:divBdr>
                                                                            <w:top w:val="none" w:sz="0" w:space="0" w:color="auto"/>
                                                                            <w:left w:val="none" w:sz="0" w:space="0" w:color="auto"/>
                                                                            <w:bottom w:val="none" w:sz="0" w:space="0" w:color="auto"/>
                                                                            <w:right w:val="none" w:sz="0" w:space="0" w:color="auto"/>
                                                                          </w:divBdr>
                                                                        </w:div>
                                                                        <w:div w:id="14969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07886703">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34400254">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21385">
          <w:marLeft w:val="0"/>
          <w:marRight w:val="0"/>
          <w:marTop w:val="0"/>
          <w:marBottom w:val="0"/>
          <w:divBdr>
            <w:top w:val="none" w:sz="0" w:space="0" w:color="auto"/>
            <w:left w:val="none" w:sz="0" w:space="0" w:color="auto"/>
            <w:bottom w:val="none" w:sz="0" w:space="0" w:color="auto"/>
            <w:right w:val="none" w:sz="0" w:space="0" w:color="auto"/>
          </w:divBdr>
        </w:div>
        <w:div w:id="146423161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1657687807">
          <w:marLeft w:val="0"/>
          <w:marRight w:val="75"/>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461852159">
          <w:marLeft w:val="0"/>
          <w:marRight w:val="0"/>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2004354560">
      <w:bodyDiv w:val="1"/>
      <w:marLeft w:val="0"/>
      <w:marRight w:val="0"/>
      <w:marTop w:val="0"/>
      <w:marBottom w:val="0"/>
      <w:divBdr>
        <w:top w:val="none" w:sz="0" w:space="0" w:color="auto"/>
        <w:left w:val="none" w:sz="0" w:space="0" w:color="auto"/>
        <w:bottom w:val="none" w:sz="0" w:space="0" w:color="auto"/>
        <w:right w:val="none" w:sz="0" w:space="0" w:color="auto"/>
      </w:divBdr>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endnotes.xml.rels><?xml version="1.0" encoding="UTF-8" standalone="yes"?>
<Relationships xmlns="http://schemas.openxmlformats.org/package/2006/relationships"><Relationship Id="rId8" Type="http://schemas.openxmlformats.org/officeDocument/2006/relationships/hyperlink" Target="http://www.pbs.gov.au/industry/listing/elements/pbac-meetings/psd/2011-11/Epoprostenol_sodium.pdf" TargetMode="External"/><Relationship Id="rId13" Type="http://schemas.openxmlformats.org/officeDocument/2006/relationships/hyperlink" Target="http://www.pbs.gov.au/industry/listing/elements/pbac-meetings/psd/2014-03/macitentan-psd-03-2014.pdf" TargetMode="External"/><Relationship Id="rId3" Type="http://schemas.openxmlformats.org/officeDocument/2006/relationships/hyperlink" Target="http://www.pbs.gov.au/info/industry/listing/elements/pbac-meetings/psd/2009-07/pbac-psd-ambrisentan-jul09" TargetMode="External"/><Relationship Id="rId7" Type="http://schemas.openxmlformats.org/officeDocument/2006/relationships/hyperlink" Target="http://www.pbs.gov.au/industry/listing/elements/pbac-meetings/psd/2006-03/epoprostenol.pdf" TargetMode="External"/><Relationship Id="rId12" Type="http://schemas.openxmlformats.org/officeDocument/2006/relationships/hyperlink" Target="http://www.pbs.gov.au/info/industry/listing/elements/pbac-meetings/psd/2009-07/pbac-psd-ambrisentan-jul09" TargetMode="External"/><Relationship Id="rId2" Type="http://schemas.openxmlformats.org/officeDocument/2006/relationships/hyperlink" Target="http://www.pbs.gov.au/industry/listing/elements/pbac-meetings/psd/2008-03/pbac-psd-bosentan-mar08.pdf" TargetMode="External"/><Relationship Id="rId1" Type="http://schemas.openxmlformats.org/officeDocument/2006/relationships/hyperlink" Target="http://www.pbs.gov.au/industry/listing/elements/pbac-meetings/psd/2007-07/Sitaxentan%20Thelin%20PSD%205.10%20Encysive%20FINAL.pdf" TargetMode="External"/><Relationship Id="rId6" Type="http://schemas.openxmlformats.org/officeDocument/2006/relationships/hyperlink" Target="http://www.pbs.gov.au/industry/listing/elements/pbac-meetings/psd/2011-11/Tadalafil_ADCIRCA.pdf" TargetMode="External"/><Relationship Id="rId11" Type="http://schemas.openxmlformats.org/officeDocument/2006/relationships/hyperlink" Target="http://www.pbs.gov.au/industry/listing/elements/pbac-meetings/psd/2014-03/riociguat-psd-03-2014.pdf" TargetMode="External"/><Relationship Id="rId5" Type="http://schemas.openxmlformats.org/officeDocument/2006/relationships/hyperlink" Target="http://www.pbs.gov.au/industry/listing/elements/pbac-meetings/psd/2006-11/SildenafilNov06.pdf" TargetMode="External"/><Relationship Id="rId10" Type="http://schemas.openxmlformats.org/officeDocument/2006/relationships/hyperlink" Target="http://www.pbs.gov.au/industry/listing/elements/pbac-meetings/psd/2017-03/files/selexipag-psd-march-2017.pdf" TargetMode="External"/><Relationship Id="rId4" Type="http://schemas.openxmlformats.org/officeDocument/2006/relationships/hyperlink" Target="http://www.pbs.gov.au/industry/listing/elements/pbac-meetings/psd/2014-03/macitentan-psd-03-2014.pdf" TargetMode="External"/><Relationship Id="rId9" Type="http://schemas.openxmlformats.org/officeDocument/2006/relationships/hyperlink" Target="http://www.pbs.gov.au/industry/listing/elements/pbac-meetings/psd/2016-03/files/selexipag-psd-march-2016.pdf" TargetMode="External"/><Relationship Id="rId14" Type="http://schemas.openxmlformats.org/officeDocument/2006/relationships/hyperlink" Target="http://www.pbs.gov.au/industry/listing/elements/pbac-meetings/psd/2016-03/files/selexipag-psd-march-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2020-05-05T00:28:00Z</dcterms:created>
  <dcterms:modified xsi:type="dcterms:W3CDTF">2020-05-12T05:15:00Z</dcterms:modified>
</cp:coreProperties>
</file>