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5469" w14:textId="6DC6449D" w:rsidR="00D45403" w:rsidRPr="00E571B9" w:rsidRDefault="00D45403" w:rsidP="00D45403">
      <w:pPr>
        <w:ind w:left="709" w:hanging="709"/>
        <w:rPr>
          <w:rFonts w:asciiTheme="minorHAnsi" w:hAnsiTheme="minorHAnsi" w:cs="Arial"/>
          <w:b/>
          <w:sz w:val="36"/>
          <w:szCs w:val="36"/>
        </w:rPr>
      </w:pPr>
      <w:bookmarkStart w:id="0" w:name="_Hlk116645969"/>
      <w:bookmarkStart w:id="1" w:name="_Toc440980439"/>
      <w:r>
        <w:rPr>
          <w:rFonts w:asciiTheme="minorHAnsi" w:hAnsiTheme="minorHAnsi" w:cs="Arial"/>
          <w:b/>
          <w:sz w:val="36"/>
          <w:szCs w:val="36"/>
        </w:rPr>
        <w:t>9.01</w:t>
      </w:r>
      <w:r w:rsidRPr="00156156">
        <w:rPr>
          <w:rFonts w:asciiTheme="minorHAnsi" w:hAnsiTheme="minorHAnsi" w:cs="Arial"/>
          <w:b/>
          <w:sz w:val="36"/>
          <w:szCs w:val="36"/>
        </w:rPr>
        <w:tab/>
      </w:r>
      <w:r>
        <w:rPr>
          <w:rFonts w:asciiTheme="minorHAnsi" w:hAnsiTheme="minorHAnsi" w:cs="Arial"/>
          <w:b/>
          <w:sz w:val="36"/>
          <w:szCs w:val="36"/>
        </w:rPr>
        <w:t xml:space="preserve">Estimating overall survival in people receiving PBS-listed cancer medicines in Australian clinical practice </w:t>
      </w:r>
      <w:bookmarkStart w:id="2" w:name="_Toc361753915"/>
    </w:p>
    <w:bookmarkEnd w:id="0"/>
    <w:bookmarkEnd w:id="2"/>
    <w:p w14:paraId="299C7914" w14:textId="12C8675C" w:rsidR="00F927AC" w:rsidRPr="00F927AC" w:rsidRDefault="00A65D59" w:rsidP="00F927AC">
      <w:pPr>
        <w:pStyle w:val="2Sections"/>
      </w:pPr>
      <w:r w:rsidRPr="00A90A71">
        <w:t xml:space="preserve">Purpose of </w:t>
      </w:r>
      <w:r w:rsidR="009F391E" w:rsidRPr="00A90A71">
        <w:t>ite</w:t>
      </w:r>
      <w:r w:rsidR="00F927AC">
        <w:t>m</w:t>
      </w:r>
    </w:p>
    <w:p w14:paraId="74772D19" w14:textId="2BD8CEB0" w:rsidR="005A3BE8" w:rsidRPr="005A3BE8" w:rsidRDefault="005A3BE8" w:rsidP="005A3BE8">
      <w:pPr>
        <w:pStyle w:val="PBACHeading10"/>
        <w:keepNext w:val="0"/>
        <w:keepLines w:val="0"/>
        <w:ind w:firstLine="0"/>
        <w:jc w:val="both"/>
        <w:outlineLvl w:val="9"/>
        <w:rPr>
          <w:b w:val="0"/>
          <w:sz w:val="24"/>
          <w:szCs w:val="24"/>
        </w:rPr>
      </w:pPr>
      <w:bookmarkStart w:id="3" w:name="_Hlk99362773"/>
      <w:r>
        <w:rPr>
          <w:b w:val="0"/>
          <w:sz w:val="24"/>
          <w:szCs w:val="24"/>
        </w:rPr>
        <w:t xml:space="preserve">That the </w:t>
      </w:r>
      <w:r w:rsidR="00D72793" w:rsidRPr="00D72793">
        <w:rPr>
          <w:b w:val="0"/>
          <w:sz w:val="24"/>
          <w:szCs w:val="24"/>
        </w:rPr>
        <w:t xml:space="preserve">Pharmaceutical Benefits Advisory Committee </w:t>
      </w:r>
      <w:r w:rsidR="00D72793">
        <w:rPr>
          <w:b w:val="0"/>
          <w:sz w:val="24"/>
          <w:szCs w:val="24"/>
        </w:rPr>
        <w:t>(</w:t>
      </w:r>
      <w:r>
        <w:rPr>
          <w:b w:val="0"/>
          <w:sz w:val="24"/>
          <w:szCs w:val="24"/>
        </w:rPr>
        <w:t>PBAC</w:t>
      </w:r>
      <w:r w:rsidR="00D72793">
        <w:rPr>
          <w:b w:val="0"/>
          <w:sz w:val="24"/>
          <w:szCs w:val="24"/>
        </w:rPr>
        <w:t>)</w:t>
      </w:r>
      <w:r>
        <w:rPr>
          <w:b w:val="0"/>
          <w:sz w:val="24"/>
          <w:szCs w:val="24"/>
        </w:rPr>
        <w:t>:</w:t>
      </w:r>
    </w:p>
    <w:p w14:paraId="7C00CEE7" w14:textId="2C4A11F2" w:rsidR="001A4CC3" w:rsidRPr="005836CB" w:rsidRDefault="007D2A7B" w:rsidP="005836CB">
      <w:pPr>
        <w:pStyle w:val="PBACHeading10"/>
        <w:keepNext w:val="0"/>
        <w:keepLines w:val="0"/>
        <w:numPr>
          <w:ilvl w:val="1"/>
          <w:numId w:val="14"/>
        </w:numPr>
        <w:ind w:left="720" w:hanging="720"/>
        <w:jc w:val="both"/>
        <w:outlineLvl w:val="9"/>
        <w:rPr>
          <w:b w:val="0"/>
          <w:bCs/>
          <w:sz w:val="24"/>
          <w:szCs w:val="24"/>
        </w:rPr>
      </w:pPr>
      <w:bookmarkStart w:id="4" w:name="_Hlk99363399"/>
      <w:r w:rsidRPr="005836CB">
        <w:rPr>
          <w:sz w:val="24"/>
          <w:szCs w:val="24"/>
        </w:rPr>
        <w:t>Consider</w:t>
      </w:r>
      <w:r w:rsidR="001A4CC3" w:rsidRPr="005836CB">
        <w:rPr>
          <w:b w:val="0"/>
          <w:bCs/>
          <w:sz w:val="24"/>
          <w:szCs w:val="24"/>
        </w:rPr>
        <w:t xml:space="preserve"> the</w:t>
      </w:r>
      <w:r w:rsidR="000422DE">
        <w:rPr>
          <w:b w:val="0"/>
          <w:bCs/>
          <w:sz w:val="24"/>
          <w:szCs w:val="24"/>
        </w:rPr>
        <w:t xml:space="preserve"> findings of the</w:t>
      </w:r>
      <w:r w:rsidR="001A4CC3" w:rsidRPr="005836CB">
        <w:rPr>
          <w:b w:val="0"/>
          <w:bCs/>
          <w:sz w:val="24"/>
          <w:szCs w:val="24"/>
        </w:rPr>
        <w:t xml:space="preserve"> </w:t>
      </w:r>
      <w:r w:rsidR="009A5544" w:rsidRPr="005836CB">
        <w:rPr>
          <w:b w:val="0"/>
          <w:bCs/>
          <w:sz w:val="24"/>
          <w:szCs w:val="24"/>
        </w:rPr>
        <w:t>‘Protocol: Estimating overall survival</w:t>
      </w:r>
      <w:r w:rsidR="009C5369">
        <w:rPr>
          <w:b w:val="0"/>
          <w:bCs/>
          <w:sz w:val="24"/>
          <w:szCs w:val="24"/>
        </w:rPr>
        <w:t xml:space="preserve"> (OS)</w:t>
      </w:r>
      <w:r w:rsidR="006B3B29" w:rsidRPr="005836CB">
        <w:rPr>
          <w:b w:val="0"/>
          <w:bCs/>
          <w:sz w:val="24"/>
          <w:szCs w:val="24"/>
        </w:rPr>
        <w:t xml:space="preserve"> </w:t>
      </w:r>
      <w:r w:rsidR="009A5544" w:rsidRPr="005836CB">
        <w:rPr>
          <w:b w:val="0"/>
          <w:bCs/>
          <w:sz w:val="24"/>
          <w:szCs w:val="24"/>
        </w:rPr>
        <w:t xml:space="preserve">in people receiving </w:t>
      </w:r>
      <w:r w:rsidRPr="005836CB">
        <w:rPr>
          <w:b w:val="0"/>
          <w:bCs/>
          <w:sz w:val="24"/>
          <w:szCs w:val="24"/>
        </w:rPr>
        <w:t>Pharmaceutical Benefits Scheme (</w:t>
      </w:r>
      <w:r w:rsidR="009A5544" w:rsidRPr="005836CB">
        <w:rPr>
          <w:b w:val="0"/>
          <w:bCs/>
          <w:sz w:val="24"/>
          <w:szCs w:val="24"/>
        </w:rPr>
        <w:t>PBS</w:t>
      </w:r>
      <w:r w:rsidRPr="005836CB">
        <w:rPr>
          <w:b w:val="0"/>
          <w:bCs/>
          <w:sz w:val="24"/>
          <w:szCs w:val="24"/>
        </w:rPr>
        <w:t>)</w:t>
      </w:r>
      <w:r w:rsidR="009A5544" w:rsidRPr="005836CB">
        <w:rPr>
          <w:b w:val="0"/>
          <w:bCs/>
          <w:sz w:val="24"/>
          <w:szCs w:val="24"/>
        </w:rPr>
        <w:t>-listed cancer medicines in Australian clinical practice’</w:t>
      </w:r>
      <w:r w:rsidR="00BE457B">
        <w:rPr>
          <w:b w:val="0"/>
          <w:bCs/>
          <w:sz w:val="24"/>
          <w:szCs w:val="24"/>
        </w:rPr>
        <w:t xml:space="preserve"> final repor</w:t>
      </w:r>
      <w:r w:rsidR="006A6C91">
        <w:rPr>
          <w:b w:val="0"/>
          <w:bCs/>
          <w:sz w:val="24"/>
          <w:szCs w:val="24"/>
        </w:rPr>
        <w:t>t</w:t>
      </w:r>
      <w:r w:rsidR="00155E54">
        <w:rPr>
          <w:b w:val="0"/>
          <w:bCs/>
          <w:sz w:val="24"/>
          <w:szCs w:val="24"/>
        </w:rPr>
        <w:t xml:space="preserve"> (herein referred to as </w:t>
      </w:r>
      <w:r w:rsidR="00D45403">
        <w:rPr>
          <w:b w:val="0"/>
          <w:bCs/>
          <w:sz w:val="24"/>
          <w:szCs w:val="24"/>
        </w:rPr>
        <w:t>‘</w:t>
      </w:r>
      <w:r w:rsidR="00155E54">
        <w:rPr>
          <w:b w:val="0"/>
          <w:bCs/>
          <w:sz w:val="24"/>
          <w:szCs w:val="24"/>
        </w:rPr>
        <w:t>the Protocol</w:t>
      </w:r>
      <w:r w:rsidR="00D45403">
        <w:rPr>
          <w:b w:val="0"/>
          <w:bCs/>
          <w:sz w:val="24"/>
          <w:szCs w:val="24"/>
        </w:rPr>
        <w:t>’</w:t>
      </w:r>
      <w:r w:rsidR="00155E54">
        <w:rPr>
          <w:b w:val="0"/>
          <w:bCs/>
          <w:sz w:val="24"/>
          <w:szCs w:val="24"/>
        </w:rPr>
        <w:t>)</w:t>
      </w:r>
      <w:r w:rsidR="001A4CC3" w:rsidRPr="005836CB">
        <w:rPr>
          <w:b w:val="0"/>
          <w:bCs/>
          <w:sz w:val="24"/>
          <w:szCs w:val="24"/>
        </w:rPr>
        <w:t>.</w:t>
      </w:r>
      <w:r w:rsidR="00660979" w:rsidRPr="005836CB">
        <w:rPr>
          <w:b w:val="0"/>
          <w:bCs/>
          <w:sz w:val="24"/>
          <w:szCs w:val="24"/>
        </w:rPr>
        <w:t xml:space="preserve"> </w:t>
      </w:r>
    </w:p>
    <w:bookmarkEnd w:id="4"/>
    <w:p w14:paraId="3DA87742" w14:textId="7D610E79" w:rsidR="001A4CC3" w:rsidRPr="00A90A71" w:rsidRDefault="007D2A7B" w:rsidP="00004FA2">
      <w:pPr>
        <w:pStyle w:val="PBACHeading10"/>
        <w:keepNext w:val="0"/>
        <w:keepLines w:val="0"/>
        <w:numPr>
          <w:ilvl w:val="1"/>
          <w:numId w:val="14"/>
        </w:numPr>
        <w:ind w:left="720" w:hanging="720"/>
        <w:jc w:val="both"/>
        <w:outlineLvl w:val="9"/>
        <w:rPr>
          <w:sz w:val="24"/>
          <w:szCs w:val="24"/>
        </w:rPr>
      </w:pPr>
      <w:r>
        <w:rPr>
          <w:sz w:val="24"/>
          <w:szCs w:val="24"/>
        </w:rPr>
        <w:t>Advise</w:t>
      </w:r>
      <w:r w:rsidR="001A4CC3" w:rsidRPr="00A90A71">
        <w:rPr>
          <w:sz w:val="24"/>
          <w:szCs w:val="24"/>
        </w:rPr>
        <w:t xml:space="preserve"> </w:t>
      </w:r>
      <w:r w:rsidR="001A4CC3" w:rsidRPr="00A90A71">
        <w:rPr>
          <w:b w:val="0"/>
          <w:bCs/>
          <w:sz w:val="24"/>
          <w:szCs w:val="24"/>
        </w:rPr>
        <w:t xml:space="preserve">the </w:t>
      </w:r>
      <w:r w:rsidR="00D72793">
        <w:rPr>
          <w:b w:val="0"/>
          <w:bCs/>
          <w:sz w:val="24"/>
          <w:szCs w:val="24"/>
        </w:rPr>
        <w:t>D</w:t>
      </w:r>
      <w:r w:rsidR="009A5544">
        <w:rPr>
          <w:b w:val="0"/>
          <w:bCs/>
          <w:sz w:val="24"/>
          <w:szCs w:val="24"/>
        </w:rPr>
        <w:t xml:space="preserve">epartment if </w:t>
      </w:r>
      <w:r w:rsidR="006B3B29">
        <w:rPr>
          <w:b w:val="0"/>
          <w:bCs/>
          <w:sz w:val="24"/>
          <w:szCs w:val="24"/>
        </w:rPr>
        <w:t xml:space="preserve">any further </w:t>
      </w:r>
      <w:r w:rsidR="004747B2">
        <w:rPr>
          <w:b w:val="0"/>
          <w:bCs/>
          <w:sz w:val="24"/>
          <w:szCs w:val="24"/>
        </w:rPr>
        <w:t>research</w:t>
      </w:r>
      <w:r w:rsidR="006B3B29">
        <w:rPr>
          <w:b w:val="0"/>
          <w:bCs/>
          <w:sz w:val="24"/>
          <w:szCs w:val="24"/>
        </w:rPr>
        <w:t xml:space="preserve"> </w:t>
      </w:r>
      <w:r w:rsidR="004747B2">
        <w:rPr>
          <w:b w:val="0"/>
          <w:bCs/>
          <w:sz w:val="24"/>
          <w:szCs w:val="24"/>
        </w:rPr>
        <w:t xml:space="preserve">should be </w:t>
      </w:r>
      <w:r w:rsidR="006B3B29">
        <w:rPr>
          <w:b w:val="0"/>
          <w:bCs/>
          <w:sz w:val="24"/>
          <w:szCs w:val="24"/>
        </w:rPr>
        <w:t xml:space="preserve">undertaken on </w:t>
      </w:r>
      <w:r w:rsidR="001C43A2">
        <w:rPr>
          <w:b w:val="0"/>
          <w:bCs/>
          <w:sz w:val="24"/>
          <w:szCs w:val="24"/>
        </w:rPr>
        <w:t>survival outcomes</w:t>
      </w:r>
      <w:r w:rsidR="006B3B29">
        <w:rPr>
          <w:b w:val="0"/>
          <w:bCs/>
          <w:sz w:val="24"/>
          <w:szCs w:val="24"/>
        </w:rPr>
        <w:t xml:space="preserve"> relating to PBS-listed cancer medicines or other </w:t>
      </w:r>
      <w:r w:rsidR="001C43A2" w:rsidRPr="001C43A2">
        <w:rPr>
          <w:b w:val="0"/>
          <w:bCs/>
          <w:sz w:val="24"/>
          <w:szCs w:val="24"/>
        </w:rPr>
        <w:t>medicines for non-cancer indications</w:t>
      </w:r>
      <w:r w:rsidR="007C43BA" w:rsidRPr="007C43BA">
        <w:rPr>
          <w:rFonts w:ascii="Times New Roman" w:hAnsi="Times New Roman" w:cs="Times New Roman"/>
          <w:b w:val="0"/>
          <w:snapToGrid/>
          <w:sz w:val="24"/>
          <w:szCs w:val="24"/>
        </w:rPr>
        <w:t xml:space="preserve"> </w:t>
      </w:r>
      <w:r w:rsidR="007C43BA" w:rsidRPr="007C43BA">
        <w:rPr>
          <w:b w:val="0"/>
          <w:bCs/>
          <w:sz w:val="24"/>
          <w:szCs w:val="24"/>
        </w:rPr>
        <w:t xml:space="preserve">using the methods outlined in the </w:t>
      </w:r>
      <w:r w:rsidR="00155E54">
        <w:rPr>
          <w:b w:val="0"/>
          <w:bCs/>
          <w:sz w:val="24"/>
          <w:szCs w:val="24"/>
        </w:rPr>
        <w:t>P</w:t>
      </w:r>
      <w:r w:rsidR="007C43BA" w:rsidRPr="007C43BA">
        <w:rPr>
          <w:b w:val="0"/>
          <w:bCs/>
          <w:sz w:val="24"/>
          <w:szCs w:val="24"/>
        </w:rPr>
        <w:t>rotocol</w:t>
      </w:r>
      <w:r w:rsidR="009F391E" w:rsidRPr="006B3B29">
        <w:rPr>
          <w:b w:val="0"/>
          <w:bCs/>
          <w:sz w:val="24"/>
          <w:szCs w:val="24"/>
        </w:rPr>
        <w:t>.</w:t>
      </w:r>
    </w:p>
    <w:p w14:paraId="6AB4A2F4" w14:textId="77777777" w:rsidR="00C419AC" w:rsidRPr="0071655B" w:rsidRDefault="00C419AC" w:rsidP="00F927AC">
      <w:pPr>
        <w:pStyle w:val="2Sections"/>
      </w:pPr>
      <w:bookmarkStart w:id="5" w:name="_Hlk99358051"/>
      <w:bookmarkEnd w:id="3"/>
      <w:r w:rsidRPr="0071655B">
        <w:t>Background</w:t>
      </w:r>
    </w:p>
    <w:bookmarkEnd w:id="1"/>
    <w:bookmarkEnd w:id="5"/>
    <w:p w14:paraId="1AFFCC69" w14:textId="11F412EF" w:rsidR="009C5369" w:rsidRPr="009C5369" w:rsidRDefault="009C5369" w:rsidP="00DA0223">
      <w:pPr>
        <w:pStyle w:val="4Bodytextnumbered"/>
        <w:rPr>
          <w:highlight w:val="black"/>
        </w:rPr>
      </w:pPr>
      <w:r w:rsidRPr="009C5369">
        <w:rPr>
          <w:w w:val="54"/>
          <w:highlight w:val="black"/>
          <w:shd w:val="solid" w:color="000000" w:fill="000000"/>
          <w:fitText w:val="8230" w:id="-1210877952"/>
          <w14:textFill>
            <w14:solidFill>
              <w14:srgbClr w14:val="000000">
                <w14:alpha w14:val="100000"/>
              </w14:srgbClr>
            </w14:solidFill>
          </w14:textFill>
        </w:rPr>
        <w:t>||||||||||||||||||||||||||||||||||||||||||||||||||||||||||||||||||||  |||||||||||||||||||||||||||||||||||||||||||||||||||||||||||||||||||</w:t>
      </w:r>
      <w:r w:rsidRPr="009C5369">
        <w:rPr>
          <w:spacing w:val="59"/>
          <w:w w:val="54"/>
          <w:highlight w:val="black"/>
          <w:shd w:val="solid" w:color="000000" w:fill="000000"/>
          <w:fitText w:val="8230" w:id="-1210877952"/>
          <w14:textFill>
            <w14:solidFill>
              <w14:srgbClr w14:val="000000">
                <w14:alpha w14:val="100000"/>
              </w14:srgbClr>
            </w14:solidFill>
          </w14:textFill>
        </w:rPr>
        <w:t>|</w:t>
      </w:r>
      <w:r w:rsidRPr="009C5369">
        <w:rPr>
          <w:highlight w:val="black"/>
        </w:rPr>
        <w:t xml:space="preserve"> </w:t>
      </w:r>
      <w:r w:rsidRPr="009C5369">
        <w:rPr>
          <w:spacing w:val="1"/>
          <w:w w:val="54"/>
          <w:highlight w:val="black"/>
          <w:shd w:val="solid" w:color="000000" w:fill="000000"/>
          <w:fitText w:val="7450" w:id="-1210877951"/>
          <w14:textFill>
            <w14:solidFill>
              <w14:srgbClr w14:val="000000">
                <w14:alpha w14:val="100000"/>
              </w14:srgbClr>
            </w14:solidFill>
          </w14:textFill>
        </w:rPr>
        <w:t>|||||||||||||||||||||||||||||||||||||||||||||||||||||||||||||  ||||||||||||||||||||||||||||||||||||||||||||||||||||||||||||</w:t>
      </w:r>
      <w:r w:rsidRPr="009C5369">
        <w:rPr>
          <w:spacing w:val="-8"/>
          <w:w w:val="54"/>
          <w:highlight w:val="black"/>
          <w:shd w:val="solid" w:color="000000" w:fill="000000"/>
          <w:fitText w:val="7450" w:id="-1210877951"/>
          <w14:textFill>
            <w14:solidFill>
              <w14:srgbClr w14:val="000000">
                <w14:alpha w14:val="100000"/>
              </w14:srgbClr>
            </w14:solidFill>
          </w14:textFill>
        </w:rPr>
        <w:t>|</w:t>
      </w:r>
      <w:r w:rsidRPr="009C5369">
        <w:rPr>
          <w:highlight w:val="black"/>
        </w:rPr>
        <w:t xml:space="preserve"> </w:t>
      </w:r>
      <w:r w:rsidRPr="009C5369">
        <w:rPr>
          <w:w w:val="15"/>
          <w:highlight w:val="black"/>
          <w:shd w:val="solid" w:color="000000" w:fill="000000"/>
          <w:fitText w:val="-20" w:id="-1210877950"/>
          <w14:textFill>
            <w14:solidFill>
              <w14:srgbClr w14:val="000000">
                <w14:alpha w14:val="100000"/>
              </w14:srgbClr>
            </w14:solidFill>
          </w14:textFill>
        </w:rPr>
        <w:t xml:space="preserve">|  </w:t>
      </w:r>
      <w:r w:rsidRPr="009C5369">
        <w:rPr>
          <w:spacing w:val="-69"/>
          <w:w w:val="15"/>
          <w:highlight w:val="black"/>
          <w:shd w:val="solid" w:color="000000" w:fill="000000"/>
          <w:fitText w:val="-20" w:id="-1210877950"/>
          <w14:textFill>
            <w14:solidFill>
              <w14:srgbClr w14:val="000000">
                <w14:alpha w14:val="100000"/>
              </w14:srgbClr>
            </w14:solidFill>
          </w14:textFill>
        </w:rPr>
        <w:t>|</w:t>
      </w:r>
      <w:r w:rsidRPr="009C5369">
        <w:rPr>
          <w:highlight w:val="black"/>
        </w:rPr>
        <w:t xml:space="preserve"> </w:t>
      </w:r>
      <w:r w:rsidRPr="009C5369">
        <w:rPr>
          <w:w w:val="55"/>
          <w:highlight w:val="black"/>
          <w:shd w:val="solid" w:color="000000" w:fill="000000"/>
          <w:fitText w:val="7480" w:id="-1210877949"/>
          <w14:textFill>
            <w14:solidFill>
              <w14:srgbClr w14:val="000000">
                <w14:alpha w14:val="100000"/>
              </w14:srgbClr>
            </w14:solidFill>
          </w14:textFill>
        </w:rPr>
        <w:t>|||||||||||||||||||||||||||||||||||||||||||||||||||||||||||||  ||||||||||||||||||||||||||||||||||||||||||||||||||||||||||||</w:t>
      </w:r>
      <w:r w:rsidRPr="009C5369">
        <w:rPr>
          <w:spacing w:val="14"/>
          <w:w w:val="55"/>
          <w:highlight w:val="black"/>
          <w:shd w:val="solid" w:color="000000" w:fill="000000"/>
          <w:fitText w:val="7480" w:id="-1210877949"/>
          <w14:textFill>
            <w14:solidFill>
              <w14:srgbClr w14:val="000000">
                <w14:alpha w14:val="100000"/>
              </w14:srgbClr>
            </w14:solidFill>
          </w14:textFill>
        </w:rPr>
        <w:t>|</w:t>
      </w:r>
      <w:r w:rsidRPr="009C5369">
        <w:rPr>
          <w:highlight w:val="black"/>
        </w:rPr>
        <w:t xml:space="preserve"> </w:t>
      </w:r>
      <w:r w:rsidRPr="009C5369">
        <w:rPr>
          <w:w w:val="15"/>
          <w:highlight w:val="black"/>
          <w:shd w:val="solid" w:color="000000" w:fill="000000"/>
          <w:fitText w:val="-20" w:id="-1210877948"/>
          <w14:textFill>
            <w14:solidFill>
              <w14:srgbClr w14:val="000000">
                <w14:alpha w14:val="100000"/>
              </w14:srgbClr>
            </w14:solidFill>
          </w14:textFill>
        </w:rPr>
        <w:t xml:space="preserve">|  </w:t>
      </w:r>
      <w:r w:rsidRPr="009C5369">
        <w:rPr>
          <w:spacing w:val="-69"/>
          <w:w w:val="15"/>
          <w:highlight w:val="black"/>
          <w:shd w:val="solid" w:color="000000" w:fill="000000"/>
          <w:fitText w:val="-20" w:id="-1210877948"/>
          <w14:textFill>
            <w14:solidFill>
              <w14:srgbClr w14:val="000000">
                <w14:alpha w14:val="100000"/>
              </w14:srgbClr>
            </w14:solidFill>
          </w14:textFill>
        </w:rPr>
        <w:t>|</w:t>
      </w:r>
      <w:r w:rsidRPr="009C5369">
        <w:rPr>
          <w:highlight w:val="black"/>
        </w:rPr>
        <w:t xml:space="preserve"> </w:t>
      </w:r>
      <w:r w:rsidRPr="009C5369">
        <w:rPr>
          <w:w w:val="15"/>
          <w:highlight w:val="black"/>
          <w:shd w:val="solid" w:color="000000" w:fill="000000"/>
          <w:fitText w:val="-20" w:id="-1210877947"/>
          <w14:textFill>
            <w14:solidFill>
              <w14:srgbClr w14:val="000000">
                <w14:alpha w14:val="100000"/>
              </w14:srgbClr>
            </w14:solidFill>
          </w14:textFill>
        </w:rPr>
        <w:t xml:space="preserve">|  </w:t>
      </w:r>
      <w:r w:rsidRPr="009C5369">
        <w:rPr>
          <w:spacing w:val="-69"/>
          <w:w w:val="15"/>
          <w:highlight w:val="black"/>
          <w:shd w:val="solid" w:color="000000" w:fill="000000"/>
          <w:fitText w:val="-20" w:id="-1210877947"/>
          <w14:textFill>
            <w14:solidFill>
              <w14:srgbClr w14:val="000000">
                <w14:alpha w14:val="100000"/>
              </w14:srgbClr>
            </w14:solidFill>
          </w14:textFill>
        </w:rPr>
        <w:t>|</w:t>
      </w:r>
      <w:r w:rsidRPr="009C5369">
        <w:rPr>
          <w:highlight w:val="black"/>
        </w:rPr>
        <w:t xml:space="preserve"> </w:t>
      </w:r>
      <w:r w:rsidRPr="009C5369">
        <w:rPr>
          <w:w w:val="15"/>
          <w:highlight w:val="black"/>
          <w:shd w:val="solid" w:color="000000" w:fill="000000"/>
          <w:fitText w:val="-20" w:id="-1210877946"/>
          <w14:textFill>
            <w14:solidFill>
              <w14:srgbClr w14:val="000000">
                <w14:alpha w14:val="100000"/>
              </w14:srgbClr>
            </w14:solidFill>
          </w14:textFill>
        </w:rPr>
        <w:t xml:space="preserve">|  </w:t>
      </w:r>
      <w:r w:rsidRPr="009C5369">
        <w:rPr>
          <w:spacing w:val="-69"/>
          <w:w w:val="15"/>
          <w:highlight w:val="black"/>
          <w:shd w:val="solid" w:color="000000" w:fill="000000"/>
          <w:fitText w:val="-20" w:id="-1210877946"/>
          <w14:textFill>
            <w14:solidFill>
              <w14:srgbClr w14:val="000000">
                <w14:alpha w14:val="100000"/>
              </w14:srgbClr>
            </w14:solidFill>
          </w14:textFill>
        </w:rPr>
        <w:t>|</w:t>
      </w:r>
      <w:r w:rsidRPr="009C5369">
        <w:rPr>
          <w:highlight w:val="black"/>
        </w:rPr>
        <w:t xml:space="preserve"> </w:t>
      </w:r>
      <w:r w:rsidRPr="009C5369">
        <w:rPr>
          <w:w w:val="15"/>
          <w:highlight w:val="black"/>
          <w:shd w:val="solid" w:color="000000" w:fill="000000"/>
          <w:fitText w:val="-20" w:id="-1210877945"/>
          <w14:textFill>
            <w14:solidFill>
              <w14:srgbClr w14:val="000000">
                <w14:alpha w14:val="100000"/>
              </w14:srgbClr>
            </w14:solidFill>
          </w14:textFill>
        </w:rPr>
        <w:t xml:space="preserve">|  </w:t>
      </w:r>
      <w:r w:rsidRPr="009C5369">
        <w:rPr>
          <w:spacing w:val="-69"/>
          <w:w w:val="15"/>
          <w:highlight w:val="black"/>
          <w:shd w:val="solid" w:color="000000" w:fill="000000"/>
          <w:fitText w:val="-20" w:id="-1210877945"/>
          <w14:textFill>
            <w14:solidFill>
              <w14:srgbClr w14:val="000000">
                <w14:alpha w14:val="100000"/>
              </w14:srgbClr>
            </w14:solidFill>
          </w14:textFill>
        </w:rPr>
        <w:t>|</w:t>
      </w:r>
      <w:r w:rsidRPr="009C5369">
        <w:rPr>
          <w:highlight w:val="black"/>
        </w:rPr>
        <w:t xml:space="preserve"> </w:t>
      </w:r>
      <w:r w:rsidRPr="009C5369">
        <w:rPr>
          <w:w w:val="15"/>
          <w:highlight w:val="black"/>
          <w:shd w:val="solid" w:color="000000" w:fill="000000"/>
          <w:fitText w:val="-20" w:id="-1210877944"/>
          <w14:textFill>
            <w14:solidFill>
              <w14:srgbClr w14:val="000000">
                <w14:alpha w14:val="100000"/>
              </w14:srgbClr>
            </w14:solidFill>
          </w14:textFill>
        </w:rPr>
        <w:t xml:space="preserve">|  </w:t>
      </w:r>
      <w:r w:rsidRPr="009C5369">
        <w:rPr>
          <w:spacing w:val="-69"/>
          <w:w w:val="15"/>
          <w:highlight w:val="black"/>
          <w:shd w:val="solid" w:color="000000" w:fill="000000"/>
          <w:fitText w:val="-20" w:id="-1210877944"/>
          <w14:textFill>
            <w14:solidFill>
              <w14:srgbClr w14:val="000000">
                <w14:alpha w14:val="100000"/>
              </w14:srgbClr>
            </w14:solidFill>
          </w14:textFill>
        </w:rPr>
        <w:t>|</w:t>
      </w:r>
      <w:r w:rsidRPr="009C5369">
        <w:rPr>
          <w:highlight w:val="black"/>
        </w:rPr>
        <w:t xml:space="preserve"> </w:t>
      </w:r>
      <w:r w:rsidRPr="009C5369">
        <w:rPr>
          <w:w w:val="54"/>
          <w:highlight w:val="black"/>
          <w:shd w:val="solid" w:color="000000" w:fill="000000"/>
          <w:fitText w:val="7490" w:id="-1210877943"/>
          <w14:textFill>
            <w14:solidFill>
              <w14:srgbClr w14:val="000000">
                <w14:alpha w14:val="100000"/>
              </w14:srgbClr>
            </w14:solidFill>
          </w14:textFill>
        </w:rPr>
        <w:t>||||||||||||||||||||||||||||||||||||||||||||||||||||||||||||||  |||||||||||||||||||||||||||||||||||||||||||||||||||||||||||||</w:t>
      </w:r>
      <w:r w:rsidRPr="009C5369">
        <w:rPr>
          <w:spacing w:val="35"/>
          <w:w w:val="54"/>
          <w:highlight w:val="black"/>
          <w:shd w:val="solid" w:color="000000" w:fill="000000"/>
          <w:fitText w:val="7490" w:id="-1210877943"/>
          <w14:textFill>
            <w14:solidFill>
              <w14:srgbClr w14:val="000000">
                <w14:alpha w14:val="100000"/>
              </w14:srgbClr>
            </w14:solidFill>
          </w14:textFill>
        </w:rPr>
        <w:t>|</w:t>
      </w:r>
      <w:r w:rsidRPr="009C5369">
        <w:rPr>
          <w:highlight w:val="black"/>
        </w:rPr>
        <w:t xml:space="preserve"> </w:t>
      </w:r>
      <w:r w:rsidRPr="009C5369">
        <w:rPr>
          <w:spacing w:val="1"/>
          <w:w w:val="54"/>
          <w:highlight w:val="black"/>
          <w:shd w:val="solid" w:color="000000" w:fill="000000"/>
          <w:fitText w:val="7460" w:id="-1210877942"/>
          <w14:textFill>
            <w14:solidFill>
              <w14:srgbClr w14:val="000000">
                <w14:alpha w14:val="100000"/>
              </w14:srgbClr>
            </w14:solidFill>
          </w14:textFill>
        </w:rPr>
        <w:t>|||||||||||||||||||||||||||||||||||||||||||||||||||||||||||||  |||||||||||||||||||||||||||||||||||||||||||||||||||||||||||||</w:t>
      </w:r>
      <w:r w:rsidRPr="009C5369">
        <w:rPr>
          <w:highlight w:val="black"/>
        </w:rPr>
        <w:t xml:space="preserve"> </w:t>
      </w:r>
      <w:r w:rsidRPr="009C5369">
        <w:rPr>
          <w:w w:val="15"/>
          <w:highlight w:val="black"/>
          <w:shd w:val="solid" w:color="000000" w:fill="000000"/>
          <w:fitText w:val="-20" w:id="-1210877941"/>
          <w14:textFill>
            <w14:solidFill>
              <w14:srgbClr w14:val="000000">
                <w14:alpha w14:val="100000"/>
              </w14:srgbClr>
            </w14:solidFill>
          </w14:textFill>
        </w:rPr>
        <w:t xml:space="preserve">|  </w:t>
      </w:r>
      <w:r w:rsidRPr="009C5369">
        <w:rPr>
          <w:spacing w:val="-69"/>
          <w:w w:val="15"/>
          <w:highlight w:val="black"/>
          <w:shd w:val="solid" w:color="000000" w:fill="000000"/>
          <w:fitText w:val="-20" w:id="-1210877941"/>
          <w14:textFill>
            <w14:solidFill>
              <w14:srgbClr w14:val="000000">
                <w14:alpha w14:val="100000"/>
              </w14:srgbClr>
            </w14:solidFill>
          </w14:textFill>
        </w:rPr>
        <w:t>|</w:t>
      </w:r>
      <w:r w:rsidRPr="009C5369">
        <w:rPr>
          <w:highlight w:val="black"/>
        </w:rPr>
        <w:t xml:space="preserve"> </w:t>
      </w:r>
      <w:r w:rsidRPr="009C5369">
        <w:rPr>
          <w:w w:val="15"/>
          <w:highlight w:val="black"/>
          <w:shd w:val="solid" w:color="000000" w:fill="000000"/>
          <w:fitText w:val="-20" w:id="-1210877940"/>
          <w14:textFill>
            <w14:solidFill>
              <w14:srgbClr w14:val="000000">
                <w14:alpha w14:val="100000"/>
              </w14:srgbClr>
            </w14:solidFill>
          </w14:textFill>
        </w:rPr>
        <w:t xml:space="preserve">|  </w:t>
      </w:r>
      <w:r w:rsidRPr="009C5369">
        <w:rPr>
          <w:spacing w:val="-69"/>
          <w:w w:val="15"/>
          <w:highlight w:val="black"/>
          <w:shd w:val="solid" w:color="000000" w:fill="000000"/>
          <w:fitText w:val="-20" w:id="-1210877940"/>
          <w14:textFill>
            <w14:solidFill>
              <w14:srgbClr w14:val="000000">
                <w14:alpha w14:val="100000"/>
              </w14:srgbClr>
            </w14:solidFill>
          </w14:textFill>
        </w:rPr>
        <w:t>|</w:t>
      </w:r>
      <w:r w:rsidRPr="009C5369">
        <w:rPr>
          <w:highlight w:val="black"/>
        </w:rPr>
        <w:t xml:space="preserve"> </w:t>
      </w:r>
      <w:r w:rsidRPr="009C5369">
        <w:rPr>
          <w:w w:val="55"/>
          <w:highlight w:val="black"/>
          <w:shd w:val="solid" w:color="000000" w:fill="000000"/>
          <w:fitText w:val="7480" w:id="-1210877939"/>
          <w14:textFill>
            <w14:solidFill>
              <w14:srgbClr w14:val="000000">
                <w14:alpha w14:val="100000"/>
              </w14:srgbClr>
            </w14:solidFill>
          </w14:textFill>
        </w:rPr>
        <w:t>|||||||||||||||||||||||||||||||||||||||||||||||||||||||||||||  ||||||||||||||||||||||||||||||||||||||||||||||||||||||||||||</w:t>
      </w:r>
      <w:r w:rsidRPr="009C5369">
        <w:rPr>
          <w:spacing w:val="14"/>
          <w:w w:val="55"/>
          <w:highlight w:val="black"/>
          <w:shd w:val="solid" w:color="000000" w:fill="000000"/>
          <w:fitText w:val="7480" w:id="-1210877939"/>
          <w14:textFill>
            <w14:solidFill>
              <w14:srgbClr w14:val="000000">
                <w14:alpha w14:val="100000"/>
              </w14:srgbClr>
            </w14:solidFill>
          </w14:textFill>
        </w:rPr>
        <w:t>|</w:t>
      </w:r>
      <w:r w:rsidRPr="009C5369">
        <w:rPr>
          <w:highlight w:val="black"/>
        </w:rPr>
        <w:t xml:space="preserve"> </w:t>
      </w:r>
      <w:r w:rsidRPr="009C5369">
        <w:rPr>
          <w:w w:val="15"/>
          <w:highlight w:val="black"/>
          <w:shd w:val="solid" w:color="000000" w:fill="000000"/>
          <w:fitText w:val="-20" w:id="-1210877938"/>
          <w14:textFill>
            <w14:solidFill>
              <w14:srgbClr w14:val="000000">
                <w14:alpha w14:val="100000"/>
              </w14:srgbClr>
            </w14:solidFill>
          </w14:textFill>
        </w:rPr>
        <w:t xml:space="preserve">|  </w:t>
      </w:r>
      <w:r w:rsidRPr="009C5369">
        <w:rPr>
          <w:spacing w:val="-69"/>
          <w:w w:val="15"/>
          <w:highlight w:val="black"/>
          <w:shd w:val="solid" w:color="000000" w:fill="000000"/>
          <w:fitText w:val="-20" w:id="-1210877938"/>
          <w14:textFill>
            <w14:solidFill>
              <w14:srgbClr w14:val="000000">
                <w14:alpha w14:val="100000"/>
              </w14:srgbClr>
            </w14:solidFill>
          </w14:textFill>
        </w:rPr>
        <w:t>|</w:t>
      </w:r>
      <w:r w:rsidRPr="009C5369">
        <w:rPr>
          <w:highlight w:val="black"/>
        </w:rPr>
        <w:t xml:space="preserve"> </w:t>
      </w:r>
      <w:r w:rsidRPr="009C5369">
        <w:rPr>
          <w:w w:val="15"/>
          <w:highlight w:val="black"/>
          <w:shd w:val="solid" w:color="000000" w:fill="000000"/>
          <w:fitText w:val="-20" w:id="-1210877937"/>
          <w14:textFill>
            <w14:solidFill>
              <w14:srgbClr w14:val="000000">
                <w14:alpha w14:val="100000"/>
              </w14:srgbClr>
            </w14:solidFill>
          </w14:textFill>
        </w:rPr>
        <w:t xml:space="preserve">|  </w:t>
      </w:r>
      <w:r w:rsidRPr="009C5369">
        <w:rPr>
          <w:spacing w:val="-69"/>
          <w:w w:val="15"/>
          <w:highlight w:val="black"/>
          <w:shd w:val="solid" w:color="000000" w:fill="000000"/>
          <w:fitText w:val="-20" w:id="-1210877937"/>
          <w14:textFill>
            <w14:solidFill>
              <w14:srgbClr w14:val="000000">
                <w14:alpha w14:val="100000"/>
              </w14:srgbClr>
            </w14:solidFill>
          </w14:textFill>
        </w:rPr>
        <w:t>|</w:t>
      </w:r>
      <w:r w:rsidRPr="009C5369">
        <w:rPr>
          <w:highlight w:val="black"/>
        </w:rPr>
        <w:t xml:space="preserve"> </w:t>
      </w:r>
      <w:r w:rsidRPr="009C5369">
        <w:rPr>
          <w:w w:val="15"/>
          <w:highlight w:val="black"/>
          <w:shd w:val="solid" w:color="000000" w:fill="000000"/>
          <w:fitText w:val="-20" w:id="-1210877936"/>
          <w14:textFill>
            <w14:solidFill>
              <w14:srgbClr w14:val="000000">
                <w14:alpha w14:val="100000"/>
              </w14:srgbClr>
            </w14:solidFill>
          </w14:textFill>
        </w:rPr>
        <w:t xml:space="preserve">|  </w:t>
      </w:r>
      <w:r w:rsidRPr="009C5369">
        <w:rPr>
          <w:spacing w:val="-69"/>
          <w:w w:val="15"/>
          <w:highlight w:val="black"/>
          <w:shd w:val="solid" w:color="000000" w:fill="000000"/>
          <w:fitText w:val="-20" w:id="-1210877936"/>
          <w14:textFill>
            <w14:solidFill>
              <w14:srgbClr w14:val="000000">
                <w14:alpha w14:val="100000"/>
              </w14:srgbClr>
            </w14:solidFill>
          </w14:textFill>
        </w:rPr>
        <w:t>|</w:t>
      </w:r>
      <w:r w:rsidRPr="009C5369">
        <w:rPr>
          <w:highlight w:val="black"/>
        </w:rPr>
        <w:t xml:space="preserve"> </w:t>
      </w:r>
      <w:r w:rsidRPr="009C5369">
        <w:rPr>
          <w:spacing w:val="1"/>
          <w:w w:val="54"/>
          <w:highlight w:val="black"/>
          <w:shd w:val="solid" w:color="000000" w:fill="000000"/>
          <w:fitText w:val="7470" w:id="-1210877952"/>
          <w14:textFill>
            <w14:solidFill>
              <w14:srgbClr w14:val="000000">
                <w14:alpha w14:val="100000"/>
              </w14:srgbClr>
            </w14:solidFill>
          </w14:textFill>
        </w:rPr>
        <w:t>|||||||||||||||||||||||||||||||||||||||||||||||||||||||||||||  ||||||||||||||||||||||||||||||||||||||||||||||||||||||||||||</w:t>
      </w:r>
      <w:r w:rsidRPr="009C5369">
        <w:rPr>
          <w:spacing w:val="11"/>
          <w:w w:val="54"/>
          <w:highlight w:val="black"/>
          <w:shd w:val="solid" w:color="000000" w:fill="000000"/>
          <w:fitText w:val="7470" w:id="-1210877952"/>
          <w14:textFill>
            <w14:solidFill>
              <w14:srgbClr w14:val="000000">
                <w14:alpha w14:val="100000"/>
              </w14:srgbClr>
            </w14:solidFill>
          </w14:textFill>
        </w:rPr>
        <w:t>|</w:t>
      </w:r>
      <w:r w:rsidRPr="009C5369">
        <w:rPr>
          <w:highlight w:val="black"/>
        </w:rPr>
        <w:t xml:space="preserve"> </w:t>
      </w:r>
      <w:r w:rsidRPr="009C5369">
        <w:rPr>
          <w:w w:val="15"/>
          <w:highlight w:val="black"/>
          <w:shd w:val="solid" w:color="000000" w:fill="000000"/>
          <w:fitText w:val="-20" w:id="-1210877951"/>
          <w14:textFill>
            <w14:solidFill>
              <w14:srgbClr w14:val="000000">
                <w14:alpha w14:val="100000"/>
              </w14:srgbClr>
            </w14:solidFill>
          </w14:textFill>
        </w:rPr>
        <w:t xml:space="preserve">|  </w:t>
      </w:r>
      <w:r w:rsidRPr="009C5369">
        <w:rPr>
          <w:spacing w:val="-69"/>
          <w:w w:val="15"/>
          <w:highlight w:val="black"/>
          <w:shd w:val="solid" w:color="000000" w:fill="000000"/>
          <w:fitText w:val="-20" w:id="-1210877951"/>
          <w14:textFill>
            <w14:solidFill>
              <w14:srgbClr w14:val="000000">
                <w14:alpha w14:val="100000"/>
              </w14:srgbClr>
            </w14:solidFill>
          </w14:textFill>
        </w:rPr>
        <w:t>|</w:t>
      </w:r>
      <w:r w:rsidRPr="009C5369">
        <w:rPr>
          <w:highlight w:val="black"/>
        </w:rPr>
        <w:t xml:space="preserve"> </w:t>
      </w:r>
      <w:r w:rsidRPr="009C5369">
        <w:rPr>
          <w:spacing w:val="1"/>
          <w:w w:val="54"/>
          <w:highlight w:val="black"/>
          <w:shd w:val="solid" w:color="000000" w:fill="000000"/>
          <w:fitText w:val="7440" w:id="-1210877950"/>
          <w14:textFill>
            <w14:solidFill>
              <w14:srgbClr w14:val="000000">
                <w14:alpha w14:val="100000"/>
              </w14:srgbClr>
            </w14:solidFill>
          </w14:textFill>
        </w:rPr>
        <w:t>|||||||||||||||||||||||||||||||||||||||||||||||||||||||||||||  ||||||||||||||||||||||||||||||||||||||||||||||||||||||||||||</w:t>
      </w:r>
      <w:r w:rsidRPr="009C5369">
        <w:rPr>
          <w:spacing w:val="-18"/>
          <w:w w:val="54"/>
          <w:highlight w:val="black"/>
          <w:shd w:val="solid" w:color="000000" w:fill="000000"/>
          <w:fitText w:val="7440" w:id="-1210877950"/>
          <w14:textFill>
            <w14:solidFill>
              <w14:srgbClr w14:val="000000">
                <w14:alpha w14:val="100000"/>
              </w14:srgbClr>
            </w14:solidFill>
          </w14:textFill>
        </w:rPr>
        <w:t>|</w:t>
      </w:r>
      <w:r w:rsidRPr="009C5369">
        <w:rPr>
          <w:highlight w:val="black"/>
        </w:rPr>
        <w:t xml:space="preserve"> </w:t>
      </w:r>
      <w:r w:rsidRPr="009C5369">
        <w:rPr>
          <w:w w:val="15"/>
          <w:highlight w:val="black"/>
          <w:shd w:val="solid" w:color="000000" w:fill="000000"/>
          <w:fitText w:val="-20" w:id="-1210877949"/>
          <w14:textFill>
            <w14:solidFill>
              <w14:srgbClr w14:val="000000">
                <w14:alpha w14:val="100000"/>
              </w14:srgbClr>
            </w14:solidFill>
          </w14:textFill>
        </w:rPr>
        <w:t xml:space="preserve">|  </w:t>
      </w:r>
      <w:r w:rsidRPr="009C5369">
        <w:rPr>
          <w:spacing w:val="-69"/>
          <w:w w:val="15"/>
          <w:highlight w:val="black"/>
          <w:shd w:val="solid" w:color="000000" w:fill="000000"/>
          <w:fitText w:val="-20" w:id="-1210877949"/>
          <w14:textFill>
            <w14:solidFill>
              <w14:srgbClr w14:val="000000">
                <w14:alpha w14:val="100000"/>
              </w14:srgbClr>
            </w14:solidFill>
          </w14:textFill>
        </w:rPr>
        <w:t>|</w:t>
      </w:r>
      <w:r w:rsidRPr="009C5369">
        <w:rPr>
          <w:highlight w:val="black"/>
        </w:rPr>
        <w:t xml:space="preserve"> </w:t>
      </w:r>
      <w:r w:rsidRPr="009C5369">
        <w:rPr>
          <w:w w:val="15"/>
          <w:highlight w:val="black"/>
          <w:shd w:val="solid" w:color="000000" w:fill="000000"/>
          <w:fitText w:val="-20" w:id="-1210877948"/>
          <w14:textFill>
            <w14:solidFill>
              <w14:srgbClr w14:val="000000">
                <w14:alpha w14:val="100000"/>
              </w14:srgbClr>
            </w14:solidFill>
          </w14:textFill>
        </w:rPr>
        <w:t xml:space="preserve">|  </w:t>
      </w:r>
      <w:r w:rsidRPr="009C5369">
        <w:rPr>
          <w:spacing w:val="-69"/>
          <w:w w:val="15"/>
          <w:highlight w:val="black"/>
          <w:shd w:val="solid" w:color="000000" w:fill="000000"/>
          <w:fitText w:val="-20" w:id="-1210877948"/>
          <w14:textFill>
            <w14:solidFill>
              <w14:srgbClr w14:val="000000">
                <w14:alpha w14:val="100000"/>
              </w14:srgbClr>
            </w14:solidFill>
          </w14:textFill>
        </w:rPr>
        <w:t>|</w:t>
      </w:r>
      <w:r w:rsidRPr="009C5369">
        <w:rPr>
          <w:highlight w:val="black"/>
        </w:rPr>
        <w:t xml:space="preserve"> </w:t>
      </w:r>
      <w:r w:rsidRPr="009C5369">
        <w:rPr>
          <w:w w:val="54"/>
          <w:highlight w:val="black"/>
          <w:shd w:val="solid" w:color="000000" w:fill="000000"/>
          <w:fitText w:val="7360" w:id="-1210877696"/>
          <w14:textFill>
            <w14:solidFill>
              <w14:srgbClr w14:val="000000">
                <w14:alpha w14:val="100000"/>
              </w14:srgbClr>
            </w14:solidFill>
          </w14:textFill>
        </w:rPr>
        <w:t>|||||||||||||||||||||||||||||||||||||||||||||||||||||||||||||  ||||||||||||||||||||||||||||||||||||||||||||||||||||||||||||</w:t>
      </w:r>
      <w:r w:rsidRPr="009C5369">
        <w:rPr>
          <w:spacing w:val="24"/>
          <w:w w:val="54"/>
          <w:highlight w:val="black"/>
          <w:shd w:val="solid" w:color="000000" w:fill="000000"/>
          <w:fitText w:val="7360" w:id="-1210877696"/>
          <w14:textFill>
            <w14:solidFill>
              <w14:srgbClr w14:val="000000">
                <w14:alpha w14:val="100000"/>
              </w14:srgbClr>
            </w14:solidFill>
          </w14:textFill>
        </w:rPr>
        <w:t>|</w:t>
      </w:r>
      <w:r w:rsidRPr="009C5369">
        <w:rPr>
          <w:highlight w:val="black"/>
        </w:rPr>
        <w:t xml:space="preserve"> </w:t>
      </w:r>
      <w:r w:rsidRPr="009C5369">
        <w:rPr>
          <w:spacing w:val="1"/>
          <w:w w:val="54"/>
          <w:highlight w:val="black"/>
          <w:shd w:val="solid" w:color="000000" w:fill="000000"/>
          <w:fitText w:val="2490" w:id="-1210877695"/>
          <w14:textFill>
            <w14:solidFill>
              <w14:srgbClr w14:val="000000">
                <w14:alpha w14:val="100000"/>
              </w14:srgbClr>
            </w14:solidFill>
          </w14:textFill>
        </w:rPr>
        <w:t>||||||||||||||||||||  |||||||||||||||||||</w:t>
      </w:r>
      <w:r w:rsidRPr="009C5369">
        <w:rPr>
          <w:spacing w:val="4"/>
          <w:w w:val="54"/>
          <w:highlight w:val="black"/>
          <w:shd w:val="solid" w:color="000000" w:fill="000000"/>
          <w:fitText w:val="2490" w:id="-1210877695"/>
          <w14:textFill>
            <w14:solidFill>
              <w14:srgbClr w14:val="000000">
                <w14:alpha w14:val="100000"/>
              </w14:srgbClr>
            </w14:solidFill>
          </w14:textFill>
        </w:rPr>
        <w:t>|</w:t>
      </w:r>
      <w:r w:rsidRPr="009C5369">
        <w:rPr>
          <w:highlight w:val="black"/>
        </w:rPr>
        <w:t xml:space="preserve"> </w:t>
      </w:r>
    </w:p>
    <w:p w14:paraId="1DA14679" w14:textId="159BF482" w:rsidR="00BE457B" w:rsidRDefault="004C6D88" w:rsidP="00DA0223">
      <w:pPr>
        <w:pStyle w:val="4Bodytextnumbered"/>
      </w:pPr>
      <w:r w:rsidRPr="007515F4">
        <w:t xml:space="preserve">In September 2021, the Department of Health and Aged Care contracted the </w:t>
      </w:r>
      <w:r w:rsidR="009C5369" w:rsidRPr="009C5369">
        <w:t>Medicines Intelligence Centre of Research Excellence</w:t>
      </w:r>
      <w:r w:rsidR="009C5369" w:rsidRPr="009C5369">
        <w:t xml:space="preserve"> </w:t>
      </w:r>
      <w:r w:rsidR="009C5369">
        <w:t>(</w:t>
      </w:r>
      <w:r w:rsidRPr="007515F4">
        <w:t>MI-CRE</w:t>
      </w:r>
      <w:r w:rsidR="009C5369">
        <w:t>)</w:t>
      </w:r>
      <w:r w:rsidR="00D621E9">
        <w:t xml:space="preserve"> to </w:t>
      </w:r>
      <w:r w:rsidR="00D621E9" w:rsidRPr="00D621E9">
        <w:t xml:space="preserve">complete a </w:t>
      </w:r>
      <w:r w:rsidR="00BE457B" w:rsidRPr="00D621E9">
        <w:t>two-stage</w:t>
      </w:r>
      <w:r w:rsidR="00D621E9" w:rsidRPr="00D621E9">
        <w:t xml:space="preserve"> research project</w:t>
      </w:r>
      <w:r w:rsidR="00BE457B">
        <w:t xml:space="preserve"> to</w:t>
      </w:r>
      <w:r w:rsidR="009C5369">
        <w:t>:</w:t>
      </w:r>
      <w:r w:rsidR="00BE457B">
        <w:t xml:space="preserve"> </w:t>
      </w:r>
    </w:p>
    <w:p w14:paraId="1A44E815" w14:textId="5914E7A9" w:rsidR="00BE457B" w:rsidRPr="009C5369" w:rsidRDefault="00BE457B" w:rsidP="00BE457B">
      <w:pPr>
        <w:pStyle w:val="4Bodytextnumbered"/>
        <w:numPr>
          <w:ilvl w:val="0"/>
          <w:numId w:val="0"/>
        </w:numPr>
        <w:ind w:left="720"/>
        <w:rPr>
          <w:i/>
          <w:iCs/>
        </w:rPr>
      </w:pPr>
      <w:r w:rsidRPr="009C5369">
        <w:rPr>
          <w:i/>
          <w:iCs/>
        </w:rPr>
        <w:t xml:space="preserve">‘Investigate how OS </w:t>
      </w:r>
      <w:r w:rsidR="003C3CED" w:rsidRPr="009C5369">
        <w:rPr>
          <w:i/>
          <w:iCs/>
        </w:rPr>
        <w:t>estimated in</w:t>
      </w:r>
      <w:r w:rsidRPr="009C5369">
        <w:rPr>
          <w:i/>
          <w:iCs/>
        </w:rPr>
        <w:t xml:space="preserve"> patients taking certain PBS-listed cancer medicines in Australia compares to the OS of patients taking the same medicines reported in the pivotal trials included in sponsor submissions to the PBAC.’</w:t>
      </w:r>
    </w:p>
    <w:p w14:paraId="4ADCF68A" w14:textId="2FCC1108" w:rsidR="00D621E9" w:rsidRPr="00BE457B" w:rsidRDefault="00D621E9" w:rsidP="00BE457B">
      <w:pPr>
        <w:pStyle w:val="4Bodytextnumbered"/>
      </w:pPr>
      <w:r w:rsidRPr="00D621E9">
        <w:t xml:space="preserve">The first stage of this project </w:t>
      </w:r>
      <w:r w:rsidR="00DA0223">
        <w:t>was</w:t>
      </w:r>
      <w:r w:rsidRPr="00D621E9">
        <w:t xml:space="preserve"> to develop a comprehensive research protocol and methodology to conduct a similar study to Green et al</w:t>
      </w:r>
      <w:r w:rsidR="00DA0223">
        <w:t>.</w:t>
      </w:r>
      <w:r w:rsidRPr="00D621E9">
        <w:t xml:space="preserve"> (2021)</w:t>
      </w:r>
      <w:r w:rsidRPr="00D621E9">
        <w:rPr>
          <w:vertAlign w:val="superscript"/>
        </w:rPr>
        <w:footnoteReference w:id="1"/>
      </w:r>
      <w:r w:rsidRPr="00D621E9">
        <w:t xml:space="preserve"> using PBS data initially</w:t>
      </w:r>
      <w:r w:rsidR="00D72793">
        <w:t>,</w:t>
      </w:r>
      <w:r w:rsidR="0058498F">
        <w:t xml:space="preserve"> </w:t>
      </w:r>
      <w:r w:rsidRPr="00D621E9">
        <w:t>and ultimately linked health data available in Australia</w:t>
      </w:r>
      <w:bookmarkStart w:id="6" w:name="_Hlk119070380"/>
      <w:bookmarkStart w:id="7" w:name="_Hlk99359948"/>
      <w:r w:rsidR="00CC0CCF">
        <w:t>.</w:t>
      </w:r>
      <w:r w:rsidR="00BE457B">
        <w:t xml:space="preserve"> T</w:t>
      </w:r>
      <w:r w:rsidR="00BE457B" w:rsidRPr="00BE457B">
        <w:t xml:space="preserve">he second stage of the project </w:t>
      </w:r>
      <w:r w:rsidR="00BE457B" w:rsidRPr="00BE457B">
        <w:lastRenderedPageBreak/>
        <w:t>w</w:t>
      </w:r>
      <w:r w:rsidR="00243B6E">
        <w:t>as</w:t>
      </w:r>
      <w:r w:rsidR="00BE457B" w:rsidRPr="00BE457B">
        <w:t xml:space="preserve"> to conduct the analysis</w:t>
      </w:r>
      <w:r w:rsidR="00243B6E">
        <w:t xml:space="preserve"> in a pilot medicine</w:t>
      </w:r>
      <w:r w:rsidR="00BE457B" w:rsidRPr="00BE457B">
        <w:t xml:space="preserve"> and review the results for applicability and comparability with </w:t>
      </w:r>
      <w:r w:rsidR="0058498F">
        <w:t xml:space="preserve">the pivotal </w:t>
      </w:r>
      <w:r w:rsidR="00BE457B" w:rsidRPr="00BE457B">
        <w:t>trial results</w:t>
      </w:r>
      <w:r w:rsidR="00243B6E">
        <w:t>.</w:t>
      </w:r>
      <w:bookmarkEnd w:id="6"/>
    </w:p>
    <w:p w14:paraId="5F54A56A" w14:textId="64AAEE7F" w:rsidR="00A45320" w:rsidRDefault="009B260C" w:rsidP="009B260C">
      <w:pPr>
        <w:pStyle w:val="4Bodytextnumbered"/>
        <w:rPr>
          <w:rFonts w:eastAsiaTheme="minorEastAsia" w:cstheme="minorHAnsi"/>
          <w:spacing w:val="2"/>
          <w:sz w:val="20"/>
          <w:szCs w:val="20"/>
          <w:lang w:eastAsia="en-AU"/>
        </w:rPr>
      </w:pPr>
      <w:r>
        <w:rPr>
          <w:szCs w:val="24"/>
        </w:rPr>
        <w:t xml:space="preserve">The </w:t>
      </w:r>
      <w:r w:rsidR="00D72793">
        <w:rPr>
          <w:szCs w:val="24"/>
        </w:rPr>
        <w:t>D</w:t>
      </w:r>
      <w:r>
        <w:rPr>
          <w:szCs w:val="24"/>
        </w:rPr>
        <w:t xml:space="preserve">epartment </w:t>
      </w:r>
      <w:r w:rsidRPr="009B260C">
        <w:rPr>
          <w:rFonts w:eastAsiaTheme="minorEastAsia" w:cstheme="minorHAnsi"/>
          <w:spacing w:val="2"/>
          <w:szCs w:val="24"/>
          <w:lang w:eastAsia="en-AU"/>
        </w:rPr>
        <w:t xml:space="preserve">received </w:t>
      </w:r>
      <w:bookmarkStart w:id="8" w:name="_Hlk132110299"/>
      <w:r w:rsidRPr="009B260C">
        <w:rPr>
          <w:rFonts w:eastAsiaTheme="minorEastAsia" w:cstheme="minorHAnsi"/>
          <w:spacing w:val="2"/>
          <w:szCs w:val="24"/>
          <w:lang w:eastAsia="en-AU"/>
        </w:rPr>
        <w:t xml:space="preserve">the final report </w:t>
      </w:r>
      <w:r>
        <w:rPr>
          <w:rFonts w:eastAsiaTheme="minorEastAsia" w:cstheme="minorHAnsi"/>
          <w:spacing w:val="2"/>
          <w:szCs w:val="24"/>
          <w:lang w:eastAsia="en-AU"/>
        </w:rPr>
        <w:t>of</w:t>
      </w:r>
      <w:r w:rsidRPr="009B260C">
        <w:rPr>
          <w:rFonts w:eastAsiaTheme="minorEastAsia" w:cstheme="minorHAnsi"/>
          <w:spacing w:val="2"/>
          <w:szCs w:val="24"/>
          <w:lang w:eastAsia="en-AU"/>
        </w:rPr>
        <w:t xml:space="preserve"> the </w:t>
      </w:r>
      <w:r w:rsidR="00155E54">
        <w:rPr>
          <w:rFonts w:eastAsiaTheme="minorEastAsia" w:cstheme="minorHAnsi"/>
          <w:spacing w:val="2"/>
          <w:szCs w:val="24"/>
          <w:lang w:eastAsia="en-AU"/>
        </w:rPr>
        <w:t>P</w:t>
      </w:r>
      <w:r w:rsidRPr="009B260C">
        <w:rPr>
          <w:rFonts w:eastAsiaTheme="minorEastAsia" w:cstheme="minorHAnsi"/>
          <w:spacing w:val="2"/>
          <w:szCs w:val="24"/>
          <w:lang w:eastAsia="en-AU"/>
        </w:rPr>
        <w:t xml:space="preserve">rotocol </w:t>
      </w:r>
      <w:bookmarkEnd w:id="8"/>
      <w:r w:rsidRPr="009B260C">
        <w:rPr>
          <w:rFonts w:eastAsiaTheme="minorEastAsia" w:cstheme="minorHAnsi"/>
          <w:spacing w:val="2"/>
          <w:szCs w:val="24"/>
          <w:lang w:eastAsia="en-AU"/>
        </w:rPr>
        <w:t>on 26 October</w:t>
      </w:r>
      <w:r>
        <w:rPr>
          <w:rFonts w:eastAsiaTheme="minorEastAsia" w:cstheme="minorHAnsi"/>
          <w:spacing w:val="2"/>
          <w:szCs w:val="24"/>
          <w:lang w:eastAsia="en-AU"/>
        </w:rPr>
        <w:t xml:space="preserve"> 2022</w:t>
      </w:r>
      <w:r w:rsidRPr="009B260C">
        <w:rPr>
          <w:rFonts w:eastAsiaTheme="minorEastAsia" w:cstheme="minorHAnsi"/>
          <w:spacing w:val="2"/>
          <w:szCs w:val="24"/>
          <w:lang w:eastAsia="en-AU"/>
        </w:rPr>
        <w:t xml:space="preserve">. The </w:t>
      </w:r>
      <w:r w:rsidR="00155E54">
        <w:rPr>
          <w:rFonts w:eastAsiaTheme="minorEastAsia" w:cstheme="minorHAnsi"/>
          <w:spacing w:val="2"/>
          <w:szCs w:val="24"/>
          <w:lang w:eastAsia="en-AU"/>
        </w:rPr>
        <w:t>P</w:t>
      </w:r>
      <w:r w:rsidRPr="009B260C">
        <w:rPr>
          <w:rFonts w:eastAsiaTheme="minorEastAsia" w:cstheme="minorHAnsi"/>
          <w:spacing w:val="2"/>
          <w:szCs w:val="24"/>
          <w:lang w:eastAsia="en-AU"/>
        </w:rPr>
        <w:t xml:space="preserve">rotocol </w:t>
      </w:r>
      <w:r w:rsidR="00E37B3A">
        <w:rPr>
          <w:rFonts w:eastAsiaTheme="minorEastAsia" w:cstheme="minorHAnsi"/>
          <w:spacing w:val="2"/>
          <w:szCs w:val="24"/>
          <w:lang w:eastAsia="en-AU"/>
        </w:rPr>
        <w:t xml:space="preserve">is summarised below and </w:t>
      </w:r>
      <w:r w:rsidRPr="009B260C">
        <w:rPr>
          <w:rFonts w:eastAsiaTheme="minorEastAsia" w:cstheme="minorHAnsi"/>
          <w:spacing w:val="2"/>
          <w:szCs w:val="24"/>
          <w:lang w:eastAsia="en-AU"/>
        </w:rPr>
        <w:t xml:space="preserve">details </w:t>
      </w:r>
      <w:bookmarkStart w:id="9" w:name="_Hlk134605106"/>
      <w:r w:rsidRPr="009B260C">
        <w:rPr>
          <w:rFonts w:eastAsiaTheme="minorEastAsia" w:cstheme="minorHAnsi"/>
          <w:spacing w:val="2"/>
          <w:szCs w:val="24"/>
          <w:lang w:eastAsia="en-AU"/>
        </w:rPr>
        <w:t xml:space="preserve">the MI-CRE’s advice to the PBAC relating to the assessment of </w:t>
      </w:r>
      <w:r w:rsidR="002D247F">
        <w:rPr>
          <w:rFonts w:eastAsiaTheme="minorEastAsia" w:cstheme="minorHAnsi"/>
          <w:spacing w:val="2"/>
          <w:szCs w:val="24"/>
          <w:lang w:eastAsia="en-AU"/>
        </w:rPr>
        <w:t>survival outcomes</w:t>
      </w:r>
      <w:r w:rsidRPr="009B260C">
        <w:rPr>
          <w:rFonts w:eastAsiaTheme="minorEastAsia" w:cstheme="minorHAnsi"/>
          <w:spacing w:val="2"/>
          <w:szCs w:val="24"/>
          <w:lang w:eastAsia="en-AU"/>
        </w:rPr>
        <w:t xml:space="preserve"> for PBS-listed </w:t>
      </w:r>
      <w:r>
        <w:rPr>
          <w:rFonts w:eastAsiaTheme="minorEastAsia" w:cstheme="minorHAnsi"/>
          <w:spacing w:val="2"/>
          <w:szCs w:val="24"/>
          <w:lang w:eastAsia="en-AU"/>
        </w:rPr>
        <w:t xml:space="preserve">cancer </w:t>
      </w:r>
      <w:r w:rsidRPr="009B260C">
        <w:rPr>
          <w:rFonts w:eastAsiaTheme="minorEastAsia" w:cstheme="minorHAnsi"/>
          <w:spacing w:val="2"/>
          <w:szCs w:val="24"/>
          <w:lang w:eastAsia="en-AU"/>
        </w:rPr>
        <w:t>medicines</w:t>
      </w:r>
      <w:r w:rsidR="00D621E9">
        <w:rPr>
          <w:rFonts w:eastAsiaTheme="minorEastAsia" w:cstheme="minorHAnsi"/>
          <w:spacing w:val="2"/>
          <w:szCs w:val="24"/>
          <w:lang w:eastAsia="en-AU"/>
        </w:rPr>
        <w:t xml:space="preserve"> using PBS data</w:t>
      </w:r>
      <w:r w:rsidRPr="009B260C">
        <w:rPr>
          <w:rFonts w:eastAsiaTheme="minorEastAsia" w:cstheme="minorHAnsi"/>
          <w:spacing w:val="2"/>
          <w:szCs w:val="24"/>
          <w:lang w:eastAsia="en-AU"/>
        </w:rPr>
        <w:t>.</w:t>
      </w:r>
      <w:r>
        <w:rPr>
          <w:rFonts w:eastAsiaTheme="minorEastAsia" w:cstheme="minorHAnsi"/>
          <w:spacing w:val="2"/>
          <w:sz w:val="20"/>
          <w:szCs w:val="20"/>
          <w:lang w:eastAsia="en-AU"/>
        </w:rPr>
        <w:t xml:space="preserve"> </w:t>
      </w:r>
    </w:p>
    <w:bookmarkEnd w:id="9"/>
    <w:p w14:paraId="2BF5D979" w14:textId="21DD4E71" w:rsidR="00051058" w:rsidRPr="009B260C" w:rsidRDefault="00D72793" w:rsidP="009B260C">
      <w:pPr>
        <w:pStyle w:val="4Bodytextnumbered"/>
        <w:rPr>
          <w:rFonts w:eastAsiaTheme="minorEastAsia" w:cstheme="minorHAnsi"/>
          <w:spacing w:val="2"/>
          <w:sz w:val="20"/>
          <w:szCs w:val="20"/>
          <w:lang w:eastAsia="en-AU"/>
        </w:rPr>
      </w:pPr>
      <w:r>
        <w:rPr>
          <w:szCs w:val="24"/>
        </w:rPr>
        <w:t>Section 3 below</w:t>
      </w:r>
      <w:r w:rsidR="00051058">
        <w:rPr>
          <w:szCs w:val="24"/>
        </w:rPr>
        <w:t xml:space="preserve"> is summarised from the report</w:t>
      </w:r>
      <w:r w:rsidR="0066189B">
        <w:rPr>
          <w:szCs w:val="24"/>
        </w:rPr>
        <w:t>.</w:t>
      </w:r>
    </w:p>
    <w:bookmarkEnd w:id="7"/>
    <w:p w14:paraId="08267505" w14:textId="2A669ED1" w:rsidR="00051058" w:rsidRDefault="00220B8B" w:rsidP="00DD5D08">
      <w:pPr>
        <w:pStyle w:val="2Sections"/>
      </w:pPr>
      <w:r w:rsidRPr="00FD59F1">
        <w:t>Protocol: Estimating overall survival in people receiving PBS-listed cancer medicines in Australian clinical practice</w:t>
      </w:r>
      <w:r w:rsidR="00051058">
        <w:t xml:space="preserve"> </w:t>
      </w:r>
    </w:p>
    <w:p w14:paraId="08E6636A" w14:textId="18050C7C" w:rsidR="004D1302" w:rsidRDefault="00293F07" w:rsidP="004D1302">
      <w:pPr>
        <w:pStyle w:val="4Bodytextnumbered"/>
      </w:pPr>
      <w:bookmarkStart w:id="10" w:name="_Hlk99361771"/>
      <w:bookmarkStart w:id="11" w:name="_Hlk87002940"/>
      <w:bookmarkStart w:id="12" w:name="_Toc93338167"/>
      <w:bookmarkStart w:id="13" w:name="_Hlk86998005"/>
      <w:bookmarkStart w:id="14" w:name="Table_5"/>
      <w:r w:rsidRPr="00293F07">
        <w:t xml:space="preserve">The </w:t>
      </w:r>
      <w:r w:rsidR="00155E54">
        <w:t>P</w:t>
      </w:r>
      <w:r w:rsidRPr="00293F07">
        <w:t xml:space="preserve">rotocol details a framework for the assessment of survival outcomes associated with PBS-listed cancer medicines and focuses on medicines indicated for the treatment of advanced solid tumour cancers (i.e., metastatic, and locally advanced indications without curative intent). These medicines were chosen as they will likely be used last-line or late in the cancer treatment algorithm, thus reducing the </w:t>
      </w:r>
      <w:r w:rsidRPr="003A16DE">
        <w:t>confounding</w:t>
      </w:r>
      <w:r w:rsidRPr="00293F07">
        <w:t xml:space="preserve"> effect on OS that may occur if a medicine was initiated earlier in the treatment pathway.</w:t>
      </w:r>
      <w:r w:rsidR="004D1302" w:rsidRPr="004D1302">
        <w:rPr>
          <w:rFonts w:eastAsiaTheme="minorEastAsia"/>
          <w:spacing w:val="2"/>
          <w:sz w:val="20"/>
          <w:szCs w:val="20"/>
          <w:lang w:eastAsia="en-AU"/>
        </w:rPr>
        <w:t xml:space="preserve"> </w:t>
      </w:r>
      <w:r w:rsidR="004D1302">
        <w:t>T</w:t>
      </w:r>
      <w:r w:rsidR="004D1302" w:rsidRPr="004D1302">
        <w:t>h</w:t>
      </w:r>
      <w:r w:rsidR="004D1302">
        <w:t>e</w:t>
      </w:r>
      <w:r w:rsidR="004D1302" w:rsidRPr="004D1302">
        <w:t xml:space="preserve"> report is divided into three parts relating to distinct activities of the overall </w:t>
      </w:r>
      <w:r w:rsidR="00155E54">
        <w:t>P</w:t>
      </w:r>
      <w:r w:rsidR="004D1302" w:rsidRPr="004D1302">
        <w:t>rotocol</w:t>
      </w:r>
      <w:r w:rsidR="004D1302">
        <w:t xml:space="preserve"> as follows</w:t>
      </w:r>
      <w:r w:rsidR="004D1302" w:rsidRPr="004D1302">
        <w:t>:</w:t>
      </w:r>
    </w:p>
    <w:p w14:paraId="578E55E7" w14:textId="77777777" w:rsidR="004D1302" w:rsidRDefault="004D1302" w:rsidP="004D1302">
      <w:pPr>
        <w:pStyle w:val="4Bodytextnumbered"/>
        <w:numPr>
          <w:ilvl w:val="0"/>
          <w:numId w:val="26"/>
        </w:numPr>
        <w:spacing w:after="0"/>
        <w:ind w:left="1077" w:hanging="357"/>
      </w:pPr>
      <w:r>
        <w:t>Part 1: Selecting and evaluating candidate medicines</w:t>
      </w:r>
    </w:p>
    <w:p w14:paraId="0A825D08" w14:textId="77777777" w:rsidR="004D1302" w:rsidRDefault="004D1302" w:rsidP="004D1302">
      <w:pPr>
        <w:pStyle w:val="4Bodytextnumbered"/>
        <w:numPr>
          <w:ilvl w:val="0"/>
          <w:numId w:val="26"/>
        </w:numPr>
        <w:spacing w:after="0"/>
        <w:ind w:left="1077" w:hanging="357"/>
      </w:pPr>
      <w:r>
        <w:t>Part 2: Assessing the feasibility of estimating OS using available data sources</w:t>
      </w:r>
    </w:p>
    <w:p w14:paraId="6046BEA3" w14:textId="73E0FFB7" w:rsidR="004D1302" w:rsidRDefault="004D1302" w:rsidP="004D1302">
      <w:pPr>
        <w:pStyle w:val="4Bodytextnumbered"/>
        <w:numPr>
          <w:ilvl w:val="0"/>
          <w:numId w:val="26"/>
        </w:numPr>
      </w:pPr>
      <w:r>
        <w:t>Part 3: Estimating OS using fit-for-purpose methods</w:t>
      </w:r>
    </w:p>
    <w:p w14:paraId="47F85552" w14:textId="64175448" w:rsidR="004D1302" w:rsidRPr="00FD59F1" w:rsidRDefault="004D1302" w:rsidP="0058498F">
      <w:pPr>
        <w:pStyle w:val="Heading3"/>
        <w:spacing w:before="120" w:after="120"/>
        <w:jc w:val="both"/>
        <w:rPr>
          <w:rFonts w:asciiTheme="minorHAnsi" w:eastAsiaTheme="minorHAnsi" w:hAnsiTheme="minorHAnsi" w:cstheme="minorBidi"/>
          <w:color w:val="auto"/>
          <w:sz w:val="28"/>
          <w:szCs w:val="28"/>
        </w:rPr>
      </w:pPr>
      <w:r w:rsidRPr="00FD59F1">
        <w:rPr>
          <w:color w:val="auto"/>
          <w:sz w:val="28"/>
          <w:szCs w:val="28"/>
        </w:rPr>
        <w:t>Part 1: Selecting and evaluating candidate medicines</w:t>
      </w:r>
    </w:p>
    <w:p w14:paraId="38E630D9" w14:textId="06FE4F10" w:rsidR="004D1302" w:rsidRDefault="004D1302" w:rsidP="004D1302">
      <w:pPr>
        <w:pStyle w:val="4Bodytextnumbered"/>
      </w:pPr>
      <w:r>
        <w:t>Estimating OS for people receiving specific PBS-listed cancer treatments begins by identifying and selecting candidate medicines. This process considers the amount of time a medicine has been PBS-listed; the number of people predicted to be treated with a medicine; and the wider treatment landscape of the cancer for which a medicine is indicated</w:t>
      </w:r>
      <w:r w:rsidR="00D72793">
        <w:t xml:space="preserve"> as follows</w:t>
      </w:r>
      <w:r>
        <w:t xml:space="preserve">: </w:t>
      </w:r>
    </w:p>
    <w:p w14:paraId="71ECD75C" w14:textId="5A906380" w:rsidR="004D1302" w:rsidRDefault="004D1302" w:rsidP="002460B9">
      <w:pPr>
        <w:pStyle w:val="4Bodytextnumbered"/>
        <w:numPr>
          <w:ilvl w:val="0"/>
          <w:numId w:val="27"/>
        </w:numPr>
        <w:ind w:left="1077" w:hanging="357"/>
      </w:pPr>
      <w:r w:rsidRPr="00FD7F38">
        <w:rPr>
          <w:u w:val="single"/>
        </w:rPr>
        <w:t>Time of PBS listing</w:t>
      </w:r>
      <w:r>
        <w:t>: the medicine should be listed on the PBS for a period equal to or longer than the expected median OS reported in the pivotal clinical trial/s.</w:t>
      </w:r>
    </w:p>
    <w:p w14:paraId="260EDF28" w14:textId="24B117B6" w:rsidR="004D1302" w:rsidRDefault="004D1302" w:rsidP="002460B9">
      <w:pPr>
        <w:pStyle w:val="4Bodytextnumbered"/>
        <w:numPr>
          <w:ilvl w:val="0"/>
          <w:numId w:val="27"/>
        </w:numPr>
        <w:ind w:left="1077" w:hanging="357"/>
      </w:pPr>
      <w:r w:rsidRPr="00FD7F38">
        <w:rPr>
          <w:u w:val="single"/>
        </w:rPr>
        <w:t>Predicted PBS treatment population</w:t>
      </w:r>
      <w:r>
        <w:t xml:space="preserve">: the number of people predicted to be treated with the PBS-listed medicine should be </w:t>
      </w:r>
      <w:r w:rsidR="00322804">
        <w:t xml:space="preserve">at least </w:t>
      </w:r>
      <w:r>
        <w:t xml:space="preserve">similar to the number of people in the clinical trial population. </w:t>
      </w:r>
    </w:p>
    <w:p w14:paraId="2393C964" w14:textId="2994A02D" w:rsidR="004D1302" w:rsidRDefault="004D1302" w:rsidP="004D1302">
      <w:pPr>
        <w:pStyle w:val="4Bodytextnumbered"/>
        <w:numPr>
          <w:ilvl w:val="0"/>
          <w:numId w:val="27"/>
        </w:numPr>
      </w:pPr>
      <w:r w:rsidRPr="00FD7F38">
        <w:rPr>
          <w:u w:val="single"/>
        </w:rPr>
        <w:t>Treatment landscape</w:t>
      </w:r>
      <w:r>
        <w:t xml:space="preserve">: the potential impact of contamination of OS estimates from other PBS-listed medicines with the same indication or listing of the same medicine for an earlier phase of treatment should be negligible. For instance, if Medicine A is listed on the PBS for first-line treatment of metastatic breast cancer but then two years later Medicine B is listed for the same indication </w:t>
      </w:r>
      <w:r w:rsidR="00CB062F">
        <w:t>and</w:t>
      </w:r>
      <w:r>
        <w:t xml:space="preserve"> Medicine A moves to a second- or later-line treatment, different patient populations will </w:t>
      </w:r>
      <w:r>
        <w:lastRenderedPageBreak/>
        <w:t>receive Medicine A and any conclusions drawn from OS estimates for patients receiving Medicine A will be unreliable.</w:t>
      </w:r>
    </w:p>
    <w:p w14:paraId="04ED6B55" w14:textId="749AD4DF" w:rsidR="00287567" w:rsidRDefault="00287567" w:rsidP="004D1302">
      <w:pPr>
        <w:pStyle w:val="4Bodytextnumbered"/>
      </w:pPr>
      <w:r w:rsidRPr="00287567">
        <w:t xml:space="preserve">The PBAC Public Summary Documents (PSDs) and the pivotal clinical trial publication/s contain information on the key factors to consider when determining the suitability of specific medicines and their effect on OS in the treated PBS population. The </w:t>
      </w:r>
      <w:r w:rsidR="00BC6D38">
        <w:t>‘</w:t>
      </w:r>
      <w:r w:rsidRPr="00287567">
        <w:t xml:space="preserve">Selection and </w:t>
      </w:r>
      <w:r w:rsidR="00BC6D38">
        <w:t>e</w:t>
      </w:r>
      <w:r w:rsidRPr="00287567">
        <w:t xml:space="preserve">valuation </w:t>
      </w:r>
      <w:r w:rsidR="00BC6D38">
        <w:t>w</w:t>
      </w:r>
      <w:r w:rsidRPr="00287567">
        <w:t>orksheet</w:t>
      </w:r>
      <w:r w:rsidR="00BC6D38">
        <w:t>’</w:t>
      </w:r>
      <w:r w:rsidRPr="00287567">
        <w:t xml:space="preserve"> </w:t>
      </w:r>
      <w:r>
        <w:t xml:space="preserve">of the </w:t>
      </w:r>
      <w:r w:rsidR="00155E54">
        <w:t>P</w:t>
      </w:r>
      <w:r>
        <w:t xml:space="preserve">rotocol </w:t>
      </w:r>
      <w:r w:rsidR="00BC6D38">
        <w:t>was used to</w:t>
      </w:r>
      <w:r w:rsidRPr="00287567">
        <w:t xml:space="preserve"> assist in extracting </w:t>
      </w:r>
      <w:r w:rsidR="00BC6D38">
        <w:t xml:space="preserve">the </w:t>
      </w:r>
      <w:r w:rsidRPr="00287567">
        <w:t>relevant information from these sources.</w:t>
      </w:r>
    </w:p>
    <w:p w14:paraId="09808233" w14:textId="64C35B5A" w:rsidR="004D1302" w:rsidRPr="004D1302" w:rsidRDefault="00E23383" w:rsidP="004D1302">
      <w:pPr>
        <w:pStyle w:val="4Bodytextnumbered"/>
      </w:pPr>
      <w:r w:rsidRPr="00E23383">
        <w:t>Th</w:t>
      </w:r>
      <w:r>
        <w:t>e</w:t>
      </w:r>
      <w:r w:rsidRPr="00E23383">
        <w:t xml:space="preserve"> </w:t>
      </w:r>
      <w:r w:rsidR="00155E54">
        <w:t>P</w:t>
      </w:r>
      <w:r w:rsidRPr="00E23383">
        <w:t xml:space="preserve">rotocol details the evaluation of 12 PBS-listed medicines, of which six candidate medicines </w:t>
      </w:r>
      <w:r w:rsidR="00FD7F38">
        <w:t>(</w:t>
      </w:r>
      <w:r w:rsidR="00FD7F38" w:rsidRPr="00FD7F38">
        <w:t>ipilimumab, lanreotide, olaparib, panitumumab, trastuzumab emtansine</w:t>
      </w:r>
      <w:r w:rsidR="00D72793">
        <w:t xml:space="preserve"> [TDM-1]</w:t>
      </w:r>
      <w:r w:rsidR="002912B4">
        <w:t xml:space="preserve"> </w:t>
      </w:r>
      <w:r w:rsidR="00FD7F38" w:rsidRPr="00FD7F38">
        <w:t>and trifluridine-tipiracil</w:t>
      </w:r>
      <w:r w:rsidR="00FD7F38">
        <w:t>)</w:t>
      </w:r>
      <w:r w:rsidR="00FD7F38" w:rsidRPr="00FD7F38">
        <w:t xml:space="preserve"> </w:t>
      </w:r>
      <w:r w:rsidRPr="00E23383">
        <w:t>were selected to undergo feasibility assessment in Part 2.</w:t>
      </w:r>
    </w:p>
    <w:p w14:paraId="4841BA7A" w14:textId="77777777" w:rsidR="004D1302" w:rsidRPr="004D1302" w:rsidRDefault="004D1302" w:rsidP="00FD59F1">
      <w:pPr>
        <w:pStyle w:val="Heading3"/>
        <w:spacing w:before="120" w:after="120"/>
        <w:jc w:val="both"/>
        <w:rPr>
          <w:color w:val="auto"/>
          <w:sz w:val="28"/>
          <w:szCs w:val="28"/>
        </w:rPr>
      </w:pPr>
      <w:r w:rsidRPr="004D1302">
        <w:rPr>
          <w:color w:val="auto"/>
          <w:sz w:val="28"/>
          <w:szCs w:val="28"/>
        </w:rPr>
        <w:t>Part 2: Assessing the feasibility of estimating OS using available data sources</w:t>
      </w:r>
    </w:p>
    <w:p w14:paraId="340818BD" w14:textId="774E6013" w:rsidR="00E23383" w:rsidRDefault="00E23383" w:rsidP="004D1302">
      <w:pPr>
        <w:pStyle w:val="4Bodytextnumbered"/>
      </w:pPr>
      <w:r w:rsidRPr="00E23383">
        <w:t>Once relevant medicines have been evaluated and selected in Part 1, fit-for-purpose data sources must be identified to determine whether OS estimation is feasible in the candidate medicines.</w:t>
      </w:r>
    </w:p>
    <w:p w14:paraId="14C8B1FD" w14:textId="7C8E9B22" w:rsidR="00E23383" w:rsidRDefault="00E23383" w:rsidP="004D1302">
      <w:pPr>
        <w:pStyle w:val="4Bodytextnumbered"/>
      </w:pPr>
      <w:r w:rsidRPr="00E23383">
        <w:t xml:space="preserve">To generate robust OS estimates the </w:t>
      </w:r>
      <w:r w:rsidR="00BC6D38">
        <w:t>‘</w:t>
      </w:r>
      <w:r w:rsidRPr="00E23383">
        <w:t>minimum data</w:t>
      </w:r>
      <w:r w:rsidR="00BC6D38">
        <w:t>’</w:t>
      </w:r>
      <w:r w:rsidRPr="00E23383">
        <w:t xml:space="preserve"> required for analysis are unit level PBS dispensing records for people treated with the PBS-listed medicine of interest, linked with fact of death (FOD) records. More complex estimation methods are possible if the </w:t>
      </w:r>
      <w:r w:rsidR="00BC6D38">
        <w:t>‘</w:t>
      </w:r>
      <w:r w:rsidRPr="00E23383">
        <w:t>minimum data</w:t>
      </w:r>
      <w:r w:rsidR="00BC6D38">
        <w:t>’</w:t>
      </w:r>
      <w:r w:rsidRPr="00E23383">
        <w:t xml:space="preserve"> are linked with additional datasets such as cancer notifications or hospitalisations.</w:t>
      </w:r>
    </w:p>
    <w:p w14:paraId="44136688" w14:textId="3508965D" w:rsidR="00E23383" w:rsidRDefault="00E23383" w:rsidP="004D1302">
      <w:pPr>
        <w:pStyle w:val="4Bodytextnumbered"/>
      </w:pPr>
      <w:r w:rsidRPr="00E23383">
        <w:t>Th</w:t>
      </w:r>
      <w:r w:rsidR="009A5544">
        <w:t>e</w:t>
      </w:r>
      <w:r w:rsidRPr="00E23383">
        <w:t xml:space="preserve"> </w:t>
      </w:r>
      <w:r w:rsidR="00155E54">
        <w:t>P</w:t>
      </w:r>
      <w:r w:rsidRPr="00E23383">
        <w:t>rotocol details the feasibility assessment of the six candidate medicines identified in Part 1 above, using PBS dispensing records linked with FOD records (i.e.,</w:t>
      </w:r>
      <w:r w:rsidR="00AA59F7">
        <w:t> </w:t>
      </w:r>
      <w:r w:rsidR="00447828">
        <w:t>‘</w:t>
      </w:r>
      <w:r w:rsidRPr="00E23383">
        <w:t>minimum data</w:t>
      </w:r>
      <w:r w:rsidR="00447828">
        <w:t>’</w:t>
      </w:r>
      <w:r w:rsidRPr="00E23383">
        <w:t>). Based on the feasibility assessments, four of the six medicines were deemed suitable to progress to a study estimating OS. Two medicines were not considered feasible candidates due to an insufficient proportion of observed deaths in the treated cohort. T</w:t>
      </w:r>
      <w:r w:rsidR="00D72793">
        <w:t>DM-1</w:t>
      </w:r>
      <w:r w:rsidRPr="00E23383">
        <w:t xml:space="preserve"> for treatment of metastatic breast cancer (one of the four suitable medicines) was selected to pilot the study methods for estimating OS.</w:t>
      </w:r>
    </w:p>
    <w:p w14:paraId="1C9BBF53" w14:textId="4C6AB0A9" w:rsidR="004D1302" w:rsidRPr="004D1302" w:rsidRDefault="004D1302" w:rsidP="00FD59F1">
      <w:pPr>
        <w:pStyle w:val="Heading3"/>
        <w:spacing w:before="120" w:after="120"/>
        <w:jc w:val="both"/>
        <w:rPr>
          <w:color w:val="auto"/>
          <w:sz w:val="28"/>
          <w:szCs w:val="28"/>
        </w:rPr>
      </w:pPr>
      <w:r w:rsidRPr="004D1302">
        <w:rPr>
          <w:color w:val="auto"/>
          <w:sz w:val="28"/>
          <w:szCs w:val="28"/>
        </w:rPr>
        <w:t>Part 3: Estimating OS using fit-for-purpose methods</w:t>
      </w:r>
    </w:p>
    <w:p w14:paraId="1F27806A" w14:textId="57A26690" w:rsidR="00293F07" w:rsidRDefault="00E23383" w:rsidP="00293F07">
      <w:pPr>
        <w:pStyle w:val="4Bodytextnumbered"/>
      </w:pPr>
      <w:r w:rsidRPr="00E23383">
        <w:t>Once relevant medicines have been selected (Part 1) and assessed as to the feasibility of generating OS estimates for the medicines in available data</w:t>
      </w:r>
      <w:r w:rsidR="00D72793">
        <w:t xml:space="preserve"> (Part 2)</w:t>
      </w:r>
      <w:r w:rsidRPr="00E23383">
        <w:t>, appropriate methods are required to carry out the analyses. To identify the best methods of estimating OS in real</w:t>
      </w:r>
      <w:r w:rsidR="00B30CDB">
        <w:t>-</w:t>
      </w:r>
      <w:r w:rsidRPr="00E23383">
        <w:t>world patients, a literature review was conducted. Two common approaches were identified to estimate OS in the peer-reviewed literature:</w:t>
      </w:r>
    </w:p>
    <w:p w14:paraId="74C559CF" w14:textId="1EEE746B" w:rsidR="00E23383" w:rsidRPr="00E23383" w:rsidRDefault="00E23383" w:rsidP="00DD5D08">
      <w:pPr>
        <w:pStyle w:val="ListParagraph"/>
        <w:numPr>
          <w:ilvl w:val="0"/>
          <w:numId w:val="28"/>
        </w:numPr>
        <w:spacing w:after="120"/>
        <w:ind w:left="1077" w:hanging="357"/>
        <w:contextualSpacing w:val="0"/>
        <w:rPr>
          <w:rFonts w:asciiTheme="minorHAnsi" w:eastAsiaTheme="minorHAnsi" w:hAnsiTheme="minorHAnsi" w:cstheme="minorBidi"/>
          <w:snapToGrid/>
          <w:sz w:val="24"/>
          <w:szCs w:val="22"/>
        </w:rPr>
      </w:pPr>
      <w:r w:rsidRPr="00FD7F38">
        <w:rPr>
          <w:rFonts w:asciiTheme="minorHAnsi" w:eastAsiaTheme="minorHAnsi" w:hAnsiTheme="minorHAnsi" w:cstheme="minorBidi"/>
          <w:snapToGrid/>
          <w:sz w:val="24"/>
          <w:szCs w:val="22"/>
          <w:u w:val="single"/>
        </w:rPr>
        <w:t>All-comers analysis</w:t>
      </w:r>
      <w:r w:rsidRPr="00E23383">
        <w:rPr>
          <w:rFonts w:asciiTheme="minorHAnsi" w:eastAsiaTheme="minorHAnsi" w:hAnsiTheme="minorHAnsi" w:cstheme="minorBidi"/>
          <w:snapToGrid/>
          <w:sz w:val="24"/>
          <w:szCs w:val="22"/>
        </w:rPr>
        <w:t xml:space="preserve">: estimates OS from the entire population dispensed the medicine of interest. The benefit of this approach is that it aligns with the funder-perspective in that the payer is subsidising treatment for everyone in the treated population. All-comers analysis is also feasible when </w:t>
      </w:r>
      <w:r w:rsidR="00447828">
        <w:rPr>
          <w:rFonts w:asciiTheme="minorHAnsi" w:eastAsiaTheme="minorHAnsi" w:hAnsiTheme="minorHAnsi" w:cstheme="minorBidi"/>
          <w:snapToGrid/>
          <w:sz w:val="24"/>
          <w:szCs w:val="22"/>
        </w:rPr>
        <w:t>‘</w:t>
      </w:r>
      <w:r w:rsidRPr="00E23383">
        <w:rPr>
          <w:rFonts w:asciiTheme="minorHAnsi" w:eastAsiaTheme="minorHAnsi" w:hAnsiTheme="minorHAnsi" w:cstheme="minorBidi"/>
          <w:snapToGrid/>
          <w:sz w:val="24"/>
          <w:szCs w:val="22"/>
        </w:rPr>
        <w:t>minimum data</w:t>
      </w:r>
      <w:r w:rsidR="00447828">
        <w:rPr>
          <w:rFonts w:asciiTheme="minorHAnsi" w:eastAsiaTheme="minorHAnsi" w:hAnsiTheme="minorHAnsi" w:cstheme="minorBidi"/>
          <w:snapToGrid/>
          <w:sz w:val="24"/>
          <w:szCs w:val="22"/>
        </w:rPr>
        <w:t>’</w:t>
      </w:r>
      <w:r w:rsidRPr="00E23383">
        <w:rPr>
          <w:rFonts w:asciiTheme="minorHAnsi" w:eastAsiaTheme="minorHAnsi" w:hAnsiTheme="minorHAnsi" w:cstheme="minorBidi"/>
          <w:snapToGrid/>
          <w:sz w:val="24"/>
          <w:szCs w:val="22"/>
        </w:rPr>
        <w:t xml:space="preserve"> are available but can also be undertaken with enhanced data collections.</w:t>
      </w:r>
    </w:p>
    <w:p w14:paraId="4ED66465" w14:textId="77777777" w:rsidR="00DD5D08" w:rsidRDefault="00E23383" w:rsidP="00DD5D08">
      <w:pPr>
        <w:pStyle w:val="4Bodytextnumbered"/>
        <w:numPr>
          <w:ilvl w:val="0"/>
          <w:numId w:val="28"/>
        </w:numPr>
      </w:pPr>
      <w:r w:rsidRPr="003A16DE">
        <w:rPr>
          <w:u w:val="single"/>
        </w:rPr>
        <w:lastRenderedPageBreak/>
        <w:t>Trial emulation</w:t>
      </w:r>
      <w:r w:rsidRPr="00E23383">
        <w:t xml:space="preserve">: estimates OS by only including patients treated in clinical practice who have characteristics that match those of clinical trial participants. This approach is more sophisticated than all-comers analysis in that it uses additional patient and disease information to select real-world patients who more closely resemble the characteristics of the patients treated in the clinical trial. </w:t>
      </w:r>
    </w:p>
    <w:p w14:paraId="40C7B2EE" w14:textId="08DE2FA4" w:rsidR="00220B8B" w:rsidRDefault="00E23383" w:rsidP="00DD5D08">
      <w:pPr>
        <w:pStyle w:val="4Bodytextnumbered"/>
      </w:pPr>
      <w:r w:rsidRPr="00E23383">
        <w:t xml:space="preserve">Based on the literature review, the following analyses </w:t>
      </w:r>
      <w:r w:rsidR="009A5544">
        <w:t>were</w:t>
      </w:r>
      <w:r w:rsidRPr="00E23383">
        <w:t xml:space="preserve"> recommended for estimating OS associated with PBS-listed medicines:</w:t>
      </w:r>
    </w:p>
    <w:p w14:paraId="434582F1" w14:textId="3B6EDE94" w:rsidR="00E23383" w:rsidRPr="003A16DE" w:rsidRDefault="00E23383" w:rsidP="00E23383">
      <w:pPr>
        <w:pStyle w:val="ListParagraph"/>
        <w:numPr>
          <w:ilvl w:val="0"/>
          <w:numId w:val="29"/>
        </w:numPr>
        <w:rPr>
          <w:rFonts w:asciiTheme="minorHAnsi" w:eastAsiaTheme="minorHAnsi" w:hAnsiTheme="minorHAnsi" w:cstheme="minorBidi"/>
          <w:snapToGrid/>
          <w:sz w:val="24"/>
          <w:szCs w:val="22"/>
        </w:rPr>
      </w:pPr>
      <w:r w:rsidRPr="00E23383">
        <w:rPr>
          <w:rFonts w:asciiTheme="minorHAnsi" w:eastAsiaTheme="minorHAnsi" w:hAnsiTheme="minorHAnsi" w:cstheme="minorBidi"/>
          <w:snapToGrid/>
          <w:sz w:val="24"/>
          <w:szCs w:val="22"/>
        </w:rPr>
        <w:t xml:space="preserve">As the primary analysis, calculate median OS (all-cause mortality) using unadjusted </w:t>
      </w:r>
      <w:r w:rsidRPr="003A16DE">
        <w:rPr>
          <w:rFonts w:asciiTheme="minorHAnsi" w:eastAsiaTheme="minorHAnsi" w:hAnsiTheme="minorHAnsi" w:cstheme="minorBidi"/>
          <w:snapToGrid/>
          <w:sz w:val="24"/>
          <w:szCs w:val="22"/>
        </w:rPr>
        <w:t xml:space="preserve">Kaplan-Meier (K-M) </w:t>
      </w:r>
      <w:r w:rsidR="00CB062F">
        <w:rPr>
          <w:rFonts w:asciiTheme="minorHAnsi" w:eastAsiaTheme="minorHAnsi" w:hAnsiTheme="minorHAnsi" w:cstheme="minorBidi"/>
          <w:snapToGrid/>
          <w:sz w:val="24"/>
          <w:szCs w:val="22"/>
        </w:rPr>
        <w:t>methods</w:t>
      </w:r>
      <w:r w:rsidR="00CB062F" w:rsidRPr="003A16DE">
        <w:rPr>
          <w:rFonts w:asciiTheme="minorHAnsi" w:eastAsiaTheme="minorHAnsi" w:hAnsiTheme="minorHAnsi" w:cstheme="minorBidi"/>
          <w:snapToGrid/>
          <w:sz w:val="24"/>
          <w:szCs w:val="22"/>
        </w:rPr>
        <w:t xml:space="preserve"> </w:t>
      </w:r>
      <w:r w:rsidRPr="003A16DE">
        <w:rPr>
          <w:rFonts w:asciiTheme="minorHAnsi" w:eastAsiaTheme="minorHAnsi" w:hAnsiTheme="minorHAnsi" w:cstheme="minorBidi"/>
          <w:snapToGrid/>
          <w:sz w:val="24"/>
          <w:szCs w:val="22"/>
        </w:rPr>
        <w:t>(all-comer analysis)</w:t>
      </w:r>
    </w:p>
    <w:p w14:paraId="12F484DD" w14:textId="4D0DA602" w:rsidR="00E23383" w:rsidRPr="003A16DE" w:rsidRDefault="00E23383" w:rsidP="00E23383">
      <w:pPr>
        <w:pStyle w:val="ListParagraph"/>
        <w:numPr>
          <w:ilvl w:val="0"/>
          <w:numId w:val="29"/>
        </w:numPr>
        <w:rPr>
          <w:rFonts w:asciiTheme="minorHAnsi" w:eastAsiaTheme="minorHAnsi" w:hAnsiTheme="minorHAnsi" w:cstheme="minorBidi"/>
          <w:snapToGrid/>
          <w:sz w:val="24"/>
          <w:szCs w:val="22"/>
        </w:rPr>
      </w:pPr>
      <w:r w:rsidRPr="003A16DE">
        <w:rPr>
          <w:rFonts w:asciiTheme="minorHAnsi" w:eastAsiaTheme="minorHAnsi" w:hAnsiTheme="minorHAnsi" w:cstheme="minorBidi"/>
          <w:snapToGrid/>
          <w:sz w:val="24"/>
          <w:szCs w:val="22"/>
        </w:rPr>
        <w:t>As</w:t>
      </w:r>
      <w:r w:rsidRPr="00E23383">
        <w:rPr>
          <w:rFonts w:asciiTheme="minorHAnsi" w:eastAsiaTheme="minorHAnsi" w:hAnsiTheme="minorHAnsi" w:cstheme="minorBidi"/>
          <w:snapToGrid/>
          <w:sz w:val="24"/>
          <w:szCs w:val="22"/>
        </w:rPr>
        <w:t xml:space="preserve"> a sensitivity analysis to the primary analysis, exclude the first three months after PBS-listing to remove people who may have received treatment with the medicine through special access programs </w:t>
      </w:r>
      <w:r w:rsidR="003A16DE">
        <w:rPr>
          <w:rFonts w:asciiTheme="minorHAnsi" w:eastAsiaTheme="minorHAnsi" w:hAnsiTheme="minorHAnsi" w:cstheme="minorBidi"/>
          <w:snapToGrid/>
          <w:sz w:val="24"/>
          <w:szCs w:val="22"/>
        </w:rPr>
        <w:t xml:space="preserve">(or other means) </w:t>
      </w:r>
      <w:r w:rsidRPr="00E23383">
        <w:rPr>
          <w:rFonts w:asciiTheme="minorHAnsi" w:eastAsiaTheme="minorHAnsi" w:hAnsiTheme="minorHAnsi" w:cstheme="minorBidi"/>
          <w:snapToGrid/>
          <w:sz w:val="24"/>
          <w:szCs w:val="22"/>
        </w:rPr>
        <w:t xml:space="preserve">prior to its PBS listing. If a new medicine for the same indication has subsequently been listed on the PBS, end follow-up when the new medicine was listed. </w:t>
      </w:r>
      <w:r w:rsidRPr="003A16DE">
        <w:rPr>
          <w:rFonts w:asciiTheme="minorHAnsi" w:eastAsiaTheme="minorHAnsi" w:hAnsiTheme="minorHAnsi" w:cstheme="minorBidi"/>
          <w:snapToGrid/>
          <w:sz w:val="24"/>
          <w:szCs w:val="22"/>
        </w:rPr>
        <w:t>Finally, it may be of interest to censor patients at the end of their treatment.</w:t>
      </w:r>
    </w:p>
    <w:p w14:paraId="05BC9417" w14:textId="59FDBAF8" w:rsidR="00E23383" w:rsidRDefault="00E23383" w:rsidP="00222DCC">
      <w:pPr>
        <w:pStyle w:val="4Bodytextnumbered"/>
        <w:numPr>
          <w:ilvl w:val="0"/>
          <w:numId w:val="29"/>
        </w:numPr>
        <w:spacing w:after="0"/>
        <w:ind w:left="1077" w:hanging="357"/>
      </w:pPr>
      <w:r>
        <w:t>If enhanced data collections are available, secondary analyses should include stratifying K-M curves by relevant demographic and clinical factors, such as disease stage; censoring at the end of treatment and weighting K-M curves by inverse probability of censoring weights; identifying the risk factors for all-cause mortality using Cox proportional hazards models; and analysing cause-specific mortality.</w:t>
      </w:r>
    </w:p>
    <w:p w14:paraId="6746813E" w14:textId="048C35CD" w:rsidR="00E23383" w:rsidRPr="00E23383" w:rsidRDefault="00E23383" w:rsidP="004D5A8F">
      <w:pPr>
        <w:pStyle w:val="ListParagraph"/>
        <w:numPr>
          <w:ilvl w:val="0"/>
          <w:numId w:val="29"/>
        </w:numPr>
        <w:spacing w:after="120"/>
        <w:ind w:left="1077" w:hanging="357"/>
        <w:contextualSpacing w:val="0"/>
        <w:rPr>
          <w:rFonts w:asciiTheme="minorHAnsi" w:eastAsiaTheme="minorHAnsi" w:hAnsiTheme="minorHAnsi" w:cstheme="minorBidi"/>
          <w:snapToGrid/>
          <w:sz w:val="24"/>
          <w:szCs w:val="22"/>
        </w:rPr>
      </w:pPr>
      <w:r w:rsidRPr="00E23383">
        <w:rPr>
          <w:rFonts w:asciiTheme="minorHAnsi" w:eastAsiaTheme="minorHAnsi" w:hAnsiTheme="minorHAnsi" w:cstheme="minorBidi"/>
          <w:snapToGrid/>
          <w:sz w:val="24"/>
          <w:szCs w:val="22"/>
        </w:rPr>
        <w:t xml:space="preserve">While it is possible to explore factors associated with all-cause mortality using </w:t>
      </w:r>
      <w:r w:rsidR="00447828">
        <w:rPr>
          <w:rFonts w:asciiTheme="minorHAnsi" w:eastAsiaTheme="minorHAnsi" w:hAnsiTheme="minorHAnsi" w:cstheme="minorBidi"/>
          <w:snapToGrid/>
          <w:sz w:val="24"/>
          <w:szCs w:val="22"/>
        </w:rPr>
        <w:t>‘</w:t>
      </w:r>
      <w:r w:rsidRPr="00E23383">
        <w:rPr>
          <w:rFonts w:asciiTheme="minorHAnsi" w:eastAsiaTheme="minorHAnsi" w:hAnsiTheme="minorHAnsi" w:cstheme="minorBidi"/>
          <w:snapToGrid/>
          <w:sz w:val="24"/>
          <w:szCs w:val="22"/>
        </w:rPr>
        <w:t>minimum data,</w:t>
      </w:r>
      <w:r w:rsidR="00447828">
        <w:rPr>
          <w:rFonts w:asciiTheme="minorHAnsi" w:eastAsiaTheme="minorHAnsi" w:hAnsiTheme="minorHAnsi" w:cstheme="minorBidi"/>
          <w:snapToGrid/>
          <w:sz w:val="24"/>
          <w:szCs w:val="22"/>
        </w:rPr>
        <w:t>’</w:t>
      </w:r>
      <w:r w:rsidRPr="00E23383">
        <w:rPr>
          <w:rFonts w:asciiTheme="minorHAnsi" w:eastAsiaTheme="minorHAnsi" w:hAnsiTheme="minorHAnsi" w:cstheme="minorBidi"/>
          <w:snapToGrid/>
          <w:sz w:val="24"/>
          <w:szCs w:val="22"/>
        </w:rPr>
        <w:t xml:space="preserve"> the analysis will be incomplete. Conclusions drawn from analyses including only those patient factors typically included in minimum data collections (i.e., age and gender) will be </w:t>
      </w:r>
      <w:r w:rsidRPr="003A16DE">
        <w:rPr>
          <w:rFonts w:asciiTheme="minorHAnsi" w:eastAsiaTheme="minorHAnsi" w:hAnsiTheme="minorHAnsi" w:cstheme="minorBidi"/>
          <w:snapToGrid/>
          <w:sz w:val="24"/>
          <w:szCs w:val="22"/>
        </w:rPr>
        <w:t>confounded</w:t>
      </w:r>
      <w:r w:rsidRPr="00E23383">
        <w:rPr>
          <w:rFonts w:asciiTheme="minorHAnsi" w:eastAsiaTheme="minorHAnsi" w:hAnsiTheme="minorHAnsi" w:cstheme="minorBidi"/>
          <w:snapToGrid/>
          <w:sz w:val="24"/>
          <w:szCs w:val="22"/>
        </w:rPr>
        <w:t xml:space="preserve"> by missing data such as disease stage and </w:t>
      </w:r>
      <w:r w:rsidR="002460B9" w:rsidRPr="002460B9">
        <w:rPr>
          <w:rFonts w:asciiTheme="minorHAnsi" w:eastAsiaTheme="minorHAnsi" w:hAnsiTheme="minorHAnsi" w:cstheme="minorBidi"/>
          <w:snapToGrid/>
          <w:sz w:val="24"/>
          <w:szCs w:val="22"/>
        </w:rPr>
        <w:t xml:space="preserve">Eastern Cooperative Oncology Group </w:t>
      </w:r>
      <w:r w:rsidR="002460B9">
        <w:rPr>
          <w:rFonts w:asciiTheme="minorHAnsi" w:eastAsiaTheme="minorHAnsi" w:hAnsiTheme="minorHAnsi" w:cstheme="minorBidi"/>
          <w:snapToGrid/>
          <w:sz w:val="24"/>
          <w:szCs w:val="22"/>
        </w:rPr>
        <w:t>(</w:t>
      </w:r>
      <w:r w:rsidRPr="00E23383">
        <w:rPr>
          <w:rFonts w:asciiTheme="minorHAnsi" w:eastAsiaTheme="minorHAnsi" w:hAnsiTheme="minorHAnsi" w:cstheme="minorBidi"/>
          <w:snapToGrid/>
          <w:sz w:val="24"/>
          <w:szCs w:val="22"/>
        </w:rPr>
        <w:t>ECOG</w:t>
      </w:r>
      <w:r w:rsidR="002460B9">
        <w:rPr>
          <w:rFonts w:asciiTheme="minorHAnsi" w:eastAsiaTheme="minorHAnsi" w:hAnsiTheme="minorHAnsi" w:cstheme="minorBidi"/>
          <w:snapToGrid/>
          <w:sz w:val="24"/>
          <w:szCs w:val="22"/>
        </w:rPr>
        <w:t>)</w:t>
      </w:r>
      <w:r w:rsidRPr="00E23383">
        <w:rPr>
          <w:rFonts w:asciiTheme="minorHAnsi" w:eastAsiaTheme="minorHAnsi" w:hAnsiTheme="minorHAnsi" w:cstheme="minorBidi"/>
          <w:snapToGrid/>
          <w:sz w:val="24"/>
          <w:szCs w:val="22"/>
        </w:rPr>
        <w:t xml:space="preserve"> status.</w:t>
      </w:r>
    </w:p>
    <w:p w14:paraId="5220DE00" w14:textId="491F9C7F" w:rsidR="00293F07" w:rsidRPr="00FD59F1" w:rsidRDefault="004D5A8F" w:rsidP="00FD59F1">
      <w:pPr>
        <w:pStyle w:val="Heading3"/>
        <w:spacing w:before="120" w:after="120"/>
        <w:jc w:val="both"/>
        <w:rPr>
          <w:color w:val="auto"/>
          <w:sz w:val="28"/>
          <w:szCs w:val="28"/>
        </w:rPr>
      </w:pPr>
      <w:r w:rsidRPr="00FD59F1">
        <w:rPr>
          <w:color w:val="auto"/>
          <w:sz w:val="28"/>
          <w:szCs w:val="28"/>
        </w:rPr>
        <w:t xml:space="preserve">Trastuzumab emtansine </w:t>
      </w:r>
      <w:r w:rsidR="00D72793">
        <w:rPr>
          <w:color w:val="auto"/>
          <w:sz w:val="28"/>
          <w:szCs w:val="28"/>
        </w:rPr>
        <w:t xml:space="preserve">(TDM-1) </w:t>
      </w:r>
      <w:r w:rsidRPr="00FD59F1">
        <w:rPr>
          <w:color w:val="auto"/>
          <w:sz w:val="28"/>
          <w:szCs w:val="28"/>
        </w:rPr>
        <w:t>pilot study</w:t>
      </w:r>
    </w:p>
    <w:p w14:paraId="3B63772E" w14:textId="1950FB56" w:rsidR="002460B9" w:rsidRDefault="002460B9" w:rsidP="00FF3A23">
      <w:pPr>
        <w:pStyle w:val="4Bodytextnumbered"/>
      </w:pPr>
      <w:r w:rsidRPr="002460B9">
        <w:t xml:space="preserve">The purpose of this pilot study </w:t>
      </w:r>
      <w:r>
        <w:t>was</w:t>
      </w:r>
      <w:r w:rsidRPr="002460B9">
        <w:t xml:space="preserve"> to assess the findings of the feasibility analyses (Part 2) and apply the methods detailed in the analytical template (Part 3), notably the sensitivity analyses, to address some of the issues that were identified during the feasibility analysis.</w:t>
      </w:r>
    </w:p>
    <w:p w14:paraId="6ADA2D65" w14:textId="67DC7964" w:rsidR="004D5A8F" w:rsidRDefault="004D5A8F" w:rsidP="00FF3A23">
      <w:pPr>
        <w:pStyle w:val="4Bodytextnumbered"/>
      </w:pPr>
      <w:r w:rsidRPr="004D5A8F">
        <w:t>T</w:t>
      </w:r>
      <w:r w:rsidR="00D72793">
        <w:t>DM-1</w:t>
      </w:r>
      <w:r w:rsidRPr="004D5A8F">
        <w:t xml:space="preserve"> for metastatic breast cancer was listed on the PBS on 1 July 2015. The median </w:t>
      </w:r>
      <w:r w:rsidR="002460B9">
        <w:t>OS</w:t>
      </w:r>
      <w:r w:rsidRPr="004D5A8F">
        <w:t xml:space="preserve"> estimated from the pivotal trial (and included in the</w:t>
      </w:r>
      <w:r w:rsidR="004747B2">
        <w:t xml:space="preserve"> November 2014</w:t>
      </w:r>
      <w:r w:rsidRPr="004D5A8F">
        <w:t xml:space="preserve"> PBAC submission) was 30.9 months (N = 991). In this pilot study, OS was estimated in a cohort of patients receiving </w:t>
      </w:r>
      <w:r w:rsidR="00D72793">
        <w:t xml:space="preserve">TDM-1 </w:t>
      </w:r>
      <w:r w:rsidRPr="004D5A8F">
        <w:t>for metastatic breast cancer using PBS dispensing data linked to FOD data.</w:t>
      </w:r>
    </w:p>
    <w:p w14:paraId="02434F45" w14:textId="257D3186" w:rsidR="004D5A8F" w:rsidRDefault="004D5A8F" w:rsidP="00FF3A23">
      <w:pPr>
        <w:pStyle w:val="4Bodytextnumbered"/>
      </w:pPr>
      <w:r w:rsidRPr="004D5A8F">
        <w:t xml:space="preserve">Follow-up lasted from July 2015 through December 2021 and the cohort for primary analysis included all treated patients (all-comers). Sensitivity analyses were conducted, restricting the cohort to patients initiating treatment from 1 October 2015 (three months after </w:t>
      </w:r>
      <w:r w:rsidR="00D72793">
        <w:t>TDM-1</w:t>
      </w:r>
      <w:r w:rsidRPr="004D5A8F">
        <w:t>’s PBS-listing) to 31 March 2020. T</w:t>
      </w:r>
      <w:r w:rsidR="00D72793">
        <w:t xml:space="preserve">DM-1 </w:t>
      </w:r>
      <w:r w:rsidRPr="004D5A8F">
        <w:t xml:space="preserve">for early-stage breast cancer was listed on the PBS on 1 April 2020, so the cohort was closed on </w:t>
      </w:r>
      <w:r w:rsidRPr="004D5A8F">
        <w:lastRenderedPageBreak/>
        <w:t>31</w:t>
      </w:r>
      <w:r w:rsidR="00AA59F7">
        <w:t> </w:t>
      </w:r>
      <w:r w:rsidRPr="004D5A8F">
        <w:t>March 2020 to avoid potential contamination of the cohort by people treated for early-stage breast cancer.</w:t>
      </w:r>
    </w:p>
    <w:p w14:paraId="279B5D6C" w14:textId="201B0016" w:rsidR="004D5A8F" w:rsidRDefault="004D5A8F" w:rsidP="007C43BA">
      <w:pPr>
        <w:pStyle w:val="4Bodytextnumbered"/>
      </w:pPr>
      <w:r w:rsidRPr="004D5A8F">
        <w:t xml:space="preserve">The </w:t>
      </w:r>
      <w:r w:rsidR="00515C39">
        <w:t>summary of findings from</w:t>
      </w:r>
      <w:r w:rsidR="002460B9">
        <w:t xml:space="preserve"> this analysis are as follows</w:t>
      </w:r>
      <w:r w:rsidRPr="004D5A8F">
        <w:t>:</w:t>
      </w:r>
    </w:p>
    <w:p w14:paraId="051A9E6F" w14:textId="0EEA437E" w:rsidR="004D5A8F" w:rsidRDefault="004D5A8F" w:rsidP="004D5A8F">
      <w:pPr>
        <w:pStyle w:val="4Bodytextnumbered"/>
        <w:numPr>
          <w:ilvl w:val="0"/>
          <w:numId w:val="31"/>
        </w:numPr>
        <w:spacing w:after="0"/>
        <w:ind w:left="1077" w:hanging="357"/>
      </w:pPr>
      <w:r>
        <w:t xml:space="preserve">1,027 patients initiated </w:t>
      </w:r>
      <w:r w:rsidR="00D72793">
        <w:t>TDM-1</w:t>
      </w:r>
      <w:r>
        <w:t>; median age 59 years (IQR: 50 – 68); 62% died during follow-up</w:t>
      </w:r>
      <w:r w:rsidR="00515C39">
        <w:t>.</w:t>
      </w:r>
    </w:p>
    <w:p w14:paraId="693CC756" w14:textId="2F5BD492" w:rsidR="004D5A8F" w:rsidRDefault="004D5A8F" w:rsidP="004D5A8F">
      <w:pPr>
        <w:pStyle w:val="4Bodytextnumbered"/>
        <w:numPr>
          <w:ilvl w:val="0"/>
          <w:numId w:val="31"/>
        </w:numPr>
        <w:spacing w:after="0"/>
        <w:ind w:left="1077" w:hanging="357"/>
      </w:pPr>
      <w:r>
        <w:t>Median OS, primary analysis: 28.9 months (95%CI: 26.1 – 32.0)</w:t>
      </w:r>
      <w:r w:rsidR="00515C39">
        <w:t>.</w:t>
      </w:r>
    </w:p>
    <w:p w14:paraId="072C0AF8" w14:textId="52917B36" w:rsidR="004D5A8F" w:rsidRDefault="004D5A8F" w:rsidP="004D5A8F">
      <w:pPr>
        <w:pStyle w:val="4Bodytextnumbered"/>
        <w:numPr>
          <w:ilvl w:val="0"/>
          <w:numId w:val="31"/>
        </w:numPr>
      </w:pPr>
      <w:r>
        <w:t xml:space="preserve">Median OS, sensitivity </w:t>
      </w:r>
      <w:r w:rsidR="002759CF">
        <w:t>analysis</w:t>
      </w:r>
      <w:r>
        <w:t>: 23.5 months (95%CI: 21.2 – 27.1)</w:t>
      </w:r>
      <w:r w:rsidR="00515C39">
        <w:t>.</w:t>
      </w:r>
    </w:p>
    <w:p w14:paraId="48F49AEC" w14:textId="2013A9C8" w:rsidR="004D5A8F" w:rsidRDefault="004D5A8F" w:rsidP="00FF3A23">
      <w:pPr>
        <w:pStyle w:val="4Bodytextnumbered"/>
      </w:pPr>
      <w:r w:rsidRPr="004D5A8F">
        <w:t xml:space="preserve">The difference between the median OS estimates from the primary and sensitivity analyses is likely due to cohort </w:t>
      </w:r>
      <w:r w:rsidRPr="00607B6D">
        <w:t>contamination</w:t>
      </w:r>
      <w:r w:rsidRPr="004D5A8F">
        <w:t xml:space="preserve"> from 1 April 2020. Patients initiating </w:t>
      </w:r>
      <w:r w:rsidR="00D72793">
        <w:t>TDM-1</w:t>
      </w:r>
      <w:r w:rsidRPr="004D5A8F">
        <w:t xml:space="preserve"> from this time </w:t>
      </w:r>
      <w:r w:rsidR="00046502">
        <w:rPr>
          <w:iCs/>
        </w:rPr>
        <w:t xml:space="preserve">under </w:t>
      </w:r>
      <w:r w:rsidR="00046502" w:rsidRPr="00046502">
        <w:rPr>
          <w:iCs/>
        </w:rPr>
        <w:t xml:space="preserve">PBS item codes indicated for late-stage disease </w:t>
      </w:r>
      <w:r w:rsidR="00D8105A">
        <w:t xml:space="preserve">may have erroneously </w:t>
      </w:r>
      <w:r w:rsidRPr="004D5A8F">
        <w:t xml:space="preserve">included those receiving treatment for early-stage disease </w:t>
      </w:r>
      <w:r w:rsidR="00140BBA">
        <w:t xml:space="preserve">who are likely </w:t>
      </w:r>
      <w:r w:rsidR="00D72793">
        <w:t xml:space="preserve">to </w:t>
      </w:r>
      <w:r w:rsidR="00D72793" w:rsidRPr="004D5A8F">
        <w:t>have</w:t>
      </w:r>
      <w:r w:rsidRPr="004D5A8F">
        <w:t xml:space="preserve"> longer expected survival times than late-stage/metastatic patients. </w:t>
      </w:r>
      <w:r w:rsidR="00515C39">
        <w:t>Therefore, i</w:t>
      </w:r>
      <w:r w:rsidRPr="004D5A8F">
        <w:t>t is likely that OS estimates including early-stage patients are biased</w:t>
      </w:r>
      <w:r w:rsidR="00140BBA">
        <w:t xml:space="preserve"> and</w:t>
      </w:r>
      <w:r w:rsidRPr="004D5A8F">
        <w:t xml:space="preserve"> the estimate</w:t>
      </w:r>
      <w:r w:rsidR="00515C39">
        <w:t xml:space="preserve"> from the sensitivity </w:t>
      </w:r>
      <w:r w:rsidR="00D72793">
        <w:t>analysis</w:t>
      </w:r>
      <w:r w:rsidR="00D72793" w:rsidRPr="004D5A8F">
        <w:t xml:space="preserve"> </w:t>
      </w:r>
      <w:r w:rsidR="00D72793">
        <w:t>more</w:t>
      </w:r>
      <w:r w:rsidR="00140BBA">
        <w:t xml:space="preserve"> closely </w:t>
      </w:r>
      <w:r w:rsidR="00D72793">
        <w:t xml:space="preserve">reflects </w:t>
      </w:r>
      <w:r w:rsidR="00D72793" w:rsidRPr="004D5A8F">
        <w:t>the</w:t>
      </w:r>
      <w:r w:rsidRPr="004D5A8F">
        <w:t xml:space="preserve"> true OS for patients treated with </w:t>
      </w:r>
      <w:r w:rsidR="00D72793">
        <w:t>TDM-1</w:t>
      </w:r>
      <w:r w:rsidRPr="004D5A8F">
        <w:t xml:space="preserve"> for metastatic disease.</w:t>
      </w:r>
    </w:p>
    <w:p w14:paraId="6FE20429" w14:textId="5BD209C0" w:rsidR="00A45320" w:rsidRDefault="004D5A8F" w:rsidP="00515C39">
      <w:pPr>
        <w:pStyle w:val="4Bodytextnumbered"/>
      </w:pPr>
      <w:r w:rsidRPr="00607B6D">
        <w:t>The difference between the median OS estimate,</w:t>
      </w:r>
      <w:r w:rsidRPr="004D5A8F">
        <w:t xml:space="preserve"> derived from the sensitivity analysis and the clinical trial estimate cited in the PSD</w:t>
      </w:r>
      <w:r w:rsidR="00780AC6">
        <w:t xml:space="preserve"> (</w:t>
      </w:r>
      <w:r w:rsidR="00780AC6" w:rsidRPr="00CC3820">
        <w:t>30.9 months</w:t>
      </w:r>
      <w:r w:rsidR="00780AC6">
        <w:t>)</w:t>
      </w:r>
      <w:r w:rsidRPr="004D5A8F">
        <w:t xml:space="preserve">, is likely due to differences in patient characteristics (e.g., the real-world cohort was older than the trial cohort). The median age of patients in the pilot study was six years older than that reported in the pivotal clinical trial (53 years). Relapse after treatment for early-stage disease is a known negative prognostic indicator and while staging data were not available for the pilot study, it is likely the case that a substantially larger proportion of real-world patients had previously been treated with trastuzumab </w:t>
      </w:r>
      <w:r w:rsidR="00BA7277" w:rsidRPr="00BA7277">
        <w:t>(not ‘emtansine’)</w:t>
      </w:r>
      <w:r w:rsidR="00BA7277">
        <w:t xml:space="preserve"> </w:t>
      </w:r>
      <w:r w:rsidRPr="004D5A8F">
        <w:t>for early-stage disease than had been previously treated in the trial (reported at 16% of trial participants).</w:t>
      </w:r>
      <w:r w:rsidR="00515C39">
        <w:t xml:space="preserve"> </w:t>
      </w:r>
      <w:r w:rsidRPr="004D5A8F">
        <w:t xml:space="preserve">Further stratification to determine </w:t>
      </w:r>
      <w:r w:rsidR="00515C39">
        <w:t xml:space="preserve">the </w:t>
      </w:r>
      <w:r w:rsidRPr="004D5A8F">
        <w:t>reasons for the discrepancy would require linkage with enhanced datasets with more detailed clinical information.</w:t>
      </w:r>
      <w:bookmarkStart w:id="15" w:name="_Hlk88749113"/>
      <w:bookmarkEnd w:id="10"/>
      <w:bookmarkEnd w:id="11"/>
      <w:bookmarkEnd w:id="12"/>
      <w:bookmarkEnd w:id="13"/>
      <w:bookmarkEnd w:id="14"/>
    </w:p>
    <w:p w14:paraId="59BFEE86" w14:textId="3050D9B3" w:rsidR="004747B2" w:rsidRPr="00412EA0" w:rsidRDefault="00140BBA" w:rsidP="007D6B80">
      <w:pPr>
        <w:pStyle w:val="4Bodytextnumbered"/>
        <w:rPr>
          <w:rFonts w:cs="Arial"/>
          <w:b/>
          <w:snapToGrid w:val="0"/>
          <w:sz w:val="32"/>
          <w:szCs w:val="32"/>
        </w:rPr>
      </w:pPr>
      <w:r>
        <w:t xml:space="preserve">The findings from this </w:t>
      </w:r>
      <w:r w:rsidR="00D72793">
        <w:t>study suggest</w:t>
      </w:r>
      <w:r w:rsidR="0060579E" w:rsidRPr="0060579E">
        <w:t xml:space="preserve"> the median OS estimate f</w:t>
      </w:r>
      <w:r w:rsidR="004747B2">
        <w:t>or</w:t>
      </w:r>
      <w:r w:rsidR="0060579E" w:rsidRPr="0060579E">
        <w:t xml:space="preserve"> Australian patients treated with </w:t>
      </w:r>
      <w:r w:rsidR="00D72793">
        <w:t>TDM-1</w:t>
      </w:r>
      <w:r w:rsidR="0060579E" w:rsidRPr="0060579E">
        <w:t xml:space="preserve"> is</w:t>
      </w:r>
      <w:r w:rsidR="0060579E">
        <w:t xml:space="preserve"> more than</w:t>
      </w:r>
      <w:r w:rsidR="0060579E" w:rsidRPr="0060579E">
        <w:t xml:space="preserve"> seven months shorter </w:t>
      </w:r>
      <w:r w:rsidR="0060579E" w:rsidRPr="00607B6D">
        <w:t>than the 30.9 months reported</w:t>
      </w:r>
      <w:r w:rsidR="0060579E" w:rsidRPr="0060579E">
        <w:t xml:space="preserve"> in the pivotal trial</w:t>
      </w:r>
      <w:r w:rsidR="004747B2">
        <w:t xml:space="preserve"> considered by the PBAC</w:t>
      </w:r>
      <w:r w:rsidR="0060579E" w:rsidRPr="0060579E">
        <w:t xml:space="preserve">. </w:t>
      </w:r>
      <w:r w:rsidR="004747B2">
        <w:t>This is consistent with p</w:t>
      </w:r>
      <w:r w:rsidR="0060579E" w:rsidRPr="0060579E">
        <w:t xml:space="preserve">revious research on real-world outcomes associated with trastuzumab </w:t>
      </w:r>
      <w:bookmarkStart w:id="16" w:name="_Hlk132381832"/>
      <w:r w:rsidR="0060579E" w:rsidRPr="0060579E">
        <w:t>(not ‘emtansine’)</w:t>
      </w:r>
      <w:bookmarkEnd w:id="16"/>
      <w:r w:rsidR="004747B2">
        <w:t xml:space="preserve"> that</w:t>
      </w:r>
      <w:r w:rsidR="0060579E" w:rsidRPr="0060579E">
        <w:t xml:space="preserve"> have found similar discrepancies</w:t>
      </w:r>
      <w:r w:rsidR="00B1599D">
        <w:t xml:space="preserve"> in survival outcomes</w:t>
      </w:r>
      <w:r w:rsidR="0060579E" w:rsidRPr="0060579E">
        <w:t>.</w:t>
      </w:r>
    </w:p>
    <w:p w14:paraId="4FEE689E" w14:textId="09C69C6A" w:rsidR="00412EA0" w:rsidRPr="00987C71" w:rsidRDefault="00412EA0" w:rsidP="00412EA0">
      <w:pPr>
        <w:pStyle w:val="2Sections"/>
      </w:pPr>
      <w:r>
        <w:t xml:space="preserve">Medical </w:t>
      </w:r>
      <w:r w:rsidR="00A061AA">
        <w:t>O</w:t>
      </w:r>
      <w:r>
        <w:t xml:space="preserve">fficer </w:t>
      </w:r>
      <w:r w:rsidR="00D72793">
        <w:t>review/</w:t>
      </w:r>
      <w:r>
        <w:t>input</w:t>
      </w:r>
      <w:r w:rsidR="00D72793">
        <w:t xml:space="preserve"> and MI-CRE advice</w:t>
      </w:r>
    </w:p>
    <w:p w14:paraId="0FDF4744" w14:textId="593D0268" w:rsidR="00D72793" w:rsidRDefault="00D72793" w:rsidP="00D72793">
      <w:pPr>
        <w:pStyle w:val="4Bodytextnumbered"/>
      </w:pPr>
      <w:r>
        <w:t>T</w:t>
      </w:r>
      <w:r w:rsidRPr="00D72793">
        <w:t xml:space="preserve">he </w:t>
      </w:r>
      <w:r w:rsidR="00155E54">
        <w:t>P</w:t>
      </w:r>
      <w:r w:rsidRPr="00D72793">
        <w:t>rotocol</w:t>
      </w:r>
      <w:r>
        <w:t xml:space="preserve"> was provided to Departmental </w:t>
      </w:r>
      <w:r w:rsidR="00CE04D0">
        <w:t>M</w:t>
      </w:r>
      <w:r>
        <w:t xml:space="preserve">edical </w:t>
      </w:r>
      <w:r w:rsidR="00CE04D0">
        <w:t>O</w:t>
      </w:r>
      <w:r>
        <w:t>fficers (MOs) for review/input in November 2022.</w:t>
      </w:r>
    </w:p>
    <w:p w14:paraId="0AD3DB86" w14:textId="5DEC88CF" w:rsidR="00D72793" w:rsidRPr="00D72793" w:rsidRDefault="00D72793" w:rsidP="00D72793">
      <w:pPr>
        <w:pStyle w:val="4Bodytextnumbered"/>
      </w:pPr>
      <w:r w:rsidRPr="00D72793">
        <w:t>The key feedback from the MO was that the metric of importance, when assessing clinical and cost-effectiveness, is the</w:t>
      </w:r>
      <w:r>
        <w:t xml:space="preserve"> relative</w:t>
      </w:r>
      <w:r w:rsidRPr="00D72793">
        <w:t xml:space="preserve"> incremental difference in OS between the intervention and the comparator (as opposed to the absolute OS</w:t>
      </w:r>
      <w:r>
        <w:t xml:space="preserve"> of the intervention</w:t>
      </w:r>
      <w:r w:rsidRPr="00D72793">
        <w:t>). Therefore, it was suggested that the analysis conducted by the MI</w:t>
      </w:r>
      <w:r>
        <w:t>-CRE</w:t>
      </w:r>
      <w:r w:rsidRPr="00D72793">
        <w:t xml:space="preserve"> to estimate OS for </w:t>
      </w:r>
      <w:r>
        <w:t>TDM-1</w:t>
      </w:r>
      <w:r w:rsidRPr="00D72793">
        <w:t xml:space="preserve"> be extended to estimate the OS of the comparator used in </w:t>
      </w:r>
      <w:r w:rsidRPr="00D72793">
        <w:lastRenderedPageBreak/>
        <w:t xml:space="preserve">the </w:t>
      </w:r>
      <w:r w:rsidRPr="002912B4">
        <w:t xml:space="preserve">November </w:t>
      </w:r>
      <w:r w:rsidRPr="005C7D96">
        <w:t>2014</w:t>
      </w:r>
      <w:r w:rsidR="005C7D96">
        <w:t xml:space="preserve"> </w:t>
      </w:r>
      <w:r w:rsidRPr="005C7D96">
        <w:t>TDM</w:t>
      </w:r>
      <w:r>
        <w:t>-1</w:t>
      </w:r>
      <w:r w:rsidRPr="00D72793">
        <w:t> </w:t>
      </w:r>
      <w:r>
        <w:t>PBAC</w:t>
      </w:r>
      <w:r w:rsidRPr="00D72793">
        <w:t xml:space="preserve"> submission (</w:t>
      </w:r>
      <w:r w:rsidR="002912B4" w:rsidRPr="00D72793">
        <w:t>i.e.,</w:t>
      </w:r>
      <w:r w:rsidRPr="00D72793">
        <w:t xml:space="preserve"> lapatinib</w:t>
      </w:r>
      <w:r>
        <w:t xml:space="preserve"> </w:t>
      </w:r>
      <w:r w:rsidRPr="00D72793">
        <w:t>+</w:t>
      </w:r>
      <w:r>
        <w:t xml:space="preserve"> </w:t>
      </w:r>
      <w:r w:rsidRPr="00D72793">
        <w:t xml:space="preserve">capecitabine). This analysis would then allow </w:t>
      </w:r>
      <w:r>
        <w:t xml:space="preserve">a </w:t>
      </w:r>
      <w:r w:rsidRPr="00D72793">
        <w:t>compar</w:t>
      </w:r>
      <w:r>
        <w:t>ison of</w:t>
      </w:r>
      <w:r w:rsidRPr="00D72793">
        <w:t xml:space="preserve"> the incremental gain in OS for </w:t>
      </w:r>
      <w:r>
        <w:t>TDM-1</w:t>
      </w:r>
      <w:r w:rsidRPr="00D72793">
        <w:t xml:space="preserve"> v</w:t>
      </w:r>
      <w:r>
        <w:t>ersus</w:t>
      </w:r>
      <w:r w:rsidRPr="00D72793">
        <w:t xml:space="preserve"> lapatinib</w:t>
      </w:r>
      <w:r>
        <w:t xml:space="preserve"> </w:t>
      </w:r>
      <w:r w:rsidRPr="00D72793">
        <w:t>+</w:t>
      </w:r>
      <w:r>
        <w:t xml:space="preserve"> </w:t>
      </w:r>
      <w:r w:rsidRPr="00D72793">
        <w:t>capecitabine based on the clinical trial data and real</w:t>
      </w:r>
      <w:r w:rsidR="00B30CDB">
        <w:t>-</w:t>
      </w:r>
      <w:r w:rsidRPr="00D72793">
        <w:t>world/PBS data.</w:t>
      </w:r>
    </w:p>
    <w:p w14:paraId="0D821E2D" w14:textId="66D5FEF2" w:rsidR="003A16DE" w:rsidRDefault="003A16DE" w:rsidP="00D72793">
      <w:pPr>
        <w:pStyle w:val="4Bodytextnumbered"/>
      </w:pPr>
      <w:r>
        <w:t xml:space="preserve">The MI-CRE reviewed the request and applied the assessment framework outlined above. </w:t>
      </w:r>
    </w:p>
    <w:p w14:paraId="3316446E" w14:textId="3468D772" w:rsidR="00D72793" w:rsidRDefault="00D72793" w:rsidP="00D72793">
      <w:pPr>
        <w:pStyle w:val="4Bodytextnumbered"/>
      </w:pPr>
      <w:r>
        <w:t>The MI-CRE advised that they do</w:t>
      </w:r>
      <w:r w:rsidRPr="00D72793">
        <w:t xml:space="preserve"> not believe </w:t>
      </w:r>
      <w:r>
        <w:t>they</w:t>
      </w:r>
      <w:r w:rsidRPr="00D72793">
        <w:t xml:space="preserve"> can meaningfully estimate OS for </w:t>
      </w:r>
      <w:bookmarkStart w:id="17" w:name="_Hlk132112711"/>
      <w:r w:rsidRPr="00D72793">
        <w:t xml:space="preserve">lapatinib </w:t>
      </w:r>
      <w:r>
        <w:t>+</w:t>
      </w:r>
      <w:r w:rsidRPr="00D72793">
        <w:t xml:space="preserve"> capecitabine </w:t>
      </w:r>
      <w:bookmarkEnd w:id="17"/>
      <w:r w:rsidRPr="00D72793">
        <w:t xml:space="preserve">for the purposes of comparing the estimate to that from the pivotal trial </w:t>
      </w:r>
      <w:r>
        <w:t>used in the November 2014 TDM-1</w:t>
      </w:r>
      <w:r w:rsidRPr="00D72793">
        <w:t xml:space="preserve"> </w:t>
      </w:r>
      <w:r>
        <w:t>PBAC submission for the following reasons:</w:t>
      </w:r>
      <w:r w:rsidR="00742227">
        <w:t xml:space="preserve"> </w:t>
      </w:r>
    </w:p>
    <w:p w14:paraId="53BD8CE2" w14:textId="2714F3EB" w:rsidR="00D72793" w:rsidRPr="00D72793" w:rsidRDefault="00D72793" w:rsidP="00D72793">
      <w:pPr>
        <w:pStyle w:val="4Bodytextnumbered"/>
        <w:numPr>
          <w:ilvl w:val="0"/>
          <w:numId w:val="38"/>
        </w:numPr>
        <w:ind w:left="1077" w:hanging="357"/>
      </w:pPr>
      <w:r w:rsidRPr="00D72793">
        <w:t xml:space="preserve">Initially listed on the PBS </w:t>
      </w:r>
      <w:r w:rsidR="00CE04D0">
        <w:t>i</w:t>
      </w:r>
      <w:r w:rsidR="00CE04D0" w:rsidRPr="00D72793">
        <w:t xml:space="preserve">n </w:t>
      </w:r>
      <w:r w:rsidRPr="00D72793">
        <w:t xml:space="preserve">May 2008, lapatinib was not widely adopted in Australian clinical practice. </w:t>
      </w:r>
      <w:r w:rsidR="00CE04D0">
        <w:t>P</w:t>
      </w:r>
      <w:r w:rsidRPr="00D72793">
        <w:t xml:space="preserve">rescribing restrictions </w:t>
      </w:r>
      <w:r w:rsidR="00CE04D0">
        <w:t>made to</w:t>
      </w:r>
      <w:r w:rsidR="00CE04D0" w:rsidRPr="00D72793">
        <w:t xml:space="preserve"> </w:t>
      </w:r>
      <w:r w:rsidRPr="00D72793">
        <w:t xml:space="preserve">the initial listing </w:t>
      </w:r>
      <w:r w:rsidR="00CE04D0">
        <w:t xml:space="preserve">between 2008 and 2010 </w:t>
      </w:r>
      <w:r w:rsidRPr="00D72793">
        <w:t>appear to</w:t>
      </w:r>
      <w:r>
        <w:t xml:space="preserve"> have</w:t>
      </w:r>
      <w:r w:rsidRPr="00D72793">
        <w:t xml:space="preserve"> minimise</w:t>
      </w:r>
      <w:r>
        <w:t>d</w:t>
      </w:r>
      <w:r w:rsidRPr="00D72793">
        <w:t xml:space="preserve"> its use. Whil</w:t>
      </w:r>
      <w:r>
        <w:t>st</w:t>
      </w:r>
      <w:r w:rsidRPr="00D72793">
        <w:t xml:space="preserve"> there was a slight increase after the restrictions were relaxed in 2010, the number of dispensings and initiations </w:t>
      </w:r>
      <w:r w:rsidR="00CE04D0">
        <w:t xml:space="preserve">for </w:t>
      </w:r>
      <w:r w:rsidR="00CE04D0" w:rsidRPr="00D72793">
        <w:t xml:space="preserve">lapatinib </w:t>
      </w:r>
      <w:r w:rsidRPr="00D72793">
        <w:t xml:space="preserve">from this time remained low. It appears that most Australian clinicians preferred to retain trastuzumab </w:t>
      </w:r>
      <w:r w:rsidR="00BA7277" w:rsidRPr="00BA7277">
        <w:t>(not ‘emtansine’)</w:t>
      </w:r>
      <w:r w:rsidR="00BA7277">
        <w:t xml:space="preserve"> </w:t>
      </w:r>
      <w:r w:rsidRPr="00D72793">
        <w:t>and switch the concomitant cytotoxic agent for second- and later-</w:t>
      </w:r>
      <w:r w:rsidR="00CE04D0">
        <w:t xml:space="preserve"> </w:t>
      </w:r>
      <w:r w:rsidRPr="00D72793">
        <w:t>line treatment. When T-DM1 was listed on the PBS in 2015 lapatinib dispensings fell to near zero and have remained there since.</w:t>
      </w:r>
    </w:p>
    <w:p w14:paraId="02968DE4" w14:textId="364EAD54" w:rsidR="00D72793" w:rsidRPr="00D72793" w:rsidRDefault="00D72793" w:rsidP="00D72793">
      <w:pPr>
        <w:pStyle w:val="ListParagraph"/>
        <w:numPr>
          <w:ilvl w:val="0"/>
          <w:numId w:val="38"/>
        </w:numPr>
        <w:spacing w:after="120"/>
        <w:ind w:left="1077" w:hanging="357"/>
        <w:contextualSpacing w:val="0"/>
        <w:rPr>
          <w:rFonts w:asciiTheme="minorHAnsi" w:eastAsiaTheme="minorHAnsi" w:hAnsiTheme="minorHAnsi" w:cstheme="minorBidi"/>
          <w:snapToGrid/>
          <w:sz w:val="24"/>
          <w:szCs w:val="22"/>
        </w:rPr>
      </w:pPr>
      <w:r w:rsidRPr="00D72793">
        <w:rPr>
          <w:rFonts w:asciiTheme="minorHAnsi" w:eastAsiaTheme="minorHAnsi" w:hAnsiTheme="minorHAnsi" w:cstheme="minorBidi"/>
          <w:snapToGrid/>
          <w:sz w:val="24"/>
          <w:szCs w:val="22"/>
        </w:rPr>
        <w:t>As a flow-on effect from point number 1</w:t>
      </w:r>
      <w:r>
        <w:rPr>
          <w:rFonts w:asciiTheme="minorHAnsi" w:eastAsiaTheme="minorHAnsi" w:hAnsiTheme="minorHAnsi" w:cstheme="minorBidi"/>
          <w:snapToGrid/>
          <w:sz w:val="24"/>
          <w:szCs w:val="22"/>
        </w:rPr>
        <w:t xml:space="preserve"> above</w:t>
      </w:r>
      <w:r w:rsidRPr="00D72793">
        <w:rPr>
          <w:rFonts w:asciiTheme="minorHAnsi" w:eastAsiaTheme="minorHAnsi" w:hAnsiTheme="minorHAnsi" w:cstheme="minorBidi"/>
          <w:snapToGrid/>
          <w:sz w:val="24"/>
          <w:szCs w:val="22"/>
        </w:rPr>
        <w:t>, the cohort of patients treated with lapatinib in Australia are materially different from those treated in the TDM</w:t>
      </w:r>
      <w:r>
        <w:rPr>
          <w:rFonts w:asciiTheme="minorHAnsi" w:eastAsiaTheme="minorHAnsi" w:hAnsiTheme="minorHAnsi" w:cstheme="minorBidi"/>
          <w:snapToGrid/>
          <w:sz w:val="24"/>
          <w:szCs w:val="22"/>
        </w:rPr>
        <w:t>-</w:t>
      </w:r>
      <w:r w:rsidRPr="00D72793">
        <w:rPr>
          <w:rFonts w:asciiTheme="minorHAnsi" w:eastAsiaTheme="minorHAnsi" w:hAnsiTheme="minorHAnsi" w:cstheme="minorBidi"/>
          <w:snapToGrid/>
          <w:sz w:val="24"/>
          <w:szCs w:val="22"/>
        </w:rPr>
        <w:t>1 pivotal trial. The pivotal trial of TDM</w:t>
      </w:r>
      <w:r>
        <w:rPr>
          <w:rFonts w:asciiTheme="minorHAnsi" w:eastAsiaTheme="minorHAnsi" w:hAnsiTheme="minorHAnsi" w:cstheme="minorBidi"/>
          <w:snapToGrid/>
          <w:sz w:val="24"/>
          <w:szCs w:val="22"/>
        </w:rPr>
        <w:t>-</w:t>
      </w:r>
      <w:r w:rsidRPr="00D72793">
        <w:rPr>
          <w:rFonts w:asciiTheme="minorHAnsi" w:eastAsiaTheme="minorHAnsi" w:hAnsiTheme="minorHAnsi" w:cstheme="minorBidi"/>
          <w:snapToGrid/>
          <w:sz w:val="24"/>
          <w:szCs w:val="22"/>
        </w:rPr>
        <w:t>1 evaluated second-line therapy, following treatment with trastuzumab</w:t>
      </w:r>
      <w:r w:rsidR="00BA7277">
        <w:rPr>
          <w:rFonts w:asciiTheme="minorHAnsi" w:eastAsiaTheme="minorHAnsi" w:hAnsiTheme="minorHAnsi" w:cstheme="minorBidi"/>
          <w:snapToGrid/>
          <w:sz w:val="24"/>
          <w:szCs w:val="22"/>
        </w:rPr>
        <w:t xml:space="preserve"> </w:t>
      </w:r>
      <w:r w:rsidR="00BA7277" w:rsidRPr="00BA7277">
        <w:rPr>
          <w:rFonts w:asciiTheme="minorHAnsi" w:eastAsiaTheme="minorHAnsi" w:hAnsiTheme="minorHAnsi" w:cstheme="minorBidi"/>
          <w:snapToGrid/>
          <w:sz w:val="24"/>
          <w:szCs w:val="22"/>
        </w:rPr>
        <w:t>(not ‘emtansine’)</w:t>
      </w:r>
      <w:r w:rsidRPr="00D72793">
        <w:rPr>
          <w:rFonts w:asciiTheme="minorHAnsi" w:eastAsiaTheme="minorHAnsi" w:hAnsiTheme="minorHAnsi" w:cstheme="minorBidi"/>
          <w:snapToGrid/>
          <w:sz w:val="24"/>
          <w:szCs w:val="22"/>
        </w:rPr>
        <w:t xml:space="preserve"> + chemotherapy. In Australia, lapatinib has been largely used as third- or later-line therapy, and often as a treatment of last resort. This means that, in general, only the sickest patients in Australia receive lapatinib.</w:t>
      </w:r>
    </w:p>
    <w:p w14:paraId="3C07B2D7" w14:textId="2B4338BC" w:rsidR="00D63CEA" w:rsidRPr="00F97AE9" w:rsidRDefault="00D72793" w:rsidP="00F97AE9">
      <w:pPr>
        <w:pStyle w:val="4Bodytextnumbered"/>
      </w:pPr>
      <w:r>
        <w:t>Because of the low use and the substantive differences between the Australian real</w:t>
      </w:r>
      <w:r w:rsidR="00CE04D0">
        <w:noBreakHyphen/>
      </w:r>
      <w:r>
        <w:t xml:space="preserve">world and trial patients, any OS estimates produced for </w:t>
      </w:r>
      <w:r w:rsidRPr="00D72793">
        <w:t xml:space="preserve">lapatinib + capecitabine </w:t>
      </w:r>
      <w:r w:rsidR="00D72BC2">
        <w:t xml:space="preserve">using PBS data </w:t>
      </w:r>
      <w:r>
        <w:t xml:space="preserve">would be far lower than that observed in the clinical trial and used for the November 2014 TDM-1 submission (25.1 months). The MI-CRE advised that based on previous research they have conducted, the median OS estimate would likely be </w:t>
      </w:r>
      <w:r w:rsidR="00CE04D0">
        <w:t>less than</w:t>
      </w:r>
      <w:r w:rsidR="00B30CDB">
        <w:t xml:space="preserve"> </w:t>
      </w:r>
      <w:r>
        <w:t xml:space="preserve">10 months. This in turn would have the effect of greatly inflating the incremental gain in OS for TDM-1 versus </w:t>
      </w:r>
      <w:r w:rsidRPr="00D72793">
        <w:t>lapatinib + capecitabine</w:t>
      </w:r>
      <w:r>
        <w:t xml:space="preserve"> from that</w:t>
      </w:r>
      <w:r w:rsidRPr="00D72793">
        <w:t xml:space="preserve"> </w:t>
      </w:r>
      <w:r>
        <w:t>accepted by the PBAC in November 2014.</w:t>
      </w:r>
      <w:bookmarkStart w:id="18" w:name="_Hlk88749024"/>
      <w:bookmarkEnd w:id="15"/>
    </w:p>
    <w:p w14:paraId="09F2CD16" w14:textId="6E6487EA" w:rsidR="00BD4A43" w:rsidRDefault="00BD4A43" w:rsidP="00BD4A43">
      <w:pPr>
        <w:pStyle w:val="2Sections"/>
      </w:pPr>
      <w:r>
        <w:t xml:space="preserve">PBAC </w:t>
      </w:r>
      <w:r w:rsidR="00D63CEA">
        <w:t>O</w:t>
      </w:r>
      <w:r>
        <w:t>utcome</w:t>
      </w:r>
    </w:p>
    <w:p w14:paraId="5A450831" w14:textId="34E9E474" w:rsidR="006442CC" w:rsidRPr="00E11E6F" w:rsidRDefault="006A6C91" w:rsidP="00E11E6F">
      <w:pPr>
        <w:pStyle w:val="4Bodytextnumbered"/>
        <w:rPr>
          <w:iCs/>
        </w:rPr>
      </w:pPr>
      <w:r>
        <w:t xml:space="preserve">The PBAC </w:t>
      </w:r>
      <w:r w:rsidR="007E332D">
        <w:t xml:space="preserve">considered </w:t>
      </w:r>
      <w:r w:rsidRPr="006A6C91">
        <w:t>the Protocol</w:t>
      </w:r>
      <w:r w:rsidR="007E332D">
        <w:t xml:space="preserve"> </w:t>
      </w:r>
      <w:r w:rsidR="006442CC">
        <w:rPr>
          <w:iCs/>
        </w:rPr>
        <w:t xml:space="preserve">detailing </w:t>
      </w:r>
      <w:r w:rsidR="006442CC" w:rsidRPr="006442CC">
        <w:rPr>
          <w:iCs/>
        </w:rPr>
        <w:t xml:space="preserve">the MI-CRE’s advice to the </w:t>
      </w:r>
      <w:r w:rsidR="002759CF">
        <w:rPr>
          <w:iCs/>
        </w:rPr>
        <w:t>committee</w:t>
      </w:r>
      <w:r w:rsidR="006442CC" w:rsidRPr="006442CC">
        <w:rPr>
          <w:iCs/>
        </w:rPr>
        <w:t xml:space="preserve"> relating to the assessment of survival outcomes for PBS-listed cancer medicines using PBS data</w:t>
      </w:r>
      <w:r w:rsidR="00046502">
        <w:rPr>
          <w:iCs/>
        </w:rPr>
        <w:t>,</w:t>
      </w:r>
      <w:r w:rsidR="00E11E6F">
        <w:rPr>
          <w:iCs/>
        </w:rPr>
        <w:t xml:space="preserve"> </w:t>
      </w:r>
      <w:r w:rsidR="006442CC" w:rsidRPr="00E11E6F">
        <w:rPr>
          <w:iCs/>
        </w:rPr>
        <w:t xml:space="preserve">and noted the </w:t>
      </w:r>
      <w:r w:rsidR="00D8105A">
        <w:rPr>
          <w:iCs/>
        </w:rPr>
        <w:t xml:space="preserve">following </w:t>
      </w:r>
      <w:r w:rsidR="006442CC" w:rsidRPr="00E11E6F">
        <w:rPr>
          <w:iCs/>
        </w:rPr>
        <w:t>key findings from the TDM-1 pilot study</w:t>
      </w:r>
      <w:r w:rsidR="002759CF" w:rsidRPr="00E11E6F">
        <w:rPr>
          <w:iCs/>
        </w:rPr>
        <w:t xml:space="preserve"> for metastatic breast cancer:</w:t>
      </w:r>
    </w:p>
    <w:p w14:paraId="7C282550" w14:textId="77777777" w:rsidR="002759CF" w:rsidRDefault="002759CF" w:rsidP="002759CF">
      <w:pPr>
        <w:pStyle w:val="4Bodytextnumbered"/>
        <w:numPr>
          <w:ilvl w:val="0"/>
          <w:numId w:val="44"/>
        </w:numPr>
        <w:spacing w:after="0"/>
      </w:pPr>
      <w:r>
        <w:lastRenderedPageBreak/>
        <w:t>1,027 patients initiated TDM-1; median age 59 years (IQR: 50 – 68); 62% died during follow-up.</w:t>
      </w:r>
    </w:p>
    <w:p w14:paraId="2B2C6BCB" w14:textId="77777777" w:rsidR="002759CF" w:rsidRDefault="002759CF" w:rsidP="002759CF">
      <w:pPr>
        <w:pStyle w:val="4Bodytextnumbered"/>
        <w:numPr>
          <w:ilvl w:val="0"/>
          <w:numId w:val="44"/>
        </w:numPr>
        <w:spacing w:after="0"/>
        <w:ind w:left="1077" w:hanging="357"/>
      </w:pPr>
      <w:r>
        <w:t>Median OS, primary analysis: 28.9 months (95%CI: 26.1 – 32.0).</w:t>
      </w:r>
    </w:p>
    <w:p w14:paraId="62301CCA" w14:textId="5998A5F9" w:rsidR="002759CF" w:rsidRDefault="002759CF" w:rsidP="002759CF">
      <w:pPr>
        <w:pStyle w:val="4Bodytextnumbered"/>
        <w:numPr>
          <w:ilvl w:val="0"/>
          <w:numId w:val="44"/>
        </w:numPr>
      </w:pPr>
      <w:r>
        <w:t>Median OS, sensitivity analysis: 23.5 months (95%CI: 21.2 – 27.1).</w:t>
      </w:r>
    </w:p>
    <w:p w14:paraId="70603A99" w14:textId="404EE3C1" w:rsidR="002759CF" w:rsidRPr="002759CF" w:rsidRDefault="002759CF" w:rsidP="002759CF">
      <w:pPr>
        <w:pStyle w:val="4Bodytextnumbered"/>
        <w:rPr>
          <w:iCs/>
        </w:rPr>
      </w:pPr>
      <w:r w:rsidRPr="002759CF">
        <w:rPr>
          <w:iCs/>
        </w:rPr>
        <w:t xml:space="preserve">The </w:t>
      </w:r>
      <w:r>
        <w:rPr>
          <w:iCs/>
        </w:rPr>
        <w:t xml:space="preserve">PBAC noted that the </w:t>
      </w:r>
      <w:r w:rsidRPr="002759CF">
        <w:rPr>
          <w:iCs/>
        </w:rPr>
        <w:t xml:space="preserve">difference between the median OS estimates from the primary and sensitivity analyses </w:t>
      </w:r>
      <w:r>
        <w:rPr>
          <w:iCs/>
        </w:rPr>
        <w:t xml:space="preserve">above </w:t>
      </w:r>
      <w:r w:rsidRPr="002759CF">
        <w:rPr>
          <w:iCs/>
        </w:rPr>
        <w:t>is likely due to cohort contamination from 1</w:t>
      </w:r>
      <w:r w:rsidR="00E14740">
        <w:rPr>
          <w:iCs/>
        </w:rPr>
        <w:t> </w:t>
      </w:r>
      <w:r w:rsidRPr="002759CF">
        <w:rPr>
          <w:iCs/>
        </w:rPr>
        <w:t>April 2020</w:t>
      </w:r>
      <w:r w:rsidRPr="002759CF">
        <w:rPr>
          <w:rFonts w:ascii="Arial" w:eastAsiaTheme="minorEastAsia" w:hAnsi="Arial" w:cs="Arial"/>
          <w:spacing w:val="2"/>
          <w:sz w:val="20"/>
          <w:szCs w:val="20"/>
          <w:lang w:eastAsia="en-AU"/>
        </w:rPr>
        <w:t xml:space="preserve"> </w:t>
      </w:r>
      <w:r>
        <w:rPr>
          <w:rFonts w:ascii="Arial" w:eastAsiaTheme="minorEastAsia" w:hAnsi="Arial" w:cs="Arial"/>
          <w:spacing w:val="2"/>
          <w:sz w:val="20"/>
          <w:szCs w:val="20"/>
          <w:lang w:eastAsia="en-AU"/>
        </w:rPr>
        <w:t xml:space="preserve">when </w:t>
      </w:r>
      <w:r w:rsidRPr="002759CF">
        <w:rPr>
          <w:iCs/>
        </w:rPr>
        <w:t>T</w:t>
      </w:r>
      <w:r>
        <w:rPr>
          <w:iCs/>
        </w:rPr>
        <w:t>DM-1 was PBS-listed</w:t>
      </w:r>
      <w:r w:rsidRPr="002759CF" w:rsidDel="00164B52">
        <w:rPr>
          <w:iCs/>
        </w:rPr>
        <w:t xml:space="preserve"> </w:t>
      </w:r>
      <w:r w:rsidRPr="002759CF">
        <w:rPr>
          <w:iCs/>
        </w:rPr>
        <w:t xml:space="preserve">for early-stage breast cancer. Patients initiating TDM-1 from this time </w:t>
      </w:r>
      <w:bookmarkStart w:id="19" w:name="_Hlk134696562"/>
      <w:r w:rsidR="00046502">
        <w:rPr>
          <w:iCs/>
        </w:rPr>
        <w:t xml:space="preserve">under </w:t>
      </w:r>
      <w:r w:rsidR="00046502" w:rsidRPr="00046502">
        <w:rPr>
          <w:iCs/>
        </w:rPr>
        <w:t xml:space="preserve">PBS item codes indicated for late-stage disease </w:t>
      </w:r>
      <w:bookmarkEnd w:id="19"/>
      <w:r>
        <w:rPr>
          <w:iCs/>
        </w:rPr>
        <w:t xml:space="preserve">may have erroneously </w:t>
      </w:r>
      <w:r w:rsidRPr="002759CF">
        <w:rPr>
          <w:iCs/>
        </w:rPr>
        <w:t xml:space="preserve">included those receiving treatment for early-stage disease who are likely to have longer expected survival times than late-stage/metastatic patients. Therefore, it is likely that OS estimates including early-stage patients are biased and the estimate from the sensitivity analysis more closely reflects the true </w:t>
      </w:r>
      <w:r w:rsidR="0041060A">
        <w:rPr>
          <w:iCs/>
        </w:rPr>
        <w:t xml:space="preserve">median </w:t>
      </w:r>
      <w:r w:rsidRPr="002759CF">
        <w:rPr>
          <w:iCs/>
        </w:rPr>
        <w:t xml:space="preserve">OS for patients treated with TDM-1 for metastatic </w:t>
      </w:r>
      <w:r w:rsidR="0041060A">
        <w:rPr>
          <w:iCs/>
        </w:rPr>
        <w:t>breast cancer</w:t>
      </w:r>
      <w:r w:rsidRPr="002759CF">
        <w:rPr>
          <w:iCs/>
        </w:rPr>
        <w:t>.</w:t>
      </w:r>
    </w:p>
    <w:p w14:paraId="6B95216F" w14:textId="2D8435E9" w:rsidR="00BD0D51" w:rsidRPr="002759CF" w:rsidRDefault="002759CF" w:rsidP="002759CF">
      <w:pPr>
        <w:pStyle w:val="4Bodytextnumbered"/>
        <w:rPr>
          <w:bCs/>
          <w:iCs/>
        </w:rPr>
      </w:pPr>
      <w:r>
        <w:rPr>
          <w:iCs/>
        </w:rPr>
        <w:t>T</w:t>
      </w:r>
      <w:r w:rsidR="00636209" w:rsidRPr="002759CF">
        <w:rPr>
          <w:iCs/>
        </w:rPr>
        <w:t>he PBAC noted that</w:t>
      </w:r>
      <w:r w:rsidR="00636209" w:rsidRPr="00636209">
        <w:t xml:space="preserve"> </w:t>
      </w:r>
      <w:r w:rsidR="00636209" w:rsidRPr="002759CF">
        <w:rPr>
          <w:bCs/>
          <w:iCs/>
        </w:rPr>
        <w:t>the estimate for the median OS attributed to TDM-1</w:t>
      </w:r>
      <w:r>
        <w:rPr>
          <w:bCs/>
          <w:iCs/>
        </w:rPr>
        <w:t xml:space="preserve"> </w:t>
      </w:r>
      <w:r w:rsidR="00D63CEA">
        <w:rPr>
          <w:bCs/>
          <w:iCs/>
        </w:rPr>
        <w:t xml:space="preserve">from the sensitivity analysis </w:t>
      </w:r>
      <w:r>
        <w:rPr>
          <w:bCs/>
          <w:iCs/>
        </w:rPr>
        <w:t>based on PBS data</w:t>
      </w:r>
      <w:r w:rsidR="00636209" w:rsidRPr="002759CF">
        <w:rPr>
          <w:bCs/>
          <w:iCs/>
        </w:rPr>
        <w:t xml:space="preserve"> </w:t>
      </w:r>
      <w:r>
        <w:rPr>
          <w:bCs/>
          <w:iCs/>
        </w:rPr>
        <w:t>(23.5 months)</w:t>
      </w:r>
      <w:r w:rsidRPr="002759CF">
        <w:rPr>
          <w:bCs/>
          <w:iCs/>
        </w:rPr>
        <w:t xml:space="preserve"> </w:t>
      </w:r>
      <w:r w:rsidR="002912B4" w:rsidRPr="002759CF">
        <w:rPr>
          <w:bCs/>
          <w:iCs/>
        </w:rPr>
        <w:t xml:space="preserve">was </w:t>
      </w:r>
      <w:r w:rsidR="0027483F" w:rsidRPr="002759CF">
        <w:rPr>
          <w:bCs/>
          <w:iCs/>
        </w:rPr>
        <w:t>more than</w:t>
      </w:r>
      <w:r w:rsidR="002912B4" w:rsidRPr="002759CF">
        <w:rPr>
          <w:bCs/>
          <w:iCs/>
        </w:rPr>
        <w:t xml:space="preserve"> seven months shorter than the median OS</w:t>
      </w:r>
      <w:r w:rsidR="002912B4" w:rsidRPr="002759CF">
        <w:rPr>
          <w:rFonts w:ascii="Times New Roman" w:eastAsia="Times New Roman" w:hAnsi="Times New Roman" w:cs="Times New Roman"/>
          <w:bCs/>
          <w:iCs/>
          <w:szCs w:val="24"/>
        </w:rPr>
        <w:t xml:space="preserve"> </w:t>
      </w:r>
      <w:r w:rsidR="002912B4" w:rsidRPr="002759CF">
        <w:rPr>
          <w:bCs/>
          <w:iCs/>
        </w:rPr>
        <w:t>estimated in the pivotal trial used in the November 2014 TDM-1 PBAC submission</w:t>
      </w:r>
      <w:r w:rsidR="006442CC" w:rsidRPr="002759CF">
        <w:rPr>
          <w:bCs/>
          <w:iCs/>
        </w:rPr>
        <w:t xml:space="preserve"> (30.9 months)</w:t>
      </w:r>
      <w:r w:rsidR="002912B4" w:rsidRPr="002759CF">
        <w:rPr>
          <w:bCs/>
          <w:iCs/>
        </w:rPr>
        <w:t>.</w:t>
      </w:r>
      <w:r w:rsidR="00636209" w:rsidRPr="002759CF">
        <w:rPr>
          <w:bCs/>
          <w:iCs/>
        </w:rPr>
        <w:t xml:space="preserve"> </w:t>
      </w:r>
      <w:r w:rsidR="00FB65F6" w:rsidRPr="002759CF">
        <w:rPr>
          <w:bCs/>
          <w:iCs/>
        </w:rPr>
        <w:t xml:space="preserve">The PBAC </w:t>
      </w:r>
      <w:r w:rsidR="00BD0D51" w:rsidRPr="002759CF">
        <w:rPr>
          <w:bCs/>
          <w:iCs/>
        </w:rPr>
        <w:t>agreed with the MI-CRE that th</w:t>
      </w:r>
      <w:r w:rsidR="006442CC" w:rsidRPr="002759CF">
        <w:rPr>
          <w:bCs/>
          <w:iCs/>
        </w:rPr>
        <w:t xml:space="preserve">is </w:t>
      </w:r>
      <w:r w:rsidR="00BD0D51" w:rsidRPr="002759CF">
        <w:rPr>
          <w:bCs/>
          <w:iCs/>
        </w:rPr>
        <w:t>discrepancy</w:t>
      </w:r>
      <w:r w:rsidR="006442CC" w:rsidRPr="002759CF">
        <w:rPr>
          <w:bCs/>
          <w:iCs/>
        </w:rPr>
        <w:t xml:space="preserve"> in survival outcomes</w:t>
      </w:r>
      <w:r w:rsidR="00BD0D51" w:rsidRPr="002759CF">
        <w:rPr>
          <w:bCs/>
          <w:iCs/>
        </w:rPr>
        <w:t xml:space="preserve"> was likely due to differences in patient characteristics between the real-world and trial cohorts. </w:t>
      </w:r>
      <w:r w:rsidR="00BD0D51">
        <w:t>For example,</w:t>
      </w:r>
      <w:r w:rsidR="00BD0D51" w:rsidRPr="004D5A8F">
        <w:t xml:space="preserve"> the real-world </w:t>
      </w:r>
      <w:r w:rsidR="00BD0D51">
        <w:t xml:space="preserve">cohort </w:t>
      </w:r>
      <w:r w:rsidR="00BD0D51" w:rsidRPr="00BD0D51">
        <w:t>was six years older</w:t>
      </w:r>
      <w:r>
        <w:t xml:space="preserve"> (59 years)</w:t>
      </w:r>
      <w:r w:rsidR="00BD0D51" w:rsidRPr="00BD0D51">
        <w:t xml:space="preserve"> than that reported in the pivotal clinical trial (53</w:t>
      </w:r>
      <w:r w:rsidR="00E14740">
        <w:t> </w:t>
      </w:r>
      <w:r w:rsidR="00BD0D51" w:rsidRPr="00BD0D51">
        <w:t xml:space="preserve">years). </w:t>
      </w:r>
      <w:r w:rsidR="006442CC">
        <w:t xml:space="preserve">Furthermore, </w:t>
      </w:r>
      <w:r w:rsidR="006442CC" w:rsidRPr="002759CF">
        <w:rPr>
          <w:bCs/>
          <w:iCs/>
        </w:rPr>
        <w:t>t</w:t>
      </w:r>
      <w:r w:rsidR="00BD0D51" w:rsidRPr="002759CF">
        <w:rPr>
          <w:bCs/>
          <w:iCs/>
        </w:rPr>
        <w:t>he PBAC considered that randomised controlled trials (RCTs) typically recruit patients with</w:t>
      </w:r>
      <w:r w:rsidR="006442CC" w:rsidRPr="002759CF">
        <w:rPr>
          <w:bCs/>
          <w:iCs/>
        </w:rPr>
        <w:t xml:space="preserve"> fewer</w:t>
      </w:r>
      <w:r w:rsidR="00BD0D51" w:rsidRPr="002759CF">
        <w:rPr>
          <w:bCs/>
          <w:iCs/>
        </w:rPr>
        <w:t xml:space="preserve"> co-existing disease</w:t>
      </w:r>
      <w:r w:rsidR="006442CC" w:rsidRPr="002759CF">
        <w:rPr>
          <w:bCs/>
          <w:iCs/>
        </w:rPr>
        <w:t>(s)</w:t>
      </w:r>
      <w:r w:rsidR="00BD0D51" w:rsidRPr="002759CF">
        <w:rPr>
          <w:bCs/>
          <w:iCs/>
        </w:rPr>
        <w:t xml:space="preserve">. Therefore, the patients receiving TDM-1 in the pivotal trial were likely healthier than the patients who access TDM-1 for </w:t>
      </w:r>
      <w:r w:rsidR="00046502">
        <w:rPr>
          <w:bCs/>
          <w:iCs/>
        </w:rPr>
        <w:t xml:space="preserve">metastatic </w:t>
      </w:r>
      <w:r w:rsidR="00BD0D51" w:rsidRPr="002759CF">
        <w:rPr>
          <w:bCs/>
          <w:iCs/>
        </w:rPr>
        <w:t xml:space="preserve">breast cancer via the PBS. </w:t>
      </w:r>
    </w:p>
    <w:p w14:paraId="0208BB3D" w14:textId="29E25178" w:rsidR="00AD1295" w:rsidRDefault="002759CF" w:rsidP="006442CC">
      <w:pPr>
        <w:pStyle w:val="4Bodytextnumbered"/>
        <w:rPr>
          <w:bCs/>
          <w:iCs/>
        </w:rPr>
      </w:pPr>
      <w:r>
        <w:rPr>
          <w:bCs/>
          <w:iCs/>
        </w:rPr>
        <w:t>The PBAC noted that</w:t>
      </w:r>
      <w:r w:rsidR="00E11E6F">
        <w:rPr>
          <w:bCs/>
          <w:iCs/>
        </w:rPr>
        <w:t xml:space="preserve"> </w:t>
      </w:r>
      <w:r w:rsidR="00AD1295">
        <w:rPr>
          <w:bCs/>
          <w:iCs/>
        </w:rPr>
        <w:t xml:space="preserve">the TDM-1 pilot study relied exclusively on </w:t>
      </w:r>
      <w:r w:rsidR="00AD1295" w:rsidRPr="00AD1295">
        <w:rPr>
          <w:bCs/>
          <w:iCs/>
        </w:rPr>
        <w:t>median OS</w:t>
      </w:r>
      <w:r w:rsidR="00AD1295">
        <w:rPr>
          <w:bCs/>
          <w:iCs/>
        </w:rPr>
        <w:t xml:space="preserve"> to determine the survival outcomes associated with this medicine</w:t>
      </w:r>
      <w:r w:rsidR="00D63CEA">
        <w:rPr>
          <w:bCs/>
          <w:iCs/>
        </w:rPr>
        <w:t xml:space="preserve"> in patients with metastatic breast cancer</w:t>
      </w:r>
      <w:r w:rsidR="00AD1295">
        <w:rPr>
          <w:bCs/>
          <w:iCs/>
        </w:rPr>
        <w:t>. The PBAC considered that w</w:t>
      </w:r>
      <w:r w:rsidR="00AD1295" w:rsidRPr="00AD1295">
        <w:rPr>
          <w:bCs/>
          <w:iCs/>
        </w:rPr>
        <w:t>hilst median OS is the most common measure used in the outcome reporting of cancer medicine research</w:t>
      </w:r>
      <w:r w:rsidR="00AD1295">
        <w:rPr>
          <w:bCs/>
          <w:iCs/>
        </w:rPr>
        <w:t xml:space="preserve">, the committee typically </w:t>
      </w:r>
      <w:r w:rsidR="00D8105A">
        <w:rPr>
          <w:bCs/>
          <w:iCs/>
        </w:rPr>
        <w:t>considers</w:t>
      </w:r>
      <w:r w:rsidR="00AD1295">
        <w:rPr>
          <w:bCs/>
          <w:iCs/>
        </w:rPr>
        <w:t xml:space="preserve"> a range of measures of survival outcomes </w:t>
      </w:r>
      <w:r w:rsidR="00D8105A">
        <w:rPr>
          <w:bCs/>
          <w:iCs/>
        </w:rPr>
        <w:t>(</w:t>
      </w:r>
      <w:r w:rsidR="00AD1295">
        <w:rPr>
          <w:bCs/>
          <w:iCs/>
        </w:rPr>
        <w:t xml:space="preserve">such as </w:t>
      </w:r>
      <w:r w:rsidR="00AD1295" w:rsidRPr="00AD1295">
        <w:rPr>
          <w:bCs/>
          <w:iCs/>
        </w:rPr>
        <w:t>response rates, duration of response</w:t>
      </w:r>
      <w:r w:rsidR="00B27729">
        <w:rPr>
          <w:bCs/>
          <w:iCs/>
        </w:rPr>
        <w:t xml:space="preserve">, </w:t>
      </w:r>
      <w:r w:rsidR="00AD1295" w:rsidRPr="00AD1295">
        <w:rPr>
          <w:bCs/>
          <w:iCs/>
        </w:rPr>
        <w:t xml:space="preserve">progression free survival </w:t>
      </w:r>
      <w:r w:rsidR="00D8105A">
        <w:rPr>
          <w:bCs/>
          <w:iCs/>
        </w:rPr>
        <w:t>[</w:t>
      </w:r>
      <w:r w:rsidR="00AD1295" w:rsidRPr="00AD1295">
        <w:rPr>
          <w:bCs/>
          <w:iCs/>
        </w:rPr>
        <w:t>PFS</w:t>
      </w:r>
      <w:r w:rsidR="00D8105A">
        <w:rPr>
          <w:bCs/>
          <w:iCs/>
        </w:rPr>
        <w:t>]</w:t>
      </w:r>
      <w:r w:rsidR="00B27729">
        <w:rPr>
          <w:bCs/>
          <w:iCs/>
        </w:rPr>
        <w:t xml:space="preserve"> and mean OS</w:t>
      </w:r>
      <w:r w:rsidR="00D8105A">
        <w:rPr>
          <w:bCs/>
          <w:iCs/>
        </w:rPr>
        <w:t>)</w:t>
      </w:r>
      <w:r w:rsidR="00AD1295" w:rsidRPr="00AD1295">
        <w:rPr>
          <w:bCs/>
          <w:iCs/>
        </w:rPr>
        <w:t xml:space="preserve"> </w:t>
      </w:r>
      <w:r w:rsidR="00AD1295">
        <w:rPr>
          <w:bCs/>
          <w:iCs/>
        </w:rPr>
        <w:t xml:space="preserve">when making determinations regarding the clinical and cost-effectiveness of </w:t>
      </w:r>
      <w:r w:rsidR="00DA2A34">
        <w:rPr>
          <w:bCs/>
          <w:iCs/>
        </w:rPr>
        <w:t xml:space="preserve">these </w:t>
      </w:r>
      <w:r w:rsidR="00AD1295">
        <w:rPr>
          <w:bCs/>
          <w:iCs/>
        </w:rPr>
        <w:t xml:space="preserve">medicines. The PBAC </w:t>
      </w:r>
      <w:r w:rsidR="00DA2A34">
        <w:rPr>
          <w:bCs/>
          <w:iCs/>
        </w:rPr>
        <w:t xml:space="preserve">made the following comments </w:t>
      </w:r>
      <w:r w:rsidR="0041060A">
        <w:rPr>
          <w:bCs/>
          <w:iCs/>
        </w:rPr>
        <w:t xml:space="preserve">regarding </w:t>
      </w:r>
      <w:r w:rsidR="00AD1295">
        <w:rPr>
          <w:bCs/>
          <w:iCs/>
        </w:rPr>
        <w:t>the limitations of relying on median OS</w:t>
      </w:r>
      <w:r w:rsidR="00DA2A34">
        <w:rPr>
          <w:bCs/>
          <w:iCs/>
        </w:rPr>
        <w:t xml:space="preserve"> alone</w:t>
      </w:r>
      <w:r w:rsidR="00AD1295">
        <w:rPr>
          <w:bCs/>
          <w:iCs/>
        </w:rPr>
        <w:t xml:space="preserve"> to determine the </w:t>
      </w:r>
      <w:r w:rsidR="00E81717">
        <w:rPr>
          <w:bCs/>
          <w:iCs/>
        </w:rPr>
        <w:t xml:space="preserve">patient relevant </w:t>
      </w:r>
      <w:r w:rsidR="00AD1295">
        <w:rPr>
          <w:bCs/>
          <w:iCs/>
        </w:rPr>
        <w:t>outcomes associated with a particular cancer medicine:</w:t>
      </w:r>
    </w:p>
    <w:p w14:paraId="1815D61B" w14:textId="77777777" w:rsidR="00AD1295" w:rsidRDefault="00AD1295" w:rsidP="00AD1295">
      <w:pPr>
        <w:pStyle w:val="4Bodytextnumbered"/>
        <w:numPr>
          <w:ilvl w:val="0"/>
          <w:numId w:val="41"/>
        </w:numPr>
        <w:spacing w:after="0"/>
        <w:ind w:left="1077" w:hanging="357"/>
        <w:rPr>
          <w:bCs/>
          <w:iCs/>
        </w:rPr>
      </w:pPr>
      <w:r w:rsidRPr="00046502">
        <w:rPr>
          <w:bCs/>
          <w:iCs/>
          <w:u w:val="single"/>
        </w:rPr>
        <w:t>Median OS describes the outcome at a single time point</w:t>
      </w:r>
      <w:r>
        <w:rPr>
          <w:bCs/>
          <w:iCs/>
        </w:rPr>
        <w:t xml:space="preserve"> (i.e., when </w:t>
      </w:r>
      <w:r w:rsidRPr="00061A21">
        <w:rPr>
          <w:bCs/>
          <w:iCs/>
        </w:rPr>
        <w:t>50% of the patients have died and 50% have survived</w:t>
      </w:r>
      <w:r>
        <w:rPr>
          <w:bCs/>
          <w:iCs/>
        </w:rPr>
        <w:t>). Therefore, i</w:t>
      </w:r>
      <w:r w:rsidRPr="00EB3F77">
        <w:rPr>
          <w:bCs/>
          <w:iCs/>
        </w:rPr>
        <w:t>t does not capture the long‐term survival profile well, especially in cases in which a minority of patients have the potential to gain a durable survival</w:t>
      </w:r>
      <w:r>
        <w:rPr>
          <w:bCs/>
          <w:iCs/>
        </w:rPr>
        <w:t>.</w:t>
      </w:r>
    </w:p>
    <w:p w14:paraId="18C385C1" w14:textId="4414FA78" w:rsidR="00AD1295" w:rsidRDefault="00AD1295" w:rsidP="00AD1295">
      <w:pPr>
        <w:pStyle w:val="4Bodytextnumbered"/>
        <w:numPr>
          <w:ilvl w:val="0"/>
          <w:numId w:val="41"/>
        </w:numPr>
        <w:spacing w:after="0"/>
        <w:ind w:left="1077" w:hanging="357"/>
        <w:rPr>
          <w:bCs/>
          <w:iCs/>
        </w:rPr>
      </w:pPr>
      <w:r w:rsidRPr="00046502">
        <w:rPr>
          <w:bCs/>
          <w:iCs/>
          <w:u w:val="single"/>
        </w:rPr>
        <w:t>Median OS is sensitive to the length of follow-up</w:t>
      </w:r>
      <w:r w:rsidRPr="00BD0D51">
        <w:rPr>
          <w:bCs/>
          <w:iCs/>
        </w:rPr>
        <w:t xml:space="preserve"> used in the analysis. This was demonstrated by the results of the TDM-1 pilot study where median OS varied from 19.4 months (95%CI: 15.1 – insufficient) after 2 years of follow-up, to 23.5</w:t>
      </w:r>
      <w:r w:rsidR="00E14740">
        <w:rPr>
          <w:bCs/>
          <w:iCs/>
        </w:rPr>
        <w:t> </w:t>
      </w:r>
      <w:r w:rsidRPr="00BD0D51">
        <w:rPr>
          <w:bCs/>
          <w:iCs/>
        </w:rPr>
        <w:t xml:space="preserve">months (95%CI: 21.2 – 27.1) after 6.5 years of follow-up. This raises </w:t>
      </w:r>
      <w:r w:rsidRPr="00BD0D51">
        <w:rPr>
          <w:bCs/>
          <w:iCs/>
        </w:rPr>
        <w:lastRenderedPageBreak/>
        <w:t xml:space="preserve">uncertainty regarding the most appropriate follow-up length to apply when using median OS to estimate the survival outcomes associated with a </w:t>
      </w:r>
      <w:r w:rsidR="00046502">
        <w:rPr>
          <w:bCs/>
          <w:iCs/>
        </w:rPr>
        <w:t>particular medicine</w:t>
      </w:r>
      <w:r w:rsidRPr="00BD0D51">
        <w:rPr>
          <w:bCs/>
          <w:iCs/>
        </w:rPr>
        <w:t>.</w:t>
      </w:r>
    </w:p>
    <w:p w14:paraId="1FEEFC94" w14:textId="77777777" w:rsidR="00AD1295" w:rsidRPr="00BD0D51" w:rsidRDefault="00AD1295" w:rsidP="00AD1295">
      <w:pPr>
        <w:pStyle w:val="4Bodytextnumbered"/>
        <w:numPr>
          <w:ilvl w:val="0"/>
          <w:numId w:val="41"/>
        </w:numPr>
        <w:ind w:left="1077" w:hanging="357"/>
        <w:rPr>
          <w:bCs/>
          <w:iCs/>
        </w:rPr>
      </w:pPr>
      <w:r w:rsidRPr="00046502">
        <w:rPr>
          <w:bCs/>
          <w:iCs/>
          <w:u w:val="single"/>
        </w:rPr>
        <w:t>Median OS does not account for qualitative factors</w:t>
      </w:r>
      <w:r w:rsidRPr="00BD0D51">
        <w:rPr>
          <w:bCs/>
          <w:iCs/>
        </w:rPr>
        <w:t xml:space="preserve"> associated with survival outcomes</w:t>
      </w:r>
      <w:r>
        <w:rPr>
          <w:bCs/>
          <w:iCs/>
        </w:rPr>
        <w:t xml:space="preserve"> such as quality of life considerations</w:t>
      </w:r>
      <w:r w:rsidRPr="00BD0D51">
        <w:rPr>
          <w:bCs/>
          <w:iCs/>
        </w:rPr>
        <w:t>.</w:t>
      </w:r>
    </w:p>
    <w:p w14:paraId="134A8720" w14:textId="31B21060" w:rsidR="00D8105A" w:rsidRDefault="00D8105A" w:rsidP="00D8105A">
      <w:pPr>
        <w:pStyle w:val="4Bodytextnumbered"/>
        <w:rPr>
          <w:bCs/>
          <w:iCs/>
        </w:rPr>
      </w:pPr>
      <w:r w:rsidRPr="00D8105A">
        <w:rPr>
          <w:bCs/>
          <w:iCs/>
        </w:rPr>
        <w:t xml:space="preserve">The </w:t>
      </w:r>
      <w:r>
        <w:rPr>
          <w:bCs/>
          <w:iCs/>
        </w:rPr>
        <w:t xml:space="preserve">PBAC agreed with </w:t>
      </w:r>
      <w:r w:rsidRPr="00D8105A">
        <w:rPr>
          <w:bCs/>
          <w:iCs/>
        </w:rPr>
        <w:t xml:space="preserve">feedback from </w:t>
      </w:r>
      <w:r w:rsidR="00D63CEA">
        <w:rPr>
          <w:bCs/>
          <w:iCs/>
        </w:rPr>
        <w:t>Departmental</w:t>
      </w:r>
      <w:r w:rsidRPr="00D8105A">
        <w:rPr>
          <w:bCs/>
          <w:iCs/>
        </w:rPr>
        <w:t xml:space="preserve"> MO</w:t>
      </w:r>
      <w:r w:rsidR="00D63CEA">
        <w:rPr>
          <w:bCs/>
          <w:iCs/>
        </w:rPr>
        <w:t>’s</w:t>
      </w:r>
      <w:r w:rsidRPr="00D8105A">
        <w:rPr>
          <w:bCs/>
          <w:iCs/>
        </w:rPr>
        <w:t xml:space="preserve"> that the metric of importance, when assessing clinical and cost-effectiveness, is the relative incremental difference in </w:t>
      </w:r>
      <w:r>
        <w:rPr>
          <w:bCs/>
          <w:iCs/>
        </w:rPr>
        <w:t>survival outcomes</w:t>
      </w:r>
      <w:r w:rsidR="00046502">
        <w:rPr>
          <w:bCs/>
          <w:iCs/>
        </w:rPr>
        <w:t>,</w:t>
      </w:r>
      <w:r>
        <w:rPr>
          <w:bCs/>
          <w:iCs/>
        </w:rPr>
        <w:t xml:space="preserve"> such as </w:t>
      </w:r>
      <w:r w:rsidRPr="00D8105A">
        <w:rPr>
          <w:bCs/>
          <w:iCs/>
        </w:rPr>
        <w:t>OS</w:t>
      </w:r>
      <w:r w:rsidR="00046502">
        <w:rPr>
          <w:bCs/>
          <w:iCs/>
        </w:rPr>
        <w:t>,</w:t>
      </w:r>
      <w:r w:rsidRPr="00D8105A">
        <w:rPr>
          <w:bCs/>
          <w:iCs/>
        </w:rPr>
        <w:t xml:space="preserve"> between the intervention and the comparator (as opposed to the absolute OS of the intervention). </w:t>
      </w:r>
      <w:r>
        <w:rPr>
          <w:bCs/>
          <w:iCs/>
        </w:rPr>
        <w:t>Therefore</w:t>
      </w:r>
      <w:r w:rsidR="00046502">
        <w:rPr>
          <w:bCs/>
          <w:iCs/>
        </w:rPr>
        <w:t>,</w:t>
      </w:r>
      <w:r>
        <w:rPr>
          <w:bCs/>
          <w:iCs/>
        </w:rPr>
        <w:t xml:space="preserve"> the PBAC supported applying the methods </w:t>
      </w:r>
      <w:r w:rsidR="00D63CEA">
        <w:rPr>
          <w:bCs/>
          <w:iCs/>
        </w:rPr>
        <w:t>detailed in the Protocol</w:t>
      </w:r>
      <w:r>
        <w:rPr>
          <w:bCs/>
          <w:iCs/>
        </w:rPr>
        <w:t xml:space="preserve"> to alternative cancer medicines to allow a comparison of the incremental gain in survival outcomes </w:t>
      </w:r>
      <w:r w:rsidRPr="00D8105A">
        <w:rPr>
          <w:bCs/>
          <w:iCs/>
        </w:rPr>
        <w:t>based on the clinical trial data</w:t>
      </w:r>
      <w:r>
        <w:rPr>
          <w:bCs/>
          <w:iCs/>
        </w:rPr>
        <w:t xml:space="preserve"> considered by the PBAC,</w:t>
      </w:r>
      <w:r w:rsidRPr="00D8105A">
        <w:rPr>
          <w:bCs/>
          <w:iCs/>
        </w:rPr>
        <w:t xml:space="preserve"> </w:t>
      </w:r>
      <w:r>
        <w:rPr>
          <w:bCs/>
          <w:iCs/>
        </w:rPr>
        <w:t>with that observed in</w:t>
      </w:r>
      <w:r w:rsidRPr="00D8105A">
        <w:rPr>
          <w:bCs/>
          <w:iCs/>
        </w:rPr>
        <w:t xml:space="preserve"> PBS data</w:t>
      </w:r>
      <w:r>
        <w:rPr>
          <w:bCs/>
          <w:iCs/>
        </w:rPr>
        <w:t>.</w:t>
      </w:r>
    </w:p>
    <w:p w14:paraId="2A847AC2" w14:textId="5C7F6A7A" w:rsidR="00EB6F9C" w:rsidRPr="00EB6F9C" w:rsidRDefault="00D8105A" w:rsidP="00D8105A">
      <w:pPr>
        <w:pStyle w:val="4Bodytextnumbered"/>
        <w:rPr>
          <w:bCs/>
          <w:iCs/>
        </w:rPr>
      </w:pPr>
      <w:r w:rsidRPr="00D8105A">
        <w:t xml:space="preserve">The PBAC advised that </w:t>
      </w:r>
      <w:r w:rsidR="0041060A" w:rsidRPr="00D8105A">
        <w:t>overall,</w:t>
      </w:r>
      <w:r w:rsidRPr="00D8105A">
        <w:t xml:space="preserve"> the Protocol was inform</w:t>
      </w:r>
      <w:r>
        <w:t>ing</w:t>
      </w:r>
      <w:r w:rsidRPr="00D8105A">
        <w:t xml:space="preserve"> regarding the methods that are considered </w:t>
      </w:r>
      <w:r w:rsidR="0041060A">
        <w:t>‘</w:t>
      </w:r>
      <w:r w:rsidRPr="00D8105A">
        <w:t xml:space="preserve">best-practice’ when using PBS data to derive estimates of the survival outcomes attributed to </w:t>
      </w:r>
      <w:r w:rsidR="00D63CEA">
        <w:t>specific</w:t>
      </w:r>
      <w:r>
        <w:t xml:space="preserve"> cancer</w:t>
      </w:r>
      <w:r w:rsidRPr="00D8105A">
        <w:t xml:space="preserve"> </w:t>
      </w:r>
      <w:r>
        <w:t>medicine</w:t>
      </w:r>
      <w:r w:rsidR="00D63CEA">
        <w:t>s</w:t>
      </w:r>
      <w:r w:rsidRPr="00D8105A">
        <w:t xml:space="preserve">. </w:t>
      </w:r>
      <w:r w:rsidR="00EB6F9C" w:rsidRPr="00EB6F9C">
        <w:t>The PBAC considered that the methods detailed in the protocol may</w:t>
      </w:r>
      <w:r w:rsidR="00CC2982" w:rsidRPr="00CC2982">
        <w:rPr>
          <w:rFonts w:ascii="Arial" w:eastAsia="Times New Roman" w:hAnsi="Arial" w:cs="Arial"/>
          <w:snapToGrid w:val="0"/>
          <w:sz w:val="18"/>
          <w:szCs w:val="18"/>
        </w:rPr>
        <w:t xml:space="preserve"> </w:t>
      </w:r>
      <w:r w:rsidR="00CC2982" w:rsidRPr="00CC2982">
        <w:t xml:space="preserve">inform other </w:t>
      </w:r>
      <w:r w:rsidR="00AA6C29">
        <w:t>health technology assessment (</w:t>
      </w:r>
      <w:r w:rsidR="00CC2982" w:rsidRPr="00CC2982">
        <w:t>HTA</w:t>
      </w:r>
      <w:r w:rsidR="00AA6C29">
        <w:t>)</w:t>
      </w:r>
      <w:r w:rsidR="00CC2982" w:rsidRPr="00CC2982">
        <w:t xml:space="preserve"> research by contributing to the robust analysis of OS using PBS data linked to other clinical data in the future.</w:t>
      </w:r>
      <w:r w:rsidR="00EB6F9C" w:rsidRPr="00EB6F9C">
        <w:t xml:space="preserve"> </w:t>
      </w:r>
    </w:p>
    <w:p w14:paraId="4CE71EB9" w14:textId="27BF67F6" w:rsidR="00D8105A" w:rsidRPr="00D8105A" w:rsidRDefault="00B27729" w:rsidP="00D8105A">
      <w:pPr>
        <w:pStyle w:val="4Bodytextnumbered"/>
        <w:rPr>
          <w:bCs/>
          <w:iCs/>
        </w:rPr>
      </w:pPr>
      <w:r>
        <w:t xml:space="preserve">The PBAC was supportive of further exploration into how this research could be extended to other cancer medicines and/or different medicine classes. </w:t>
      </w:r>
      <w:r w:rsidR="00D8105A">
        <w:rPr>
          <w:bCs/>
          <w:iCs/>
        </w:rPr>
        <w:t>T</w:t>
      </w:r>
      <w:r w:rsidR="00D8105A" w:rsidRPr="00D8105A">
        <w:rPr>
          <w:bCs/>
          <w:iCs/>
        </w:rPr>
        <w:t xml:space="preserve">he PBAC </w:t>
      </w:r>
      <w:r w:rsidR="00D8105A">
        <w:rPr>
          <w:bCs/>
          <w:iCs/>
        </w:rPr>
        <w:t>supported</w:t>
      </w:r>
      <w:r w:rsidR="00D8105A" w:rsidRPr="00D8105A">
        <w:rPr>
          <w:bCs/>
          <w:iCs/>
        </w:rPr>
        <w:t xml:space="preserve"> publication of the Protocol </w:t>
      </w:r>
      <w:r w:rsidR="00D8105A">
        <w:rPr>
          <w:bCs/>
          <w:iCs/>
        </w:rPr>
        <w:t xml:space="preserve">as it may </w:t>
      </w:r>
      <w:r w:rsidR="00D8105A" w:rsidRPr="00D8105A">
        <w:rPr>
          <w:bCs/>
          <w:iCs/>
        </w:rPr>
        <w:t>be informative to sponsors and evaluation groups involved in HTA research</w:t>
      </w:r>
      <w:r w:rsidR="00EB6F9C">
        <w:rPr>
          <w:bCs/>
          <w:iCs/>
        </w:rPr>
        <w:t xml:space="preserve"> </w:t>
      </w:r>
      <w:r w:rsidR="00AA6C29">
        <w:rPr>
          <w:bCs/>
          <w:iCs/>
        </w:rPr>
        <w:t>o</w:t>
      </w:r>
      <w:r w:rsidR="00EB6F9C">
        <w:rPr>
          <w:bCs/>
          <w:iCs/>
        </w:rPr>
        <w:t>n the real-world use of medicines</w:t>
      </w:r>
      <w:r w:rsidR="00D8105A" w:rsidRPr="00D8105A">
        <w:rPr>
          <w:bCs/>
          <w:iCs/>
        </w:rPr>
        <w:t>.</w:t>
      </w:r>
    </w:p>
    <w:p w14:paraId="4F6E8705" w14:textId="77777777" w:rsidR="005918E9" w:rsidRPr="00525B39" w:rsidRDefault="005918E9" w:rsidP="005918E9">
      <w:pPr>
        <w:spacing w:before="240"/>
        <w:jc w:val="both"/>
        <w:rPr>
          <w:rFonts w:asciiTheme="minorHAnsi" w:hAnsiTheme="minorHAnsi" w:cs="Arial"/>
          <w:b/>
          <w:bCs/>
          <w:snapToGrid w:val="0"/>
          <w:lang w:val="en-GB"/>
        </w:rPr>
      </w:pPr>
      <w:bookmarkStart w:id="20" w:name="_Hlk93565183"/>
      <w:bookmarkEnd w:id="18"/>
      <w:r w:rsidRPr="00525B39">
        <w:rPr>
          <w:rFonts w:asciiTheme="minorHAnsi" w:hAnsiTheme="minorHAnsi" w:cs="Arial"/>
          <w:b/>
          <w:bCs/>
          <w:snapToGrid w:val="0"/>
          <w:lang w:val="en-GB"/>
        </w:rPr>
        <w:t>Outcome:</w:t>
      </w:r>
    </w:p>
    <w:p w14:paraId="7271D6C0" w14:textId="77777777" w:rsidR="00EB6F9C" w:rsidRDefault="006A6C91" w:rsidP="00EC025C">
      <w:pPr>
        <w:jc w:val="both"/>
        <w:rPr>
          <w:rFonts w:asciiTheme="minorHAnsi" w:hAnsiTheme="minorHAnsi" w:cs="Arial"/>
          <w:bCs/>
          <w:snapToGrid w:val="0"/>
          <w:lang w:val="en-GB"/>
        </w:rPr>
      </w:pPr>
      <w:r>
        <w:rPr>
          <w:rFonts w:asciiTheme="minorHAnsi" w:hAnsiTheme="minorHAnsi" w:cs="Arial"/>
          <w:bCs/>
          <w:snapToGrid w:val="0"/>
          <w:lang w:val="en-GB"/>
        </w:rPr>
        <w:t>Noted</w:t>
      </w:r>
    </w:p>
    <w:p w14:paraId="40501AF9" w14:textId="77777777" w:rsidR="00EC025C" w:rsidRDefault="00EC025C" w:rsidP="00EC025C">
      <w:pPr>
        <w:jc w:val="both"/>
        <w:rPr>
          <w:rFonts w:asciiTheme="minorHAnsi" w:hAnsiTheme="minorHAnsi" w:cs="Arial"/>
          <w:bCs/>
          <w:snapToGrid w:val="0"/>
          <w:lang w:val="en-GB"/>
        </w:rPr>
      </w:pPr>
    </w:p>
    <w:bookmarkEnd w:id="20"/>
    <w:p w14:paraId="2B3051D9" w14:textId="2B7E3E2E" w:rsidR="002D247F" w:rsidRPr="002D247F" w:rsidRDefault="002D247F" w:rsidP="000422DE">
      <w:pPr>
        <w:rPr>
          <w:rFonts w:asciiTheme="minorHAnsi" w:hAnsiTheme="minorHAnsi" w:cstheme="minorHAnsi"/>
          <w:snapToGrid w:val="0"/>
        </w:rPr>
      </w:pPr>
    </w:p>
    <w:sectPr w:rsidR="002D247F" w:rsidRPr="002D247F" w:rsidSect="00EC025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1D37" w14:textId="77777777" w:rsidR="00F977E4" w:rsidRDefault="00F977E4" w:rsidP="00331FF4">
      <w:r>
        <w:separator/>
      </w:r>
    </w:p>
    <w:p w14:paraId="7396BC04" w14:textId="77777777" w:rsidR="00F977E4" w:rsidRDefault="00F977E4"/>
    <w:p w14:paraId="78B7DB2A" w14:textId="77777777" w:rsidR="00F977E4" w:rsidRDefault="00F977E4"/>
  </w:endnote>
  <w:endnote w:type="continuationSeparator" w:id="0">
    <w:p w14:paraId="349DDD09" w14:textId="77777777" w:rsidR="00F977E4" w:rsidRDefault="00F977E4" w:rsidP="00331FF4">
      <w:r>
        <w:continuationSeparator/>
      </w:r>
    </w:p>
    <w:p w14:paraId="27356542" w14:textId="77777777" w:rsidR="00F977E4" w:rsidRDefault="00F977E4"/>
    <w:p w14:paraId="467A574A" w14:textId="77777777" w:rsidR="00F977E4" w:rsidRDefault="00F97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61B2" w14:textId="77777777" w:rsidR="00F97AE9" w:rsidRDefault="00F97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505386"/>
      <w:docPartObj>
        <w:docPartGallery w:val="Page Numbers (Bottom of Page)"/>
        <w:docPartUnique/>
      </w:docPartObj>
    </w:sdtPr>
    <w:sdtEndPr>
      <w:rPr>
        <w:rFonts w:asciiTheme="minorHAnsi" w:hAnsiTheme="minorHAnsi" w:cstheme="minorHAnsi"/>
        <w:b/>
        <w:bCs/>
        <w:noProof/>
      </w:rPr>
    </w:sdtEndPr>
    <w:sdtContent>
      <w:p w14:paraId="70B15D2F" w14:textId="77777777" w:rsidR="00BD4A43" w:rsidRDefault="00BD4A43">
        <w:pPr>
          <w:pStyle w:val="Footer"/>
          <w:jc w:val="center"/>
        </w:pPr>
      </w:p>
      <w:p w14:paraId="77271EA9" w14:textId="7403A159" w:rsidR="006D6519" w:rsidRPr="006A6C91" w:rsidRDefault="00BD4A43" w:rsidP="00BD4A43">
        <w:pPr>
          <w:pStyle w:val="Footer"/>
          <w:jc w:val="center"/>
          <w:rPr>
            <w:rFonts w:asciiTheme="minorHAnsi" w:hAnsiTheme="minorHAnsi" w:cstheme="minorHAnsi"/>
            <w:b/>
            <w:bCs/>
          </w:rPr>
        </w:pPr>
        <w:r w:rsidRPr="006A6C91">
          <w:rPr>
            <w:rFonts w:asciiTheme="minorHAnsi" w:hAnsiTheme="minorHAnsi" w:cstheme="minorHAnsi"/>
            <w:b/>
            <w:bCs/>
          </w:rPr>
          <w:fldChar w:fldCharType="begin"/>
        </w:r>
        <w:r w:rsidRPr="006A6C91">
          <w:rPr>
            <w:rFonts w:asciiTheme="minorHAnsi" w:hAnsiTheme="minorHAnsi" w:cstheme="minorHAnsi"/>
            <w:b/>
            <w:bCs/>
          </w:rPr>
          <w:instrText xml:space="preserve"> PAGE   \* MERGEFORMAT </w:instrText>
        </w:r>
        <w:r w:rsidRPr="006A6C91">
          <w:rPr>
            <w:rFonts w:asciiTheme="minorHAnsi" w:hAnsiTheme="minorHAnsi" w:cstheme="minorHAnsi"/>
            <w:b/>
            <w:bCs/>
          </w:rPr>
          <w:fldChar w:fldCharType="separate"/>
        </w:r>
        <w:r w:rsidRPr="006A6C91">
          <w:rPr>
            <w:rFonts w:asciiTheme="minorHAnsi" w:hAnsiTheme="minorHAnsi" w:cstheme="minorHAnsi"/>
            <w:b/>
            <w:bCs/>
            <w:noProof/>
          </w:rPr>
          <w:t>2</w:t>
        </w:r>
        <w:r w:rsidRPr="006A6C91">
          <w:rPr>
            <w:rFonts w:asciiTheme="minorHAnsi" w:hAnsiTheme="minorHAnsi" w:cstheme="minorHAnsi"/>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23F34" w14:textId="77777777" w:rsidR="00F97AE9" w:rsidRDefault="00F97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6B32D" w14:textId="77777777" w:rsidR="00F977E4" w:rsidRDefault="00F977E4" w:rsidP="00331FF4">
      <w:r>
        <w:separator/>
      </w:r>
    </w:p>
    <w:p w14:paraId="70A49F7C" w14:textId="77777777" w:rsidR="00F977E4" w:rsidRDefault="00F977E4"/>
    <w:p w14:paraId="76874597" w14:textId="77777777" w:rsidR="00F977E4" w:rsidRDefault="00F977E4"/>
  </w:footnote>
  <w:footnote w:type="continuationSeparator" w:id="0">
    <w:p w14:paraId="2788D82B" w14:textId="77777777" w:rsidR="00F977E4" w:rsidRDefault="00F977E4" w:rsidP="00331FF4">
      <w:r>
        <w:continuationSeparator/>
      </w:r>
    </w:p>
    <w:p w14:paraId="47D9A603" w14:textId="77777777" w:rsidR="00F977E4" w:rsidRDefault="00F977E4"/>
    <w:p w14:paraId="03C2AA5E" w14:textId="77777777" w:rsidR="00F977E4" w:rsidRDefault="00F977E4"/>
  </w:footnote>
  <w:footnote w:id="1">
    <w:p w14:paraId="22C2E787" w14:textId="0A6A1ECE" w:rsidR="00DA0223" w:rsidRPr="00DA0223" w:rsidRDefault="00D621E9" w:rsidP="00AA6C29">
      <w:pPr>
        <w:pStyle w:val="FootnoteText"/>
        <w:jc w:val="both"/>
        <w:rPr>
          <w:rFonts w:asciiTheme="minorHAnsi" w:hAnsiTheme="minorHAnsi" w:cstheme="minorHAnsi"/>
          <w:i/>
          <w:sz w:val="18"/>
          <w:szCs w:val="18"/>
        </w:rPr>
      </w:pPr>
      <w:r w:rsidRPr="00DA0223">
        <w:rPr>
          <w:rStyle w:val="FootnoteReference"/>
          <w:rFonts w:asciiTheme="minorHAnsi" w:hAnsiTheme="minorHAnsi" w:cstheme="minorHAnsi"/>
          <w:sz w:val="18"/>
          <w:szCs w:val="18"/>
        </w:rPr>
        <w:footnoteRef/>
      </w:r>
      <w:r w:rsidRPr="00DA0223">
        <w:rPr>
          <w:rFonts w:asciiTheme="minorHAnsi" w:hAnsiTheme="minorHAnsi" w:cstheme="minorHAnsi"/>
          <w:sz w:val="18"/>
          <w:szCs w:val="18"/>
        </w:rPr>
        <w:t xml:space="preserve"> </w:t>
      </w:r>
      <w:r w:rsidR="00DA0223" w:rsidRPr="00DA0223">
        <w:rPr>
          <w:rFonts w:asciiTheme="minorHAnsi" w:hAnsiTheme="minorHAnsi" w:cstheme="minorHAnsi"/>
          <w:color w:val="333333"/>
          <w:sz w:val="18"/>
          <w:szCs w:val="18"/>
          <w:shd w:val="clear" w:color="auto" w:fill="FFFFFF"/>
        </w:rPr>
        <w:t>Green AK, Curry M, Trivedi N, Bach PB, Mailankody S. Assessment of Outcomes Associated With the Use of Newly Approved Oncology Drugs in Medicare Beneficiaries. </w:t>
      </w:r>
      <w:r w:rsidR="00DA0223" w:rsidRPr="00DA0223">
        <w:rPr>
          <w:rStyle w:val="Emphasis"/>
          <w:rFonts w:asciiTheme="minorHAnsi" w:hAnsiTheme="minorHAnsi" w:cstheme="minorHAnsi"/>
          <w:color w:val="333333"/>
          <w:sz w:val="18"/>
          <w:szCs w:val="18"/>
          <w:shd w:val="clear" w:color="auto" w:fill="FFFFFF"/>
        </w:rPr>
        <w:t>JAMA Netw Open.</w:t>
      </w:r>
      <w:r w:rsidR="00DA0223" w:rsidRPr="00DA0223">
        <w:rPr>
          <w:rFonts w:asciiTheme="minorHAnsi" w:hAnsiTheme="minorHAnsi" w:cstheme="minorHAnsi"/>
          <w:color w:val="333333"/>
          <w:sz w:val="18"/>
          <w:szCs w:val="18"/>
          <w:shd w:val="clear" w:color="auto" w:fill="FFFFFF"/>
        </w:rPr>
        <w:t> 2021;4(2</w:t>
      </w:r>
      <w:r w:rsidR="007E332D" w:rsidRPr="00DA0223">
        <w:rPr>
          <w:rFonts w:asciiTheme="minorHAnsi" w:hAnsiTheme="minorHAnsi" w:cstheme="minorHAnsi"/>
          <w:color w:val="333333"/>
          <w:sz w:val="18"/>
          <w:szCs w:val="18"/>
          <w:shd w:val="clear" w:color="auto" w:fill="FFFFFF"/>
        </w:rPr>
        <w:t>): e</w:t>
      </w:r>
      <w:r w:rsidR="00DA0223" w:rsidRPr="00DA0223">
        <w:rPr>
          <w:rFonts w:asciiTheme="minorHAnsi" w:hAnsiTheme="minorHAnsi" w:cstheme="minorHAnsi"/>
          <w:color w:val="333333"/>
          <w:sz w:val="18"/>
          <w:szCs w:val="18"/>
          <w:shd w:val="clear" w:color="auto" w:fill="FFFFFF"/>
        </w:rPr>
        <w:t>210030.</w:t>
      </w:r>
      <w:r w:rsidR="002912B4">
        <w:rPr>
          <w:rFonts w:asciiTheme="minorHAnsi" w:hAnsiTheme="minorHAnsi" w:cstheme="minorHAnsi"/>
          <w:color w:val="333333"/>
          <w:sz w:val="18"/>
          <w:szCs w:val="18"/>
          <w:shd w:val="clear" w:color="auto" w:fill="FFFFFF"/>
        </w:rPr>
        <w:t xml:space="preserve"> </w:t>
      </w:r>
      <w:r w:rsidR="00DA0223" w:rsidRPr="00DA0223">
        <w:rPr>
          <w:rFonts w:asciiTheme="minorHAnsi" w:hAnsiTheme="minorHAnsi" w:cstheme="minorHAnsi"/>
          <w:color w:val="333333"/>
          <w:sz w:val="18"/>
          <w:szCs w:val="18"/>
          <w:shd w:val="clear" w:color="auto" w:fill="FFFFFF"/>
        </w:rPr>
        <w:t>doi:10.1001/jamanetworkopen.2021.0030</w:t>
      </w:r>
    </w:p>
    <w:p w14:paraId="414870EC" w14:textId="10C7C013" w:rsidR="00D621E9" w:rsidRPr="00493C8E" w:rsidRDefault="00D621E9" w:rsidP="00AA6C29">
      <w:pPr>
        <w:pStyle w:val="FootnoteText"/>
        <w:jc w:val="both"/>
        <w:rPr>
          <w:rFonts w:asciiTheme="minorHAnsi" w:hAnsiTheme="minorHAnsi" w:cstheme="minorHAnsi"/>
          <w:sz w:val="18"/>
          <w:szCs w:val="18"/>
        </w:rPr>
      </w:pPr>
      <w:r w:rsidRPr="00101D7F">
        <w:rPr>
          <w:rFonts w:asciiTheme="minorHAnsi" w:hAnsiTheme="minorHAnsi" w:cstheme="minorHAnsi"/>
          <w:sz w:val="18"/>
          <w:szCs w:val="18"/>
        </w:rPr>
        <w:t xml:space="preserve">Available at: </w:t>
      </w:r>
      <w:hyperlink r:id="rId1" w:history="1">
        <w:r w:rsidR="00DA0223">
          <w:rPr>
            <w:rStyle w:val="Hyperlink"/>
            <w:rFonts w:cstheme="minorHAnsi"/>
            <w:sz w:val="18"/>
            <w:szCs w:val="18"/>
          </w:rPr>
          <w:t>JAMA Network</w:t>
        </w:r>
      </w:hyperlink>
      <w:r w:rsidR="00DA0223">
        <w:rPr>
          <w:rStyle w:val="Hyperlink"/>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807B" w14:textId="77777777" w:rsidR="00F97AE9" w:rsidRDefault="00F97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17616" w14:textId="34DEB132" w:rsidR="00BD4A43" w:rsidRDefault="00DE4519" w:rsidP="0080286B">
    <w:pPr>
      <w:jc w:val="center"/>
      <w:rPr>
        <w:rFonts w:asciiTheme="minorHAnsi" w:hAnsiTheme="minorHAnsi" w:cstheme="minorHAnsi"/>
        <w:i/>
        <w:iCs/>
      </w:rPr>
    </w:pPr>
    <w:r>
      <w:rPr>
        <w:rFonts w:asciiTheme="minorHAnsi" w:hAnsiTheme="minorHAnsi" w:cstheme="minorHAnsi"/>
        <w:i/>
        <w:iCs/>
      </w:rPr>
      <w:t>Ratified</w:t>
    </w:r>
    <w:r w:rsidR="00BD4A43">
      <w:rPr>
        <w:rFonts w:asciiTheme="minorHAnsi" w:hAnsiTheme="minorHAnsi" w:cstheme="minorHAnsi"/>
        <w:i/>
        <w:iCs/>
      </w:rPr>
      <w:t xml:space="preserve"> Minutes – May 2023 PBAC Intracycle Meeting</w:t>
    </w:r>
  </w:p>
  <w:p w14:paraId="663D96CD" w14:textId="77777777" w:rsidR="00BD4A43" w:rsidRPr="006A6C91" w:rsidRDefault="00BD4A43" w:rsidP="006A6C91">
    <w:pPr>
      <w:jc w:val="cent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75B9" w14:textId="77777777" w:rsidR="00F97AE9" w:rsidRDefault="00F97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619"/>
    <w:multiLevelType w:val="multilevel"/>
    <w:tmpl w:val="38D81924"/>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03DC3547"/>
    <w:multiLevelType w:val="hybridMultilevel"/>
    <w:tmpl w:val="8626D320"/>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8C93084"/>
    <w:multiLevelType w:val="multilevel"/>
    <w:tmpl w:val="24866BF0"/>
    <w:lvl w:ilvl="0">
      <w:start w:val="2"/>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 w15:restartNumberingAfterBreak="0">
    <w:nsid w:val="095A00F8"/>
    <w:multiLevelType w:val="hybridMultilevel"/>
    <w:tmpl w:val="2982AB5C"/>
    <w:lvl w:ilvl="0" w:tplc="0C09000F">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50C14F7"/>
    <w:multiLevelType w:val="hybridMultilevel"/>
    <w:tmpl w:val="F3245D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9D947EB"/>
    <w:multiLevelType w:val="hybridMultilevel"/>
    <w:tmpl w:val="5044C10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A18512F"/>
    <w:multiLevelType w:val="hybridMultilevel"/>
    <w:tmpl w:val="5C269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542E6"/>
    <w:multiLevelType w:val="hybridMultilevel"/>
    <w:tmpl w:val="427CF1A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8" w15:restartNumberingAfterBreak="0">
    <w:nsid w:val="27B20248"/>
    <w:multiLevelType w:val="hybridMultilevel"/>
    <w:tmpl w:val="891A2C74"/>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FF15FEF"/>
    <w:multiLevelType w:val="hybridMultilevel"/>
    <w:tmpl w:val="19C4FD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08179AA"/>
    <w:multiLevelType w:val="multilevel"/>
    <w:tmpl w:val="B0A4F860"/>
    <w:lvl w:ilvl="0">
      <w:start w:val="1"/>
      <w:numFmt w:val="decimal"/>
      <w:lvlText w:val="%1"/>
      <w:lvlJc w:val="left"/>
      <w:pPr>
        <w:ind w:left="720" w:hanging="720"/>
      </w:pPr>
      <w:rPr>
        <w:rFonts w:hint="default"/>
        <w:b/>
      </w:rPr>
    </w:lvl>
    <w:lvl w:ilvl="1">
      <w:start w:val="1"/>
      <w:numFmt w:val="upperRoman"/>
      <w:lvlText w:val="%2."/>
      <w:lvlJc w:val="right"/>
      <w:pPr>
        <w:ind w:left="720" w:hanging="720"/>
      </w:pPr>
      <w:rPr>
        <w:rFonts w:hint="default"/>
        <w:b w:val="0"/>
        <w:i w:val="0"/>
        <w:sz w:val="24"/>
        <w:szCs w:val="24"/>
      </w:rPr>
    </w:lvl>
    <w:lvl w:ilvl="2">
      <w:start w:val="1"/>
      <w:numFmt w:val="decimal"/>
      <w:lvlText w:val="%1.%2.%3"/>
      <w:lvlJc w:val="left"/>
      <w:pPr>
        <w:ind w:left="720" w:hanging="720"/>
      </w:pPr>
      <w:rPr>
        <w:rFonts w:hint="default"/>
      </w:rPr>
    </w:lvl>
    <w:lvl w:ilvl="3">
      <w:start w:val="1"/>
      <w:numFmt w:val="lowerRoman"/>
      <w:pStyle w:val="bullet3"/>
      <w:lvlText w:val="%4."/>
      <w:lvlJc w:val="right"/>
      <w:pPr>
        <w:ind w:left="1080" w:hanging="1080"/>
      </w:pPr>
      <w:rPr>
        <w:rFonts w:hint="default"/>
      </w:rPr>
    </w:lvl>
    <w:lvl w:ilvl="4">
      <w:start w:val="11"/>
      <w:numFmt w:val="bullet"/>
      <w:lvlText w:val=""/>
      <w:lvlJc w:val="left"/>
      <w:pPr>
        <w:ind w:left="1080" w:hanging="1080"/>
      </w:pPr>
      <w:rPr>
        <w:rFonts w:ascii="Symbol" w:eastAsia="Times New Roman" w:hAnsi="Symbol" w:cstheme="minorHAnsi"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CB7A33"/>
    <w:multiLevelType w:val="hybridMultilevel"/>
    <w:tmpl w:val="B89CEA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3BB5336"/>
    <w:multiLevelType w:val="hybridMultilevel"/>
    <w:tmpl w:val="10F601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6353E9A"/>
    <w:multiLevelType w:val="hybridMultilevel"/>
    <w:tmpl w:val="9F8C5E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7F606DB"/>
    <w:multiLevelType w:val="hybridMultilevel"/>
    <w:tmpl w:val="6570D44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8EB40A1"/>
    <w:multiLevelType w:val="hybridMultilevel"/>
    <w:tmpl w:val="2FA2D7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FAD7EAC"/>
    <w:multiLevelType w:val="hybridMultilevel"/>
    <w:tmpl w:val="8626D320"/>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1BB5C3A"/>
    <w:multiLevelType w:val="multilevel"/>
    <w:tmpl w:val="FF44A22A"/>
    <w:lvl w:ilvl="0">
      <w:start w:val="1"/>
      <w:numFmt w:val="decimal"/>
      <w:lvlText w:val="%1."/>
      <w:legacy w:legacy="1" w:legacySpace="0" w:legacyIndent="360"/>
      <w:lvlJc w:val="left"/>
      <w:pPr>
        <w:ind w:left="360" w:hanging="360"/>
      </w:p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43C51C8B"/>
    <w:multiLevelType w:val="hybridMultilevel"/>
    <w:tmpl w:val="2B640E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44442297"/>
    <w:multiLevelType w:val="hybridMultilevel"/>
    <w:tmpl w:val="1256E66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6513A"/>
    <w:multiLevelType w:val="hybridMultilevel"/>
    <w:tmpl w:val="2982AB5C"/>
    <w:lvl w:ilvl="0" w:tplc="0C09000F">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52A717D4"/>
    <w:multiLevelType w:val="hybridMultilevel"/>
    <w:tmpl w:val="C028386A"/>
    <w:lvl w:ilvl="0" w:tplc="B7A2454C">
      <w:start w:val="1"/>
      <w:numFmt w:val="bullet"/>
      <w:lvlText w:val="-"/>
      <w:lvlJc w:val="left"/>
      <w:pPr>
        <w:ind w:left="720" w:hanging="360"/>
      </w:pPr>
      <w:rPr>
        <w:rFonts w:ascii="Courier New" w:hAnsi="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0F7488"/>
    <w:multiLevelType w:val="hybridMultilevel"/>
    <w:tmpl w:val="AB240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6CF066A"/>
    <w:multiLevelType w:val="hybridMultilevel"/>
    <w:tmpl w:val="8626D320"/>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728516C"/>
    <w:multiLevelType w:val="hybridMultilevel"/>
    <w:tmpl w:val="B8F2A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CD0C22"/>
    <w:multiLevelType w:val="hybridMultilevel"/>
    <w:tmpl w:val="E6583B9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456429"/>
    <w:multiLevelType w:val="multilevel"/>
    <w:tmpl w:val="683C6312"/>
    <w:lvl w:ilvl="0">
      <w:start w:val="1"/>
      <w:numFmt w:val="bullet"/>
      <w:pStyle w:val="ListNumber"/>
      <w:lvlText w:val=""/>
      <w:lvlJc w:val="left"/>
      <w:pPr>
        <w:ind w:left="369" w:hanging="369"/>
      </w:pPr>
      <w:rPr>
        <w:rFonts w:ascii="Symbol" w:hAnsi="Symbol" w:hint="default"/>
        <w:color w:val="auto"/>
        <w:sz w:val="24"/>
        <w:szCs w:val="24"/>
      </w:rPr>
    </w:lvl>
    <w:lvl w:ilvl="1">
      <w:start w:val="1"/>
      <w:numFmt w:val="bullet"/>
      <w:pStyle w:val="ListNumber2"/>
      <w:lvlText w:val="-"/>
      <w:lvlJc w:val="left"/>
      <w:pPr>
        <w:ind w:left="738" w:hanging="369"/>
      </w:pPr>
      <w:rPr>
        <w:rFonts w:ascii="Courier New" w:hAnsi="Courier New"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7"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171747"/>
    <w:multiLevelType w:val="hybridMultilevel"/>
    <w:tmpl w:val="1BB425F8"/>
    <w:lvl w:ilvl="0" w:tplc="235E0EC0">
      <w:numFmt w:val="bullet"/>
      <w:lvlText w:val="•"/>
      <w:lvlJc w:val="left"/>
      <w:pPr>
        <w:ind w:left="720" w:hanging="360"/>
      </w:pPr>
      <w:rPr>
        <w:rFonts w:ascii="Calibri" w:eastAsia="Times New Roman" w:hAnsi="Calibri" w:cs="Calibr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9555DC"/>
    <w:multiLevelType w:val="hybridMultilevel"/>
    <w:tmpl w:val="C804DA34"/>
    <w:lvl w:ilvl="0" w:tplc="B7A2454C">
      <w:start w:val="1"/>
      <w:numFmt w:val="bullet"/>
      <w:lvlText w:val="-"/>
      <w:lvlJc w:val="left"/>
      <w:pPr>
        <w:ind w:left="360" w:hanging="360"/>
      </w:pPr>
      <w:rPr>
        <w:rFonts w:ascii="Courier New" w:hAnsi="Courier New"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5146326"/>
    <w:multiLevelType w:val="hybridMultilevel"/>
    <w:tmpl w:val="F696A1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84D033C"/>
    <w:multiLevelType w:val="multilevel"/>
    <w:tmpl w:val="3BC09066"/>
    <w:lvl w:ilvl="0">
      <w:start w:val="1"/>
      <w:numFmt w:val="decimal"/>
      <w:pStyle w:val="2Sections"/>
      <w:lvlText w:val="%1"/>
      <w:lvlJc w:val="left"/>
      <w:pPr>
        <w:ind w:left="720" w:hanging="720"/>
      </w:pPr>
      <w:rPr>
        <w:rFonts w:hint="default"/>
        <w:b/>
        <w:color w:val="000000" w:themeColor="text1"/>
      </w:rPr>
    </w:lvl>
    <w:lvl w:ilvl="1">
      <w:start w:val="1"/>
      <w:numFmt w:val="decimal"/>
      <w:pStyle w:val="4Bodytextnumbered"/>
      <w:lvlText w:val="%1.%2"/>
      <w:lvlJc w:val="left"/>
      <w:pPr>
        <w:ind w:left="720" w:hanging="720"/>
      </w:pPr>
      <w:rPr>
        <w:rFonts w:hint="default"/>
        <w:b w:val="0"/>
        <w:i w:val="0"/>
        <w:color w:val="000000" w:themeColor="text1"/>
        <w:sz w:val="24"/>
        <w:szCs w:val="24"/>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DA132B"/>
    <w:multiLevelType w:val="hybridMultilevel"/>
    <w:tmpl w:val="92CC3A4A"/>
    <w:lvl w:ilvl="0" w:tplc="86ECA218">
      <w:start w:val="1"/>
      <w:numFmt w:val="bullet"/>
      <w:pStyle w:val="4bulletpoin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99C1D03"/>
    <w:multiLevelType w:val="multilevel"/>
    <w:tmpl w:val="77EE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6F1CB6"/>
    <w:multiLevelType w:val="hybridMultilevel"/>
    <w:tmpl w:val="55D411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E1C4B44"/>
    <w:multiLevelType w:val="hybridMultilevel"/>
    <w:tmpl w:val="D54EB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19"/>
  </w:num>
  <w:num w:numId="3">
    <w:abstractNumId w:val="31"/>
  </w:num>
  <w:num w:numId="4">
    <w:abstractNumId w:val="26"/>
  </w:num>
  <w:num w:numId="5">
    <w:abstractNumId w:val="10"/>
  </w:num>
  <w:num w:numId="6">
    <w:abstractNumId w:val="9"/>
  </w:num>
  <w:num w:numId="7">
    <w:abstractNumId w:val="25"/>
  </w:num>
  <w:num w:numId="8">
    <w:abstractNumId w:val="35"/>
  </w:num>
  <w:num w:numId="9">
    <w:abstractNumId w:val="2"/>
  </w:num>
  <w:num w:numId="10">
    <w:abstractNumId w:val="14"/>
  </w:num>
  <w:num w:numId="11">
    <w:abstractNumId w:val="0"/>
  </w:num>
  <w:num w:numId="12">
    <w:abstractNumId w:val="28"/>
  </w:num>
  <w:num w:numId="13">
    <w:abstractNumId w:val="21"/>
  </w:num>
  <w:num w:numId="14">
    <w:abstractNumId w:val="17"/>
  </w:num>
  <w:num w:numId="15">
    <w:abstractNumId w:val="20"/>
  </w:num>
  <w:num w:numId="16">
    <w:abstractNumId w:val="5"/>
  </w:num>
  <w:num w:numId="17">
    <w:abstractNumId w:val="8"/>
  </w:num>
  <w:num w:numId="18">
    <w:abstractNumId w:val="3"/>
  </w:num>
  <w:num w:numId="19">
    <w:abstractNumId w:val="31"/>
  </w:num>
  <w:num w:numId="20">
    <w:abstractNumId w:val="29"/>
  </w:num>
  <w:num w:numId="21">
    <w:abstractNumId w:val="7"/>
  </w:num>
  <w:num w:numId="22">
    <w:abstractNumId w:val="22"/>
  </w:num>
  <w:num w:numId="23">
    <w:abstractNumId w:val="24"/>
  </w:num>
  <w:num w:numId="24">
    <w:abstractNumId w:val="31"/>
  </w:num>
  <w:num w:numId="25">
    <w:abstractNumId w:val="6"/>
  </w:num>
  <w:num w:numId="26">
    <w:abstractNumId w:val="4"/>
  </w:num>
  <w:num w:numId="27">
    <w:abstractNumId w:val="12"/>
  </w:num>
  <w:num w:numId="28">
    <w:abstractNumId w:val="15"/>
  </w:num>
  <w:num w:numId="29">
    <w:abstractNumId w:val="30"/>
  </w:num>
  <w:num w:numId="30">
    <w:abstractNumId w:val="31"/>
  </w:num>
  <w:num w:numId="31">
    <w:abstractNumId w:val="16"/>
  </w:num>
  <w:num w:numId="32">
    <w:abstractNumId w:val="13"/>
  </w:num>
  <w:num w:numId="33">
    <w:abstractNumId w:val="31"/>
  </w:num>
  <w:num w:numId="34">
    <w:abstractNumId w:val="31"/>
  </w:num>
  <w:num w:numId="35">
    <w:abstractNumId w:val="31"/>
  </w:num>
  <w:num w:numId="36">
    <w:abstractNumId w:val="31"/>
  </w:num>
  <w:num w:numId="37">
    <w:abstractNumId w:val="31"/>
  </w:num>
  <w:num w:numId="38">
    <w:abstractNumId w:val="1"/>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1"/>
  </w:num>
  <w:num w:numId="42">
    <w:abstractNumId w:val="31"/>
  </w:num>
  <w:num w:numId="43">
    <w:abstractNumId w:val="31"/>
  </w:num>
  <w:num w:numId="44">
    <w:abstractNumId w:val="23"/>
  </w:num>
  <w:num w:numId="45">
    <w:abstractNumId w:val="27"/>
  </w:num>
  <w:num w:numId="46">
    <w:abstractNumId w:val="33"/>
  </w:num>
  <w:num w:numId="47">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AU"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55B"/>
    <w:rsid w:val="00004FA2"/>
    <w:rsid w:val="00005E9E"/>
    <w:rsid w:val="0001293C"/>
    <w:rsid w:val="0002605D"/>
    <w:rsid w:val="000422DE"/>
    <w:rsid w:val="000443C1"/>
    <w:rsid w:val="00046502"/>
    <w:rsid w:val="00051058"/>
    <w:rsid w:val="00061A21"/>
    <w:rsid w:val="000624D6"/>
    <w:rsid w:val="0006312E"/>
    <w:rsid w:val="00065E3F"/>
    <w:rsid w:val="000707C6"/>
    <w:rsid w:val="0007701D"/>
    <w:rsid w:val="000856BD"/>
    <w:rsid w:val="000937F9"/>
    <w:rsid w:val="000949C8"/>
    <w:rsid w:val="00096BDE"/>
    <w:rsid w:val="000A3F7C"/>
    <w:rsid w:val="000B507F"/>
    <w:rsid w:val="000C1BB8"/>
    <w:rsid w:val="000C3033"/>
    <w:rsid w:val="000C3190"/>
    <w:rsid w:val="000C3C98"/>
    <w:rsid w:val="000C44F6"/>
    <w:rsid w:val="000C5D22"/>
    <w:rsid w:val="000E1640"/>
    <w:rsid w:val="000E6C4C"/>
    <w:rsid w:val="000F2253"/>
    <w:rsid w:val="0010021E"/>
    <w:rsid w:val="0010188A"/>
    <w:rsid w:val="00101FD9"/>
    <w:rsid w:val="00104E41"/>
    <w:rsid w:val="00110ED9"/>
    <w:rsid w:val="00112D83"/>
    <w:rsid w:val="001147B4"/>
    <w:rsid w:val="0013185D"/>
    <w:rsid w:val="001318F7"/>
    <w:rsid w:val="00131AFC"/>
    <w:rsid w:val="00140BBA"/>
    <w:rsid w:val="00144345"/>
    <w:rsid w:val="00150A5E"/>
    <w:rsid w:val="001550BB"/>
    <w:rsid w:val="00155254"/>
    <w:rsid w:val="00155462"/>
    <w:rsid w:val="00155E54"/>
    <w:rsid w:val="001706D9"/>
    <w:rsid w:val="001772AD"/>
    <w:rsid w:val="00177EF9"/>
    <w:rsid w:val="001A4CC3"/>
    <w:rsid w:val="001A5BB9"/>
    <w:rsid w:val="001A6B1D"/>
    <w:rsid w:val="001A7805"/>
    <w:rsid w:val="001C43A2"/>
    <w:rsid w:val="001C770C"/>
    <w:rsid w:val="001D2074"/>
    <w:rsid w:val="001D7525"/>
    <w:rsid w:val="001E504C"/>
    <w:rsid w:val="001F7EF4"/>
    <w:rsid w:val="0021023D"/>
    <w:rsid w:val="00220B8B"/>
    <w:rsid w:val="00221427"/>
    <w:rsid w:val="00222DCC"/>
    <w:rsid w:val="00223629"/>
    <w:rsid w:val="00223FDC"/>
    <w:rsid w:val="0023199D"/>
    <w:rsid w:val="00232918"/>
    <w:rsid w:val="00236F54"/>
    <w:rsid w:val="00237E49"/>
    <w:rsid w:val="00243B6E"/>
    <w:rsid w:val="002460B9"/>
    <w:rsid w:val="002545BF"/>
    <w:rsid w:val="002555F7"/>
    <w:rsid w:val="0025567A"/>
    <w:rsid w:val="00256967"/>
    <w:rsid w:val="00266BCB"/>
    <w:rsid w:val="00266E43"/>
    <w:rsid w:val="0027483F"/>
    <w:rsid w:val="002759CF"/>
    <w:rsid w:val="00287567"/>
    <w:rsid w:val="0029092A"/>
    <w:rsid w:val="002912B4"/>
    <w:rsid w:val="00293F07"/>
    <w:rsid w:val="002967EB"/>
    <w:rsid w:val="00297E0D"/>
    <w:rsid w:val="002A324F"/>
    <w:rsid w:val="002A4F3B"/>
    <w:rsid w:val="002A56DB"/>
    <w:rsid w:val="002A58F3"/>
    <w:rsid w:val="002B4FB3"/>
    <w:rsid w:val="002B6204"/>
    <w:rsid w:val="002C71C7"/>
    <w:rsid w:val="002D247F"/>
    <w:rsid w:val="002D6F34"/>
    <w:rsid w:val="002E1624"/>
    <w:rsid w:val="002E501D"/>
    <w:rsid w:val="002E52F1"/>
    <w:rsid w:val="002F2809"/>
    <w:rsid w:val="00300B4E"/>
    <w:rsid w:val="00300F5F"/>
    <w:rsid w:val="00311846"/>
    <w:rsid w:val="00314322"/>
    <w:rsid w:val="003144D0"/>
    <w:rsid w:val="00315512"/>
    <w:rsid w:val="00317A6A"/>
    <w:rsid w:val="00322804"/>
    <w:rsid w:val="00323A31"/>
    <w:rsid w:val="00330506"/>
    <w:rsid w:val="00330DEB"/>
    <w:rsid w:val="00331FF4"/>
    <w:rsid w:val="003326B0"/>
    <w:rsid w:val="003412B2"/>
    <w:rsid w:val="0034131D"/>
    <w:rsid w:val="003459D4"/>
    <w:rsid w:val="00353BB5"/>
    <w:rsid w:val="00355D67"/>
    <w:rsid w:val="003634B2"/>
    <w:rsid w:val="00363C6C"/>
    <w:rsid w:val="00365FEA"/>
    <w:rsid w:val="00374B70"/>
    <w:rsid w:val="00377647"/>
    <w:rsid w:val="00391C57"/>
    <w:rsid w:val="003A16DE"/>
    <w:rsid w:val="003A372E"/>
    <w:rsid w:val="003B60FA"/>
    <w:rsid w:val="003C3CED"/>
    <w:rsid w:val="003C553D"/>
    <w:rsid w:val="003C6D01"/>
    <w:rsid w:val="003E0D5C"/>
    <w:rsid w:val="003F26A9"/>
    <w:rsid w:val="003F3895"/>
    <w:rsid w:val="004048AC"/>
    <w:rsid w:val="00407A4C"/>
    <w:rsid w:val="0041060A"/>
    <w:rsid w:val="00411D21"/>
    <w:rsid w:val="00412EA0"/>
    <w:rsid w:val="00413FE9"/>
    <w:rsid w:val="0041703B"/>
    <w:rsid w:val="00417264"/>
    <w:rsid w:val="0042033A"/>
    <w:rsid w:val="00422270"/>
    <w:rsid w:val="00436CFE"/>
    <w:rsid w:val="00447828"/>
    <w:rsid w:val="0045134F"/>
    <w:rsid w:val="00460EAD"/>
    <w:rsid w:val="0047447C"/>
    <w:rsid w:val="004747B2"/>
    <w:rsid w:val="00481FF7"/>
    <w:rsid w:val="00495819"/>
    <w:rsid w:val="004A5F0D"/>
    <w:rsid w:val="004B0520"/>
    <w:rsid w:val="004B1C71"/>
    <w:rsid w:val="004B2849"/>
    <w:rsid w:val="004B4CD0"/>
    <w:rsid w:val="004C1E9A"/>
    <w:rsid w:val="004C20CF"/>
    <w:rsid w:val="004C26C1"/>
    <w:rsid w:val="004C3284"/>
    <w:rsid w:val="004C6D88"/>
    <w:rsid w:val="004D1302"/>
    <w:rsid w:val="004D4F09"/>
    <w:rsid w:val="004D5A8F"/>
    <w:rsid w:val="004E438C"/>
    <w:rsid w:val="00504653"/>
    <w:rsid w:val="00505475"/>
    <w:rsid w:val="005147A6"/>
    <w:rsid w:val="00515C39"/>
    <w:rsid w:val="005276A0"/>
    <w:rsid w:val="00536352"/>
    <w:rsid w:val="005377B8"/>
    <w:rsid w:val="005518D3"/>
    <w:rsid w:val="00562886"/>
    <w:rsid w:val="005763AD"/>
    <w:rsid w:val="00581732"/>
    <w:rsid w:val="005826ED"/>
    <w:rsid w:val="005836CB"/>
    <w:rsid w:val="0058498F"/>
    <w:rsid w:val="00587885"/>
    <w:rsid w:val="005918E9"/>
    <w:rsid w:val="005A190A"/>
    <w:rsid w:val="005A3BE8"/>
    <w:rsid w:val="005A4D3C"/>
    <w:rsid w:val="005C3E37"/>
    <w:rsid w:val="005C7D96"/>
    <w:rsid w:val="005D3D25"/>
    <w:rsid w:val="005D5685"/>
    <w:rsid w:val="005D663B"/>
    <w:rsid w:val="005D7329"/>
    <w:rsid w:val="005D7699"/>
    <w:rsid w:val="005E4B36"/>
    <w:rsid w:val="005F2A79"/>
    <w:rsid w:val="005F5535"/>
    <w:rsid w:val="005F7065"/>
    <w:rsid w:val="005F73D9"/>
    <w:rsid w:val="0060579E"/>
    <w:rsid w:val="00607B6D"/>
    <w:rsid w:val="00616A39"/>
    <w:rsid w:val="00622300"/>
    <w:rsid w:val="00636209"/>
    <w:rsid w:val="006442CC"/>
    <w:rsid w:val="00647245"/>
    <w:rsid w:val="006522D3"/>
    <w:rsid w:val="0065260A"/>
    <w:rsid w:val="00660979"/>
    <w:rsid w:val="0066189B"/>
    <w:rsid w:val="0067120F"/>
    <w:rsid w:val="00673EE5"/>
    <w:rsid w:val="00676D8C"/>
    <w:rsid w:val="00691427"/>
    <w:rsid w:val="00695269"/>
    <w:rsid w:val="006A6269"/>
    <w:rsid w:val="006A6C91"/>
    <w:rsid w:val="006B3B29"/>
    <w:rsid w:val="006B75B8"/>
    <w:rsid w:val="006D6519"/>
    <w:rsid w:val="006D72BA"/>
    <w:rsid w:val="006E5374"/>
    <w:rsid w:val="006F69F0"/>
    <w:rsid w:val="0071655B"/>
    <w:rsid w:val="00716B0D"/>
    <w:rsid w:val="00742227"/>
    <w:rsid w:val="00747D8E"/>
    <w:rsid w:val="007515F4"/>
    <w:rsid w:val="00752271"/>
    <w:rsid w:val="00752D3D"/>
    <w:rsid w:val="00753A53"/>
    <w:rsid w:val="00764ABE"/>
    <w:rsid w:val="00774F87"/>
    <w:rsid w:val="00780689"/>
    <w:rsid w:val="007806B0"/>
    <w:rsid w:val="00780AC6"/>
    <w:rsid w:val="007A1CCF"/>
    <w:rsid w:val="007A45C0"/>
    <w:rsid w:val="007B009A"/>
    <w:rsid w:val="007B078C"/>
    <w:rsid w:val="007B4716"/>
    <w:rsid w:val="007C43BA"/>
    <w:rsid w:val="007C74B9"/>
    <w:rsid w:val="007D2A7B"/>
    <w:rsid w:val="007D58C3"/>
    <w:rsid w:val="007E332D"/>
    <w:rsid w:val="007F1114"/>
    <w:rsid w:val="007F2B77"/>
    <w:rsid w:val="007F4B5F"/>
    <w:rsid w:val="007F66AC"/>
    <w:rsid w:val="00801587"/>
    <w:rsid w:val="0080286B"/>
    <w:rsid w:val="008123D0"/>
    <w:rsid w:val="00823469"/>
    <w:rsid w:val="008236F6"/>
    <w:rsid w:val="0083270E"/>
    <w:rsid w:val="0084069E"/>
    <w:rsid w:val="0084111E"/>
    <w:rsid w:val="00843BE4"/>
    <w:rsid w:val="008636BD"/>
    <w:rsid w:val="008817C9"/>
    <w:rsid w:val="00886C8A"/>
    <w:rsid w:val="008A09CE"/>
    <w:rsid w:val="008A6972"/>
    <w:rsid w:val="008A7E6D"/>
    <w:rsid w:val="008B1E50"/>
    <w:rsid w:val="008B68C7"/>
    <w:rsid w:val="008B7F01"/>
    <w:rsid w:val="008C22EB"/>
    <w:rsid w:val="008C50AD"/>
    <w:rsid w:val="008C7251"/>
    <w:rsid w:val="008E7030"/>
    <w:rsid w:val="008E7CEC"/>
    <w:rsid w:val="008F6350"/>
    <w:rsid w:val="00903523"/>
    <w:rsid w:val="00910E18"/>
    <w:rsid w:val="009161B2"/>
    <w:rsid w:val="00924B33"/>
    <w:rsid w:val="00926851"/>
    <w:rsid w:val="00936485"/>
    <w:rsid w:val="009410E1"/>
    <w:rsid w:val="0094475F"/>
    <w:rsid w:val="009448AA"/>
    <w:rsid w:val="00946B52"/>
    <w:rsid w:val="00963D5B"/>
    <w:rsid w:val="00987C71"/>
    <w:rsid w:val="009957A8"/>
    <w:rsid w:val="009A0CAD"/>
    <w:rsid w:val="009A4BD4"/>
    <w:rsid w:val="009A5544"/>
    <w:rsid w:val="009B1E85"/>
    <w:rsid w:val="009B260C"/>
    <w:rsid w:val="009C15CA"/>
    <w:rsid w:val="009C2E72"/>
    <w:rsid w:val="009C5369"/>
    <w:rsid w:val="009C6F0A"/>
    <w:rsid w:val="009E4C5A"/>
    <w:rsid w:val="009F0844"/>
    <w:rsid w:val="009F391E"/>
    <w:rsid w:val="009F648A"/>
    <w:rsid w:val="009F742D"/>
    <w:rsid w:val="00A013C4"/>
    <w:rsid w:val="00A04138"/>
    <w:rsid w:val="00A05AE9"/>
    <w:rsid w:val="00A061AA"/>
    <w:rsid w:val="00A1265C"/>
    <w:rsid w:val="00A20A12"/>
    <w:rsid w:val="00A2169B"/>
    <w:rsid w:val="00A268E4"/>
    <w:rsid w:val="00A26F13"/>
    <w:rsid w:val="00A40B1C"/>
    <w:rsid w:val="00A45320"/>
    <w:rsid w:val="00A456AC"/>
    <w:rsid w:val="00A65D59"/>
    <w:rsid w:val="00A679BC"/>
    <w:rsid w:val="00A7372A"/>
    <w:rsid w:val="00A839A8"/>
    <w:rsid w:val="00A84C81"/>
    <w:rsid w:val="00A90A71"/>
    <w:rsid w:val="00A92D02"/>
    <w:rsid w:val="00A96711"/>
    <w:rsid w:val="00AA59F7"/>
    <w:rsid w:val="00AA6C29"/>
    <w:rsid w:val="00AB1752"/>
    <w:rsid w:val="00AB187A"/>
    <w:rsid w:val="00AB2708"/>
    <w:rsid w:val="00AB4C88"/>
    <w:rsid w:val="00AB534F"/>
    <w:rsid w:val="00AB6C68"/>
    <w:rsid w:val="00AC1A24"/>
    <w:rsid w:val="00AC35CE"/>
    <w:rsid w:val="00AC6175"/>
    <w:rsid w:val="00AD1295"/>
    <w:rsid w:val="00AE1D88"/>
    <w:rsid w:val="00AE7C50"/>
    <w:rsid w:val="00B136D8"/>
    <w:rsid w:val="00B1599D"/>
    <w:rsid w:val="00B22C29"/>
    <w:rsid w:val="00B237C8"/>
    <w:rsid w:val="00B27729"/>
    <w:rsid w:val="00B30CDB"/>
    <w:rsid w:val="00B33D61"/>
    <w:rsid w:val="00B3421E"/>
    <w:rsid w:val="00B3493D"/>
    <w:rsid w:val="00B37524"/>
    <w:rsid w:val="00B461B2"/>
    <w:rsid w:val="00B46EDA"/>
    <w:rsid w:val="00B50AFA"/>
    <w:rsid w:val="00B6350B"/>
    <w:rsid w:val="00B6757B"/>
    <w:rsid w:val="00B7303D"/>
    <w:rsid w:val="00B9593D"/>
    <w:rsid w:val="00BA204F"/>
    <w:rsid w:val="00BA7277"/>
    <w:rsid w:val="00BB1B0E"/>
    <w:rsid w:val="00BB40DE"/>
    <w:rsid w:val="00BB58AE"/>
    <w:rsid w:val="00BC0D89"/>
    <w:rsid w:val="00BC4DEA"/>
    <w:rsid w:val="00BC6391"/>
    <w:rsid w:val="00BC6D38"/>
    <w:rsid w:val="00BD0D51"/>
    <w:rsid w:val="00BD4A43"/>
    <w:rsid w:val="00BD6D6A"/>
    <w:rsid w:val="00BE26F1"/>
    <w:rsid w:val="00BE2ECA"/>
    <w:rsid w:val="00BE457B"/>
    <w:rsid w:val="00BE7718"/>
    <w:rsid w:val="00BF00FA"/>
    <w:rsid w:val="00C11541"/>
    <w:rsid w:val="00C15405"/>
    <w:rsid w:val="00C24A51"/>
    <w:rsid w:val="00C419AC"/>
    <w:rsid w:val="00C4214C"/>
    <w:rsid w:val="00C445FC"/>
    <w:rsid w:val="00C47010"/>
    <w:rsid w:val="00C57786"/>
    <w:rsid w:val="00C7592E"/>
    <w:rsid w:val="00C77DC2"/>
    <w:rsid w:val="00C82796"/>
    <w:rsid w:val="00C86390"/>
    <w:rsid w:val="00C9034E"/>
    <w:rsid w:val="00C94222"/>
    <w:rsid w:val="00C9676A"/>
    <w:rsid w:val="00CA75F0"/>
    <w:rsid w:val="00CB062F"/>
    <w:rsid w:val="00CC0CCF"/>
    <w:rsid w:val="00CC2982"/>
    <w:rsid w:val="00CC3820"/>
    <w:rsid w:val="00CC7311"/>
    <w:rsid w:val="00CD57AF"/>
    <w:rsid w:val="00CE04D0"/>
    <w:rsid w:val="00CE1C8A"/>
    <w:rsid w:val="00CE39A5"/>
    <w:rsid w:val="00CE6DE4"/>
    <w:rsid w:val="00CF6556"/>
    <w:rsid w:val="00D0080E"/>
    <w:rsid w:val="00D10808"/>
    <w:rsid w:val="00D17F49"/>
    <w:rsid w:val="00D206A4"/>
    <w:rsid w:val="00D216CA"/>
    <w:rsid w:val="00D3301E"/>
    <w:rsid w:val="00D35908"/>
    <w:rsid w:val="00D45403"/>
    <w:rsid w:val="00D548AC"/>
    <w:rsid w:val="00D54C0B"/>
    <w:rsid w:val="00D621E9"/>
    <w:rsid w:val="00D63CEA"/>
    <w:rsid w:val="00D71C2F"/>
    <w:rsid w:val="00D723B5"/>
    <w:rsid w:val="00D72793"/>
    <w:rsid w:val="00D72BC2"/>
    <w:rsid w:val="00D749A5"/>
    <w:rsid w:val="00D75F1F"/>
    <w:rsid w:val="00D8105A"/>
    <w:rsid w:val="00D81350"/>
    <w:rsid w:val="00D867FC"/>
    <w:rsid w:val="00D90065"/>
    <w:rsid w:val="00DA0223"/>
    <w:rsid w:val="00DA19A3"/>
    <w:rsid w:val="00DA2373"/>
    <w:rsid w:val="00DA2A34"/>
    <w:rsid w:val="00DA2B67"/>
    <w:rsid w:val="00DB343B"/>
    <w:rsid w:val="00DB46BA"/>
    <w:rsid w:val="00DB4BD7"/>
    <w:rsid w:val="00DD22A1"/>
    <w:rsid w:val="00DD5111"/>
    <w:rsid w:val="00DD5D08"/>
    <w:rsid w:val="00DE12F7"/>
    <w:rsid w:val="00DE28FD"/>
    <w:rsid w:val="00DE4519"/>
    <w:rsid w:val="00DE5AED"/>
    <w:rsid w:val="00DF6711"/>
    <w:rsid w:val="00E072B6"/>
    <w:rsid w:val="00E07B03"/>
    <w:rsid w:val="00E11E6F"/>
    <w:rsid w:val="00E13C1B"/>
    <w:rsid w:val="00E1405A"/>
    <w:rsid w:val="00E14740"/>
    <w:rsid w:val="00E14E97"/>
    <w:rsid w:val="00E16D74"/>
    <w:rsid w:val="00E21337"/>
    <w:rsid w:val="00E23383"/>
    <w:rsid w:val="00E32855"/>
    <w:rsid w:val="00E34A48"/>
    <w:rsid w:val="00E3725E"/>
    <w:rsid w:val="00E37B3A"/>
    <w:rsid w:val="00E421D6"/>
    <w:rsid w:val="00E4372E"/>
    <w:rsid w:val="00E45B83"/>
    <w:rsid w:val="00E54360"/>
    <w:rsid w:val="00E60BF6"/>
    <w:rsid w:val="00E61B02"/>
    <w:rsid w:val="00E71A1B"/>
    <w:rsid w:val="00E80BAB"/>
    <w:rsid w:val="00E81717"/>
    <w:rsid w:val="00E81901"/>
    <w:rsid w:val="00E91013"/>
    <w:rsid w:val="00E9534B"/>
    <w:rsid w:val="00E96BCB"/>
    <w:rsid w:val="00EA17BF"/>
    <w:rsid w:val="00EA359E"/>
    <w:rsid w:val="00EA4DEF"/>
    <w:rsid w:val="00EA59BC"/>
    <w:rsid w:val="00EB3F77"/>
    <w:rsid w:val="00EB5F23"/>
    <w:rsid w:val="00EB6F9C"/>
    <w:rsid w:val="00EB6FA0"/>
    <w:rsid w:val="00EB7385"/>
    <w:rsid w:val="00EB7665"/>
    <w:rsid w:val="00EC025C"/>
    <w:rsid w:val="00EC5DDF"/>
    <w:rsid w:val="00EC6033"/>
    <w:rsid w:val="00ED2569"/>
    <w:rsid w:val="00EE3B97"/>
    <w:rsid w:val="00EF46F4"/>
    <w:rsid w:val="00F00BE1"/>
    <w:rsid w:val="00F02C02"/>
    <w:rsid w:val="00F10F96"/>
    <w:rsid w:val="00F1123B"/>
    <w:rsid w:val="00F1566E"/>
    <w:rsid w:val="00F15752"/>
    <w:rsid w:val="00F15BA5"/>
    <w:rsid w:val="00F22E94"/>
    <w:rsid w:val="00F24781"/>
    <w:rsid w:val="00F27398"/>
    <w:rsid w:val="00F311B3"/>
    <w:rsid w:val="00F467C1"/>
    <w:rsid w:val="00F51382"/>
    <w:rsid w:val="00F51AE5"/>
    <w:rsid w:val="00F5471D"/>
    <w:rsid w:val="00F5791E"/>
    <w:rsid w:val="00F64555"/>
    <w:rsid w:val="00F71693"/>
    <w:rsid w:val="00F87218"/>
    <w:rsid w:val="00F927AC"/>
    <w:rsid w:val="00F977E4"/>
    <w:rsid w:val="00F97AE9"/>
    <w:rsid w:val="00FB65F6"/>
    <w:rsid w:val="00FC051B"/>
    <w:rsid w:val="00FC1FF3"/>
    <w:rsid w:val="00FD1FB2"/>
    <w:rsid w:val="00FD59F1"/>
    <w:rsid w:val="00FD7F38"/>
    <w:rsid w:val="00FE3664"/>
    <w:rsid w:val="00FE7E1F"/>
    <w:rsid w:val="00FF3A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2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390"/>
    <w:rPr>
      <w:sz w:val="24"/>
      <w:szCs w:val="24"/>
    </w:rPr>
  </w:style>
  <w:style w:type="paragraph" w:styleId="Heading1">
    <w:name w:val="heading 1"/>
    <w:basedOn w:val="PBACheading1"/>
    <w:next w:val="Normal"/>
    <w:link w:val="Heading1Char"/>
    <w:uiPriority w:val="9"/>
    <w:qFormat/>
    <w:rsid w:val="0071655B"/>
    <w:pPr>
      <w:spacing w:before="240" w:after="120"/>
      <w:outlineLvl w:val="0"/>
    </w:pPr>
    <w:rPr>
      <w:sz w:val="32"/>
      <w:szCs w:val="32"/>
    </w:rPr>
  </w:style>
  <w:style w:type="paragraph" w:styleId="Heading2">
    <w:name w:val="heading 2"/>
    <w:aliases w:val="3. Subsection Heading"/>
    <w:basedOn w:val="Normal"/>
    <w:next w:val="Normal"/>
    <w:link w:val="Heading2Char"/>
    <w:uiPriority w:val="1"/>
    <w:qFormat/>
    <w:rsid w:val="00AB4C88"/>
    <w:pPr>
      <w:keepNext/>
      <w:spacing w:before="240" w:after="120"/>
      <w:outlineLvl w:val="1"/>
    </w:pPr>
    <w:rPr>
      <w:rFonts w:asciiTheme="minorHAnsi" w:eastAsiaTheme="majorEastAsia" w:hAnsiTheme="minorHAnsi"/>
      <w:b/>
      <w:i/>
      <w:sz w:val="28"/>
      <w:szCs w:val="28"/>
    </w:rPr>
  </w:style>
  <w:style w:type="paragraph" w:styleId="Heading3">
    <w:name w:val="heading 3"/>
    <w:basedOn w:val="Normal"/>
    <w:next w:val="Normal"/>
    <w:link w:val="Heading3Char"/>
    <w:unhideWhenUsed/>
    <w:qFormat/>
    <w:rsid w:val="006712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Numbered para,Footnote,Bullet point,List Paragraph1,List Paragraph11,Recommendation,ES Paragraph,PBAC ES Paragraph,PBAC normal points,Bullet List,Figure_name,Numbered Indented Text,Bullet- First level,List NUmber"/>
    <w:basedOn w:val="Normal"/>
    <w:link w:val="ListParagraphChar"/>
    <w:uiPriority w:val="34"/>
    <w:qFormat/>
    <w:rsid w:val="0067120F"/>
    <w:pPr>
      <w:widowControl w:val="0"/>
      <w:ind w:left="720"/>
      <w:contextualSpacing/>
      <w:jc w:val="both"/>
    </w:pPr>
    <w:rPr>
      <w:rFonts w:ascii="Arial" w:hAnsi="Arial" w:cs="Arial"/>
      <w:snapToGrid w:val="0"/>
      <w:sz w:val="22"/>
      <w:szCs w:val="20"/>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Figure_name Char"/>
    <w:basedOn w:val="DefaultParagraphFont"/>
    <w:link w:val="ListParagraph"/>
    <w:uiPriority w:val="34"/>
    <w:qFormat/>
    <w:locked/>
    <w:rsid w:val="0067120F"/>
    <w:rPr>
      <w:rFonts w:ascii="Arial" w:hAnsi="Arial" w:cs="Arial"/>
      <w:snapToGrid w:val="0"/>
      <w:sz w:val="22"/>
    </w:rPr>
  </w:style>
  <w:style w:type="character" w:styleId="CommentReference">
    <w:name w:val="annotation reference"/>
    <w:aliases w:val="Table Title"/>
    <w:basedOn w:val="DefaultParagraphFont"/>
    <w:uiPriority w:val="99"/>
    <w:qFormat/>
    <w:rsid w:val="0067120F"/>
    <w:rPr>
      <w:sz w:val="16"/>
      <w:szCs w:val="16"/>
    </w:rPr>
  </w:style>
  <w:style w:type="paragraph" w:styleId="CommentText">
    <w:name w:val="annotation text"/>
    <w:basedOn w:val="Normal"/>
    <w:link w:val="CommentTextChar"/>
    <w:uiPriority w:val="99"/>
    <w:rsid w:val="00A013C4"/>
    <w:rPr>
      <w:sz w:val="20"/>
    </w:rPr>
  </w:style>
  <w:style w:type="character" w:customStyle="1" w:styleId="CommentTextChar">
    <w:name w:val="Comment Text Char"/>
    <w:basedOn w:val="DefaultParagraphFont"/>
    <w:link w:val="CommentText"/>
    <w:uiPriority w:val="99"/>
    <w:rsid w:val="00A013C4"/>
    <w:rPr>
      <w:rFonts w:ascii="Times New Roman" w:eastAsia="Times New Roman" w:hAnsi="Times New Roman" w:cs="Times New Roman"/>
      <w:snapToGrid w:val="0"/>
      <w:sz w:val="20"/>
      <w:szCs w:val="20"/>
    </w:rPr>
  </w:style>
  <w:style w:type="paragraph" w:customStyle="1" w:styleId="PBACheading1">
    <w:name w:val="PBAC heading 1"/>
    <w:basedOn w:val="Title"/>
    <w:qFormat/>
    <w:rsid w:val="00331FF4"/>
  </w:style>
  <w:style w:type="paragraph" w:styleId="BalloonText">
    <w:name w:val="Balloon Text"/>
    <w:basedOn w:val="Normal"/>
    <w:link w:val="BalloonTextChar"/>
    <w:uiPriority w:val="99"/>
    <w:semiHidden/>
    <w:unhideWhenUsed/>
    <w:rsid w:val="00A013C4"/>
    <w:rPr>
      <w:rFonts w:ascii="Tahoma" w:hAnsi="Tahoma" w:cs="Tahoma"/>
      <w:sz w:val="16"/>
      <w:szCs w:val="16"/>
    </w:rPr>
  </w:style>
  <w:style w:type="character" w:customStyle="1" w:styleId="BalloonTextChar">
    <w:name w:val="Balloon Text Char"/>
    <w:basedOn w:val="DefaultParagraphFont"/>
    <w:link w:val="BalloonText"/>
    <w:uiPriority w:val="99"/>
    <w:semiHidden/>
    <w:rsid w:val="00A013C4"/>
    <w:rPr>
      <w:rFonts w:ascii="Tahoma" w:eastAsia="Times New Roman" w:hAnsi="Tahoma" w:cs="Tahoma"/>
      <w:snapToGrid w:val="0"/>
      <w:sz w:val="16"/>
      <w:szCs w:val="16"/>
    </w:rPr>
  </w:style>
  <w:style w:type="paragraph" w:styleId="Title">
    <w:name w:val="Title"/>
    <w:basedOn w:val="Normal"/>
    <w:next w:val="Normal"/>
    <w:link w:val="TitleChar"/>
    <w:qFormat/>
    <w:rsid w:val="0071655B"/>
    <w:rPr>
      <w:b/>
      <w:snapToGrid w:val="0"/>
      <w:sz w:val="36"/>
      <w:szCs w:val="36"/>
      <w:lang w:eastAsia="en-AU"/>
    </w:rPr>
  </w:style>
  <w:style w:type="character" w:customStyle="1" w:styleId="TitleChar">
    <w:name w:val="Title Char"/>
    <w:basedOn w:val="DefaultParagraphFont"/>
    <w:link w:val="Title"/>
    <w:rsid w:val="0071655B"/>
    <w:rPr>
      <w:rFonts w:eastAsia="Times New Roman" w:cstheme="minorHAnsi"/>
      <w:b/>
      <w:sz w:val="36"/>
      <w:szCs w:val="36"/>
      <w:lang w:eastAsia="en-AU"/>
    </w:rPr>
  </w:style>
  <w:style w:type="paragraph" w:styleId="Header">
    <w:name w:val="header"/>
    <w:basedOn w:val="Normal"/>
    <w:link w:val="HeaderChar"/>
    <w:unhideWhenUsed/>
    <w:qFormat/>
    <w:rsid w:val="00A013C4"/>
    <w:pPr>
      <w:tabs>
        <w:tab w:val="center" w:pos="4513"/>
        <w:tab w:val="right" w:pos="9026"/>
      </w:tabs>
    </w:pPr>
  </w:style>
  <w:style w:type="character" w:customStyle="1" w:styleId="HeaderChar">
    <w:name w:val="Header Char"/>
    <w:basedOn w:val="DefaultParagraphFont"/>
    <w:link w:val="Header"/>
    <w:rsid w:val="00A013C4"/>
    <w:rPr>
      <w:rFonts w:ascii="Arial" w:eastAsia="Times New Roman" w:hAnsi="Arial" w:cs="Arial"/>
      <w:snapToGrid w:val="0"/>
      <w:szCs w:val="20"/>
    </w:rPr>
  </w:style>
  <w:style w:type="paragraph" w:styleId="Footer">
    <w:name w:val="footer"/>
    <w:basedOn w:val="Normal"/>
    <w:link w:val="FooterChar"/>
    <w:uiPriority w:val="99"/>
    <w:unhideWhenUsed/>
    <w:rsid w:val="00A013C4"/>
    <w:pPr>
      <w:tabs>
        <w:tab w:val="center" w:pos="4513"/>
        <w:tab w:val="right" w:pos="9026"/>
      </w:tabs>
    </w:pPr>
  </w:style>
  <w:style w:type="character" w:customStyle="1" w:styleId="FooterChar">
    <w:name w:val="Footer Char"/>
    <w:basedOn w:val="DefaultParagraphFont"/>
    <w:link w:val="Footer"/>
    <w:uiPriority w:val="99"/>
    <w:rsid w:val="00A013C4"/>
    <w:rPr>
      <w:rFonts w:ascii="Arial" w:eastAsia="Times New Roman" w:hAnsi="Arial" w:cs="Arial"/>
      <w:snapToGrid w:val="0"/>
      <w:szCs w:val="20"/>
    </w:rPr>
  </w:style>
  <w:style w:type="paragraph" w:styleId="CommentSubject">
    <w:name w:val="annotation subject"/>
    <w:basedOn w:val="CommentText"/>
    <w:next w:val="CommentText"/>
    <w:link w:val="CommentSubjectChar"/>
    <w:uiPriority w:val="99"/>
    <w:semiHidden/>
    <w:unhideWhenUsed/>
    <w:rsid w:val="002545BF"/>
    <w:rPr>
      <w:rFonts w:ascii="Arial" w:hAnsi="Arial" w:cs="Arial"/>
      <w:b/>
      <w:bCs/>
    </w:rPr>
  </w:style>
  <w:style w:type="character" w:customStyle="1" w:styleId="CommentSubjectChar">
    <w:name w:val="Comment Subject Char"/>
    <w:basedOn w:val="CommentTextChar"/>
    <w:link w:val="CommentSubject"/>
    <w:uiPriority w:val="99"/>
    <w:semiHidden/>
    <w:rsid w:val="002545BF"/>
    <w:rPr>
      <w:rFonts w:ascii="Arial" w:eastAsia="Times New Roman" w:hAnsi="Arial" w:cs="Arial"/>
      <w:b/>
      <w:bCs/>
      <w:snapToGrid w:val="0"/>
      <w:sz w:val="20"/>
      <w:szCs w:val="20"/>
    </w:rPr>
  </w:style>
  <w:style w:type="paragraph" w:styleId="NoSpacing">
    <w:name w:val="No Spacing"/>
    <w:basedOn w:val="Normal"/>
    <w:link w:val="NoSpacingChar"/>
    <w:uiPriority w:val="1"/>
    <w:qFormat/>
    <w:rsid w:val="0067120F"/>
    <w:pPr>
      <w:jc w:val="both"/>
    </w:pPr>
    <w:rPr>
      <w:rFonts w:asciiTheme="minorHAnsi" w:hAnsiTheme="minorHAnsi" w:cstheme="minorHAnsi"/>
    </w:rPr>
  </w:style>
  <w:style w:type="character" w:customStyle="1" w:styleId="Heading1Char">
    <w:name w:val="Heading 1 Char"/>
    <w:basedOn w:val="DefaultParagraphFont"/>
    <w:link w:val="Heading1"/>
    <w:uiPriority w:val="9"/>
    <w:rsid w:val="0071655B"/>
    <w:rPr>
      <w:rFonts w:eastAsia="Times New Roman" w:cstheme="minorHAnsi"/>
      <w:b/>
      <w:snapToGrid w:val="0"/>
      <w:sz w:val="32"/>
      <w:szCs w:val="32"/>
    </w:rPr>
  </w:style>
  <w:style w:type="paragraph" w:styleId="Caption">
    <w:name w:val="caption"/>
    <w:basedOn w:val="Normal"/>
    <w:next w:val="Normal"/>
    <w:link w:val="CaptionChar"/>
    <w:uiPriority w:val="35"/>
    <w:unhideWhenUsed/>
    <w:qFormat/>
    <w:rsid w:val="0067120F"/>
    <w:pPr>
      <w:spacing w:after="200"/>
    </w:pPr>
    <w:rPr>
      <w:rFonts w:ascii="Calibri" w:hAnsi="Calibri"/>
      <w:i/>
      <w:iCs/>
      <w:color w:val="000000" w:themeColor="text1"/>
      <w:sz w:val="18"/>
      <w:szCs w:val="18"/>
    </w:rPr>
  </w:style>
  <w:style w:type="character" w:customStyle="1" w:styleId="Heading2Char">
    <w:name w:val="Heading 2 Char"/>
    <w:aliases w:val="3. Subsection Heading Char"/>
    <w:basedOn w:val="DefaultParagraphFont"/>
    <w:link w:val="Heading2"/>
    <w:uiPriority w:val="1"/>
    <w:rsid w:val="00AB4C88"/>
    <w:rPr>
      <w:rFonts w:asciiTheme="minorHAnsi" w:eastAsiaTheme="majorEastAsia" w:hAnsiTheme="minorHAnsi"/>
      <w:b/>
      <w:i/>
      <w:sz w:val="28"/>
      <w:szCs w:val="28"/>
    </w:rPr>
  </w:style>
  <w:style w:type="paragraph" w:customStyle="1" w:styleId="4bulletpoint">
    <w:name w:val="4. bullet point"/>
    <w:basedOn w:val="ListParagraph"/>
    <w:link w:val="4bulletpointChar"/>
    <w:qFormat/>
    <w:rsid w:val="00CE39A5"/>
    <w:pPr>
      <w:numPr>
        <w:numId w:val="1"/>
      </w:numPr>
      <w:spacing w:after="120"/>
      <w:contextualSpacing w:val="0"/>
    </w:pPr>
    <w:rPr>
      <w:rFonts w:asciiTheme="minorHAnsi" w:hAnsiTheme="minorHAnsi"/>
      <w:sz w:val="24"/>
      <w:szCs w:val="24"/>
    </w:rPr>
  </w:style>
  <w:style w:type="paragraph" w:customStyle="1" w:styleId="5Tabletext">
    <w:name w:val="5. Table text"/>
    <w:basedOn w:val="BodyText2"/>
    <w:qFormat/>
    <w:rsid w:val="00CE39A5"/>
    <w:pPr>
      <w:widowControl w:val="0"/>
      <w:spacing w:after="0" w:line="240" w:lineRule="auto"/>
      <w:jc w:val="both"/>
    </w:pPr>
    <w:rPr>
      <w:rFonts w:ascii="Arial Narrow" w:hAnsi="Arial Narrow"/>
      <w:snapToGrid w:val="0"/>
      <w:sz w:val="20"/>
      <w:szCs w:val="20"/>
    </w:rPr>
  </w:style>
  <w:style w:type="character" w:customStyle="1" w:styleId="4bulletpointChar">
    <w:name w:val="4. bullet point Char"/>
    <w:basedOn w:val="ListParagraphChar"/>
    <w:link w:val="4bulletpoint"/>
    <w:rsid w:val="00CE39A5"/>
    <w:rPr>
      <w:rFonts w:asciiTheme="minorHAnsi" w:hAnsiTheme="minorHAnsi" w:cs="Arial"/>
      <w:snapToGrid w:val="0"/>
      <w:sz w:val="24"/>
      <w:szCs w:val="24"/>
    </w:rPr>
  </w:style>
  <w:style w:type="paragraph" w:styleId="BodyText2">
    <w:name w:val="Body Text 2"/>
    <w:basedOn w:val="Normal"/>
    <w:link w:val="BodyText2Char"/>
    <w:uiPriority w:val="99"/>
    <w:semiHidden/>
    <w:unhideWhenUsed/>
    <w:rsid w:val="0067120F"/>
    <w:pPr>
      <w:spacing w:after="120" w:line="480" w:lineRule="auto"/>
    </w:pPr>
  </w:style>
  <w:style w:type="character" w:customStyle="1" w:styleId="BodyText2Char">
    <w:name w:val="Body Text 2 Char"/>
    <w:basedOn w:val="DefaultParagraphFont"/>
    <w:link w:val="BodyText2"/>
    <w:uiPriority w:val="99"/>
    <w:semiHidden/>
    <w:rsid w:val="0067120F"/>
  </w:style>
  <w:style w:type="paragraph" w:customStyle="1" w:styleId="2Sections">
    <w:name w:val="2. Sections"/>
    <w:qFormat/>
    <w:rsid w:val="0067120F"/>
    <w:pPr>
      <w:numPr>
        <w:numId w:val="3"/>
      </w:numPr>
      <w:spacing w:before="240" w:after="120"/>
      <w:outlineLvl w:val="0"/>
    </w:pPr>
    <w:rPr>
      <w:rFonts w:asciiTheme="minorHAnsi" w:hAnsiTheme="minorHAnsi" w:cs="Arial"/>
      <w:b/>
      <w:snapToGrid w:val="0"/>
      <w:sz w:val="32"/>
      <w:szCs w:val="32"/>
    </w:rPr>
  </w:style>
  <w:style w:type="paragraph" w:customStyle="1" w:styleId="1MainTitle">
    <w:name w:val="1. Main Title"/>
    <w:basedOn w:val="Title"/>
    <w:link w:val="1MainTitleChar"/>
    <w:qFormat/>
    <w:rsid w:val="003326B0"/>
    <w:pPr>
      <w:spacing w:after="120"/>
      <w:ind w:left="720" w:hanging="720"/>
      <w:contextualSpacing/>
      <w:outlineLvl w:val="0"/>
    </w:pPr>
    <w:rPr>
      <w:rFonts w:asciiTheme="minorHAnsi" w:eastAsiaTheme="majorEastAsia" w:hAnsiTheme="minorHAnsi" w:cstheme="majorBidi"/>
      <w:snapToGrid/>
      <w:spacing w:val="5"/>
      <w:kern w:val="28"/>
      <w:lang w:eastAsia="en-US"/>
    </w:rPr>
  </w:style>
  <w:style w:type="character" w:customStyle="1" w:styleId="1MainTitleChar">
    <w:name w:val="1. Main Title Char"/>
    <w:basedOn w:val="TitleChar"/>
    <w:link w:val="1MainTitle"/>
    <w:rsid w:val="003326B0"/>
    <w:rPr>
      <w:rFonts w:asciiTheme="minorHAnsi" w:eastAsiaTheme="majorEastAsia" w:hAnsiTheme="minorHAnsi" w:cstheme="majorBidi"/>
      <w:b/>
      <w:spacing w:val="5"/>
      <w:kern w:val="28"/>
      <w:sz w:val="36"/>
      <w:szCs w:val="36"/>
      <w:lang w:eastAsia="en-AU"/>
    </w:rPr>
  </w:style>
  <w:style w:type="paragraph" w:customStyle="1" w:styleId="5Tableheaders">
    <w:name w:val="5. Table headers"/>
    <w:basedOn w:val="NoSpacing"/>
    <w:link w:val="5TableheadersChar"/>
    <w:qFormat/>
    <w:rsid w:val="00CE39A5"/>
    <w:rPr>
      <w:rFonts w:ascii="Arial Narrow" w:hAnsi="Arial Narrow" w:cs="Times New Roman"/>
      <w:b/>
      <w:sz w:val="20"/>
    </w:rPr>
  </w:style>
  <w:style w:type="character" w:customStyle="1" w:styleId="5TableheadersChar">
    <w:name w:val="5. Table headers Char"/>
    <w:basedOn w:val="NoSpacingChar"/>
    <w:link w:val="5Tableheaders"/>
    <w:rsid w:val="00CE39A5"/>
    <w:rPr>
      <w:rFonts w:ascii="Arial Narrow" w:hAnsi="Arial Narrow" w:cstheme="minorHAnsi"/>
      <w:b/>
      <w:sz w:val="24"/>
      <w:szCs w:val="24"/>
    </w:rPr>
  </w:style>
  <w:style w:type="paragraph" w:customStyle="1" w:styleId="4Bodytext">
    <w:name w:val="4. Body text"/>
    <w:basedOn w:val="4Bodytextnumbered"/>
    <w:link w:val="4BodytextChar"/>
    <w:qFormat/>
    <w:rsid w:val="0067120F"/>
    <w:pPr>
      <w:numPr>
        <w:ilvl w:val="0"/>
        <w:numId w:val="0"/>
      </w:numPr>
      <w:ind w:left="720" w:hanging="720"/>
    </w:pPr>
  </w:style>
  <w:style w:type="character" w:customStyle="1" w:styleId="4BodytextChar">
    <w:name w:val="4. Body text Char"/>
    <w:basedOn w:val="ListParagraphChar"/>
    <w:link w:val="4Bodytext"/>
    <w:rsid w:val="0067120F"/>
    <w:rPr>
      <w:rFonts w:asciiTheme="minorHAnsi" w:eastAsiaTheme="minorHAnsi" w:hAnsiTheme="minorHAnsi" w:cstheme="minorBidi"/>
      <w:snapToGrid/>
      <w:sz w:val="24"/>
      <w:szCs w:val="22"/>
    </w:rPr>
  </w:style>
  <w:style w:type="paragraph" w:customStyle="1" w:styleId="PBACFooter">
    <w:name w:val="PBAC Footer"/>
    <w:basedOn w:val="5TableFooter"/>
    <w:link w:val="PBACFooterChar"/>
    <w:qFormat/>
    <w:rsid w:val="00495819"/>
  </w:style>
  <w:style w:type="character" w:customStyle="1" w:styleId="PBACFooterChar">
    <w:name w:val="PBAC Footer Char"/>
    <w:basedOn w:val="FooterChar"/>
    <w:link w:val="PBACFooter"/>
    <w:rsid w:val="00495819"/>
    <w:rPr>
      <w:rFonts w:ascii="Arial Narrow" w:eastAsia="Times New Roman" w:hAnsi="Arial Narrow" w:cs="Arial"/>
      <w:snapToGrid w:val="0"/>
      <w:sz w:val="18"/>
      <w:szCs w:val="22"/>
    </w:rPr>
  </w:style>
  <w:style w:type="paragraph" w:customStyle="1" w:styleId="5Tabletitle">
    <w:name w:val="5. Table title"/>
    <w:basedOn w:val="Normal"/>
    <w:link w:val="5TabletitleChar"/>
    <w:qFormat/>
    <w:rsid w:val="00CE39A5"/>
    <w:rPr>
      <w:rFonts w:ascii="Arial Narrow" w:hAnsi="Arial Narrow" w:cs="Arial"/>
      <w:b/>
      <w:sz w:val="20"/>
      <w:szCs w:val="22"/>
    </w:rPr>
  </w:style>
  <w:style w:type="character" w:customStyle="1" w:styleId="5TabletitleChar">
    <w:name w:val="5. Table title Char"/>
    <w:basedOn w:val="NoSpacingChar"/>
    <w:link w:val="5Tabletitle"/>
    <w:rsid w:val="00CE39A5"/>
    <w:rPr>
      <w:rFonts w:ascii="Arial Narrow" w:hAnsi="Arial Narrow" w:cs="Arial"/>
      <w:b/>
      <w:sz w:val="24"/>
      <w:szCs w:val="22"/>
    </w:rPr>
  </w:style>
  <w:style w:type="paragraph" w:customStyle="1" w:styleId="Lists">
    <w:name w:val="Lists"/>
    <w:basedOn w:val="4Bodytext"/>
    <w:link w:val="ListsChar"/>
    <w:qFormat/>
    <w:rsid w:val="0067120F"/>
    <w:pPr>
      <w:ind w:left="1080" w:hanging="360"/>
    </w:pPr>
  </w:style>
  <w:style w:type="character" w:customStyle="1" w:styleId="ListsChar">
    <w:name w:val="Lists Char"/>
    <w:basedOn w:val="4BodytextChar"/>
    <w:link w:val="Lists"/>
    <w:rsid w:val="0067120F"/>
    <w:rPr>
      <w:rFonts w:asciiTheme="minorHAnsi" w:eastAsiaTheme="minorHAnsi" w:hAnsiTheme="minorHAnsi" w:cstheme="minorBidi"/>
      <w:snapToGrid/>
      <w:sz w:val="24"/>
      <w:szCs w:val="22"/>
    </w:rPr>
  </w:style>
  <w:style w:type="paragraph" w:customStyle="1" w:styleId="Bulletpoints">
    <w:name w:val="Bullet points"/>
    <w:basedOn w:val="ListParagraph"/>
    <w:qFormat/>
    <w:rsid w:val="0067120F"/>
    <w:pPr>
      <w:numPr>
        <w:numId w:val="2"/>
      </w:numPr>
      <w:contextualSpacing w:val="0"/>
    </w:pPr>
    <w:rPr>
      <w:rFonts w:ascii="Calibri" w:hAnsi="Calibri"/>
      <w:sz w:val="24"/>
      <w:szCs w:val="24"/>
    </w:rPr>
  </w:style>
  <w:style w:type="paragraph" w:customStyle="1" w:styleId="5TableFooter">
    <w:name w:val="5. Table Footer"/>
    <w:basedOn w:val="Normal"/>
    <w:link w:val="5TableFooterChar"/>
    <w:qFormat/>
    <w:rsid w:val="0067120F"/>
    <w:pPr>
      <w:widowControl w:val="0"/>
      <w:jc w:val="both"/>
    </w:pPr>
    <w:rPr>
      <w:rFonts w:ascii="Arial Narrow" w:hAnsi="Arial Narrow" w:cs="Arial"/>
      <w:snapToGrid w:val="0"/>
      <w:sz w:val="18"/>
      <w:szCs w:val="22"/>
    </w:rPr>
  </w:style>
  <w:style w:type="character" w:customStyle="1" w:styleId="5TableFooterChar">
    <w:name w:val="5. Table Footer Char"/>
    <w:link w:val="5TableFooter"/>
    <w:rsid w:val="0067120F"/>
    <w:rPr>
      <w:rFonts w:ascii="Arial Narrow" w:hAnsi="Arial Narrow" w:cs="Arial"/>
      <w:snapToGrid w:val="0"/>
      <w:sz w:val="18"/>
      <w:szCs w:val="22"/>
    </w:rPr>
  </w:style>
  <w:style w:type="paragraph" w:customStyle="1" w:styleId="4Bodytextnumbered">
    <w:name w:val="4. Body text numbered"/>
    <w:basedOn w:val="ListParagraph"/>
    <w:qFormat/>
    <w:rsid w:val="0067120F"/>
    <w:pPr>
      <w:widowControl/>
      <w:numPr>
        <w:ilvl w:val="1"/>
        <w:numId w:val="3"/>
      </w:numPr>
      <w:spacing w:after="120"/>
      <w:contextualSpacing w:val="0"/>
    </w:pPr>
    <w:rPr>
      <w:rFonts w:asciiTheme="minorHAnsi" w:eastAsiaTheme="minorHAnsi" w:hAnsiTheme="minorHAnsi" w:cstheme="minorBidi"/>
      <w:snapToGrid/>
      <w:sz w:val="24"/>
      <w:szCs w:val="22"/>
    </w:rPr>
  </w:style>
  <w:style w:type="paragraph" w:styleId="BodyText">
    <w:name w:val="Body Text"/>
    <w:basedOn w:val="Normal"/>
    <w:link w:val="BodyTextChar"/>
    <w:uiPriority w:val="99"/>
    <w:semiHidden/>
    <w:unhideWhenUsed/>
    <w:rsid w:val="0067120F"/>
    <w:pPr>
      <w:spacing w:after="120"/>
    </w:pPr>
  </w:style>
  <w:style w:type="character" w:customStyle="1" w:styleId="BodyTextChar">
    <w:name w:val="Body Text Char"/>
    <w:basedOn w:val="DefaultParagraphFont"/>
    <w:link w:val="BodyText"/>
    <w:uiPriority w:val="99"/>
    <w:semiHidden/>
    <w:rsid w:val="0067120F"/>
  </w:style>
  <w:style w:type="character" w:customStyle="1" w:styleId="Heading3Char">
    <w:name w:val="Heading 3 Char"/>
    <w:basedOn w:val="DefaultParagraphFont"/>
    <w:link w:val="Heading3"/>
    <w:rsid w:val="0067120F"/>
    <w:rPr>
      <w:rFonts w:asciiTheme="majorHAnsi" w:eastAsiaTheme="majorEastAsia" w:hAnsiTheme="majorHAnsi" w:cstheme="majorBidi"/>
      <w:b/>
      <w:bCs/>
      <w:color w:val="4F81BD" w:themeColor="accent1"/>
      <w:sz w:val="24"/>
      <w:szCs w:val="24"/>
    </w:rPr>
  </w:style>
  <w:style w:type="character" w:customStyle="1" w:styleId="NoSpacingChar">
    <w:name w:val="No Spacing Char"/>
    <w:basedOn w:val="DefaultParagraphFont"/>
    <w:link w:val="NoSpacing"/>
    <w:uiPriority w:val="1"/>
    <w:rsid w:val="0067120F"/>
    <w:rPr>
      <w:rFonts w:asciiTheme="minorHAnsi" w:hAnsiTheme="minorHAnsi" w:cstheme="minorHAnsi"/>
      <w:sz w:val="24"/>
      <w:szCs w:val="24"/>
    </w:rPr>
  </w:style>
  <w:style w:type="paragraph" w:customStyle="1" w:styleId="3Subheading2">
    <w:name w:val="3. Subheading 2"/>
    <w:basedOn w:val="Heading2"/>
    <w:link w:val="3Subheading2Char"/>
    <w:qFormat/>
    <w:rsid w:val="00AB4C88"/>
    <w:pPr>
      <w:spacing w:before="0"/>
    </w:pPr>
    <w:rPr>
      <w:sz w:val="24"/>
    </w:rPr>
  </w:style>
  <w:style w:type="paragraph" w:customStyle="1" w:styleId="3Subheading1">
    <w:name w:val="3. Subheading 1"/>
    <w:basedOn w:val="Heading2"/>
    <w:link w:val="3Subheading1Char"/>
    <w:qFormat/>
    <w:rsid w:val="00AB4C88"/>
  </w:style>
  <w:style w:type="character" w:customStyle="1" w:styleId="3Subheading2Char">
    <w:name w:val="3. Subheading 2 Char"/>
    <w:basedOn w:val="Heading2Char"/>
    <w:link w:val="3Subheading2"/>
    <w:rsid w:val="00AB4C88"/>
    <w:rPr>
      <w:rFonts w:asciiTheme="minorHAnsi" w:eastAsiaTheme="majorEastAsia" w:hAnsiTheme="minorHAnsi"/>
      <w:b/>
      <w:i/>
      <w:sz w:val="24"/>
      <w:szCs w:val="28"/>
    </w:rPr>
  </w:style>
  <w:style w:type="paragraph" w:customStyle="1" w:styleId="6attachments">
    <w:name w:val="6. attachments"/>
    <w:basedOn w:val="NoSpacing"/>
    <w:link w:val="6attachmentsChar"/>
    <w:qFormat/>
    <w:rsid w:val="00495819"/>
    <w:rPr>
      <w:b/>
    </w:rPr>
  </w:style>
  <w:style w:type="character" w:customStyle="1" w:styleId="3Subheading1Char">
    <w:name w:val="3. Subheading 1 Char"/>
    <w:basedOn w:val="Heading2Char"/>
    <w:link w:val="3Subheading1"/>
    <w:rsid w:val="00AB4C88"/>
    <w:rPr>
      <w:rFonts w:asciiTheme="minorHAnsi" w:eastAsiaTheme="majorEastAsia" w:hAnsiTheme="minorHAnsi"/>
      <w:b/>
      <w:i/>
      <w:sz w:val="28"/>
      <w:szCs w:val="28"/>
    </w:rPr>
  </w:style>
  <w:style w:type="character" w:customStyle="1" w:styleId="6attachmentsChar">
    <w:name w:val="6. attachments Char"/>
    <w:basedOn w:val="NoSpacingChar"/>
    <w:link w:val="6attachments"/>
    <w:rsid w:val="00495819"/>
    <w:rPr>
      <w:rFonts w:asciiTheme="minorHAnsi" w:hAnsiTheme="minorHAnsi" w:cstheme="minorHAnsi"/>
      <w:b/>
      <w:sz w:val="24"/>
      <w:szCs w:val="24"/>
    </w:rPr>
  </w:style>
  <w:style w:type="character" w:styleId="Hyperlink">
    <w:name w:val="Hyperlink"/>
    <w:rsid w:val="00DE12F7"/>
    <w:rPr>
      <w:color w:val="0000FF"/>
      <w:u w:val="single"/>
    </w:rPr>
  </w:style>
  <w:style w:type="paragraph" w:customStyle="1" w:styleId="PBACHeading10">
    <w:name w:val="PBAC Heading 1"/>
    <w:qFormat/>
    <w:rsid w:val="004A5F0D"/>
    <w:pPr>
      <w:keepNext/>
      <w:keepLines/>
      <w:spacing w:after="120"/>
      <w:ind w:left="720" w:hanging="720"/>
      <w:outlineLvl w:val="0"/>
    </w:pPr>
    <w:rPr>
      <w:rFonts w:asciiTheme="minorHAnsi" w:hAnsiTheme="minorHAnsi" w:cstheme="minorHAnsi"/>
      <w:b/>
      <w:snapToGrid w:val="0"/>
      <w:sz w:val="32"/>
      <w:szCs w:val="28"/>
    </w:rPr>
  </w:style>
  <w:style w:type="paragraph" w:customStyle="1" w:styleId="Default">
    <w:name w:val="Default"/>
    <w:rsid w:val="00C419AC"/>
    <w:pPr>
      <w:autoSpaceDE w:val="0"/>
      <w:autoSpaceDN w:val="0"/>
      <w:adjustRightInd w:val="0"/>
    </w:pPr>
    <w:rPr>
      <w:rFonts w:ascii="Symbol" w:hAnsi="Symbol" w:cs="Symbol"/>
      <w:color w:val="000000"/>
      <w:sz w:val="24"/>
      <w:szCs w:val="24"/>
      <w:lang w:eastAsia="en-AU"/>
    </w:rPr>
  </w:style>
  <w:style w:type="table" w:styleId="TableGrid">
    <w:name w:val="Table Grid"/>
    <w:aliases w:val="Summary box,Table Gridbeth,CMA Table Template,ASD Table"/>
    <w:basedOn w:val="TableNormal"/>
    <w:uiPriority w:val="59"/>
    <w:rsid w:val="00C419AC"/>
    <w:rPr>
      <w:rFonts w:ascii="Calibri" w:hAnsi="Calibr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C419AC"/>
    <w:pPr>
      <w:numPr>
        <w:numId w:val="4"/>
      </w:numPr>
      <w:spacing w:after="200" w:line="276" w:lineRule="auto"/>
    </w:pPr>
    <w:rPr>
      <w:rFonts w:ascii="Arial" w:eastAsia="Calibri" w:hAnsi="Arial"/>
      <w:sz w:val="22"/>
      <w:szCs w:val="22"/>
    </w:rPr>
  </w:style>
  <w:style w:type="paragraph" w:styleId="ListNumber2">
    <w:name w:val="List Number 2"/>
    <w:basedOn w:val="Normal"/>
    <w:uiPriority w:val="99"/>
    <w:rsid w:val="00C419AC"/>
    <w:pPr>
      <w:numPr>
        <w:ilvl w:val="1"/>
        <w:numId w:val="4"/>
      </w:numPr>
      <w:spacing w:after="200" w:line="276" w:lineRule="auto"/>
    </w:pPr>
    <w:rPr>
      <w:rFonts w:ascii="Arial" w:eastAsia="Calibri" w:hAnsi="Arial"/>
      <w:sz w:val="22"/>
      <w:szCs w:val="22"/>
    </w:rPr>
  </w:style>
  <w:style w:type="paragraph" w:styleId="ListNumber3">
    <w:name w:val="List Number 3"/>
    <w:basedOn w:val="Normal"/>
    <w:uiPriority w:val="99"/>
    <w:rsid w:val="00C419AC"/>
    <w:pPr>
      <w:numPr>
        <w:ilvl w:val="2"/>
        <w:numId w:val="4"/>
      </w:numPr>
      <w:spacing w:after="200" w:line="276" w:lineRule="auto"/>
    </w:pPr>
    <w:rPr>
      <w:rFonts w:ascii="Arial" w:eastAsia="Calibri" w:hAnsi="Arial"/>
      <w:sz w:val="22"/>
      <w:szCs w:val="22"/>
    </w:rPr>
  </w:style>
  <w:style w:type="paragraph" w:styleId="ListNumber4">
    <w:name w:val="List Number 4"/>
    <w:basedOn w:val="Normal"/>
    <w:uiPriority w:val="99"/>
    <w:rsid w:val="00C419AC"/>
    <w:pPr>
      <w:numPr>
        <w:ilvl w:val="3"/>
        <w:numId w:val="4"/>
      </w:numPr>
      <w:spacing w:after="200" w:line="276" w:lineRule="auto"/>
    </w:pPr>
    <w:rPr>
      <w:rFonts w:ascii="Arial" w:eastAsia="Calibri" w:hAnsi="Arial"/>
      <w:sz w:val="22"/>
      <w:szCs w:val="22"/>
    </w:rPr>
  </w:style>
  <w:style w:type="paragraph" w:styleId="ListNumber5">
    <w:name w:val="List Number 5"/>
    <w:basedOn w:val="Normal"/>
    <w:uiPriority w:val="99"/>
    <w:rsid w:val="00C419AC"/>
    <w:pPr>
      <w:numPr>
        <w:ilvl w:val="4"/>
        <w:numId w:val="4"/>
      </w:numPr>
      <w:spacing w:after="200" w:line="276" w:lineRule="auto"/>
    </w:pPr>
    <w:rPr>
      <w:rFonts w:ascii="Arial" w:eastAsia="Calibri" w:hAnsi="Arial"/>
      <w:sz w:val="22"/>
      <w:szCs w:val="22"/>
    </w:rPr>
  </w:style>
  <w:style w:type="paragraph" w:customStyle="1" w:styleId="bullet3">
    <w:name w:val="bullet3"/>
    <w:basedOn w:val="ListParagraph"/>
    <w:link w:val="bullet3Char"/>
    <w:qFormat/>
    <w:rsid w:val="00C419AC"/>
    <w:pPr>
      <w:numPr>
        <w:ilvl w:val="3"/>
        <w:numId w:val="5"/>
      </w:numPr>
      <w:spacing w:after="120"/>
      <w:ind w:left="1418" w:hanging="567"/>
      <w:contextualSpacing w:val="0"/>
      <w:jc w:val="left"/>
    </w:pPr>
    <w:rPr>
      <w:rFonts w:asciiTheme="minorHAnsi" w:hAnsiTheme="minorHAnsi"/>
      <w:sz w:val="24"/>
    </w:rPr>
  </w:style>
  <w:style w:type="character" w:customStyle="1" w:styleId="bullet3Char">
    <w:name w:val="bullet3 Char"/>
    <w:basedOn w:val="ListParagraphChar"/>
    <w:link w:val="bullet3"/>
    <w:rsid w:val="00C419AC"/>
    <w:rPr>
      <w:rFonts w:asciiTheme="minorHAnsi" w:hAnsiTheme="minorHAnsi" w:cs="Arial"/>
      <w:snapToGrid w:val="0"/>
      <w:sz w:val="24"/>
    </w:rPr>
  </w:style>
  <w:style w:type="paragraph" w:styleId="EndnoteText">
    <w:name w:val="endnote text"/>
    <w:basedOn w:val="Normal"/>
    <w:link w:val="EndnoteTextChar"/>
    <w:uiPriority w:val="99"/>
    <w:semiHidden/>
    <w:unhideWhenUsed/>
    <w:rsid w:val="00377647"/>
    <w:rPr>
      <w:sz w:val="20"/>
      <w:szCs w:val="20"/>
    </w:rPr>
  </w:style>
  <w:style w:type="character" w:customStyle="1" w:styleId="EndnoteTextChar">
    <w:name w:val="Endnote Text Char"/>
    <w:basedOn w:val="DefaultParagraphFont"/>
    <w:link w:val="EndnoteText"/>
    <w:uiPriority w:val="99"/>
    <w:semiHidden/>
    <w:rsid w:val="00377647"/>
  </w:style>
  <w:style w:type="character" w:styleId="EndnoteReference">
    <w:name w:val="endnote reference"/>
    <w:basedOn w:val="DefaultParagraphFont"/>
    <w:uiPriority w:val="99"/>
    <w:semiHidden/>
    <w:unhideWhenUsed/>
    <w:rsid w:val="00377647"/>
    <w:rPr>
      <w:vertAlign w:val="superscript"/>
    </w:rPr>
  </w:style>
  <w:style w:type="character" w:styleId="FollowedHyperlink">
    <w:name w:val="FollowedHyperlink"/>
    <w:basedOn w:val="DefaultParagraphFont"/>
    <w:uiPriority w:val="99"/>
    <w:semiHidden/>
    <w:unhideWhenUsed/>
    <w:rsid w:val="000C3190"/>
    <w:rPr>
      <w:color w:val="800080" w:themeColor="followedHyperlink"/>
      <w:u w:val="single"/>
    </w:rPr>
  </w:style>
  <w:style w:type="paragraph" w:styleId="FootnoteText">
    <w:name w:val="footnote text"/>
    <w:basedOn w:val="Normal"/>
    <w:link w:val="FootnoteTextChar"/>
    <w:uiPriority w:val="99"/>
    <w:unhideWhenUsed/>
    <w:rsid w:val="003634B2"/>
    <w:rPr>
      <w:sz w:val="20"/>
      <w:szCs w:val="20"/>
    </w:rPr>
  </w:style>
  <w:style w:type="character" w:customStyle="1" w:styleId="FootnoteTextChar">
    <w:name w:val="Footnote Text Char"/>
    <w:basedOn w:val="DefaultParagraphFont"/>
    <w:link w:val="FootnoteText"/>
    <w:uiPriority w:val="99"/>
    <w:rsid w:val="003634B2"/>
  </w:style>
  <w:style w:type="character" w:styleId="FootnoteReference">
    <w:name w:val="footnote reference"/>
    <w:basedOn w:val="DefaultParagraphFont"/>
    <w:unhideWhenUsed/>
    <w:rsid w:val="003634B2"/>
    <w:rPr>
      <w:vertAlign w:val="superscript"/>
    </w:rPr>
  </w:style>
  <w:style w:type="paragraph" w:styleId="Revision">
    <w:name w:val="Revision"/>
    <w:hidden/>
    <w:uiPriority w:val="99"/>
    <w:semiHidden/>
    <w:rsid w:val="005C3E37"/>
    <w:rPr>
      <w:sz w:val="24"/>
      <w:szCs w:val="24"/>
    </w:rPr>
  </w:style>
  <w:style w:type="paragraph" w:customStyle="1" w:styleId="3Bodytext">
    <w:name w:val="3. Body text"/>
    <w:basedOn w:val="ListParagraph"/>
    <w:link w:val="3BodytextChar"/>
    <w:qFormat/>
    <w:rsid w:val="00A65D59"/>
    <w:pPr>
      <w:widowControl/>
      <w:spacing w:after="120"/>
      <w:ind w:hanging="720"/>
      <w:contextualSpacing w:val="0"/>
    </w:pPr>
    <w:rPr>
      <w:rFonts w:asciiTheme="minorHAnsi" w:hAnsiTheme="minorHAnsi" w:cstheme="minorBidi"/>
      <w:snapToGrid/>
      <w:sz w:val="24"/>
      <w:szCs w:val="22"/>
      <w:lang w:eastAsia="en-AU"/>
    </w:rPr>
  </w:style>
  <w:style w:type="paragraph" w:customStyle="1" w:styleId="2-SectionHeading">
    <w:name w:val="2-Section Heading"/>
    <w:qFormat/>
    <w:rsid w:val="00A65D59"/>
    <w:pPr>
      <w:keepNext/>
      <w:spacing w:before="240" w:after="120"/>
      <w:ind w:left="720" w:hanging="720"/>
      <w:outlineLvl w:val="0"/>
    </w:pPr>
    <w:rPr>
      <w:rFonts w:asciiTheme="minorHAnsi" w:hAnsiTheme="minorHAnsi" w:cs="Arial"/>
      <w:b/>
      <w:snapToGrid w:val="0"/>
      <w:sz w:val="32"/>
      <w:szCs w:val="32"/>
      <w:lang w:eastAsia="en-AU"/>
    </w:rPr>
  </w:style>
  <w:style w:type="paragraph" w:customStyle="1" w:styleId="05Tabletext">
    <w:name w:val="05 Table text"/>
    <w:next w:val="Normal"/>
    <w:qFormat/>
    <w:rsid w:val="000F2253"/>
    <w:pPr>
      <w:spacing w:before="20"/>
      <w:ind w:left="57" w:right="57"/>
    </w:pPr>
    <w:rPr>
      <w:rFonts w:ascii="Arial Narrow" w:eastAsia="Calibri" w:hAnsi="Arial Narrow"/>
      <w:sz w:val="18"/>
      <w:szCs w:val="24"/>
    </w:rPr>
  </w:style>
  <w:style w:type="paragraph" w:customStyle="1" w:styleId="MDTabCaption">
    <w:name w:val="MD_TabCaption"/>
    <w:basedOn w:val="Normal"/>
    <w:next w:val="Normal"/>
    <w:link w:val="MDTabCaptionChar"/>
    <w:qFormat/>
    <w:rsid w:val="000F2253"/>
    <w:pPr>
      <w:keepNext/>
      <w:spacing w:before="200" w:after="20"/>
      <w:ind w:right="57"/>
      <w:contextualSpacing/>
    </w:pPr>
    <w:rPr>
      <w:rFonts w:asciiTheme="minorHAnsi" w:eastAsiaTheme="minorEastAsia" w:hAnsiTheme="minorHAnsi" w:cs="Calibri"/>
      <w:b/>
      <w:lang w:val="en-US"/>
    </w:rPr>
  </w:style>
  <w:style w:type="character" w:customStyle="1" w:styleId="MDTabCaptionChar">
    <w:name w:val="MD_TabCaption Char"/>
    <w:basedOn w:val="DefaultParagraphFont"/>
    <w:link w:val="MDTabCaption"/>
    <w:rsid w:val="000F2253"/>
    <w:rPr>
      <w:rFonts w:asciiTheme="minorHAnsi" w:eastAsiaTheme="minorEastAsia" w:hAnsiTheme="minorHAnsi" w:cs="Calibri"/>
      <w:b/>
      <w:sz w:val="24"/>
      <w:szCs w:val="24"/>
      <w:lang w:val="en-US"/>
    </w:rPr>
  </w:style>
  <w:style w:type="paragraph" w:customStyle="1" w:styleId="Footnotes">
    <w:name w:val="Footnotes"/>
    <w:basedOn w:val="Normal"/>
    <w:link w:val="FootnotesChar"/>
    <w:qFormat/>
    <w:rsid w:val="000F2253"/>
    <w:pPr>
      <w:spacing w:after="200"/>
      <w:ind w:right="57"/>
      <w:contextualSpacing/>
    </w:pPr>
    <w:rPr>
      <w:rFonts w:asciiTheme="minorHAnsi" w:eastAsiaTheme="minorEastAsia" w:hAnsiTheme="minorHAnsi" w:cs="Calibri"/>
      <w:sz w:val="20"/>
      <w:szCs w:val="20"/>
      <w:lang w:val="en-GB" w:eastAsia="en-AU"/>
    </w:rPr>
  </w:style>
  <w:style w:type="character" w:customStyle="1" w:styleId="FootnotesChar">
    <w:name w:val="Footnotes Char"/>
    <w:basedOn w:val="DefaultParagraphFont"/>
    <w:link w:val="Footnotes"/>
    <w:rsid w:val="000F2253"/>
    <w:rPr>
      <w:rFonts w:asciiTheme="minorHAnsi" w:eastAsiaTheme="minorEastAsia" w:hAnsiTheme="minorHAnsi" w:cs="Calibri"/>
      <w:lang w:val="en-GB" w:eastAsia="en-AU"/>
    </w:rPr>
  </w:style>
  <w:style w:type="paragraph" w:customStyle="1" w:styleId="02TableHEADINGcentred">
    <w:name w:val="02 Table HEADING centred"/>
    <w:qFormat/>
    <w:rsid w:val="000F2253"/>
    <w:pPr>
      <w:keepNext/>
      <w:spacing w:before="60"/>
      <w:ind w:left="57" w:right="57"/>
      <w:jc w:val="center"/>
    </w:pPr>
    <w:rPr>
      <w:rFonts w:ascii="Arial Narrow" w:eastAsia="Calibri" w:hAnsi="Arial Narrow"/>
      <w:b/>
      <w:sz w:val="18"/>
      <w:szCs w:val="24"/>
    </w:rPr>
  </w:style>
  <w:style w:type="table" w:customStyle="1" w:styleId="TableGridLight2">
    <w:name w:val="Table Grid Light2"/>
    <w:basedOn w:val="TableNormal"/>
    <w:uiPriority w:val="40"/>
    <w:rsid w:val="000F2253"/>
    <w:rPr>
      <w:rFonts w:eastAsiaTheme="minorHAnsi" w:cstheme="minorBidi"/>
      <w:sz w:val="24"/>
      <w:szCs w:val="22"/>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4-SubsectionHeading">
    <w:name w:val="4-Subsection Heading"/>
    <w:basedOn w:val="Heading2"/>
    <w:next w:val="Normal"/>
    <w:link w:val="4-SubsectionHeadingChar"/>
    <w:qFormat/>
    <w:rsid w:val="009A0CAD"/>
    <w:pPr>
      <w:spacing w:before="120"/>
      <w:jc w:val="both"/>
    </w:pPr>
    <w:rPr>
      <w:rFonts w:cstheme="majorBidi"/>
      <w:spacing w:val="5"/>
      <w:kern w:val="28"/>
      <w:szCs w:val="36"/>
      <w:lang w:eastAsia="en-AU"/>
    </w:rPr>
  </w:style>
  <w:style w:type="character" w:customStyle="1" w:styleId="4-SubsectionHeadingChar">
    <w:name w:val="4-Subsection Heading Char"/>
    <w:basedOn w:val="DefaultParagraphFont"/>
    <w:link w:val="4-SubsectionHeading"/>
    <w:rsid w:val="009A0CAD"/>
    <w:rPr>
      <w:rFonts w:asciiTheme="minorHAnsi" w:eastAsiaTheme="majorEastAsia" w:hAnsiTheme="minorHAnsi" w:cstheme="majorBidi"/>
      <w:b/>
      <w:i/>
      <w:spacing w:val="5"/>
      <w:kern w:val="28"/>
      <w:sz w:val="28"/>
      <w:szCs w:val="36"/>
      <w:lang w:eastAsia="en-AU"/>
    </w:rPr>
  </w:style>
  <w:style w:type="character" w:customStyle="1" w:styleId="3BodytextChar">
    <w:name w:val="3. Body text Char"/>
    <w:basedOn w:val="DefaultParagraphFont"/>
    <w:link w:val="3Bodytext"/>
    <w:rsid w:val="005276A0"/>
    <w:rPr>
      <w:rFonts w:asciiTheme="minorHAnsi" w:hAnsiTheme="minorHAnsi" w:cstheme="minorBidi"/>
      <w:sz w:val="24"/>
      <w:szCs w:val="22"/>
      <w:lang w:eastAsia="en-AU"/>
    </w:rPr>
  </w:style>
  <w:style w:type="table" w:customStyle="1" w:styleId="TableGridbeth2">
    <w:name w:val="Table Gridbeth2"/>
    <w:basedOn w:val="TableNormal"/>
    <w:next w:val="TableGrid"/>
    <w:uiPriority w:val="39"/>
    <w:rsid w:val="0006312E"/>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sid w:val="0006312E"/>
    <w:rPr>
      <w:rFonts w:ascii="Calibri" w:hAnsi="Calibri"/>
      <w:i/>
      <w:iCs/>
      <w:color w:val="000000" w:themeColor="text1"/>
      <w:sz w:val="18"/>
      <w:szCs w:val="18"/>
    </w:rPr>
  </w:style>
  <w:style w:type="table" w:customStyle="1" w:styleId="TableGridbeth1">
    <w:name w:val="Table Gridbeth1"/>
    <w:basedOn w:val="TableNormal"/>
    <w:next w:val="TableGrid"/>
    <w:uiPriority w:val="39"/>
    <w:rsid w:val="00691427"/>
    <w:rPr>
      <w:rFonts w:ascii="Calibri" w:hAnsi="Calibr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next w:val="Normal"/>
    <w:link w:val="TableFigureHeadingChar"/>
    <w:qFormat/>
    <w:rsid w:val="00691427"/>
    <w:pPr>
      <w:keepNext/>
    </w:pPr>
    <w:rPr>
      <w:rFonts w:asciiTheme="minorHAnsi" w:eastAsiaTheme="majorEastAsia" w:hAnsiTheme="minorHAnsi" w:cstheme="majorBidi"/>
      <w:b/>
      <w:bCs/>
      <w:sz w:val="24"/>
      <w:szCs w:val="24"/>
      <w:lang w:eastAsia="en-AU"/>
    </w:rPr>
  </w:style>
  <w:style w:type="character" w:customStyle="1" w:styleId="TableFigureHeadingChar">
    <w:name w:val="Table/Figure Heading Char"/>
    <w:basedOn w:val="DefaultParagraphFont"/>
    <w:link w:val="TableFigureHeading"/>
    <w:rsid w:val="00691427"/>
    <w:rPr>
      <w:rFonts w:asciiTheme="minorHAnsi" w:eastAsiaTheme="majorEastAsia" w:hAnsiTheme="minorHAnsi" w:cstheme="majorBidi"/>
      <w:b/>
      <w:bCs/>
      <w:sz w:val="24"/>
      <w:szCs w:val="24"/>
      <w:lang w:eastAsia="en-AU"/>
    </w:rPr>
  </w:style>
  <w:style w:type="paragraph" w:customStyle="1" w:styleId="3-BodyText">
    <w:name w:val="3-Body Text"/>
    <w:link w:val="3-BodyTextChar"/>
    <w:qFormat/>
    <w:rsid w:val="00903523"/>
    <w:pPr>
      <w:spacing w:after="120"/>
      <w:ind w:left="720" w:hanging="720"/>
      <w:jc w:val="both"/>
    </w:pPr>
    <w:rPr>
      <w:rFonts w:asciiTheme="minorHAnsi" w:hAnsiTheme="minorHAnsi" w:cs="Arial"/>
      <w:snapToGrid w:val="0"/>
      <w:sz w:val="24"/>
      <w:szCs w:val="24"/>
    </w:rPr>
  </w:style>
  <w:style w:type="character" w:customStyle="1" w:styleId="3-BodyTextChar">
    <w:name w:val="3-Body Text Char"/>
    <w:basedOn w:val="DefaultParagraphFont"/>
    <w:link w:val="3-BodyText"/>
    <w:rsid w:val="00903523"/>
    <w:rPr>
      <w:rFonts w:asciiTheme="minorHAnsi" w:hAnsiTheme="minorHAnsi" w:cs="Arial"/>
      <w:snapToGrid w:val="0"/>
      <w:sz w:val="24"/>
      <w:szCs w:val="24"/>
    </w:rPr>
  </w:style>
  <w:style w:type="paragraph" w:customStyle="1" w:styleId="V50Heading2nonumbers">
    <w:name w:val="V5.0 Heading 2 no numbers"/>
    <w:basedOn w:val="Heading2"/>
    <w:qFormat/>
    <w:rsid w:val="00A90A71"/>
    <w:pPr>
      <w:keepLines/>
      <w:ind w:left="578" w:hanging="578"/>
    </w:pPr>
    <w:rPr>
      <w:rFonts w:ascii="Calibri" w:eastAsia="Times New Roman" w:hAnsi="Calibri"/>
    </w:rPr>
  </w:style>
  <w:style w:type="table" w:styleId="GridTable4-Accent1">
    <w:name w:val="Grid Table 4 Accent 1"/>
    <w:basedOn w:val="TableNormal"/>
    <w:uiPriority w:val="49"/>
    <w:rsid w:val="00A90A71"/>
    <w:rPr>
      <w:lang w:eastAsia="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A679BC"/>
    <w:rPr>
      <w:color w:val="605E5C"/>
      <w:shd w:val="clear" w:color="auto" w:fill="E1DFDD"/>
    </w:rPr>
  </w:style>
  <w:style w:type="character" w:styleId="Emphasis">
    <w:name w:val="Emphasis"/>
    <w:basedOn w:val="DefaultParagraphFont"/>
    <w:uiPriority w:val="20"/>
    <w:qFormat/>
    <w:rsid w:val="00DA02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620189">
      <w:bodyDiv w:val="1"/>
      <w:marLeft w:val="0"/>
      <w:marRight w:val="0"/>
      <w:marTop w:val="0"/>
      <w:marBottom w:val="0"/>
      <w:divBdr>
        <w:top w:val="none" w:sz="0" w:space="0" w:color="auto"/>
        <w:left w:val="none" w:sz="0" w:space="0" w:color="auto"/>
        <w:bottom w:val="none" w:sz="0" w:space="0" w:color="auto"/>
        <w:right w:val="none" w:sz="0" w:space="0" w:color="auto"/>
      </w:divBdr>
    </w:div>
    <w:div w:id="464395876">
      <w:bodyDiv w:val="1"/>
      <w:marLeft w:val="0"/>
      <w:marRight w:val="0"/>
      <w:marTop w:val="0"/>
      <w:marBottom w:val="0"/>
      <w:divBdr>
        <w:top w:val="none" w:sz="0" w:space="0" w:color="auto"/>
        <w:left w:val="none" w:sz="0" w:space="0" w:color="auto"/>
        <w:bottom w:val="none" w:sz="0" w:space="0" w:color="auto"/>
        <w:right w:val="none" w:sz="0" w:space="0" w:color="auto"/>
      </w:divBdr>
    </w:div>
    <w:div w:id="694815314">
      <w:bodyDiv w:val="1"/>
      <w:marLeft w:val="0"/>
      <w:marRight w:val="0"/>
      <w:marTop w:val="0"/>
      <w:marBottom w:val="0"/>
      <w:divBdr>
        <w:top w:val="none" w:sz="0" w:space="0" w:color="auto"/>
        <w:left w:val="none" w:sz="0" w:space="0" w:color="auto"/>
        <w:bottom w:val="none" w:sz="0" w:space="0" w:color="auto"/>
        <w:right w:val="none" w:sz="0" w:space="0" w:color="auto"/>
      </w:divBdr>
    </w:div>
    <w:div w:id="1010990045">
      <w:bodyDiv w:val="1"/>
      <w:marLeft w:val="0"/>
      <w:marRight w:val="0"/>
      <w:marTop w:val="0"/>
      <w:marBottom w:val="0"/>
      <w:divBdr>
        <w:top w:val="none" w:sz="0" w:space="0" w:color="auto"/>
        <w:left w:val="none" w:sz="0" w:space="0" w:color="auto"/>
        <w:bottom w:val="none" w:sz="0" w:space="0" w:color="auto"/>
        <w:right w:val="none" w:sz="0" w:space="0" w:color="auto"/>
      </w:divBdr>
    </w:div>
    <w:div w:id="1035689106">
      <w:bodyDiv w:val="1"/>
      <w:marLeft w:val="0"/>
      <w:marRight w:val="0"/>
      <w:marTop w:val="0"/>
      <w:marBottom w:val="0"/>
      <w:divBdr>
        <w:top w:val="none" w:sz="0" w:space="0" w:color="auto"/>
        <w:left w:val="none" w:sz="0" w:space="0" w:color="auto"/>
        <w:bottom w:val="none" w:sz="0" w:space="0" w:color="auto"/>
        <w:right w:val="none" w:sz="0" w:space="0" w:color="auto"/>
      </w:divBdr>
    </w:div>
    <w:div w:id="104988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jamanetwork.com/journals/jamanetworkopen/fullarticle/2776748?utm_campaign=articlePDF&amp;utm_medium=articlePDFlink&amp;utm_source=articlePDF&amp;utm_content=jamanetworkopen.2021.0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4271C-E72E-4370-9A11-BAD352B80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3198</Words>
  <Characters>18233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2023-06-02T03:31:00Z</dcterms:created>
  <dcterms:modified xsi:type="dcterms:W3CDTF">2023-07-26T03:59:00Z</dcterms:modified>
</cp:coreProperties>
</file>